
<file path=[Content_Types].xml><?xml version="1.0" encoding="utf-8"?>
<Types xmlns="http://schemas.openxmlformats.org/package/2006/content-types">
  <Override PartName="/word/charts/chart10.xml" ContentType="application/vnd.openxmlformats-officedocument.drawingml.chart+xml"/>
  <Override PartName="/customXml/itemProps1.xml" ContentType="application/vnd.openxmlformats-officedocument.customXmlProperties+xml"/>
  <Override PartName="/word/footer9.xml" ContentType="application/vnd.openxmlformats-officedocument.wordprocessingml.footer+xml"/>
  <Override PartName="/word/theme/themeOverride1.xml" ContentType="application/vnd.openxmlformats-officedocument.themeOverride+xml"/>
  <Default Extension="wmf" ContentType="image/x-wmf"/>
  <Override PartName="/word/footer7.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footer5.xml" ContentType="application/vnd.openxmlformats-officedocument.wordprocessingml.footer+xml"/>
  <Override PartName="/word/charts/chart19.xml" ContentType="application/vnd.openxmlformats-officedocument.drawingml.chart+xml"/>
  <Override PartName="/word/charts/chart28.xml" ContentType="application/vnd.openxmlformats-officedocument.drawingml.chart+xml"/>
  <Override PartName="/word/footer17.xml" ContentType="application/vnd.openxmlformats-officedocument.wordprocessingml.footer+xml"/>
  <Override PartName="/word/charts/chart39.xml" ContentType="application/vnd.openxmlformats-officedocument.drawingml.chart+xml"/>
  <Override PartName="/word/charts/chart48.xml" ContentType="application/vnd.openxmlformats-officedocument.drawingml.chart+xml"/>
  <Override PartName="/word/footer3.xml" ContentType="application/vnd.openxmlformats-officedocument.wordprocessingml.footer+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footer13.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charts/chart37.xml" ContentType="application/vnd.openxmlformats-officedocument.drawingml.chart+xml"/>
  <Override PartName="/word/charts/chart46.xml" ContentType="application/vnd.openxmlformats-officedocument.drawingml.chart+xml"/>
  <Override PartName="/word/footer1.xml" ContentType="application/vnd.openxmlformats-officedocument.wordprocessingml.footer+xml"/>
  <Override PartName="/word/header4.xml" ContentType="application/vnd.openxmlformats-officedocument.wordprocessingml.header+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footer11.xml" ContentType="application/vnd.openxmlformats-officedocument.wordprocessingml.footer+xml"/>
  <Override PartName="/word/charts/chart35.xml" ContentType="application/vnd.openxmlformats-officedocument.drawingml.chart+xml"/>
  <Override PartName="/word/charts/chart44.xml" ContentType="application/vnd.openxmlformats-officedocument.drawingml.chart+xml"/>
  <Override PartName="/word/footer22.xml" ContentType="application/vnd.openxmlformats-officedocument.wordprocessingml.footer+xml"/>
  <Override PartName="/word/header2.xml" ContentType="application/vnd.openxmlformats-officedocument.wordprocessingml.header+xml"/>
  <Override PartName="/word/charts/chart3.xml" ContentType="application/vnd.openxmlformats-officedocument.drawingml.chart+xml"/>
  <Default Extension="xlsx" ContentType="application/vnd.openxmlformats-officedocument.spreadsheetml.sheet"/>
  <Override PartName="/word/charts/chart13.xml" ContentType="application/vnd.openxmlformats-officedocument.drawingml.chart+xml"/>
  <Override PartName="/word/charts/chart22.xml" ContentType="application/vnd.openxmlformats-officedocument.drawingml.chart+xml"/>
  <Override PartName="/word/charts/chart31.xml" ContentType="application/vnd.openxmlformats-officedocument.drawingml.chart+xml"/>
  <Override PartName="/word/footer20.xml" ContentType="application/vnd.openxmlformats-officedocument.wordprocessingml.footer+xml"/>
  <Override PartName="/word/charts/chart33.xml" ContentType="application/vnd.openxmlformats-officedocument.drawingml.chart+xml"/>
  <Override PartName="/word/charts/chart42.xml" ContentType="application/vnd.openxmlformats-officedocument.drawingml.chart+xml"/>
  <Override PartName="/word/charts/chart51.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charts/chart20.xml" ContentType="application/vnd.openxmlformats-officedocument.drawingml.chart+xml"/>
  <Override PartName="/word/charts/chart40.xml" ContentType="application/vnd.openxmlformats-officedocument.drawingml.chart+xml"/>
  <Default Extension="png" ContentType="image/png"/>
  <Override PartName="/word/theme/themeOverride2.xml" ContentType="application/vnd.openxmlformats-officedocument.themeOverride+xml"/>
  <Override PartName="/word/footer8.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18.xml" ContentType="application/vnd.openxmlformats-officedocument.wordprocessingml.footer+xml"/>
  <Override PartName="/word/charts/chart4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charts/chart29.xml" ContentType="application/vnd.openxmlformats-officedocument.drawingml.chart+xml"/>
  <Override PartName="/word/footer16.xml" ContentType="application/vnd.openxmlformats-officedocument.wordprocessingml.footer+xml"/>
  <Override PartName="/word/charts/chart38.xml" ContentType="application/vnd.openxmlformats-officedocument.drawingml.chart+xml"/>
  <Override PartName="/word/charts/chart4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footer14.xml" ContentType="application/vnd.openxmlformats-officedocument.wordprocessingml.footer+xml"/>
  <Override PartName="/word/charts/chart36.xml" ContentType="application/vnd.openxmlformats-officedocument.drawingml.chart+xml"/>
  <Override PartName="/word/charts/chart45.xml" ContentType="application/vnd.openxmlformats-officedocument.drawingml.chart+xml"/>
  <Override PartName="/word/header7.xml" ContentType="application/vnd.openxmlformats-officedocument.wordprocessingml.header+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footer12.xml" ContentType="application/vnd.openxmlformats-officedocument.wordprocessingml.footer+xml"/>
  <Override PartName="/word/header5.xml" ContentType="application/vnd.openxmlformats-officedocument.wordprocessingml.header+xml"/>
  <Override PartName="/word/charts/chart34.xml" ContentType="application/vnd.openxmlformats-officedocument.drawingml.chart+xml"/>
  <Override PartName="/word/charts/chart43.xml" ContentType="application/vnd.openxmlformats-officedocument.drawingml.chart+xml"/>
  <Override PartName="/word/footer21.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footer10.xml" ContentType="application/vnd.openxmlformats-officedocument.wordprocessingml.footer+xml"/>
  <Override PartName="/word/charts/chart41.xml" ContentType="application/vnd.openxmlformats-officedocument.drawingml.chart+xml"/>
  <Override PartName="/word/charts/chart50.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F84" w:rsidRDefault="00DD5F84" w:rsidP="00DD5F84">
      <w:pPr>
        <w:spacing w:after="0"/>
        <w:jc w:val="center"/>
        <w:rPr>
          <w:rFonts w:cs="Arial"/>
          <w:b/>
          <w:bCs/>
          <w:sz w:val="32"/>
          <w:szCs w:val="32"/>
        </w:rPr>
      </w:pPr>
    </w:p>
    <w:p w:rsidR="00DD5F84" w:rsidRDefault="00DD5F84" w:rsidP="00DD5F84">
      <w:pPr>
        <w:spacing w:after="0"/>
        <w:jc w:val="center"/>
        <w:rPr>
          <w:rFonts w:cs="Arial"/>
          <w:b/>
          <w:bCs/>
          <w:sz w:val="32"/>
          <w:szCs w:val="32"/>
        </w:rPr>
      </w:pPr>
    </w:p>
    <w:p w:rsidR="00DD5F84" w:rsidRDefault="00D44CAA" w:rsidP="00DD5F84">
      <w:pPr>
        <w:spacing w:after="0"/>
        <w:jc w:val="center"/>
        <w:rPr>
          <w:rFonts w:cs="Arial"/>
          <w:b/>
          <w:bCs/>
          <w:sz w:val="36"/>
          <w:szCs w:val="36"/>
        </w:rPr>
      </w:pPr>
      <w:r>
        <w:rPr>
          <w:rFonts w:cs="Arial"/>
          <w:b/>
          <w:bCs/>
          <w:sz w:val="36"/>
          <w:szCs w:val="36"/>
        </w:rPr>
        <w:t>VONDLE &amp; ASSOCIATES, INC.</w:t>
      </w:r>
    </w:p>
    <w:p w:rsidR="00DD5F84" w:rsidRDefault="00DD5F84" w:rsidP="00DD5F84">
      <w:pPr>
        <w:spacing w:after="0"/>
        <w:jc w:val="center"/>
        <w:rPr>
          <w:rFonts w:cs="Arial"/>
          <w:b/>
          <w:bCs/>
          <w:sz w:val="36"/>
          <w:szCs w:val="36"/>
        </w:rPr>
      </w:pPr>
    </w:p>
    <w:p w:rsidR="00DD5F84" w:rsidRDefault="00DD5F84" w:rsidP="001E3253">
      <w:pPr>
        <w:tabs>
          <w:tab w:val="left" w:pos="8385"/>
        </w:tabs>
        <w:spacing w:after="0"/>
        <w:jc w:val="center"/>
        <w:rPr>
          <w:rFonts w:cs="Arial"/>
          <w:b/>
          <w:bCs/>
          <w:sz w:val="36"/>
          <w:szCs w:val="36"/>
        </w:rPr>
      </w:pPr>
    </w:p>
    <w:p w:rsidR="00DD5F84" w:rsidRPr="00BD4CF3" w:rsidRDefault="00C9314F" w:rsidP="00DD5F84">
      <w:pPr>
        <w:spacing w:after="0"/>
        <w:jc w:val="center"/>
        <w:rPr>
          <w:rFonts w:cs="Arial"/>
          <w:b/>
          <w:bCs/>
          <w:sz w:val="36"/>
          <w:szCs w:val="36"/>
        </w:rPr>
      </w:pPr>
      <w:r w:rsidRPr="00BD4CF3">
        <w:rPr>
          <w:rFonts w:cs="Arial"/>
          <w:b/>
          <w:bCs/>
          <w:sz w:val="36"/>
          <w:szCs w:val="36"/>
        </w:rPr>
        <w:t>201</w:t>
      </w:r>
      <w:r>
        <w:rPr>
          <w:rFonts w:cs="Arial"/>
          <w:b/>
          <w:bCs/>
          <w:sz w:val="36"/>
          <w:szCs w:val="36"/>
        </w:rPr>
        <w:t>6</w:t>
      </w:r>
      <w:r w:rsidRPr="00BD4CF3">
        <w:rPr>
          <w:rFonts w:cs="Arial"/>
          <w:b/>
          <w:bCs/>
          <w:sz w:val="36"/>
          <w:szCs w:val="36"/>
        </w:rPr>
        <w:t xml:space="preserve"> </w:t>
      </w:r>
      <w:r w:rsidRPr="00C9314F">
        <w:rPr>
          <w:rFonts w:cs="Arial"/>
          <w:b/>
          <w:bCs/>
          <w:sz w:val="36"/>
          <w:szCs w:val="36"/>
        </w:rPr>
        <w:t xml:space="preserve">STRATIFIED MANAGEMENT </w:t>
      </w:r>
      <w:r>
        <w:rPr>
          <w:rFonts w:cs="Arial"/>
          <w:b/>
          <w:bCs/>
          <w:sz w:val="36"/>
          <w:szCs w:val="36"/>
        </w:rPr>
        <w:br/>
      </w:r>
      <w:r w:rsidRPr="00C9314F">
        <w:rPr>
          <w:rFonts w:cs="Arial"/>
          <w:b/>
          <w:bCs/>
          <w:sz w:val="36"/>
          <w:szCs w:val="36"/>
        </w:rPr>
        <w:t>AND OPERATIONS AUDIT</w:t>
      </w:r>
      <w:r>
        <w:rPr>
          <w:rFonts w:cs="Arial"/>
          <w:b/>
          <w:bCs/>
          <w:sz w:val="36"/>
          <w:szCs w:val="36"/>
        </w:rPr>
        <w:t xml:space="preserve"> OF</w:t>
      </w:r>
    </w:p>
    <w:p w:rsidR="00DD5F84" w:rsidRDefault="00DD5F84" w:rsidP="00DD5F84">
      <w:pPr>
        <w:spacing w:after="0"/>
        <w:jc w:val="center"/>
        <w:rPr>
          <w:rFonts w:cs="Arial"/>
          <w:b/>
          <w:bCs/>
          <w:sz w:val="36"/>
          <w:szCs w:val="36"/>
        </w:rPr>
      </w:pPr>
    </w:p>
    <w:p w:rsidR="00DD5F84" w:rsidRDefault="00DD5F84" w:rsidP="00DD5F84">
      <w:pPr>
        <w:spacing w:after="0"/>
        <w:jc w:val="center"/>
        <w:rPr>
          <w:rFonts w:cs="Arial"/>
          <w:b/>
          <w:bCs/>
          <w:sz w:val="36"/>
          <w:szCs w:val="36"/>
        </w:rPr>
      </w:pPr>
    </w:p>
    <w:p w:rsidR="00DD5F84" w:rsidRPr="00AA3FFB" w:rsidRDefault="00DD5F84" w:rsidP="00DD5F84">
      <w:pPr>
        <w:spacing w:after="0"/>
        <w:jc w:val="center"/>
        <w:rPr>
          <w:rFonts w:cs="Arial"/>
          <w:b/>
          <w:bCs/>
          <w:sz w:val="36"/>
          <w:szCs w:val="36"/>
        </w:rPr>
      </w:pPr>
      <w:r>
        <w:rPr>
          <w:rFonts w:cs="Arial"/>
          <w:b/>
          <w:bCs/>
          <w:sz w:val="36"/>
          <w:szCs w:val="36"/>
        </w:rPr>
        <w:t>PPL ELECTRIC UTILITIES CORPORATION</w:t>
      </w:r>
    </w:p>
    <w:p w:rsidR="00DD5F84" w:rsidRPr="001E3253" w:rsidRDefault="00DD5F84" w:rsidP="00DD5F84">
      <w:pPr>
        <w:spacing w:after="0"/>
        <w:jc w:val="center"/>
        <w:rPr>
          <w:rFonts w:cs="Arial"/>
          <w:b/>
          <w:bCs/>
          <w:sz w:val="32"/>
          <w:szCs w:val="32"/>
        </w:rPr>
      </w:pPr>
    </w:p>
    <w:p w:rsidR="001E3253" w:rsidRPr="001E3253" w:rsidRDefault="001E3253" w:rsidP="00DD5F84">
      <w:pPr>
        <w:spacing w:after="0"/>
        <w:jc w:val="center"/>
        <w:rPr>
          <w:rFonts w:cs="Arial"/>
          <w:b/>
          <w:bCs/>
          <w:sz w:val="32"/>
          <w:szCs w:val="32"/>
        </w:rPr>
      </w:pPr>
    </w:p>
    <w:p w:rsidR="00DD5F84" w:rsidRPr="0011248E" w:rsidRDefault="00DD5F84" w:rsidP="00DD5F84">
      <w:pPr>
        <w:spacing w:after="0"/>
        <w:jc w:val="center"/>
        <w:rPr>
          <w:rFonts w:cs="Arial"/>
          <w:b/>
          <w:bCs/>
          <w:sz w:val="32"/>
          <w:szCs w:val="32"/>
        </w:rPr>
      </w:pPr>
    </w:p>
    <w:p w:rsidR="00DD5F84" w:rsidRPr="00C354A0" w:rsidRDefault="00DD5F84" w:rsidP="00DD5F84">
      <w:pPr>
        <w:spacing w:after="0"/>
        <w:jc w:val="center"/>
        <w:rPr>
          <w:rFonts w:cs="Arial"/>
          <w:b/>
          <w:bCs/>
          <w:sz w:val="32"/>
          <w:szCs w:val="32"/>
        </w:rPr>
      </w:pPr>
    </w:p>
    <w:p w:rsidR="00DD5F84" w:rsidRDefault="00DD5F84" w:rsidP="00DD5F84">
      <w:pPr>
        <w:spacing w:after="0"/>
        <w:jc w:val="center"/>
        <w:rPr>
          <w:rFonts w:cs="Arial"/>
          <w:b/>
          <w:bCs/>
          <w:sz w:val="36"/>
          <w:szCs w:val="36"/>
        </w:rPr>
      </w:pPr>
    </w:p>
    <w:p w:rsidR="00DD5F84" w:rsidRPr="001E3253" w:rsidRDefault="00DD5F84" w:rsidP="00DD5F84">
      <w:pPr>
        <w:spacing w:after="0"/>
        <w:jc w:val="center"/>
        <w:rPr>
          <w:rFonts w:ascii="Arial Bold" w:hAnsi="Arial Bold" w:cs="Arial"/>
          <w:b/>
          <w:bCs/>
          <w:smallCaps/>
          <w:sz w:val="36"/>
          <w:szCs w:val="36"/>
        </w:rPr>
      </w:pPr>
    </w:p>
    <w:p w:rsidR="00DD5F84" w:rsidRPr="00AA3FFB" w:rsidRDefault="00DD5F84" w:rsidP="00DD5F84">
      <w:pPr>
        <w:spacing w:after="0"/>
        <w:jc w:val="center"/>
        <w:rPr>
          <w:rFonts w:cs="Arial"/>
          <w:b/>
          <w:bCs/>
          <w:sz w:val="36"/>
          <w:szCs w:val="36"/>
        </w:rPr>
      </w:pPr>
      <w:r>
        <w:rPr>
          <w:rFonts w:cs="Arial"/>
          <w:b/>
          <w:bCs/>
          <w:sz w:val="36"/>
          <w:szCs w:val="36"/>
        </w:rPr>
        <w:t>PENNSYLVANIA PUBLIC UTILITY COMMISSION</w:t>
      </w:r>
    </w:p>
    <w:p w:rsidR="00DD5F84" w:rsidRPr="008C40C7" w:rsidRDefault="00DD5F84" w:rsidP="00DD5F84">
      <w:pPr>
        <w:spacing w:after="0"/>
        <w:jc w:val="center"/>
        <w:rPr>
          <w:rFonts w:cs="Arial"/>
          <w:b/>
          <w:bCs/>
        </w:rPr>
      </w:pPr>
    </w:p>
    <w:p w:rsidR="00DD5F84" w:rsidRPr="008C40C7" w:rsidRDefault="00DD5F84" w:rsidP="00DD5F84">
      <w:pPr>
        <w:spacing w:after="0"/>
        <w:jc w:val="center"/>
        <w:rPr>
          <w:rFonts w:cs="Arial"/>
          <w:b/>
          <w:bCs/>
        </w:rPr>
      </w:pPr>
      <w:r>
        <w:rPr>
          <w:rFonts w:cs="Arial"/>
          <w:b/>
          <w:bCs/>
          <w:noProof/>
        </w:rPr>
        <w:drawing>
          <wp:inline distT="0" distB="0" distL="0" distR="0">
            <wp:extent cx="1714500" cy="17145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UC-logo.png"/>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14500" cy="1714500"/>
                    </a:xfrm>
                    <a:prstGeom prst="rect">
                      <a:avLst/>
                    </a:prstGeom>
                  </pic:spPr>
                </pic:pic>
              </a:graphicData>
            </a:graphic>
          </wp:inline>
        </w:drawing>
      </w:r>
    </w:p>
    <w:p w:rsidR="00DD5F84" w:rsidRPr="008C40C7" w:rsidRDefault="00DD5F84" w:rsidP="00DD5F84">
      <w:pPr>
        <w:spacing w:after="0"/>
        <w:jc w:val="center"/>
        <w:rPr>
          <w:rFonts w:cs="Arial"/>
          <w:b/>
          <w:bCs/>
        </w:rPr>
      </w:pPr>
    </w:p>
    <w:p w:rsidR="00DD5F84" w:rsidRPr="001E3253" w:rsidRDefault="00DD5F84" w:rsidP="001E3253">
      <w:pPr>
        <w:spacing w:after="0"/>
        <w:jc w:val="center"/>
        <w:rPr>
          <w:rFonts w:cs="Arial"/>
          <w:b/>
          <w:bCs/>
        </w:rPr>
      </w:pPr>
    </w:p>
    <w:p w:rsidR="00DD5F84" w:rsidRPr="00EE466C" w:rsidRDefault="00DD5F84" w:rsidP="00DD5F84">
      <w:pPr>
        <w:spacing w:after="240"/>
        <w:jc w:val="center"/>
        <w:rPr>
          <w:rFonts w:cs="Arial"/>
          <w:b/>
        </w:rPr>
      </w:pPr>
    </w:p>
    <w:p w:rsidR="00DD5F84" w:rsidRDefault="00410128" w:rsidP="00612383">
      <w:pPr>
        <w:spacing w:after="0"/>
        <w:jc w:val="center"/>
        <w:rPr>
          <w:b/>
          <w:bCs/>
          <w:sz w:val="32"/>
        </w:rPr>
      </w:pPr>
      <w:r>
        <w:rPr>
          <w:rFonts w:cs="Arial"/>
          <w:b/>
          <w:bCs/>
          <w:sz w:val="32"/>
          <w:szCs w:val="32"/>
        </w:rPr>
        <w:t xml:space="preserve">FINAL </w:t>
      </w:r>
      <w:r w:rsidR="00DD5F84" w:rsidRPr="00C354A0">
        <w:rPr>
          <w:rFonts w:cs="Arial"/>
          <w:b/>
          <w:bCs/>
          <w:sz w:val="32"/>
          <w:szCs w:val="32"/>
        </w:rPr>
        <w:t>REPORT</w:t>
      </w:r>
      <w:r w:rsidR="00596B19">
        <w:rPr>
          <w:rFonts w:cs="Arial"/>
          <w:b/>
          <w:bCs/>
          <w:sz w:val="32"/>
          <w:szCs w:val="32"/>
        </w:rPr>
        <w:br/>
        <w:t>VOLUME I</w:t>
      </w:r>
      <w:r w:rsidR="00097FEF">
        <w:rPr>
          <w:rFonts w:cs="Arial"/>
          <w:b/>
          <w:bCs/>
          <w:sz w:val="32"/>
          <w:szCs w:val="32"/>
        </w:rPr>
        <w:t>I</w:t>
      </w:r>
      <w:r w:rsidR="00596B19">
        <w:rPr>
          <w:rFonts w:cs="Arial"/>
          <w:b/>
          <w:bCs/>
          <w:sz w:val="32"/>
          <w:szCs w:val="32"/>
        </w:rPr>
        <w:t xml:space="preserve"> OF II</w:t>
      </w:r>
    </w:p>
    <w:p w:rsidR="00DD5F84" w:rsidRPr="008021FA" w:rsidRDefault="00DD5F84" w:rsidP="00DD5F84">
      <w:pPr>
        <w:spacing w:after="0"/>
        <w:jc w:val="center"/>
        <w:rPr>
          <w:b/>
          <w:bCs/>
          <w:sz w:val="32"/>
        </w:rPr>
      </w:pPr>
    </w:p>
    <w:p w:rsidR="00DD5F84" w:rsidRDefault="00641097" w:rsidP="003101EF">
      <w:pPr>
        <w:jc w:val="center"/>
        <w:rPr>
          <w:rFonts w:cs="Arial"/>
          <w:sz w:val="32"/>
          <w:szCs w:val="32"/>
        </w:rPr>
      </w:pPr>
      <w:r>
        <w:rPr>
          <w:rFonts w:cs="Arial"/>
          <w:sz w:val="32"/>
          <w:szCs w:val="32"/>
        </w:rPr>
        <w:t>October 21</w:t>
      </w:r>
      <w:r w:rsidR="00DD5F84">
        <w:rPr>
          <w:rFonts w:cs="Arial"/>
          <w:sz w:val="32"/>
          <w:szCs w:val="32"/>
        </w:rPr>
        <w:t>, 2016</w:t>
      </w:r>
    </w:p>
    <w:p w:rsidR="003101EF" w:rsidRDefault="003101EF" w:rsidP="003101EF">
      <w:pPr>
        <w:jc w:val="center"/>
        <w:rPr>
          <w:rFonts w:cs="Arial"/>
          <w:sz w:val="32"/>
          <w:szCs w:val="32"/>
        </w:rPr>
      </w:pPr>
    </w:p>
    <w:p w:rsidR="003101EF" w:rsidRDefault="003101EF" w:rsidP="00DD5F84">
      <w:pPr>
        <w:jc w:val="center"/>
        <w:rPr>
          <w:rFonts w:cs="Arial"/>
          <w:sz w:val="32"/>
          <w:szCs w:val="32"/>
        </w:rPr>
        <w:sectPr w:rsidR="003101EF" w:rsidSect="00DD5F84">
          <w:headerReference w:type="even" r:id="rId9"/>
          <w:headerReference w:type="default" r:id="rId10"/>
          <w:footerReference w:type="even" r:id="rId11"/>
          <w:footerReference w:type="default" r:id="rId12"/>
          <w:headerReference w:type="first" r:id="rId13"/>
          <w:footerReference w:type="first" r:id="rId14"/>
          <w:type w:val="continuous"/>
          <w:pgSz w:w="12240" w:h="15840"/>
          <w:pgMar w:top="1440" w:right="1440" w:bottom="1440" w:left="1440" w:header="720" w:footer="576" w:gutter="0"/>
          <w:cols w:space="720"/>
          <w:docGrid w:linePitch="360"/>
        </w:sectPr>
      </w:pPr>
    </w:p>
    <w:p w:rsidR="00653584" w:rsidRDefault="00653584">
      <w:pPr>
        <w:spacing w:after="0"/>
        <w:jc w:val="left"/>
        <w:rPr>
          <w:b/>
          <w:sz w:val="28"/>
          <w:szCs w:val="28"/>
        </w:rPr>
        <w:sectPr w:rsidR="00653584" w:rsidSect="002E1582">
          <w:headerReference w:type="default" r:id="rId15"/>
          <w:pgSz w:w="12240" w:h="15840"/>
          <w:pgMar w:top="1440" w:right="1440" w:bottom="1440" w:left="1440" w:header="720" w:footer="720" w:gutter="0"/>
          <w:pgNumType w:fmt="lowerRoman" w:start="1"/>
          <w:cols w:space="720"/>
          <w:docGrid w:linePitch="360"/>
        </w:sectPr>
      </w:pPr>
    </w:p>
    <w:p w:rsidR="00DD5F84" w:rsidRPr="00DD5F84" w:rsidRDefault="003353D1" w:rsidP="00DD5F84">
      <w:pPr>
        <w:jc w:val="center"/>
        <w:rPr>
          <w:b/>
          <w:sz w:val="28"/>
          <w:szCs w:val="28"/>
        </w:rPr>
      </w:pPr>
      <w:r>
        <w:rPr>
          <w:b/>
          <w:sz w:val="28"/>
          <w:szCs w:val="28"/>
        </w:rPr>
        <w:lastRenderedPageBreak/>
        <w:t xml:space="preserve">TABLE OF </w:t>
      </w:r>
      <w:r w:rsidR="00976A4A">
        <w:rPr>
          <w:b/>
          <w:sz w:val="28"/>
          <w:szCs w:val="28"/>
        </w:rPr>
        <w:t>CONTENT</w:t>
      </w:r>
      <w:r w:rsidR="00743CDE">
        <w:rPr>
          <w:b/>
          <w:sz w:val="28"/>
          <w:szCs w:val="28"/>
        </w:rPr>
        <w:t>S</w:t>
      </w:r>
    </w:p>
    <w:p w:rsidR="00482883" w:rsidRPr="00482883" w:rsidRDefault="00482883" w:rsidP="00482883">
      <w:pPr>
        <w:tabs>
          <w:tab w:val="left" w:pos="540"/>
          <w:tab w:val="right" w:leader="dot" w:pos="9360"/>
        </w:tabs>
        <w:spacing w:after="60"/>
        <w:jc w:val="left"/>
        <w:rPr>
          <w:rFonts w:eastAsia="Calibri" w:cs="Arial"/>
          <w:b/>
          <w:szCs w:val="24"/>
        </w:rPr>
      </w:pPr>
      <w:r w:rsidRPr="00482883">
        <w:rPr>
          <w:rFonts w:eastAsia="Calibri" w:cs="Arial"/>
          <w:b/>
          <w:szCs w:val="24"/>
        </w:rPr>
        <w:t>I.</w:t>
      </w:r>
      <w:r w:rsidRPr="00482883">
        <w:rPr>
          <w:rFonts w:eastAsia="Calibri" w:cs="Arial"/>
          <w:b/>
          <w:szCs w:val="24"/>
        </w:rPr>
        <w:tab/>
        <w:t>INTRODUCTION</w:t>
      </w:r>
      <w:r w:rsidRPr="00482883">
        <w:rPr>
          <w:rFonts w:eastAsia="Calibri" w:cs="Arial"/>
          <w:b/>
          <w:szCs w:val="24"/>
        </w:rPr>
        <w:tab/>
        <w:t>1</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A.</w:t>
      </w:r>
      <w:r w:rsidRPr="00482883">
        <w:rPr>
          <w:rFonts w:eastAsia="Calibri" w:cs="Arial"/>
          <w:szCs w:val="24"/>
        </w:rPr>
        <w:tab/>
        <w:t>BACKGROUND</w:t>
      </w:r>
      <w:r w:rsidRPr="00482883">
        <w:rPr>
          <w:rFonts w:eastAsia="Calibri" w:cs="Arial"/>
          <w:szCs w:val="24"/>
        </w:rPr>
        <w:tab/>
        <w:t>1</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B.</w:t>
      </w:r>
      <w:r w:rsidRPr="00482883">
        <w:rPr>
          <w:rFonts w:eastAsia="Calibri" w:cs="Arial"/>
          <w:szCs w:val="24"/>
        </w:rPr>
        <w:tab/>
        <w:t>OBJECTIVES AND SCOPE</w:t>
      </w:r>
      <w:r w:rsidRPr="00482883">
        <w:rPr>
          <w:rFonts w:eastAsia="Calibri" w:cs="Arial"/>
          <w:szCs w:val="24"/>
        </w:rPr>
        <w:tab/>
        <w:t>2</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C.</w:t>
      </w:r>
      <w:r w:rsidRPr="00482883">
        <w:rPr>
          <w:rFonts w:eastAsia="Calibri" w:cs="Arial"/>
          <w:szCs w:val="24"/>
        </w:rPr>
        <w:tab/>
        <w:t>AUDIT APPROACH</w:t>
      </w:r>
      <w:r w:rsidRPr="00482883">
        <w:rPr>
          <w:rFonts w:eastAsia="Calibri" w:cs="Arial"/>
          <w:szCs w:val="24"/>
        </w:rPr>
        <w:tab/>
        <w:t>4</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D.</w:t>
      </w:r>
      <w:r w:rsidRPr="00482883">
        <w:rPr>
          <w:rFonts w:eastAsia="Calibri" w:cs="Arial"/>
          <w:szCs w:val="24"/>
        </w:rPr>
        <w:tab/>
        <w:t>REPORT ORGANIZATION</w:t>
      </w:r>
      <w:r w:rsidRPr="00482883">
        <w:rPr>
          <w:rFonts w:eastAsia="Calibri" w:cs="Arial"/>
          <w:szCs w:val="24"/>
        </w:rPr>
        <w:tab/>
        <w:t>6</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E.</w:t>
      </w:r>
      <w:r w:rsidRPr="00482883">
        <w:rPr>
          <w:rFonts w:eastAsia="Calibri" w:cs="Arial"/>
          <w:szCs w:val="24"/>
        </w:rPr>
        <w:tab/>
        <w:t>FUNCTIONAL AREA RATINGS</w:t>
      </w:r>
      <w:r w:rsidRPr="00482883">
        <w:rPr>
          <w:rFonts w:eastAsia="Calibri" w:cs="Arial"/>
          <w:szCs w:val="24"/>
        </w:rPr>
        <w:tab/>
        <w:t>6</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F.</w:t>
      </w:r>
      <w:r w:rsidRPr="00482883">
        <w:rPr>
          <w:rFonts w:eastAsia="Calibri" w:cs="Arial"/>
          <w:szCs w:val="24"/>
        </w:rPr>
        <w:tab/>
        <w:t>FINDINGS AND RECOMMENDATIONS SUMMARY</w:t>
      </w:r>
      <w:r w:rsidRPr="00482883">
        <w:rPr>
          <w:rFonts w:eastAsia="Calibri" w:cs="Arial"/>
          <w:szCs w:val="24"/>
        </w:rPr>
        <w:tab/>
        <w:t>8</w:t>
      </w:r>
    </w:p>
    <w:p w:rsidR="00482883" w:rsidRPr="00482883" w:rsidRDefault="00482883" w:rsidP="00482883">
      <w:pPr>
        <w:tabs>
          <w:tab w:val="left" w:pos="540"/>
          <w:tab w:val="right" w:leader="dot" w:pos="9360"/>
        </w:tabs>
        <w:spacing w:after="60"/>
        <w:jc w:val="left"/>
        <w:rPr>
          <w:rFonts w:eastAsia="Calibri" w:cs="Arial"/>
          <w:b/>
          <w:szCs w:val="24"/>
        </w:rPr>
      </w:pPr>
      <w:r w:rsidRPr="00482883">
        <w:rPr>
          <w:rFonts w:eastAsia="Calibri" w:cs="Arial"/>
          <w:b/>
          <w:szCs w:val="24"/>
        </w:rPr>
        <w:t>II.</w:t>
      </w:r>
      <w:r w:rsidRPr="00482883">
        <w:rPr>
          <w:rFonts w:eastAsia="Calibri" w:cs="Arial"/>
          <w:b/>
          <w:szCs w:val="24"/>
        </w:rPr>
        <w:tab/>
        <w:t>EXECUTIVE MANAGEMENT</w:t>
      </w:r>
      <w:r w:rsidRPr="00482883">
        <w:rPr>
          <w:rFonts w:eastAsia="Calibri" w:cs="Arial"/>
          <w:b/>
          <w:szCs w:val="24"/>
        </w:rPr>
        <w:tab/>
        <w:t>48</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A.</w:t>
      </w:r>
      <w:r w:rsidRPr="00482883">
        <w:rPr>
          <w:rFonts w:eastAsia="Calibri" w:cs="Arial"/>
          <w:szCs w:val="24"/>
        </w:rPr>
        <w:tab/>
        <w:t>BACKGROUND</w:t>
      </w:r>
      <w:r w:rsidRPr="00482883">
        <w:rPr>
          <w:rFonts w:eastAsia="Calibri" w:cs="Arial"/>
          <w:szCs w:val="24"/>
        </w:rPr>
        <w:tab/>
        <w:t>48</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B.</w:t>
      </w:r>
      <w:r w:rsidRPr="00482883">
        <w:rPr>
          <w:rFonts w:eastAsia="Calibri" w:cs="Arial"/>
          <w:szCs w:val="24"/>
        </w:rPr>
        <w:tab/>
        <w:t>FINDINGS</w:t>
      </w:r>
      <w:r w:rsidRPr="00482883">
        <w:rPr>
          <w:rFonts w:eastAsia="Calibri" w:cs="Arial"/>
          <w:szCs w:val="24"/>
        </w:rPr>
        <w:tab/>
        <w:t>70</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C.</w:t>
      </w:r>
      <w:r w:rsidRPr="00482883">
        <w:rPr>
          <w:rFonts w:eastAsia="Calibri" w:cs="Arial"/>
          <w:szCs w:val="24"/>
        </w:rPr>
        <w:tab/>
        <w:t>RECOMMENDATIONS</w:t>
      </w:r>
      <w:r w:rsidRPr="00482883">
        <w:rPr>
          <w:rFonts w:eastAsia="Calibri" w:cs="Arial"/>
          <w:szCs w:val="24"/>
        </w:rPr>
        <w:tab/>
        <w:t>77</w:t>
      </w:r>
    </w:p>
    <w:p w:rsidR="00482883" w:rsidRPr="00482883" w:rsidRDefault="00482883" w:rsidP="00482883">
      <w:pPr>
        <w:tabs>
          <w:tab w:val="left" w:pos="540"/>
          <w:tab w:val="right" w:leader="dot" w:pos="9360"/>
        </w:tabs>
        <w:spacing w:after="60"/>
        <w:jc w:val="left"/>
        <w:rPr>
          <w:rFonts w:eastAsia="Calibri" w:cs="Arial"/>
          <w:b/>
          <w:szCs w:val="24"/>
        </w:rPr>
      </w:pPr>
      <w:r w:rsidRPr="00482883">
        <w:rPr>
          <w:rFonts w:eastAsia="Calibri" w:cs="Arial"/>
          <w:b/>
          <w:szCs w:val="24"/>
        </w:rPr>
        <w:t>III.</w:t>
      </w:r>
      <w:r w:rsidRPr="00482883">
        <w:rPr>
          <w:rFonts w:eastAsia="Calibri" w:cs="Arial"/>
          <w:b/>
          <w:szCs w:val="24"/>
        </w:rPr>
        <w:tab/>
        <w:t>GOVERNANCE</w:t>
      </w:r>
      <w:r w:rsidRPr="00482883">
        <w:rPr>
          <w:rFonts w:eastAsia="Calibri" w:cs="Arial"/>
          <w:b/>
          <w:szCs w:val="24"/>
        </w:rPr>
        <w:tab/>
        <w:t>79</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A.</w:t>
      </w:r>
      <w:r w:rsidRPr="00482883">
        <w:rPr>
          <w:rFonts w:eastAsia="Calibri" w:cs="Arial"/>
          <w:szCs w:val="24"/>
        </w:rPr>
        <w:tab/>
        <w:t>BACKGROUND</w:t>
      </w:r>
      <w:r w:rsidRPr="00482883">
        <w:rPr>
          <w:rFonts w:eastAsia="Calibri" w:cs="Arial"/>
          <w:szCs w:val="24"/>
        </w:rPr>
        <w:tab/>
        <w:t>79</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B.</w:t>
      </w:r>
      <w:r w:rsidRPr="00482883">
        <w:rPr>
          <w:rFonts w:eastAsia="Calibri" w:cs="Arial"/>
          <w:szCs w:val="24"/>
        </w:rPr>
        <w:tab/>
        <w:t>FINDINGS</w:t>
      </w:r>
      <w:r w:rsidRPr="00482883">
        <w:rPr>
          <w:rFonts w:eastAsia="Calibri" w:cs="Arial"/>
          <w:szCs w:val="24"/>
        </w:rPr>
        <w:tab/>
        <w:t>96</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C.</w:t>
      </w:r>
      <w:r w:rsidRPr="00482883">
        <w:rPr>
          <w:rFonts w:eastAsia="Calibri" w:cs="Arial"/>
          <w:szCs w:val="24"/>
        </w:rPr>
        <w:tab/>
        <w:t>RECOMMENDATIONS</w:t>
      </w:r>
      <w:r w:rsidRPr="00482883">
        <w:rPr>
          <w:rFonts w:eastAsia="Calibri" w:cs="Arial"/>
          <w:szCs w:val="24"/>
        </w:rPr>
        <w:tab/>
        <w:t>106</w:t>
      </w:r>
    </w:p>
    <w:p w:rsidR="00482883" w:rsidRPr="00482883" w:rsidRDefault="00482883" w:rsidP="00482883">
      <w:pPr>
        <w:tabs>
          <w:tab w:val="left" w:pos="540"/>
          <w:tab w:val="right" w:leader="dot" w:pos="9360"/>
        </w:tabs>
        <w:spacing w:after="60"/>
        <w:jc w:val="left"/>
        <w:rPr>
          <w:rFonts w:eastAsia="Calibri" w:cs="Arial"/>
          <w:b/>
          <w:szCs w:val="24"/>
        </w:rPr>
      </w:pPr>
      <w:r w:rsidRPr="00482883">
        <w:rPr>
          <w:rFonts w:eastAsia="Calibri" w:cs="Arial"/>
          <w:b/>
          <w:szCs w:val="24"/>
        </w:rPr>
        <w:t>IV.</w:t>
      </w:r>
      <w:r w:rsidRPr="00482883">
        <w:rPr>
          <w:rFonts w:eastAsia="Calibri" w:cs="Arial"/>
          <w:b/>
          <w:szCs w:val="24"/>
        </w:rPr>
        <w:tab/>
        <w:t>AFFILIATE RELATIONSHIPS</w:t>
      </w:r>
      <w:r w:rsidRPr="00482883">
        <w:rPr>
          <w:rFonts w:eastAsia="Calibri" w:cs="Arial"/>
          <w:b/>
          <w:szCs w:val="24"/>
        </w:rPr>
        <w:tab/>
        <w:t>107</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A.</w:t>
      </w:r>
      <w:r w:rsidRPr="00482883">
        <w:rPr>
          <w:rFonts w:eastAsia="Calibri" w:cs="Arial"/>
          <w:szCs w:val="24"/>
        </w:rPr>
        <w:tab/>
        <w:t>PPL EU AFFILIATE RELATIONSHIPS</w:t>
      </w:r>
      <w:r w:rsidRPr="00482883">
        <w:rPr>
          <w:rFonts w:eastAsia="Calibri" w:cs="Arial"/>
          <w:szCs w:val="24"/>
        </w:rPr>
        <w:tab/>
        <w:t>107</w:t>
      </w:r>
    </w:p>
    <w:p w:rsidR="00482883" w:rsidRPr="00482883" w:rsidRDefault="00482883" w:rsidP="00482883">
      <w:pPr>
        <w:tabs>
          <w:tab w:val="left" w:pos="540"/>
          <w:tab w:val="right" w:leader="dot" w:pos="9360"/>
        </w:tabs>
        <w:spacing w:after="60"/>
        <w:ind w:left="893"/>
        <w:jc w:val="left"/>
        <w:rPr>
          <w:rFonts w:eastAsia="Calibri" w:cs="Arial"/>
          <w:szCs w:val="24"/>
        </w:rPr>
      </w:pPr>
      <w:r w:rsidRPr="00482883">
        <w:rPr>
          <w:rFonts w:eastAsia="Calibri" w:cs="Arial"/>
          <w:smallCaps/>
          <w:szCs w:val="24"/>
        </w:rPr>
        <w:t>Background</w:t>
      </w:r>
      <w:r w:rsidRPr="00482883">
        <w:rPr>
          <w:rFonts w:eastAsia="Calibri" w:cs="Arial"/>
          <w:szCs w:val="24"/>
        </w:rPr>
        <w:tab/>
        <w:t>107</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Findings</w:t>
      </w:r>
      <w:r w:rsidRPr="00482883">
        <w:rPr>
          <w:rFonts w:eastAsia="Calibri" w:cs="Arial"/>
          <w:smallCaps/>
          <w:szCs w:val="24"/>
        </w:rPr>
        <w:tab/>
        <w:t>118</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Recommendations</w:t>
      </w:r>
      <w:r w:rsidRPr="00482883">
        <w:rPr>
          <w:rFonts w:eastAsia="Calibri" w:cs="Arial"/>
          <w:smallCaps/>
          <w:szCs w:val="24"/>
        </w:rPr>
        <w:tab/>
        <w:t>120</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B.</w:t>
      </w:r>
      <w:r w:rsidRPr="00482883">
        <w:rPr>
          <w:rFonts w:eastAsia="Calibri" w:cs="Arial"/>
          <w:szCs w:val="24"/>
        </w:rPr>
        <w:tab/>
        <w:t>AFFILIATE GOVERNANCE</w:t>
      </w:r>
      <w:r w:rsidRPr="00482883">
        <w:rPr>
          <w:rFonts w:eastAsia="Calibri" w:cs="Arial"/>
          <w:szCs w:val="24"/>
        </w:rPr>
        <w:tab/>
        <w:t>122</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Background</w:t>
      </w:r>
      <w:r w:rsidRPr="00482883">
        <w:rPr>
          <w:rFonts w:eastAsia="Calibri" w:cs="Arial"/>
          <w:smallCaps/>
          <w:szCs w:val="24"/>
        </w:rPr>
        <w:tab/>
        <w:t>122</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Finding</w:t>
      </w:r>
      <w:r w:rsidRPr="00482883">
        <w:rPr>
          <w:rFonts w:eastAsia="Calibri" w:cs="Arial"/>
          <w:smallCaps/>
          <w:szCs w:val="24"/>
        </w:rPr>
        <w:tab/>
        <w:t>125</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Recommendation</w:t>
      </w:r>
      <w:r w:rsidRPr="00482883">
        <w:rPr>
          <w:rFonts w:eastAsia="Calibri" w:cs="Arial"/>
          <w:smallCaps/>
          <w:szCs w:val="24"/>
        </w:rPr>
        <w:tab/>
        <w:t>126</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C.</w:t>
      </w:r>
      <w:r w:rsidRPr="00482883">
        <w:rPr>
          <w:rFonts w:eastAsia="Calibri" w:cs="Arial"/>
          <w:szCs w:val="24"/>
        </w:rPr>
        <w:tab/>
        <w:t>AFFILIATE TRANSACTIONS</w:t>
      </w:r>
      <w:r w:rsidRPr="00482883">
        <w:rPr>
          <w:rFonts w:eastAsia="Calibri" w:cs="Arial"/>
          <w:szCs w:val="24"/>
        </w:rPr>
        <w:tab/>
        <w:t>126</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Background</w:t>
      </w:r>
      <w:r w:rsidRPr="00482883">
        <w:rPr>
          <w:rFonts w:eastAsia="Calibri" w:cs="Arial"/>
          <w:smallCaps/>
          <w:szCs w:val="24"/>
        </w:rPr>
        <w:tab/>
        <w:t>126</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Findings</w:t>
      </w:r>
      <w:r w:rsidRPr="00482883">
        <w:rPr>
          <w:rFonts w:eastAsia="Calibri" w:cs="Arial"/>
          <w:smallCaps/>
          <w:szCs w:val="24"/>
        </w:rPr>
        <w:tab/>
        <w:t>131</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Recommendations</w:t>
      </w:r>
      <w:r w:rsidRPr="00482883">
        <w:rPr>
          <w:rFonts w:eastAsia="Calibri" w:cs="Arial"/>
          <w:smallCaps/>
          <w:szCs w:val="24"/>
        </w:rPr>
        <w:tab/>
        <w:t>132</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D.</w:t>
      </w:r>
      <w:r w:rsidRPr="00482883">
        <w:rPr>
          <w:rFonts w:eastAsia="Calibri" w:cs="Arial"/>
          <w:szCs w:val="24"/>
        </w:rPr>
        <w:tab/>
        <w:t>SERVICE LEVEL AGREEMENTS WITH AFFILIATES</w:t>
      </w:r>
      <w:r w:rsidRPr="00482883">
        <w:rPr>
          <w:rFonts w:eastAsia="Calibri" w:cs="Arial"/>
          <w:szCs w:val="24"/>
        </w:rPr>
        <w:tab/>
        <w:t>133</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Background</w:t>
      </w:r>
      <w:r w:rsidRPr="00482883">
        <w:rPr>
          <w:rFonts w:eastAsia="Calibri" w:cs="Arial"/>
          <w:smallCaps/>
          <w:szCs w:val="24"/>
        </w:rPr>
        <w:tab/>
        <w:t>133</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Findings</w:t>
      </w:r>
      <w:r w:rsidRPr="00482883">
        <w:rPr>
          <w:rFonts w:eastAsia="Calibri" w:cs="Arial"/>
          <w:smallCaps/>
          <w:szCs w:val="24"/>
        </w:rPr>
        <w:tab/>
        <w:t>135</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Recommendations</w:t>
      </w:r>
      <w:r w:rsidRPr="00482883">
        <w:rPr>
          <w:rFonts w:eastAsia="Calibri" w:cs="Arial"/>
          <w:smallCaps/>
          <w:szCs w:val="24"/>
        </w:rPr>
        <w:tab/>
        <w:t>136</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E.</w:t>
      </w:r>
      <w:r w:rsidRPr="00482883">
        <w:rPr>
          <w:rFonts w:eastAsia="Calibri" w:cs="Arial"/>
          <w:szCs w:val="24"/>
        </w:rPr>
        <w:tab/>
        <w:t>STANDARDS OF INTEGRITY</w:t>
      </w:r>
      <w:r w:rsidRPr="00482883">
        <w:rPr>
          <w:rFonts w:eastAsia="Calibri" w:cs="Arial"/>
          <w:szCs w:val="24"/>
        </w:rPr>
        <w:tab/>
        <w:t>137</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Background</w:t>
      </w:r>
      <w:r w:rsidRPr="00482883">
        <w:rPr>
          <w:rFonts w:eastAsia="Calibri" w:cs="Arial"/>
          <w:smallCaps/>
          <w:szCs w:val="24"/>
        </w:rPr>
        <w:tab/>
        <w:t>137</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Finding</w:t>
      </w:r>
      <w:r w:rsidRPr="00482883">
        <w:rPr>
          <w:rFonts w:eastAsia="Calibri" w:cs="Arial"/>
          <w:smallCaps/>
          <w:szCs w:val="24"/>
        </w:rPr>
        <w:tab/>
        <w:t>138</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Recommendation</w:t>
      </w:r>
      <w:r w:rsidRPr="00482883">
        <w:rPr>
          <w:rFonts w:eastAsia="Calibri" w:cs="Arial"/>
          <w:smallCaps/>
          <w:szCs w:val="24"/>
        </w:rPr>
        <w:tab/>
        <w:t>139</w:t>
      </w:r>
    </w:p>
    <w:p w:rsidR="00482883" w:rsidRPr="00482883" w:rsidRDefault="00482883" w:rsidP="00482883">
      <w:pPr>
        <w:keepNext/>
        <w:tabs>
          <w:tab w:val="left" w:pos="540"/>
          <w:tab w:val="left" w:pos="900"/>
          <w:tab w:val="right" w:leader="dot" w:pos="9360"/>
        </w:tabs>
        <w:spacing w:after="60"/>
        <w:ind w:left="547"/>
        <w:jc w:val="left"/>
        <w:rPr>
          <w:rFonts w:eastAsia="Calibri" w:cs="Arial"/>
          <w:szCs w:val="24"/>
        </w:rPr>
      </w:pPr>
      <w:r w:rsidRPr="00482883">
        <w:rPr>
          <w:rFonts w:eastAsia="Calibri" w:cs="Arial"/>
          <w:szCs w:val="24"/>
        </w:rPr>
        <w:lastRenderedPageBreak/>
        <w:t>F.</w:t>
      </w:r>
      <w:r w:rsidRPr="00482883">
        <w:rPr>
          <w:rFonts w:eastAsia="Calibri" w:cs="Arial"/>
          <w:szCs w:val="24"/>
        </w:rPr>
        <w:tab/>
        <w:t>PRICING OF AFFILIATE TRANSACTIONS</w:t>
      </w:r>
      <w:r w:rsidRPr="00482883">
        <w:rPr>
          <w:rFonts w:eastAsia="Calibri" w:cs="Arial"/>
          <w:szCs w:val="24"/>
        </w:rPr>
        <w:tab/>
        <w:t>139</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Background</w:t>
      </w:r>
      <w:r w:rsidRPr="00482883">
        <w:rPr>
          <w:rFonts w:eastAsia="Calibri" w:cs="Arial"/>
          <w:smallCaps/>
          <w:szCs w:val="24"/>
        </w:rPr>
        <w:tab/>
        <w:t>139</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Findings</w:t>
      </w:r>
      <w:r w:rsidRPr="00482883">
        <w:rPr>
          <w:rFonts w:eastAsia="Calibri" w:cs="Arial"/>
          <w:smallCaps/>
          <w:szCs w:val="24"/>
        </w:rPr>
        <w:tab/>
        <w:t>149</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Recommendations</w:t>
      </w:r>
      <w:r w:rsidRPr="00482883">
        <w:rPr>
          <w:rFonts w:eastAsia="Calibri" w:cs="Arial"/>
          <w:smallCaps/>
          <w:szCs w:val="24"/>
        </w:rPr>
        <w:tab/>
        <w:t>152</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G.</w:t>
      </w:r>
      <w:r w:rsidRPr="00482883">
        <w:rPr>
          <w:rFonts w:eastAsia="Calibri" w:cs="Arial"/>
          <w:szCs w:val="24"/>
        </w:rPr>
        <w:tab/>
        <w:t>VALUE OF AFFILIATE RELATIONSHIPS</w:t>
      </w:r>
      <w:r w:rsidRPr="00482883">
        <w:rPr>
          <w:rFonts w:eastAsia="Calibri" w:cs="Arial"/>
          <w:szCs w:val="24"/>
        </w:rPr>
        <w:tab/>
        <w:t>153</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Background</w:t>
      </w:r>
      <w:r w:rsidRPr="00482883">
        <w:rPr>
          <w:rFonts w:eastAsia="Calibri" w:cs="Arial"/>
          <w:smallCaps/>
          <w:szCs w:val="24"/>
        </w:rPr>
        <w:tab/>
        <w:t>153</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Findings</w:t>
      </w:r>
      <w:r w:rsidRPr="00482883">
        <w:rPr>
          <w:rFonts w:eastAsia="Calibri" w:cs="Arial"/>
          <w:smallCaps/>
          <w:szCs w:val="24"/>
        </w:rPr>
        <w:tab/>
        <w:t>154</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Recommendation</w:t>
      </w:r>
      <w:r w:rsidRPr="00482883">
        <w:rPr>
          <w:rFonts w:eastAsia="Calibri" w:cs="Arial"/>
          <w:smallCaps/>
          <w:szCs w:val="24"/>
        </w:rPr>
        <w:tab/>
        <w:t>155</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H.</w:t>
      </w:r>
      <w:r w:rsidRPr="00482883">
        <w:rPr>
          <w:rFonts w:eastAsia="Calibri" w:cs="Arial"/>
          <w:szCs w:val="24"/>
        </w:rPr>
        <w:tab/>
        <w:t>RING FENCING</w:t>
      </w:r>
      <w:r w:rsidRPr="00482883">
        <w:rPr>
          <w:rFonts w:eastAsia="Calibri" w:cs="Arial"/>
          <w:szCs w:val="24"/>
        </w:rPr>
        <w:tab/>
        <w:t>155</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Background</w:t>
      </w:r>
      <w:r w:rsidRPr="00482883">
        <w:rPr>
          <w:rFonts w:eastAsia="Calibri" w:cs="Arial"/>
          <w:smallCaps/>
          <w:szCs w:val="24"/>
        </w:rPr>
        <w:tab/>
        <w:t>155</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Findings</w:t>
      </w:r>
      <w:r w:rsidRPr="00482883">
        <w:rPr>
          <w:rFonts w:eastAsia="Calibri" w:cs="Arial"/>
          <w:smallCaps/>
          <w:szCs w:val="24"/>
        </w:rPr>
        <w:tab/>
        <w:t>157</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Recommendation</w:t>
      </w:r>
      <w:r w:rsidRPr="00482883">
        <w:rPr>
          <w:rFonts w:eastAsia="Calibri" w:cs="Arial"/>
          <w:smallCaps/>
          <w:szCs w:val="24"/>
        </w:rPr>
        <w:tab/>
        <w:t>158</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I.</w:t>
      </w:r>
      <w:r w:rsidRPr="00482883">
        <w:rPr>
          <w:rFonts w:eastAsia="Calibri" w:cs="Arial"/>
          <w:szCs w:val="24"/>
        </w:rPr>
        <w:tab/>
        <w:t>INDIRECT AFFILIATE TRANSACTIONS</w:t>
      </w:r>
      <w:r w:rsidRPr="00482883">
        <w:rPr>
          <w:rFonts w:eastAsia="Calibri" w:cs="Arial"/>
          <w:szCs w:val="24"/>
        </w:rPr>
        <w:tab/>
        <w:t>159</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Background</w:t>
      </w:r>
      <w:r w:rsidRPr="00482883">
        <w:rPr>
          <w:rFonts w:eastAsia="Calibri" w:cs="Arial"/>
          <w:smallCaps/>
          <w:szCs w:val="24"/>
        </w:rPr>
        <w:tab/>
        <w:t>159</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Finding</w:t>
      </w:r>
      <w:r w:rsidRPr="00482883">
        <w:rPr>
          <w:rFonts w:eastAsia="Calibri" w:cs="Arial"/>
          <w:smallCaps/>
          <w:szCs w:val="24"/>
        </w:rPr>
        <w:tab/>
        <w:t>161</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Recommendation</w:t>
      </w:r>
      <w:r w:rsidRPr="00482883">
        <w:rPr>
          <w:rFonts w:eastAsia="Calibri" w:cs="Arial"/>
          <w:smallCaps/>
          <w:szCs w:val="24"/>
        </w:rPr>
        <w:tab/>
        <w:t>161</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J.</w:t>
      </w:r>
      <w:r w:rsidRPr="00482883">
        <w:rPr>
          <w:rFonts w:eastAsia="Calibri" w:cs="Arial"/>
          <w:szCs w:val="24"/>
        </w:rPr>
        <w:tab/>
        <w:t>INTERNAL AUDITS</w:t>
      </w:r>
      <w:r w:rsidRPr="00482883">
        <w:rPr>
          <w:rFonts w:eastAsia="Calibri" w:cs="Arial"/>
          <w:szCs w:val="24"/>
        </w:rPr>
        <w:tab/>
        <w:t>162</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Background</w:t>
      </w:r>
      <w:r w:rsidRPr="00482883">
        <w:rPr>
          <w:rFonts w:eastAsia="Calibri" w:cs="Arial"/>
          <w:smallCaps/>
          <w:szCs w:val="24"/>
        </w:rPr>
        <w:tab/>
        <w:t>162</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Finding</w:t>
      </w:r>
      <w:r w:rsidRPr="00482883">
        <w:rPr>
          <w:rFonts w:eastAsia="Calibri" w:cs="Arial"/>
          <w:smallCaps/>
          <w:szCs w:val="24"/>
        </w:rPr>
        <w:tab/>
        <w:t>162</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Recommendation</w:t>
      </w:r>
      <w:r w:rsidRPr="00482883">
        <w:rPr>
          <w:rFonts w:eastAsia="Calibri" w:cs="Arial"/>
          <w:smallCaps/>
          <w:szCs w:val="24"/>
        </w:rPr>
        <w:tab/>
        <w:t>162</w:t>
      </w:r>
    </w:p>
    <w:p w:rsidR="00482883" w:rsidRPr="00482883" w:rsidRDefault="00482883" w:rsidP="00482883">
      <w:pPr>
        <w:tabs>
          <w:tab w:val="left" w:pos="540"/>
          <w:tab w:val="right" w:leader="dot" w:pos="9360"/>
        </w:tabs>
        <w:spacing w:after="60"/>
        <w:jc w:val="left"/>
        <w:rPr>
          <w:rFonts w:eastAsia="Calibri" w:cs="Arial"/>
          <w:b/>
          <w:szCs w:val="24"/>
        </w:rPr>
      </w:pPr>
      <w:r w:rsidRPr="00482883">
        <w:rPr>
          <w:rFonts w:eastAsia="Calibri" w:cs="Arial"/>
          <w:b/>
          <w:szCs w:val="24"/>
        </w:rPr>
        <w:t>V.</w:t>
      </w:r>
      <w:r w:rsidRPr="00482883">
        <w:rPr>
          <w:rFonts w:eastAsia="Calibri" w:cs="Arial"/>
          <w:b/>
          <w:szCs w:val="24"/>
        </w:rPr>
        <w:tab/>
        <w:t>FINANCE AND ACCOUNTING</w:t>
      </w:r>
      <w:r w:rsidRPr="00482883">
        <w:rPr>
          <w:rFonts w:eastAsia="Calibri" w:cs="Arial"/>
          <w:b/>
          <w:szCs w:val="24"/>
        </w:rPr>
        <w:tab/>
        <w:t>163</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A.</w:t>
      </w:r>
      <w:r w:rsidRPr="00482883">
        <w:rPr>
          <w:rFonts w:eastAsia="Calibri" w:cs="Arial"/>
          <w:szCs w:val="24"/>
        </w:rPr>
        <w:tab/>
        <w:t>BACKGROUND</w:t>
      </w:r>
      <w:r w:rsidRPr="00482883">
        <w:rPr>
          <w:rFonts w:eastAsia="Calibri" w:cs="Arial"/>
          <w:szCs w:val="24"/>
        </w:rPr>
        <w:tab/>
        <w:t>163</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B.</w:t>
      </w:r>
      <w:r w:rsidRPr="00482883">
        <w:rPr>
          <w:rFonts w:eastAsia="Calibri" w:cs="Arial"/>
          <w:szCs w:val="24"/>
        </w:rPr>
        <w:tab/>
        <w:t>FINDINGS</w:t>
      </w:r>
      <w:r w:rsidRPr="00482883">
        <w:rPr>
          <w:rFonts w:eastAsia="Calibri" w:cs="Arial"/>
          <w:szCs w:val="24"/>
        </w:rPr>
        <w:tab/>
        <w:t>185</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C.</w:t>
      </w:r>
      <w:r w:rsidRPr="00482883">
        <w:rPr>
          <w:rFonts w:eastAsia="Calibri" w:cs="Arial"/>
          <w:szCs w:val="24"/>
        </w:rPr>
        <w:tab/>
        <w:t>RECOMMENDATIONS</w:t>
      </w:r>
      <w:r w:rsidRPr="00482883">
        <w:rPr>
          <w:rFonts w:eastAsia="Calibri" w:cs="Arial"/>
          <w:szCs w:val="24"/>
        </w:rPr>
        <w:tab/>
        <w:t>189</w:t>
      </w:r>
    </w:p>
    <w:p w:rsidR="00482883" w:rsidRPr="00482883" w:rsidRDefault="00482883" w:rsidP="00482883">
      <w:pPr>
        <w:tabs>
          <w:tab w:val="left" w:pos="540"/>
          <w:tab w:val="right" w:leader="dot" w:pos="9360"/>
        </w:tabs>
        <w:spacing w:after="60"/>
        <w:jc w:val="left"/>
        <w:rPr>
          <w:rFonts w:eastAsia="Calibri" w:cs="Arial"/>
          <w:b/>
          <w:szCs w:val="24"/>
        </w:rPr>
      </w:pPr>
      <w:r w:rsidRPr="00482883">
        <w:rPr>
          <w:rFonts w:eastAsia="Calibri" w:cs="Arial"/>
          <w:b/>
          <w:szCs w:val="24"/>
        </w:rPr>
        <w:t>VI.</w:t>
      </w:r>
      <w:r w:rsidRPr="00482883">
        <w:rPr>
          <w:rFonts w:eastAsia="Calibri" w:cs="Arial"/>
          <w:b/>
          <w:szCs w:val="24"/>
        </w:rPr>
        <w:tab/>
        <w:t>TRANSMISSION AND DISTRIBUTION</w:t>
      </w:r>
      <w:r w:rsidRPr="00482883">
        <w:rPr>
          <w:rFonts w:eastAsia="Calibri" w:cs="Arial"/>
          <w:b/>
          <w:szCs w:val="24"/>
        </w:rPr>
        <w:tab/>
        <w:t>190</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A.</w:t>
      </w:r>
      <w:r w:rsidRPr="00482883">
        <w:rPr>
          <w:rFonts w:eastAsia="Calibri" w:cs="Arial"/>
          <w:szCs w:val="24"/>
        </w:rPr>
        <w:tab/>
        <w:t>TRANSMISSION AND SUBSTATIONS</w:t>
      </w:r>
      <w:r w:rsidRPr="00482883">
        <w:rPr>
          <w:rFonts w:eastAsia="Calibri" w:cs="Arial"/>
          <w:szCs w:val="24"/>
        </w:rPr>
        <w:tab/>
        <w:t>192</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Background</w:t>
      </w:r>
      <w:r w:rsidRPr="00482883">
        <w:rPr>
          <w:rFonts w:eastAsia="Calibri" w:cs="Arial"/>
          <w:smallCaps/>
          <w:szCs w:val="24"/>
        </w:rPr>
        <w:tab/>
        <w:t>192</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Findings</w:t>
      </w:r>
      <w:r w:rsidRPr="00482883">
        <w:rPr>
          <w:rFonts w:eastAsia="Calibri" w:cs="Arial"/>
          <w:smallCaps/>
          <w:szCs w:val="24"/>
        </w:rPr>
        <w:tab/>
        <w:t>217</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Recommendations</w:t>
      </w:r>
      <w:r w:rsidRPr="00482883">
        <w:rPr>
          <w:rFonts w:eastAsia="Calibri" w:cs="Arial"/>
          <w:smallCaps/>
          <w:szCs w:val="24"/>
        </w:rPr>
        <w:tab/>
        <w:t>219</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B.</w:t>
      </w:r>
      <w:r w:rsidRPr="00482883">
        <w:rPr>
          <w:rFonts w:eastAsia="Calibri" w:cs="Arial"/>
          <w:szCs w:val="24"/>
        </w:rPr>
        <w:tab/>
        <w:t>DISTRIBUTION OPERATIONS</w:t>
      </w:r>
      <w:r w:rsidRPr="00482883">
        <w:rPr>
          <w:rFonts w:eastAsia="Calibri" w:cs="Arial"/>
          <w:szCs w:val="24"/>
        </w:rPr>
        <w:tab/>
        <w:t>219</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Background</w:t>
      </w:r>
      <w:r w:rsidRPr="00482883">
        <w:rPr>
          <w:rFonts w:eastAsia="Calibri" w:cs="Arial"/>
          <w:smallCaps/>
          <w:szCs w:val="24"/>
        </w:rPr>
        <w:tab/>
        <w:t>219</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Findings</w:t>
      </w:r>
      <w:r w:rsidRPr="00482883">
        <w:rPr>
          <w:rFonts w:eastAsia="Calibri" w:cs="Arial"/>
          <w:smallCaps/>
          <w:szCs w:val="24"/>
        </w:rPr>
        <w:tab/>
        <w:t>244</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Recommendations</w:t>
      </w:r>
      <w:r w:rsidRPr="00482883">
        <w:rPr>
          <w:rFonts w:eastAsia="Calibri" w:cs="Arial"/>
          <w:smallCaps/>
          <w:szCs w:val="24"/>
        </w:rPr>
        <w:tab/>
        <w:t>252</w:t>
      </w:r>
    </w:p>
    <w:p w:rsidR="00482883" w:rsidRPr="00482883" w:rsidRDefault="00482883" w:rsidP="00482883">
      <w:pPr>
        <w:tabs>
          <w:tab w:val="left" w:pos="540"/>
          <w:tab w:val="right" w:leader="dot" w:pos="9360"/>
        </w:tabs>
        <w:spacing w:after="60"/>
        <w:jc w:val="left"/>
        <w:rPr>
          <w:rFonts w:eastAsia="Calibri" w:cs="Arial"/>
          <w:b/>
          <w:szCs w:val="24"/>
        </w:rPr>
      </w:pPr>
      <w:r w:rsidRPr="00482883">
        <w:rPr>
          <w:rFonts w:eastAsia="Calibri" w:cs="Arial"/>
          <w:b/>
          <w:szCs w:val="24"/>
        </w:rPr>
        <w:t>VII.</w:t>
      </w:r>
      <w:r w:rsidRPr="00482883">
        <w:rPr>
          <w:rFonts w:eastAsia="Calibri" w:cs="Arial"/>
          <w:b/>
          <w:szCs w:val="24"/>
        </w:rPr>
        <w:tab/>
        <w:t>EMERGENCY RESPONSE</w:t>
      </w:r>
      <w:r w:rsidRPr="00482883">
        <w:rPr>
          <w:rFonts w:eastAsia="Calibri" w:cs="Arial"/>
          <w:b/>
          <w:szCs w:val="24"/>
        </w:rPr>
        <w:tab/>
        <w:t>254</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A.</w:t>
      </w:r>
      <w:r w:rsidRPr="00482883">
        <w:rPr>
          <w:rFonts w:eastAsia="Calibri" w:cs="Arial"/>
          <w:szCs w:val="24"/>
        </w:rPr>
        <w:tab/>
        <w:t>PROTECTIVE SERVICES EMERGENCY MANAGEMENT</w:t>
      </w:r>
      <w:r w:rsidRPr="00482883">
        <w:rPr>
          <w:rFonts w:eastAsia="Calibri" w:cs="Arial"/>
          <w:szCs w:val="24"/>
        </w:rPr>
        <w:tab/>
        <w:t>254</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Background</w:t>
      </w:r>
      <w:r w:rsidRPr="00482883">
        <w:rPr>
          <w:rFonts w:eastAsia="Calibri" w:cs="Arial"/>
          <w:smallCaps/>
          <w:szCs w:val="24"/>
        </w:rPr>
        <w:tab/>
        <w:t>254</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Findings</w:t>
      </w:r>
      <w:r w:rsidRPr="00482883">
        <w:rPr>
          <w:rFonts w:eastAsia="Calibri" w:cs="Arial"/>
          <w:smallCaps/>
          <w:szCs w:val="24"/>
        </w:rPr>
        <w:tab/>
        <w:t>261</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Recommendations</w:t>
      </w:r>
      <w:r w:rsidRPr="00482883">
        <w:rPr>
          <w:rFonts w:eastAsia="Calibri" w:cs="Arial"/>
          <w:smallCaps/>
          <w:szCs w:val="24"/>
        </w:rPr>
        <w:tab/>
        <w:t>262</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lastRenderedPageBreak/>
        <w:t>B.</w:t>
      </w:r>
      <w:r w:rsidRPr="00482883">
        <w:rPr>
          <w:rFonts w:eastAsia="Calibri" w:cs="Arial"/>
          <w:szCs w:val="24"/>
        </w:rPr>
        <w:tab/>
        <w:t>PPL EU SYSTEM DAMAGE AND STORM RESPONSE</w:t>
      </w:r>
      <w:r w:rsidRPr="00482883">
        <w:rPr>
          <w:rFonts w:eastAsia="Calibri" w:cs="Arial"/>
          <w:szCs w:val="24"/>
        </w:rPr>
        <w:tab/>
        <w:t>262</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Background</w:t>
      </w:r>
      <w:r w:rsidRPr="00482883">
        <w:rPr>
          <w:rFonts w:eastAsia="Calibri" w:cs="Arial"/>
          <w:smallCaps/>
          <w:szCs w:val="24"/>
        </w:rPr>
        <w:tab/>
        <w:t>262</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Findings</w:t>
      </w:r>
      <w:r w:rsidRPr="00482883">
        <w:rPr>
          <w:rFonts w:eastAsia="Calibri" w:cs="Arial"/>
          <w:smallCaps/>
          <w:szCs w:val="24"/>
        </w:rPr>
        <w:tab/>
        <w:t>270</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Recommendations</w:t>
      </w:r>
      <w:r w:rsidRPr="00482883">
        <w:rPr>
          <w:rFonts w:eastAsia="Calibri" w:cs="Arial"/>
          <w:smallCaps/>
          <w:szCs w:val="24"/>
        </w:rPr>
        <w:tab/>
        <w:t>272</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C.</w:t>
      </w:r>
      <w:r w:rsidRPr="00482883">
        <w:rPr>
          <w:rFonts w:eastAsia="Calibri" w:cs="Arial"/>
          <w:szCs w:val="24"/>
        </w:rPr>
        <w:tab/>
        <w:t>CYBER SECURITY</w:t>
      </w:r>
      <w:r w:rsidRPr="00482883">
        <w:rPr>
          <w:rFonts w:eastAsia="Calibri" w:cs="Arial"/>
          <w:szCs w:val="24"/>
        </w:rPr>
        <w:tab/>
        <w:t>272</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Background</w:t>
      </w:r>
      <w:r w:rsidRPr="00482883">
        <w:rPr>
          <w:rFonts w:eastAsia="Calibri" w:cs="Arial"/>
          <w:smallCaps/>
          <w:szCs w:val="24"/>
        </w:rPr>
        <w:tab/>
        <w:t>272</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Findings</w:t>
      </w:r>
      <w:r w:rsidRPr="00482883">
        <w:rPr>
          <w:rFonts w:eastAsia="Calibri" w:cs="Arial"/>
          <w:smallCaps/>
          <w:szCs w:val="24"/>
        </w:rPr>
        <w:tab/>
        <w:t>277</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Recommendations</w:t>
      </w:r>
      <w:r w:rsidRPr="00482883">
        <w:rPr>
          <w:rFonts w:eastAsia="Calibri" w:cs="Arial"/>
          <w:smallCaps/>
          <w:szCs w:val="24"/>
        </w:rPr>
        <w:tab/>
        <w:t>278</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D.</w:t>
      </w:r>
      <w:r w:rsidRPr="00482883">
        <w:rPr>
          <w:rFonts w:eastAsia="Calibri" w:cs="Arial"/>
          <w:szCs w:val="24"/>
        </w:rPr>
        <w:tab/>
        <w:t>COMPLIANCE WITH REQUIREMENTS OF THE PENNSYLVANIA CODE</w:t>
      </w:r>
      <w:r w:rsidRPr="00482883">
        <w:rPr>
          <w:rFonts w:eastAsia="Calibri" w:cs="Arial"/>
          <w:szCs w:val="24"/>
        </w:rPr>
        <w:tab/>
        <w:t>278</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Background</w:t>
      </w:r>
      <w:r w:rsidRPr="00482883">
        <w:rPr>
          <w:rFonts w:eastAsia="Calibri" w:cs="Arial"/>
          <w:smallCaps/>
          <w:szCs w:val="24"/>
        </w:rPr>
        <w:tab/>
        <w:t>278</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Findings</w:t>
      </w:r>
      <w:r w:rsidRPr="00482883">
        <w:rPr>
          <w:rFonts w:eastAsia="Calibri" w:cs="Arial"/>
          <w:smallCaps/>
          <w:szCs w:val="24"/>
        </w:rPr>
        <w:tab/>
        <w:t>280</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Recommendations</w:t>
      </w:r>
      <w:r w:rsidRPr="00482883">
        <w:rPr>
          <w:rFonts w:eastAsia="Calibri" w:cs="Arial"/>
          <w:smallCaps/>
          <w:szCs w:val="24"/>
        </w:rPr>
        <w:tab/>
        <w:t>281</w:t>
      </w:r>
    </w:p>
    <w:p w:rsidR="00482883" w:rsidRPr="00482883" w:rsidRDefault="00482883" w:rsidP="00482883">
      <w:pPr>
        <w:tabs>
          <w:tab w:val="left" w:pos="540"/>
          <w:tab w:val="right" w:leader="dot" w:pos="9360"/>
        </w:tabs>
        <w:spacing w:after="60"/>
        <w:jc w:val="left"/>
        <w:rPr>
          <w:rFonts w:eastAsia="Calibri" w:cs="Arial"/>
          <w:b/>
          <w:szCs w:val="24"/>
        </w:rPr>
      </w:pPr>
      <w:r w:rsidRPr="00482883">
        <w:rPr>
          <w:rFonts w:eastAsia="Calibri" w:cs="Arial"/>
          <w:b/>
          <w:szCs w:val="24"/>
        </w:rPr>
        <w:t>VIII.</w:t>
      </w:r>
      <w:r w:rsidRPr="00482883">
        <w:rPr>
          <w:rFonts w:eastAsia="Calibri" w:cs="Arial"/>
          <w:b/>
          <w:szCs w:val="24"/>
        </w:rPr>
        <w:tab/>
        <w:t>SUPPORT SERVICES</w:t>
      </w:r>
      <w:r w:rsidRPr="00482883">
        <w:rPr>
          <w:rFonts w:eastAsia="Calibri" w:cs="Arial"/>
          <w:b/>
          <w:szCs w:val="24"/>
        </w:rPr>
        <w:tab/>
        <w:t>282</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A.</w:t>
      </w:r>
      <w:r w:rsidRPr="00482883">
        <w:rPr>
          <w:rFonts w:eastAsia="Calibri" w:cs="Arial"/>
          <w:szCs w:val="24"/>
        </w:rPr>
        <w:tab/>
        <w:t>TECHNICAL DEVELOPMENT AND IMPROVEMENT</w:t>
      </w:r>
      <w:r w:rsidRPr="00482883">
        <w:rPr>
          <w:rFonts w:eastAsia="Calibri" w:cs="Arial"/>
          <w:szCs w:val="24"/>
        </w:rPr>
        <w:tab/>
        <w:t>282</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Background</w:t>
      </w:r>
      <w:r w:rsidRPr="00482883">
        <w:rPr>
          <w:rFonts w:eastAsia="Calibri" w:cs="Arial"/>
          <w:smallCaps/>
          <w:szCs w:val="24"/>
        </w:rPr>
        <w:tab/>
        <w:t>282</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Findings</w:t>
      </w:r>
      <w:r w:rsidRPr="00482883">
        <w:rPr>
          <w:rFonts w:eastAsia="Calibri" w:cs="Arial"/>
          <w:smallCaps/>
          <w:szCs w:val="24"/>
        </w:rPr>
        <w:tab/>
        <w:t>287</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Recommendations</w:t>
      </w:r>
      <w:r w:rsidRPr="00482883">
        <w:rPr>
          <w:rFonts w:eastAsia="Calibri" w:cs="Arial"/>
          <w:smallCaps/>
          <w:szCs w:val="24"/>
        </w:rPr>
        <w:tab/>
        <w:t>289</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B.</w:t>
      </w:r>
      <w:r w:rsidRPr="00482883">
        <w:rPr>
          <w:rFonts w:eastAsia="Calibri" w:cs="Arial"/>
          <w:szCs w:val="24"/>
        </w:rPr>
        <w:tab/>
        <w:t>SUPPLY CHAIN</w:t>
      </w:r>
      <w:r w:rsidRPr="00482883">
        <w:rPr>
          <w:rFonts w:eastAsia="Calibri" w:cs="Arial"/>
          <w:szCs w:val="24"/>
        </w:rPr>
        <w:tab/>
        <w:t>289</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Background</w:t>
      </w:r>
      <w:r w:rsidRPr="00482883">
        <w:rPr>
          <w:rFonts w:eastAsia="Calibri" w:cs="Arial"/>
          <w:smallCaps/>
          <w:szCs w:val="24"/>
        </w:rPr>
        <w:tab/>
        <w:t>289</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Findings</w:t>
      </w:r>
      <w:r w:rsidRPr="00482883">
        <w:rPr>
          <w:rFonts w:eastAsia="Calibri" w:cs="Arial"/>
          <w:smallCaps/>
          <w:szCs w:val="24"/>
        </w:rPr>
        <w:tab/>
        <w:t>296</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Recommendations</w:t>
      </w:r>
      <w:r w:rsidRPr="00482883">
        <w:rPr>
          <w:rFonts w:eastAsia="Calibri" w:cs="Arial"/>
          <w:smallCaps/>
          <w:szCs w:val="24"/>
        </w:rPr>
        <w:tab/>
        <w:t>299</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C.</w:t>
      </w:r>
      <w:r w:rsidRPr="00482883">
        <w:rPr>
          <w:rFonts w:eastAsia="Calibri" w:cs="Arial"/>
          <w:szCs w:val="24"/>
        </w:rPr>
        <w:tab/>
        <w:t>TRANSPORTATION</w:t>
      </w:r>
      <w:r w:rsidRPr="00482883">
        <w:rPr>
          <w:rFonts w:eastAsia="Calibri" w:cs="Arial"/>
          <w:szCs w:val="24"/>
        </w:rPr>
        <w:tab/>
        <w:t>300</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Background</w:t>
      </w:r>
      <w:r w:rsidRPr="00482883">
        <w:rPr>
          <w:rFonts w:eastAsia="Calibri" w:cs="Arial"/>
          <w:smallCaps/>
          <w:szCs w:val="24"/>
        </w:rPr>
        <w:tab/>
        <w:t>300</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Findings</w:t>
      </w:r>
      <w:r w:rsidRPr="00482883">
        <w:rPr>
          <w:rFonts w:eastAsia="Calibri" w:cs="Arial"/>
          <w:smallCaps/>
          <w:szCs w:val="24"/>
        </w:rPr>
        <w:tab/>
        <w:t>304</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Recommendation</w:t>
      </w:r>
      <w:r w:rsidRPr="00482883">
        <w:rPr>
          <w:rFonts w:eastAsia="Calibri" w:cs="Arial"/>
          <w:smallCaps/>
          <w:szCs w:val="24"/>
        </w:rPr>
        <w:tab/>
        <w:t>307</w:t>
      </w:r>
    </w:p>
    <w:p w:rsidR="00482883" w:rsidRPr="00482883" w:rsidRDefault="00482883" w:rsidP="00482883">
      <w:pPr>
        <w:tabs>
          <w:tab w:val="left" w:pos="540"/>
          <w:tab w:val="right" w:leader="dot" w:pos="9360"/>
        </w:tabs>
        <w:spacing w:after="60"/>
        <w:jc w:val="left"/>
        <w:rPr>
          <w:rFonts w:eastAsia="Calibri" w:cs="Arial"/>
          <w:b/>
          <w:szCs w:val="24"/>
        </w:rPr>
      </w:pPr>
      <w:r w:rsidRPr="00482883">
        <w:rPr>
          <w:rFonts w:eastAsia="Calibri" w:cs="Arial"/>
          <w:b/>
          <w:szCs w:val="24"/>
        </w:rPr>
        <w:t>IX.</w:t>
      </w:r>
      <w:r w:rsidRPr="00482883">
        <w:rPr>
          <w:rFonts w:eastAsia="Calibri" w:cs="Arial"/>
          <w:b/>
          <w:szCs w:val="24"/>
        </w:rPr>
        <w:tab/>
        <w:t>CUSTOMER SERVICES</w:t>
      </w:r>
      <w:r w:rsidRPr="00482883">
        <w:rPr>
          <w:rFonts w:eastAsia="Calibri" w:cs="Arial"/>
          <w:b/>
          <w:szCs w:val="24"/>
        </w:rPr>
        <w:tab/>
        <w:t>308</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A.</w:t>
      </w:r>
      <w:r w:rsidRPr="00482883">
        <w:rPr>
          <w:rFonts w:eastAsia="Calibri" w:cs="Arial"/>
          <w:szCs w:val="24"/>
        </w:rPr>
        <w:tab/>
        <w:t>OVERVIEW</w:t>
      </w:r>
      <w:r w:rsidRPr="00482883">
        <w:rPr>
          <w:rFonts w:eastAsia="Calibri" w:cs="Arial"/>
          <w:szCs w:val="24"/>
        </w:rPr>
        <w:tab/>
        <w:t>308</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Background</w:t>
      </w:r>
      <w:r w:rsidRPr="00482883">
        <w:rPr>
          <w:rFonts w:eastAsia="Calibri" w:cs="Arial"/>
          <w:smallCaps/>
          <w:szCs w:val="24"/>
        </w:rPr>
        <w:tab/>
        <w:t>308</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Findings</w:t>
      </w:r>
      <w:r w:rsidRPr="00482883">
        <w:rPr>
          <w:rFonts w:eastAsia="Calibri" w:cs="Arial"/>
          <w:smallCaps/>
          <w:szCs w:val="24"/>
        </w:rPr>
        <w:tab/>
        <w:t>310</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Recommendations</w:t>
      </w:r>
      <w:r w:rsidRPr="00482883">
        <w:rPr>
          <w:rFonts w:eastAsia="Calibri" w:cs="Arial"/>
          <w:smallCaps/>
          <w:szCs w:val="24"/>
        </w:rPr>
        <w:tab/>
        <w:t>312</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B.</w:t>
      </w:r>
      <w:r w:rsidRPr="00482883">
        <w:rPr>
          <w:rFonts w:eastAsia="Calibri" w:cs="Arial"/>
          <w:szCs w:val="24"/>
        </w:rPr>
        <w:tab/>
        <w:t>CUSTOMER EXPERIENCE</w:t>
      </w:r>
      <w:r w:rsidRPr="00482883">
        <w:rPr>
          <w:rFonts w:eastAsia="Calibri" w:cs="Arial"/>
          <w:szCs w:val="24"/>
        </w:rPr>
        <w:tab/>
        <w:t>314</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Background</w:t>
      </w:r>
      <w:r w:rsidRPr="00482883">
        <w:rPr>
          <w:rFonts w:eastAsia="Calibri" w:cs="Arial"/>
          <w:smallCaps/>
          <w:szCs w:val="24"/>
        </w:rPr>
        <w:tab/>
        <w:t>314</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Findings</w:t>
      </w:r>
      <w:r w:rsidRPr="00482883">
        <w:rPr>
          <w:rFonts w:eastAsia="Calibri" w:cs="Arial"/>
          <w:smallCaps/>
          <w:szCs w:val="24"/>
        </w:rPr>
        <w:tab/>
        <w:t>322</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Recommendations</w:t>
      </w:r>
      <w:r w:rsidRPr="00482883">
        <w:rPr>
          <w:rFonts w:eastAsia="Calibri" w:cs="Arial"/>
          <w:smallCaps/>
          <w:szCs w:val="24"/>
        </w:rPr>
        <w:tab/>
        <w:t>330</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C.</w:t>
      </w:r>
      <w:r w:rsidRPr="00482883">
        <w:rPr>
          <w:rFonts w:eastAsia="Calibri" w:cs="Arial"/>
          <w:szCs w:val="24"/>
        </w:rPr>
        <w:tab/>
        <w:t>CUSTOMER SERVICES OPERATIONS</w:t>
      </w:r>
      <w:r w:rsidRPr="00482883">
        <w:rPr>
          <w:rFonts w:eastAsia="Calibri" w:cs="Arial"/>
          <w:szCs w:val="24"/>
        </w:rPr>
        <w:tab/>
        <w:t>332</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Background</w:t>
      </w:r>
      <w:r w:rsidRPr="00482883">
        <w:rPr>
          <w:rFonts w:eastAsia="Calibri" w:cs="Arial"/>
          <w:smallCaps/>
          <w:szCs w:val="24"/>
        </w:rPr>
        <w:tab/>
        <w:t>332</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Findings</w:t>
      </w:r>
      <w:r w:rsidRPr="00482883">
        <w:rPr>
          <w:rFonts w:eastAsia="Calibri" w:cs="Arial"/>
          <w:smallCaps/>
          <w:szCs w:val="24"/>
        </w:rPr>
        <w:tab/>
        <w:t>335</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Recommendation</w:t>
      </w:r>
      <w:r w:rsidRPr="00482883">
        <w:rPr>
          <w:rFonts w:eastAsia="Calibri" w:cs="Arial"/>
          <w:smallCaps/>
          <w:szCs w:val="24"/>
        </w:rPr>
        <w:tab/>
        <w:t>338</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lastRenderedPageBreak/>
        <w:t>D.</w:t>
      </w:r>
      <w:r w:rsidRPr="00482883">
        <w:rPr>
          <w:rFonts w:eastAsia="Calibri" w:cs="Arial"/>
          <w:szCs w:val="24"/>
        </w:rPr>
        <w:tab/>
        <w:t>REGULATORY PROGRAMS AND BUSINESS SERVICES</w:t>
      </w:r>
      <w:r w:rsidRPr="00482883">
        <w:rPr>
          <w:rFonts w:eastAsia="Calibri" w:cs="Arial"/>
          <w:szCs w:val="24"/>
        </w:rPr>
        <w:tab/>
        <w:t>339</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Background</w:t>
      </w:r>
      <w:r w:rsidRPr="00482883">
        <w:rPr>
          <w:rFonts w:eastAsia="Calibri" w:cs="Arial"/>
          <w:smallCaps/>
          <w:szCs w:val="24"/>
        </w:rPr>
        <w:tab/>
        <w:t>339</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Findings</w:t>
      </w:r>
      <w:r w:rsidRPr="00482883">
        <w:rPr>
          <w:rFonts w:eastAsia="Calibri" w:cs="Arial"/>
          <w:smallCaps/>
          <w:szCs w:val="24"/>
        </w:rPr>
        <w:tab/>
        <w:t>342</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Recommendations</w:t>
      </w:r>
      <w:r w:rsidRPr="00482883">
        <w:rPr>
          <w:rFonts w:eastAsia="Calibri" w:cs="Arial"/>
          <w:smallCaps/>
          <w:szCs w:val="24"/>
        </w:rPr>
        <w:tab/>
        <w:t>347</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E.</w:t>
      </w:r>
      <w:r w:rsidRPr="00482883">
        <w:rPr>
          <w:rFonts w:eastAsia="Calibri" w:cs="Arial"/>
          <w:szCs w:val="24"/>
        </w:rPr>
        <w:tab/>
        <w:t>ADVANCED METERING AND DATA OPERATIONS</w:t>
      </w:r>
      <w:r w:rsidRPr="00482883">
        <w:rPr>
          <w:rFonts w:eastAsia="Calibri" w:cs="Arial"/>
          <w:szCs w:val="24"/>
        </w:rPr>
        <w:tab/>
        <w:t>348</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Background</w:t>
      </w:r>
      <w:r w:rsidRPr="00482883">
        <w:rPr>
          <w:rFonts w:eastAsia="Calibri" w:cs="Arial"/>
          <w:smallCaps/>
          <w:szCs w:val="24"/>
        </w:rPr>
        <w:tab/>
        <w:t>348</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Finding</w:t>
      </w:r>
      <w:r w:rsidRPr="00482883">
        <w:rPr>
          <w:rFonts w:eastAsia="Calibri" w:cs="Arial"/>
          <w:smallCaps/>
          <w:szCs w:val="24"/>
        </w:rPr>
        <w:tab/>
        <w:t>352</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Recommendations</w:t>
      </w:r>
      <w:r w:rsidRPr="00482883">
        <w:rPr>
          <w:rFonts w:eastAsia="Calibri" w:cs="Arial"/>
          <w:smallCaps/>
          <w:szCs w:val="24"/>
        </w:rPr>
        <w:tab/>
        <w:t>353</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F.</w:t>
      </w:r>
      <w:r w:rsidRPr="00482883">
        <w:rPr>
          <w:rFonts w:eastAsia="Calibri" w:cs="Arial"/>
          <w:szCs w:val="24"/>
        </w:rPr>
        <w:tab/>
        <w:t>REVENUE OPERATIONS</w:t>
      </w:r>
      <w:r w:rsidRPr="00482883">
        <w:rPr>
          <w:rFonts w:eastAsia="Calibri" w:cs="Arial"/>
          <w:szCs w:val="24"/>
        </w:rPr>
        <w:tab/>
        <w:t>353</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Background</w:t>
      </w:r>
      <w:r w:rsidRPr="00482883">
        <w:rPr>
          <w:rFonts w:eastAsia="Calibri" w:cs="Arial"/>
          <w:smallCaps/>
          <w:szCs w:val="24"/>
        </w:rPr>
        <w:tab/>
        <w:t>353</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Findings</w:t>
      </w:r>
      <w:r w:rsidRPr="00482883">
        <w:rPr>
          <w:rFonts w:eastAsia="Calibri" w:cs="Arial"/>
          <w:smallCaps/>
          <w:szCs w:val="24"/>
        </w:rPr>
        <w:tab/>
        <w:t>361</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Recommendations</w:t>
      </w:r>
      <w:r w:rsidRPr="00482883">
        <w:rPr>
          <w:rFonts w:eastAsia="Calibri" w:cs="Arial"/>
          <w:smallCaps/>
          <w:szCs w:val="24"/>
        </w:rPr>
        <w:tab/>
        <w:t>367</w:t>
      </w:r>
    </w:p>
    <w:p w:rsidR="00482883" w:rsidRPr="00482883" w:rsidRDefault="00482883" w:rsidP="00482883">
      <w:pPr>
        <w:tabs>
          <w:tab w:val="left" w:pos="540"/>
          <w:tab w:val="right" w:leader="dot" w:pos="9360"/>
        </w:tabs>
        <w:spacing w:after="60"/>
        <w:jc w:val="left"/>
        <w:rPr>
          <w:rFonts w:eastAsia="Calibri" w:cs="Arial"/>
          <w:b/>
          <w:szCs w:val="24"/>
        </w:rPr>
      </w:pPr>
      <w:r w:rsidRPr="00482883">
        <w:rPr>
          <w:rFonts w:eastAsia="Calibri" w:cs="Arial"/>
          <w:b/>
          <w:szCs w:val="24"/>
        </w:rPr>
        <w:t>X.</w:t>
      </w:r>
      <w:r w:rsidRPr="00482883">
        <w:rPr>
          <w:rFonts w:eastAsia="Calibri" w:cs="Arial"/>
          <w:b/>
          <w:szCs w:val="24"/>
        </w:rPr>
        <w:tab/>
        <w:t>CUSTOMER ASSISTANCE PROGRAMS</w:t>
      </w:r>
      <w:r w:rsidRPr="00482883">
        <w:rPr>
          <w:rFonts w:eastAsia="Calibri" w:cs="Arial"/>
          <w:b/>
          <w:szCs w:val="24"/>
        </w:rPr>
        <w:tab/>
        <w:t>370</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A.</w:t>
      </w:r>
      <w:r w:rsidRPr="00482883">
        <w:rPr>
          <w:rFonts w:eastAsia="Calibri" w:cs="Arial"/>
          <w:szCs w:val="24"/>
        </w:rPr>
        <w:tab/>
        <w:t>ONTRACK PROGRAM OVERVIEW</w:t>
      </w:r>
      <w:r w:rsidRPr="00482883">
        <w:rPr>
          <w:rFonts w:eastAsia="Calibri" w:cs="Arial"/>
          <w:szCs w:val="24"/>
        </w:rPr>
        <w:tab/>
        <w:t>370</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B.</w:t>
      </w:r>
      <w:r w:rsidRPr="00482883">
        <w:rPr>
          <w:rFonts w:eastAsia="Calibri" w:cs="Arial"/>
          <w:szCs w:val="24"/>
        </w:rPr>
        <w:tab/>
        <w:t>ONTRACK PROGRAM PROCESSES</w:t>
      </w:r>
      <w:r w:rsidRPr="00482883">
        <w:rPr>
          <w:rFonts w:eastAsia="Calibri" w:cs="Arial"/>
          <w:szCs w:val="24"/>
        </w:rPr>
        <w:tab/>
        <w:t>378</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Background</w:t>
      </w:r>
      <w:r w:rsidRPr="00482883">
        <w:rPr>
          <w:rFonts w:eastAsia="Calibri" w:cs="Arial"/>
          <w:smallCaps/>
          <w:szCs w:val="24"/>
        </w:rPr>
        <w:tab/>
        <w:t>378</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Findings</w:t>
      </w:r>
      <w:r w:rsidRPr="00482883">
        <w:rPr>
          <w:rFonts w:eastAsia="Calibri" w:cs="Arial"/>
          <w:smallCaps/>
          <w:szCs w:val="24"/>
        </w:rPr>
        <w:tab/>
        <w:t>384</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Recommendations</w:t>
      </w:r>
      <w:r w:rsidRPr="00482883">
        <w:rPr>
          <w:rFonts w:eastAsia="Calibri" w:cs="Arial"/>
          <w:smallCaps/>
          <w:szCs w:val="24"/>
        </w:rPr>
        <w:tab/>
        <w:t>386</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C.</w:t>
      </w:r>
      <w:r w:rsidRPr="00482883">
        <w:rPr>
          <w:rFonts w:eastAsia="Calibri" w:cs="Arial"/>
          <w:szCs w:val="24"/>
        </w:rPr>
        <w:tab/>
        <w:t>PPL EU ONTRACK ORGANIZATION, STAFFING, AND FUNCTIONS</w:t>
      </w:r>
      <w:r w:rsidRPr="00482883">
        <w:rPr>
          <w:rFonts w:eastAsia="Calibri" w:cs="Arial"/>
          <w:szCs w:val="24"/>
        </w:rPr>
        <w:tab/>
        <w:t>387</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Background</w:t>
      </w:r>
      <w:r w:rsidRPr="00482883">
        <w:rPr>
          <w:rFonts w:eastAsia="Calibri" w:cs="Arial"/>
          <w:smallCaps/>
          <w:szCs w:val="24"/>
        </w:rPr>
        <w:tab/>
        <w:t>387</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Finding</w:t>
      </w:r>
      <w:r w:rsidRPr="00482883">
        <w:rPr>
          <w:rFonts w:eastAsia="Calibri" w:cs="Arial"/>
          <w:smallCaps/>
          <w:szCs w:val="24"/>
        </w:rPr>
        <w:tab/>
        <w:t>389</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Recommendation</w:t>
      </w:r>
      <w:r w:rsidRPr="00482883">
        <w:rPr>
          <w:rFonts w:eastAsia="Calibri" w:cs="Arial"/>
          <w:smallCaps/>
          <w:szCs w:val="24"/>
        </w:rPr>
        <w:tab/>
        <w:t>390</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D.</w:t>
      </w:r>
      <w:r w:rsidRPr="00482883">
        <w:rPr>
          <w:rFonts w:eastAsia="Calibri" w:cs="Arial"/>
          <w:szCs w:val="24"/>
        </w:rPr>
        <w:tab/>
        <w:t>ONTRACK AGENCY STAFFING AND FUNCTIONS</w:t>
      </w:r>
      <w:r w:rsidRPr="00482883">
        <w:rPr>
          <w:rFonts w:eastAsia="Calibri" w:cs="Arial"/>
          <w:szCs w:val="24"/>
        </w:rPr>
        <w:tab/>
        <w:t>391</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Background</w:t>
      </w:r>
      <w:r w:rsidRPr="00482883">
        <w:rPr>
          <w:rFonts w:eastAsia="Calibri" w:cs="Arial"/>
          <w:smallCaps/>
          <w:szCs w:val="24"/>
        </w:rPr>
        <w:tab/>
        <w:t>391</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Findings</w:t>
      </w:r>
      <w:r w:rsidRPr="00482883">
        <w:rPr>
          <w:rFonts w:eastAsia="Calibri" w:cs="Arial"/>
          <w:smallCaps/>
          <w:szCs w:val="24"/>
        </w:rPr>
        <w:tab/>
        <w:t>394</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Recommendations</w:t>
      </w:r>
      <w:r w:rsidRPr="00482883">
        <w:rPr>
          <w:rFonts w:eastAsia="Calibri" w:cs="Arial"/>
          <w:smallCaps/>
          <w:szCs w:val="24"/>
        </w:rPr>
        <w:tab/>
        <w:t>403</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E.</w:t>
      </w:r>
      <w:r w:rsidRPr="00482883">
        <w:rPr>
          <w:rFonts w:eastAsia="Calibri" w:cs="Arial"/>
          <w:szCs w:val="24"/>
        </w:rPr>
        <w:tab/>
        <w:t>ONTRACK AGENCY CONTRACTING AND CONTRACT MANAGEMENT</w:t>
      </w:r>
      <w:r w:rsidRPr="00482883">
        <w:rPr>
          <w:rFonts w:eastAsia="Calibri" w:cs="Arial"/>
          <w:szCs w:val="24"/>
        </w:rPr>
        <w:tab/>
        <w:t>404</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Background</w:t>
      </w:r>
      <w:r w:rsidRPr="00482883">
        <w:rPr>
          <w:rFonts w:eastAsia="Calibri" w:cs="Arial"/>
          <w:smallCaps/>
          <w:szCs w:val="24"/>
        </w:rPr>
        <w:tab/>
        <w:t>404</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Findings</w:t>
      </w:r>
      <w:r w:rsidRPr="00482883">
        <w:rPr>
          <w:rFonts w:eastAsia="Calibri" w:cs="Arial"/>
          <w:smallCaps/>
          <w:szCs w:val="24"/>
        </w:rPr>
        <w:tab/>
        <w:t>404</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Recommendations</w:t>
      </w:r>
      <w:r w:rsidRPr="00482883">
        <w:rPr>
          <w:rFonts w:eastAsia="Calibri" w:cs="Arial"/>
          <w:smallCaps/>
          <w:szCs w:val="24"/>
        </w:rPr>
        <w:tab/>
        <w:t>406</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F.</w:t>
      </w:r>
      <w:r w:rsidRPr="00482883">
        <w:rPr>
          <w:rFonts w:eastAsia="Calibri" w:cs="Arial"/>
          <w:szCs w:val="24"/>
        </w:rPr>
        <w:tab/>
        <w:t>PERFORMANCE MANAGEMENT</w:t>
      </w:r>
      <w:r w:rsidRPr="00482883">
        <w:rPr>
          <w:rFonts w:eastAsia="Calibri" w:cs="Arial"/>
          <w:szCs w:val="24"/>
        </w:rPr>
        <w:tab/>
        <w:t>407</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Background</w:t>
      </w:r>
      <w:r w:rsidRPr="00482883">
        <w:rPr>
          <w:rFonts w:eastAsia="Calibri" w:cs="Arial"/>
          <w:smallCaps/>
          <w:szCs w:val="24"/>
        </w:rPr>
        <w:tab/>
        <w:t>407</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Findings</w:t>
      </w:r>
      <w:r w:rsidRPr="00482883">
        <w:rPr>
          <w:rFonts w:eastAsia="Calibri" w:cs="Arial"/>
          <w:smallCaps/>
          <w:szCs w:val="24"/>
        </w:rPr>
        <w:tab/>
        <w:t>407</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Recommendations</w:t>
      </w:r>
      <w:r w:rsidRPr="00482883">
        <w:rPr>
          <w:rFonts w:eastAsia="Calibri" w:cs="Arial"/>
          <w:smallCaps/>
          <w:szCs w:val="24"/>
        </w:rPr>
        <w:tab/>
        <w:t>418</w:t>
      </w:r>
    </w:p>
    <w:p w:rsidR="00482883" w:rsidRPr="00482883" w:rsidRDefault="00482883" w:rsidP="00482883">
      <w:pPr>
        <w:tabs>
          <w:tab w:val="left" w:pos="540"/>
          <w:tab w:val="right" w:leader="dot" w:pos="9360"/>
        </w:tabs>
        <w:spacing w:after="60"/>
        <w:jc w:val="left"/>
        <w:rPr>
          <w:rFonts w:eastAsia="Calibri" w:cs="Arial"/>
          <w:b/>
          <w:szCs w:val="24"/>
        </w:rPr>
      </w:pPr>
      <w:r w:rsidRPr="00482883">
        <w:rPr>
          <w:rFonts w:eastAsia="Calibri" w:cs="Arial"/>
          <w:b/>
          <w:szCs w:val="24"/>
        </w:rPr>
        <w:t>XI.</w:t>
      </w:r>
      <w:r w:rsidRPr="00482883">
        <w:rPr>
          <w:rFonts w:eastAsia="Calibri" w:cs="Arial"/>
          <w:b/>
          <w:szCs w:val="24"/>
        </w:rPr>
        <w:tab/>
        <w:t>INFORMATION TECHNOLOGY AND SYSTEMS</w:t>
      </w:r>
      <w:r w:rsidRPr="00482883">
        <w:rPr>
          <w:rFonts w:eastAsia="Calibri" w:cs="Arial"/>
          <w:b/>
          <w:szCs w:val="24"/>
        </w:rPr>
        <w:tab/>
        <w:t>423</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A.</w:t>
      </w:r>
      <w:r w:rsidRPr="00482883">
        <w:rPr>
          <w:rFonts w:eastAsia="Calibri" w:cs="Arial"/>
          <w:szCs w:val="24"/>
        </w:rPr>
        <w:tab/>
        <w:t>BACKGROUND</w:t>
      </w:r>
      <w:r w:rsidRPr="00482883">
        <w:rPr>
          <w:rFonts w:eastAsia="Calibri" w:cs="Arial"/>
          <w:szCs w:val="24"/>
        </w:rPr>
        <w:tab/>
        <w:t>423</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B.</w:t>
      </w:r>
      <w:r w:rsidRPr="00482883">
        <w:rPr>
          <w:rFonts w:eastAsia="Calibri" w:cs="Arial"/>
          <w:szCs w:val="24"/>
        </w:rPr>
        <w:tab/>
        <w:t>FINDINGS</w:t>
      </w:r>
      <w:r w:rsidRPr="00482883">
        <w:rPr>
          <w:rFonts w:eastAsia="Calibri" w:cs="Arial"/>
          <w:szCs w:val="24"/>
        </w:rPr>
        <w:tab/>
        <w:t>439</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C.</w:t>
      </w:r>
      <w:r w:rsidRPr="00482883">
        <w:rPr>
          <w:rFonts w:eastAsia="Calibri" w:cs="Arial"/>
          <w:szCs w:val="24"/>
        </w:rPr>
        <w:tab/>
        <w:t>RECOMMENDATIONS</w:t>
      </w:r>
      <w:r w:rsidRPr="00482883">
        <w:rPr>
          <w:rFonts w:eastAsia="Calibri" w:cs="Arial"/>
          <w:szCs w:val="24"/>
        </w:rPr>
        <w:tab/>
        <w:t>444</w:t>
      </w:r>
    </w:p>
    <w:p w:rsidR="00482883" w:rsidRPr="00482883" w:rsidRDefault="00482883" w:rsidP="00482883">
      <w:pPr>
        <w:tabs>
          <w:tab w:val="left" w:pos="540"/>
          <w:tab w:val="right" w:leader="dot" w:pos="9360"/>
        </w:tabs>
        <w:spacing w:after="60"/>
        <w:jc w:val="left"/>
        <w:rPr>
          <w:rFonts w:eastAsia="Calibri" w:cs="Arial"/>
          <w:b/>
          <w:szCs w:val="24"/>
        </w:rPr>
      </w:pPr>
      <w:r w:rsidRPr="00482883">
        <w:rPr>
          <w:rFonts w:eastAsia="Calibri" w:cs="Arial"/>
          <w:b/>
          <w:szCs w:val="24"/>
        </w:rPr>
        <w:lastRenderedPageBreak/>
        <w:t>XII.</w:t>
      </w:r>
      <w:r w:rsidRPr="00482883">
        <w:rPr>
          <w:rFonts w:eastAsia="Calibri" w:cs="Arial"/>
          <w:b/>
          <w:szCs w:val="24"/>
        </w:rPr>
        <w:tab/>
        <w:t>HUMAN RESOURCES</w:t>
      </w:r>
      <w:r w:rsidRPr="00482883">
        <w:rPr>
          <w:rFonts w:eastAsia="Calibri" w:cs="Arial"/>
          <w:b/>
          <w:szCs w:val="24"/>
        </w:rPr>
        <w:tab/>
        <w:t>447</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A.</w:t>
      </w:r>
      <w:r w:rsidRPr="00482883">
        <w:rPr>
          <w:rFonts w:eastAsia="Calibri" w:cs="Arial"/>
          <w:szCs w:val="24"/>
        </w:rPr>
        <w:tab/>
        <w:t>BACKGROUND</w:t>
      </w:r>
      <w:r w:rsidRPr="00482883">
        <w:rPr>
          <w:rFonts w:eastAsia="Calibri" w:cs="Arial"/>
          <w:szCs w:val="24"/>
        </w:rPr>
        <w:tab/>
        <w:t>447</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B.</w:t>
      </w:r>
      <w:r w:rsidRPr="00482883">
        <w:rPr>
          <w:rFonts w:eastAsia="Calibri" w:cs="Arial"/>
          <w:szCs w:val="24"/>
        </w:rPr>
        <w:tab/>
        <w:t>FINDINGS</w:t>
      </w:r>
      <w:r w:rsidRPr="00482883">
        <w:rPr>
          <w:rFonts w:eastAsia="Calibri" w:cs="Arial"/>
          <w:szCs w:val="24"/>
        </w:rPr>
        <w:tab/>
        <w:t>458</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C.</w:t>
      </w:r>
      <w:r w:rsidRPr="00482883">
        <w:rPr>
          <w:rFonts w:eastAsia="Calibri" w:cs="Arial"/>
          <w:szCs w:val="24"/>
        </w:rPr>
        <w:tab/>
        <w:t>RECOMMENDATIONS</w:t>
      </w:r>
      <w:r w:rsidRPr="00482883">
        <w:rPr>
          <w:rFonts w:eastAsia="Calibri" w:cs="Arial"/>
          <w:szCs w:val="24"/>
        </w:rPr>
        <w:tab/>
        <w:t>468</w:t>
      </w:r>
    </w:p>
    <w:p w:rsidR="00482883" w:rsidRPr="00482883" w:rsidRDefault="00482883" w:rsidP="00482883">
      <w:pPr>
        <w:tabs>
          <w:tab w:val="left" w:pos="540"/>
          <w:tab w:val="right" w:leader="dot" w:pos="9360"/>
        </w:tabs>
        <w:spacing w:after="60"/>
        <w:jc w:val="left"/>
        <w:rPr>
          <w:rFonts w:eastAsia="Calibri" w:cs="Arial"/>
          <w:b/>
          <w:szCs w:val="24"/>
        </w:rPr>
      </w:pPr>
      <w:r w:rsidRPr="00482883">
        <w:rPr>
          <w:rFonts w:eastAsia="Calibri" w:cs="Arial"/>
          <w:b/>
          <w:szCs w:val="24"/>
        </w:rPr>
        <w:t>XIII.</w:t>
      </w:r>
      <w:r w:rsidRPr="00482883">
        <w:rPr>
          <w:rFonts w:eastAsia="Calibri" w:cs="Arial"/>
          <w:b/>
          <w:szCs w:val="24"/>
        </w:rPr>
        <w:tab/>
        <w:t>EXECUTIVE COMPENSATION</w:t>
      </w:r>
      <w:r w:rsidRPr="00482883">
        <w:rPr>
          <w:rFonts w:eastAsia="Calibri" w:cs="Arial"/>
          <w:b/>
          <w:szCs w:val="24"/>
        </w:rPr>
        <w:tab/>
        <w:t>470</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A.</w:t>
      </w:r>
      <w:r w:rsidRPr="00482883">
        <w:rPr>
          <w:rFonts w:eastAsia="Calibri" w:cs="Arial"/>
          <w:szCs w:val="24"/>
        </w:rPr>
        <w:tab/>
        <w:t>BACKGROUND</w:t>
      </w:r>
      <w:r w:rsidRPr="00482883">
        <w:rPr>
          <w:rFonts w:eastAsia="Calibri" w:cs="Arial"/>
          <w:szCs w:val="24"/>
        </w:rPr>
        <w:tab/>
        <w:t>470</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B.</w:t>
      </w:r>
      <w:r w:rsidRPr="00482883">
        <w:rPr>
          <w:rFonts w:eastAsia="Calibri" w:cs="Arial"/>
          <w:szCs w:val="24"/>
        </w:rPr>
        <w:tab/>
        <w:t>FINDINGS</w:t>
      </w:r>
      <w:r w:rsidRPr="00482883">
        <w:rPr>
          <w:rFonts w:eastAsia="Calibri" w:cs="Arial"/>
          <w:szCs w:val="24"/>
        </w:rPr>
        <w:tab/>
        <w:t>495</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C.</w:t>
      </w:r>
      <w:r w:rsidRPr="00482883">
        <w:rPr>
          <w:rFonts w:eastAsia="Calibri" w:cs="Arial"/>
          <w:szCs w:val="24"/>
        </w:rPr>
        <w:tab/>
        <w:t>RECOMMENDATIONS</w:t>
      </w:r>
      <w:r w:rsidRPr="00482883">
        <w:rPr>
          <w:rFonts w:eastAsia="Calibri" w:cs="Arial"/>
          <w:szCs w:val="24"/>
        </w:rPr>
        <w:tab/>
        <w:t>497</w:t>
      </w:r>
    </w:p>
    <w:p w:rsidR="00482883" w:rsidRPr="00482883" w:rsidRDefault="00482883" w:rsidP="00482883">
      <w:pPr>
        <w:tabs>
          <w:tab w:val="left" w:pos="540"/>
          <w:tab w:val="right" w:leader="dot" w:pos="9360"/>
        </w:tabs>
        <w:spacing w:after="60"/>
        <w:jc w:val="left"/>
        <w:rPr>
          <w:rFonts w:eastAsia="Calibri" w:cs="Arial"/>
          <w:b/>
          <w:szCs w:val="24"/>
        </w:rPr>
      </w:pPr>
      <w:r w:rsidRPr="00482883">
        <w:rPr>
          <w:rFonts w:eastAsia="Calibri" w:cs="Arial"/>
          <w:b/>
          <w:szCs w:val="24"/>
        </w:rPr>
        <w:t>XIV.</w:t>
      </w:r>
      <w:r w:rsidRPr="00482883">
        <w:rPr>
          <w:rFonts w:eastAsia="Calibri" w:cs="Arial"/>
          <w:b/>
          <w:szCs w:val="24"/>
        </w:rPr>
        <w:tab/>
        <w:t>DIVERSITY AND EQUAL EMPLOYMENT OPPORTUNITY</w:t>
      </w:r>
      <w:r w:rsidRPr="00482883">
        <w:rPr>
          <w:rFonts w:eastAsia="Calibri" w:cs="Arial"/>
          <w:b/>
          <w:szCs w:val="24"/>
        </w:rPr>
        <w:tab/>
        <w:t>499</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A.</w:t>
      </w:r>
      <w:r w:rsidRPr="00482883">
        <w:rPr>
          <w:rFonts w:eastAsia="Calibri" w:cs="Arial"/>
          <w:szCs w:val="24"/>
        </w:rPr>
        <w:tab/>
        <w:t>VENDOR DIVERSITY</w:t>
      </w:r>
      <w:r w:rsidRPr="00482883">
        <w:rPr>
          <w:rFonts w:eastAsia="Calibri" w:cs="Arial"/>
          <w:szCs w:val="24"/>
        </w:rPr>
        <w:tab/>
        <w:t>500</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Background</w:t>
      </w:r>
      <w:r w:rsidRPr="00482883">
        <w:rPr>
          <w:rFonts w:eastAsia="Calibri" w:cs="Arial"/>
          <w:smallCaps/>
          <w:szCs w:val="24"/>
        </w:rPr>
        <w:tab/>
        <w:t>500</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Findings</w:t>
      </w:r>
      <w:r w:rsidRPr="00482883">
        <w:rPr>
          <w:rFonts w:eastAsia="Calibri" w:cs="Arial"/>
          <w:smallCaps/>
          <w:szCs w:val="24"/>
        </w:rPr>
        <w:tab/>
        <w:t>504</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Recommendations</w:t>
      </w:r>
      <w:r w:rsidRPr="00482883">
        <w:rPr>
          <w:rFonts w:eastAsia="Calibri" w:cs="Arial"/>
          <w:smallCaps/>
          <w:szCs w:val="24"/>
        </w:rPr>
        <w:tab/>
        <w:t>508</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B.</w:t>
      </w:r>
      <w:r w:rsidRPr="00482883">
        <w:rPr>
          <w:rFonts w:eastAsia="Calibri" w:cs="Arial"/>
          <w:szCs w:val="24"/>
        </w:rPr>
        <w:tab/>
        <w:t>EMPLOYEE DIVERSITY</w:t>
      </w:r>
      <w:r w:rsidRPr="00482883">
        <w:rPr>
          <w:rFonts w:eastAsia="Calibri" w:cs="Arial"/>
          <w:szCs w:val="24"/>
        </w:rPr>
        <w:tab/>
        <w:t>508</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Background</w:t>
      </w:r>
      <w:r w:rsidRPr="00482883">
        <w:rPr>
          <w:rFonts w:eastAsia="Calibri" w:cs="Arial"/>
          <w:smallCaps/>
          <w:szCs w:val="24"/>
        </w:rPr>
        <w:tab/>
        <w:t>508</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Findings</w:t>
      </w:r>
      <w:r w:rsidRPr="00482883">
        <w:rPr>
          <w:rFonts w:eastAsia="Calibri" w:cs="Arial"/>
          <w:smallCaps/>
          <w:szCs w:val="24"/>
        </w:rPr>
        <w:tab/>
        <w:t>512</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Recommendations</w:t>
      </w:r>
      <w:r w:rsidRPr="00482883">
        <w:rPr>
          <w:rFonts w:eastAsia="Calibri" w:cs="Arial"/>
          <w:smallCaps/>
          <w:szCs w:val="24"/>
        </w:rPr>
        <w:tab/>
        <w:t>515</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C.</w:t>
      </w:r>
      <w:r w:rsidRPr="00482883">
        <w:rPr>
          <w:rFonts w:eastAsia="Calibri" w:cs="Arial"/>
          <w:szCs w:val="24"/>
        </w:rPr>
        <w:tab/>
        <w:t>AFFIRMATIVE ACTION</w:t>
      </w:r>
      <w:r w:rsidRPr="00482883">
        <w:rPr>
          <w:rFonts w:eastAsia="Calibri" w:cs="Arial"/>
          <w:szCs w:val="24"/>
        </w:rPr>
        <w:tab/>
        <w:t>516</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Background</w:t>
      </w:r>
      <w:r w:rsidRPr="00482883">
        <w:rPr>
          <w:rFonts w:eastAsia="Calibri" w:cs="Arial"/>
          <w:smallCaps/>
          <w:szCs w:val="24"/>
        </w:rPr>
        <w:tab/>
        <w:t>516</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Findings</w:t>
      </w:r>
      <w:r w:rsidRPr="00482883">
        <w:rPr>
          <w:rFonts w:eastAsia="Calibri" w:cs="Arial"/>
          <w:smallCaps/>
          <w:szCs w:val="24"/>
        </w:rPr>
        <w:tab/>
        <w:t>519</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Recommendations</w:t>
      </w:r>
      <w:r w:rsidRPr="00482883">
        <w:rPr>
          <w:rFonts w:eastAsia="Calibri" w:cs="Arial"/>
          <w:smallCaps/>
          <w:szCs w:val="24"/>
        </w:rPr>
        <w:tab/>
        <w:t>524</w:t>
      </w:r>
    </w:p>
    <w:p w:rsidR="00482883" w:rsidRPr="00482883" w:rsidRDefault="00482883" w:rsidP="00482883">
      <w:pPr>
        <w:tabs>
          <w:tab w:val="left" w:pos="540"/>
          <w:tab w:val="right" w:leader="dot" w:pos="9360"/>
        </w:tabs>
        <w:spacing w:after="60"/>
        <w:jc w:val="left"/>
        <w:rPr>
          <w:rFonts w:eastAsia="Calibri" w:cs="Arial"/>
          <w:b/>
          <w:szCs w:val="24"/>
        </w:rPr>
      </w:pPr>
      <w:r w:rsidRPr="00482883">
        <w:rPr>
          <w:rFonts w:eastAsia="Calibri" w:cs="Arial"/>
          <w:b/>
          <w:szCs w:val="24"/>
        </w:rPr>
        <w:t>XV.</w:t>
      </w:r>
      <w:r w:rsidRPr="00482883">
        <w:rPr>
          <w:rFonts w:eastAsia="Calibri" w:cs="Arial"/>
          <w:b/>
          <w:szCs w:val="24"/>
        </w:rPr>
        <w:tab/>
        <w:t>STAFFING PLANNING PROCESS</w:t>
      </w:r>
      <w:r w:rsidRPr="00482883">
        <w:rPr>
          <w:rFonts w:eastAsia="Calibri" w:cs="Arial"/>
          <w:b/>
          <w:szCs w:val="24"/>
        </w:rPr>
        <w:tab/>
        <w:t>525</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A.</w:t>
      </w:r>
      <w:r w:rsidRPr="00482883">
        <w:rPr>
          <w:rFonts w:eastAsia="Calibri" w:cs="Arial"/>
          <w:szCs w:val="24"/>
        </w:rPr>
        <w:tab/>
        <w:t>OVERVIEW</w:t>
      </w:r>
      <w:r w:rsidRPr="00482883">
        <w:rPr>
          <w:rFonts w:eastAsia="Calibri" w:cs="Arial"/>
          <w:szCs w:val="24"/>
        </w:rPr>
        <w:tab/>
        <w:t>525</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B.</w:t>
      </w:r>
      <w:r w:rsidRPr="00482883">
        <w:rPr>
          <w:rFonts w:eastAsia="Calibri" w:cs="Arial"/>
          <w:szCs w:val="24"/>
        </w:rPr>
        <w:tab/>
        <w:t>TRANSMISSION AND SUBSTATIONS</w:t>
      </w:r>
      <w:r w:rsidRPr="00482883">
        <w:rPr>
          <w:rFonts w:eastAsia="Calibri" w:cs="Arial"/>
          <w:szCs w:val="24"/>
        </w:rPr>
        <w:tab/>
        <w:t>528</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Background</w:t>
      </w:r>
      <w:r w:rsidRPr="00482883">
        <w:rPr>
          <w:rFonts w:eastAsia="Calibri" w:cs="Arial"/>
          <w:smallCaps/>
          <w:szCs w:val="24"/>
        </w:rPr>
        <w:tab/>
        <w:t>528</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Finding</w:t>
      </w:r>
      <w:r w:rsidRPr="00482883">
        <w:rPr>
          <w:rFonts w:eastAsia="Calibri" w:cs="Arial"/>
          <w:smallCaps/>
          <w:szCs w:val="24"/>
        </w:rPr>
        <w:tab/>
        <w:t>535</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Recommendations</w:t>
      </w:r>
      <w:r w:rsidRPr="00482883">
        <w:rPr>
          <w:rFonts w:eastAsia="Calibri" w:cs="Arial"/>
          <w:smallCaps/>
          <w:szCs w:val="24"/>
        </w:rPr>
        <w:tab/>
        <w:t>536</w:t>
      </w:r>
    </w:p>
    <w:p w:rsidR="00482883" w:rsidRPr="00482883" w:rsidRDefault="00482883" w:rsidP="00482883">
      <w:pPr>
        <w:tabs>
          <w:tab w:val="left" w:pos="540"/>
          <w:tab w:val="left" w:pos="900"/>
          <w:tab w:val="right" w:leader="dot" w:pos="9360"/>
        </w:tabs>
        <w:spacing w:after="60"/>
        <w:ind w:left="907" w:hanging="360"/>
        <w:jc w:val="left"/>
        <w:rPr>
          <w:rFonts w:eastAsia="Calibri" w:cs="Arial"/>
          <w:szCs w:val="24"/>
        </w:rPr>
      </w:pPr>
      <w:r w:rsidRPr="00482883">
        <w:rPr>
          <w:rFonts w:eastAsia="Calibri" w:cs="Arial"/>
          <w:szCs w:val="24"/>
        </w:rPr>
        <w:t>C.</w:t>
      </w:r>
      <w:r w:rsidRPr="00482883">
        <w:rPr>
          <w:rFonts w:eastAsia="Calibri" w:cs="Arial"/>
          <w:szCs w:val="24"/>
        </w:rPr>
        <w:tab/>
        <w:t>DISTRIBUTION OPERATIONS AND TECHNICAL DEVELOPMENT AND IMPROVEMENT</w:t>
      </w:r>
      <w:r w:rsidRPr="00482883">
        <w:rPr>
          <w:rFonts w:eastAsia="Calibri" w:cs="Arial"/>
          <w:szCs w:val="24"/>
        </w:rPr>
        <w:tab/>
        <w:t>537</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Background</w:t>
      </w:r>
      <w:r w:rsidRPr="00482883">
        <w:rPr>
          <w:rFonts w:eastAsia="Calibri" w:cs="Arial"/>
          <w:smallCaps/>
          <w:szCs w:val="24"/>
        </w:rPr>
        <w:tab/>
        <w:t>537</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Findings</w:t>
      </w:r>
      <w:r w:rsidRPr="00482883">
        <w:rPr>
          <w:rFonts w:eastAsia="Calibri" w:cs="Arial"/>
          <w:smallCaps/>
          <w:szCs w:val="24"/>
        </w:rPr>
        <w:tab/>
        <w:t>548</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Recommendations</w:t>
      </w:r>
      <w:r w:rsidRPr="00482883">
        <w:rPr>
          <w:rFonts w:eastAsia="Calibri" w:cs="Arial"/>
          <w:smallCaps/>
          <w:szCs w:val="24"/>
        </w:rPr>
        <w:tab/>
        <w:t>550</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D.</w:t>
      </w:r>
      <w:r w:rsidRPr="00482883">
        <w:rPr>
          <w:rFonts w:eastAsia="Calibri" w:cs="Arial"/>
          <w:szCs w:val="24"/>
        </w:rPr>
        <w:tab/>
        <w:t>CUSTOMER SERVICES</w:t>
      </w:r>
      <w:r w:rsidRPr="00482883">
        <w:rPr>
          <w:rFonts w:eastAsia="Calibri" w:cs="Arial"/>
          <w:szCs w:val="24"/>
        </w:rPr>
        <w:tab/>
        <w:t>551</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Background</w:t>
      </w:r>
      <w:r w:rsidRPr="00482883">
        <w:rPr>
          <w:rFonts w:eastAsia="Calibri" w:cs="Arial"/>
          <w:smallCaps/>
          <w:szCs w:val="24"/>
        </w:rPr>
        <w:tab/>
        <w:t>551</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Findings</w:t>
      </w:r>
      <w:r w:rsidRPr="00482883">
        <w:rPr>
          <w:rFonts w:eastAsia="Calibri" w:cs="Arial"/>
          <w:smallCaps/>
          <w:szCs w:val="24"/>
        </w:rPr>
        <w:tab/>
        <w:t>557</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Recommendations</w:t>
      </w:r>
      <w:r w:rsidRPr="00482883">
        <w:rPr>
          <w:rFonts w:eastAsia="Calibri" w:cs="Arial"/>
          <w:smallCaps/>
          <w:szCs w:val="24"/>
        </w:rPr>
        <w:tab/>
        <w:t>558</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E.</w:t>
      </w:r>
      <w:r w:rsidRPr="00482883">
        <w:rPr>
          <w:rFonts w:eastAsia="Calibri" w:cs="Arial"/>
          <w:szCs w:val="24"/>
        </w:rPr>
        <w:tab/>
        <w:t>FINANCE, ACCOUNTING, AND AUDIT</w:t>
      </w:r>
      <w:r w:rsidRPr="00482883">
        <w:rPr>
          <w:rFonts w:eastAsia="Calibri" w:cs="Arial"/>
          <w:szCs w:val="24"/>
        </w:rPr>
        <w:tab/>
        <w:t>559</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Background</w:t>
      </w:r>
      <w:r w:rsidRPr="00482883">
        <w:rPr>
          <w:rFonts w:eastAsia="Calibri" w:cs="Arial"/>
          <w:smallCaps/>
          <w:szCs w:val="24"/>
        </w:rPr>
        <w:tab/>
        <w:t>559</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lastRenderedPageBreak/>
        <w:t>Findings</w:t>
      </w:r>
      <w:r w:rsidRPr="00482883">
        <w:rPr>
          <w:rFonts w:eastAsia="Calibri" w:cs="Arial"/>
          <w:smallCaps/>
          <w:szCs w:val="24"/>
        </w:rPr>
        <w:tab/>
        <w:t>565</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Recommendations</w:t>
      </w:r>
      <w:r w:rsidRPr="00482883">
        <w:rPr>
          <w:rFonts w:eastAsia="Calibri" w:cs="Arial"/>
          <w:smallCaps/>
          <w:szCs w:val="24"/>
        </w:rPr>
        <w:tab/>
        <w:t>566</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F.</w:t>
      </w:r>
      <w:r w:rsidRPr="00482883">
        <w:rPr>
          <w:rFonts w:eastAsia="Calibri" w:cs="Arial"/>
          <w:szCs w:val="24"/>
        </w:rPr>
        <w:tab/>
        <w:t>SUPPORT SERVICES</w:t>
      </w:r>
      <w:r w:rsidRPr="00482883">
        <w:rPr>
          <w:rFonts w:eastAsia="Calibri" w:cs="Arial"/>
          <w:szCs w:val="24"/>
        </w:rPr>
        <w:tab/>
        <w:t>566</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Background</w:t>
      </w:r>
      <w:r w:rsidRPr="00482883">
        <w:rPr>
          <w:rFonts w:eastAsia="Calibri" w:cs="Arial"/>
          <w:smallCaps/>
          <w:szCs w:val="24"/>
        </w:rPr>
        <w:tab/>
        <w:t>566</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Findings</w:t>
      </w:r>
      <w:r w:rsidRPr="00482883">
        <w:rPr>
          <w:rFonts w:eastAsia="Calibri" w:cs="Arial"/>
          <w:smallCaps/>
          <w:szCs w:val="24"/>
        </w:rPr>
        <w:tab/>
        <w:t>581</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Recommendations</w:t>
      </w:r>
      <w:r w:rsidRPr="00482883">
        <w:rPr>
          <w:rFonts w:eastAsia="Calibri" w:cs="Arial"/>
          <w:smallCaps/>
          <w:szCs w:val="24"/>
        </w:rPr>
        <w:tab/>
        <w:t>582</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G.</w:t>
      </w:r>
      <w:r w:rsidRPr="00482883">
        <w:rPr>
          <w:rFonts w:eastAsia="Calibri" w:cs="Arial"/>
          <w:szCs w:val="24"/>
        </w:rPr>
        <w:tab/>
        <w:t>ENTERPRISE-WIDE</w:t>
      </w:r>
      <w:r w:rsidRPr="00482883">
        <w:rPr>
          <w:rFonts w:eastAsia="Calibri" w:cs="Arial"/>
          <w:szCs w:val="24"/>
        </w:rPr>
        <w:tab/>
        <w:t>582</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Background</w:t>
      </w:r>
      <w:r w:rsidRPr="00482883">
        <w:rPr>
          <w:rFonts w:eastAsia="Calibri" w:cs="Arial"/>
          <w:smallCaps/>
          <w:szCs w:val="24"/>
        </w:rPr>
        <w:tab/>
        <w:t>582</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Findings</w:t>
      </w:r>
      <w:r w:rsidRPr="00482883">
        <w:rPr>
          <w:rFonts w:eastAsia="Calibri" w:cs="Arial"/>
          <w:smallCaps/>
          <w:szCs w:val="24"/>
        </w:rPr>
        <w:tab/>
        <w:t>582</w:t>
      </w:r>
    </w:p>
    <w:p w:rsidR="00482883" w:rsidRPr="00482883" w:rsidRDefault="00482883" w:rsidP="00482883">
      <w:pPr>
        <w:tabs>
          <w:tab w:val="left" w:pos="540"/>
          <w:tab w:val="right" w:leader="dot" w:pos="9360"/>
        </w:tabs>
        <w:spacing w:after="60"/>
        <w:ind w:left="893"/>
        <w:jc w:val="left"/>
        <w:rPr>
          <w:rFonts w:eastAsia="Calibri" w:cs="Arial"/>
          <w:smallCaps/>
          <w:szCs w:val="24"/>
        </w:rPr>
      </w:pPr>
      <w:r w:rsidRPr="00482883">
        <w:rPr>
          <w:rFonts w:eastAsia="Calibri" w:cs="Arial"/>
          <w:smallCaps/>
          <w:szCs w:val="24"/>
        </w:rPr>
        <w:t>Recommendations</w:t>
      </w:r>
      <w:r w:rsidRPr="00482883">
        <w:rPr>
          <w:rFonts w:eastAsia="Calibri" w:cs="Arial"/>
          <w:smallCaps/>
          <w:szCs w:val="24"/>
        </w:rPr>
        <w:tab/>
        <w:t>585</w:t>
      </w:r>
    </w:p>
    <w:p w:rsidR="00482883" w:rsidRPr="00482883" w:rsidRDefault="00482883" w:rsidP="00482883">
      <w:pPr>
        <w:tabs>
          <w:tab w:val="left" w:pos="540"/>
          <w:tab w:val="right" w:leader="dot" w:pos="9360"/>
        </w:tabs>
        <w:spacing w:after="60"/>
        <w:jc w:val="left"/>
        <w:rPr>
          <w:rFonts w:eastAsia="Calibri" w:cs="Arial"/>
          <w:b/>
          <w:szCs w:val="24"/>
        </w:rPr>
      </w:pPr>
      <w:r w:rsidRPr="00482883">
        <w:rPr>
          <w:rFonts w:eastAsia="Calibri" w:cs="Arial"/>
          <w:b/>
          <w:szCs w:val="24"/>
        </w:rPr>
        <w:t>XVI</w:t>
      </w:r>
      <w:r w:rsidRPr="00482883">
        <w:rPr>
          <w:rFonts w:eastAsia="Calibri" w:cs="Arial"/>
          <w:b/>
          <w:szCs w:val="24"/>
        </w:rPr>
        <w:tab/>
        <w:t>MERGER SYNERGY OPPORTUNITIES</w:t>
      </w:r>
      <w:r w:rsidRPr="00482883">
        <w:rPr>
          <w:rFonts w:eastAsia="Calibri" w:cs="Arial"/>
          <w:b/>
          <w:szCs w:val="24"/>
        </w:rPr>
        <w:tab/>
        <w:t>586</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A.</w:t>
      </w:r>
      <w:r w:rsidRPr="00482883">
        <w:rPr>
          <w:rFonts w:eastAsia="Calibri" w:cs="Arial"/>
          <w:szCs w:val="24"/>
        </w:rPr>
        <w:tab/>
        <w:t>MERGER SYNERGIES RESEARCH</w:t>
      </w:r>
      <w:r w:rsidRPr="00482883">
        <w:rPr>
          <w:rFonts w:eastAsia="Calibri" w:cs="Arial"/>
          <w:szCs w:val="24"/>
        </w:rPr>
        <w:tab/>
        <w:t>587</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B.</w:t>
      </w:r>
      <w:r w:rsidRPr="00482883">
        <w:rPr>
          <w:rFonts w:eastAsia="Calibri" w:cs="Arial"/>
          <w:szCs w:val="24"/>
        </w:rPr>
        <w:tab/>
        <w:t>CASE STUDIES ON RECENT UTILITY MERGER SYNERGIES</w:t>
      </w:r>
      <w:r w:rsidRPr="00482883">
        <w:rPr>
          <w:rFonts w:eastAsia="Calibri" w:cs="Arial"/>
          <w:szCs w:val="24"/>
        </w:rPr>
        <w:tab/>
        <w:t>590</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C.</w:t>
      </w:r>
      <w:r w:rsidRPr="00482883">
        <w:rPr>
          <w:rFonts w:eastAsia="Calibri" w:cs="Arial"/>
          <w:szCs w:val="24"/>
        </w:rPr>
        <w:tab/>
        <w:t>PPL CORPORATION MERGER WITH E.ON U.S. LLC</w:t>
      </w:r>
      <w:r w:rsidRPr="00482883">
        <w:rPr>
          <w:rFonts w:eastAsia="Calibri" w:cs="Arial"/>
          <w:szCs w:val="24"/>
        </w:rPr>
        <w:tab/>
        <w:t>596</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D.</w:t>
      </w:r>
      <w:r w:rsidRPr="00482883">
        <w:rPr>
          <w:rFonts w:eastAsia="Calibri" w:cs="Arial"/>
          <w:szCs w:val="24"/>
        </w:rPr>
        <w:tab/>
        <w:t>PPL CORPORATION MERGER SYNERGY INITIATIVES</w:t>
      </w:r>
      <w:r w:rsidRPr="00482883">
        <w:rPr>
          <w:rFonts w:eastAsia="Calibri" w:cs="Arial"/>
          <w:szCs w:val="24"/>
        </w:rPr>
        <w:tab/>
        <w:t>597</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E.</w:t>
      </w:r>
      <w:r w:rsidRPr="00482883">
        <w:rPr>
          <w:rFonts w:eastAsia="Calibri" w:cs="Arial"/>
          <w:szCs w:val="24"/>
        </w:rPr>
        <w:tab/>
        <w:t>FINDINGS</w:t>
      </w:r>
      <w:r w:rsidRPr="00482883">
        <w:rPr>
          <w:rFonts w:eastAsia="Calibri" w:cs="Arial"/>
          <w:szCs w:val="24"/>
        </w:rPr>
        <w:tab/>
        <w:t>613</w:t>
      </w:r>
    </w:p>
    <w:p w:rsidR="00482883" w:rsidRPr="00482883" w:rsidRDefault="00482883" w:rsidP="00482883">
      <w:pPr>
        <w:tabs>
          <w:tab w:val="left" w:pos="540"/>
          <w:tab w:val="left" w:pos="900"/>
          <w:tab w:val="right" w:leader="dot" w:pos="9360"/>
        </w:tabs>
        <w:spacing w:after="60"/>
        <w:ind w:left="547"/>
        <w:jc w:val="left"/>
        <w:rPr>
          <w:rFonts w:eastAsia="Calibri" w:cs="Arial"/>
          <w:szCs w:val="24"/>
        </w:rPr>
      </w:pPr>
      <w:r w:rsidRPr="00482883">
        <w:rPr>
          <w:rFonts w:eastAsia="Calibri" w:cs="Arial"/>
          <w:szCs w:val="24"/>
        </w:rPr>
        <w:t>F.</w:t>
      </w:r>
      <w:r w:rsidRPr="00482883">
        <w:rPr>
          <w:rFonts w:eastAsia="Calibri" w:cs="Arial"/>
          <w:szCs w:val="24"/>
        </w:rPr>
        <w:tab/>
        <w:t>RECOMMENDATIONS</w:t>
      </w:r>
      <w:r w:rsidRPr="00482883">
        <w:rPr>
          <w:rFonts w:eastAsia="Calibri" w:cs="Arial"/>
          <w:szCs w:val="24"/>
        </w:rPr>
        <w:tab/>
        <w:t>619</w:t>
      </w:r>
    </w:p>
    <w:p w:rsidR="00482883" w:rsidRPr="00482883" w:rsidRDefault="00482883" w:rsidP="00482883">
      <w:pPr>
        <w:tabs>
          <w:tab w:val="right" w:pos="9360"/>
        </w:tabs>
        <w:spacing w:after="60"/>
        <w:jc w:val="left"/>
        <w:rPr>
          <w:rFonts w:eastAsia="Calibri" w:cs="Arial"/>
          <w:szCs w:val="24"/>
        </w:rPr>
      </w:pPr>
    </w:p>
    <w:p w:rsidR="00482883" w:rsidRPr="00482883" w:rsidRDefault="00482883" w:rsidP="00482883">
      <w:pPr>
        <w:tabs>
          <w:tab w:val="left" w:pos="540"/>
          <w:tab w:val="right" w:leader="dot" w:pos="9360"/>
        </w:tabs>
        <w:spacing w:after="60"/>
        <w:jc w:val="left"/>
        <w:rPr>
          <w:rFonts w:eastAsia="Calibri" w:cs="Arial"/>
          <w:b/>
          <w:szCs w:val="24"/>
        </w:rPr>
      </w:pPr>
      <w:r w:rsidRPr="00482883">
        <w:rPr>
          <w:rFonts w:eastAsia="Calibri" w:cs="Arial"/>
          <w:b/>
          <w:szCs w:val="24"/>
        </w:rPr>
        <w:t>APPENDICES</w:t>
      </w:r>
      <w:r w:rsidRPr="00482883">
        <w:rPr>
          <w:rFonts w:eastAsia="Calibri" w:cs="Arial"/>
          <w:b/>
          <w:szCs w:val="24"/>
        </w:rPr>
        <w:tab/>
        <w:t>621</w:t>
      </w:r>
    </w:p>
    <w:p w:rsidR="00482883" w:rsidRPr="00482883" w:rsidRDefault="00482883" w:rsidP="00482883">
      <w:pPr>
        <w:tabs>
          <w:tab w:val="left" w:pos="2340"/>
          <w:tab w:val="right" w:leader="dot" w:pos="9360"/>
        </w:tabs>
        <w:spacing w:after="60"/>
        <w:ind w:left="2275" w:hanging="1728"/>
        <w:jc w:val="left"/>
        <w:rPr>
          <w:rFonts w:eastAsia="Calibri" w:cs="Arial"/>
          <w:szCs w:val="24"/>
        </w:rPr>
      </w:pPr>
      <w:r w:rsidRPr="00482883">
        <w:rPr>
          <w:rFonts w:eastAsia="Calibri" w:cs="Arial"/>
          <w:szCs w:val="24"/>
        </w:rPr>
        <w:t>APPENDIX A.</w:t>
      </w:r>
      <w:r w:rsidRPr="00482883">
        <w:rPr>
          <w:rFonts w:eastAsia="Calibri" w:cs="Arial"/>
          <w:szCs w:val="24"/>
        </w:rPr>
        <w:tab/>
        <w:t>PPL ELECTRIC UTILITIES CORPORATION OPERATING REVENUES AND EXPENSES</w:t>
      </w:r>
      <w:r w:rsidRPr="00482883">
        <w:rPr>
          <w:rFonts w:eastAsia="Calibri" w:cs="Arial"/>
          <w:szCs w:val="24"/>
        </w:rPr>
        <w:tab/>
        <w:t>621</w:t>
      </w:r>
    </w:p>
    <w:p w:rsidR="00482883" w:rsidRPr="00482883" w:rsidRDefault="00482883" w:rsidP="00482883">
      <w:pPr>
        <w:tabs>
          <w:tab w:val="left" w:pos="2340"/>
          <w:tab w:val="right" w:leader="dot" w:pos="9360"/>
        </w:tabs>
        <w:spacing w:after="60"/>
        <w:ind w:left="2275" w:hanging="1728"/>
        <w:jc w:val="left"/>
        <w:rPr>
          <w:rFonts w:eastAsia="Calibri" w:cs="Arial"/>
          <w:szCs w:val="24"/>
        </w:rPr>
      </w:pPr>
      <w:r w:rsidRPr="00482883">
        <w:rPr>
          <w:rFonts w:eastAsia="Calibri" w:cs="Arial"/>
          <w:szCs w:val="24"/>
        </w:rPr>
        <w:t>APPENDIX B.</w:t>
      </w:r>
      <w:r w:rsidRPr="00482883">
        <w:rPr>
          <w:rFonts w:eastAsia="Calibri" w:cs="Arial"/>
          <w:szCs w:val="24"/>
        </w:rPr>
        <w:tab/>
        <w:t xml:space="preserve">PPL ELECTRIC UTILITIES CORPORATION BALANCE </w:t>
      </w:r>
      <w:r>
        <w:rPr>
          <w:rFonts w:eastAsia="Calibri" w:cs="Arial"/>
          <w:szCs w:val="24"/>
        </w:rPr>
        <w:br/>
      </w:r>
      <w:r w:rsidRPr="00482883">
        <w:rPr>
          <w:rFonts w:eastAsia="Calibri" w:cs="Arial"/>
          <w:szCs w:val="24"/>
        </w:rPr>
        <w:t>SHEET</w:t>
      </w:r>
      <w:r w:rsidRPr="00482883">
        <w:rPr>
          <w:rFonts w:eastAsia="Calibri" w:cs="Arial"/>
          <w:szCs w:val="24"/>
        </w:rPr>
        <w:tab/>
        <w:t>625</w:t>
      </w:r>
    </w:p>
    <w:p w:rsidR="00482883" w:rsidRPr="00482883" w:rsidRDefault="00482883" w:rsidP="00482883">
      <w:pPr>
        <w:tabs>
          <w:tab w:val="left" w:pos="2340"/>
          <w:tab w:val="right" w:leader="dot" w:pos="9360"/>
        </w:tabs>
        <w:spacing w:after="60"/>
        <w:ind w:left="2275" w:hanging="1728"/>
        <w:jc w:val="left"/>
        <w:rPr>
          <w:rFonts w:eastAsia="Calibri" w:cs="Arial"/>
          <w:szCs w:val="24"/>
        </w:rPr>
      </w:pPr>
      <w:r w:rsidRPr="00482883">
        <w:rPr>
          <w:rFonts w:eastAsia="Calibri" w:cs="Arial"/>
          <w:szCs w:val="24"/>
        </w:rPr>
        <w:t>APPENDIX C.</w:t>
      </w:r>
      <w:r w:rsidRPr="00482883">
        <w:rPr>
          <w:rFonts w:eastAsia="Calibri" w:cs="Arial"/>
          <w:szCs w:val="24"/>
        </w:rPr>
        <w:tab/>
        <w:t>PPL ELECTRIC UTILITIES CORPORATION COMPARATIVE DATA AND STATISTICS FOR THE PENNSYLVANIA PANEL 2010–2014</w:t>
      </w:r>
      <w:r w:rsidRPr="00482883">
        <w:rPr>
          <w:rFonts w:eastAsia="Calibri" w:cs="Arial"/>
          <w:szCs w:val="24"/>
        </w:rPr>
        <w:tab/>
        <w:t>629</w:t>
      </w:r>
    </w:p>
    <w:p w:rsidR="00482883" w:rsidRPr="00482883" w:rsidRDefault="00482883" w:rsidP="00482883">
      <w:pPr>
        <w:tabs>
          <w:tab w:val="left" w:pos="2340"/>
          <w:tab w:val="right" w:leader="dot" w:pos="9360"/>
        </w:tabs>
        <w:spacing w:after="60"/>
        <w:ind w:left="2275" w:hanging="1728"/>
        <w:jc w:val="left"/>
        <w:rPr>
          <w:rFonts w:eastAsia="Calibri" w:cs="Arial"/>
          <w:szCs w:val="24"/>
        </w:rPr>
      </w:pPr>
      <w:r w:rsidRPr="00482883">
        <w:rPr>
          <w:rFonts w:eastAsia="Calibri" w:cs="Arial"/>
          <w:szCs w:val="24"/>
        </w:rPr>
        <w:t>APPENDIX D.</w:t>
      </w:r>
      <w:r w:rsidRPr="00482883">
        <w:rPr>
          <w:rFonts w:eastAsia="Calibri" w:cs="Arial"/>
          <w:szCs w:val="24"/>
        </w:rPr>
        <w:tab/>
        <w:t>PPL ELECTRIC UTILITIES CORPORATION COMPARATIVE CUSTOMER SERVICE PERFORMANCE METRICS FOR THE PENNSYLVANIA PANEL 2010–2014</w:t>
      </w:r>
      <w:r w:rsidRPr="00482883">
        <w:rPr>
          <w:rFonts w:eastAsia="Calibri" w:cs="Arial"/>
          <w:szCs w:val="24"/>
        </w:rPr>
        <w:tab/>
        <w:t>643</w:t>
      </w:r>
    </w:p>
    <w:p w:rsidR="00B131F4" w:rsidRDefault="00B131F4">
      <w:pPr>
        <w:spacing w:after="0"/>
        <w:jc w:val="left"/>
        <w:rPr>
          <w:rFonts w:ascii="Arial Bold" w:hAnsi="Arial Bold"/>
        </w:rPr>
      </w:pPr>
    </w:p>
    <w:p w:rsidR="00133BC1" w:rsidRDefault="00133BC1">
      <w:pPr>
        <w:spacing w:after="0"/>
        <w:jc w:val="left"/>
        <w:rPr>
          <w:rFonts w:ascii="Arial Bold" w:hAnsi="Arial Bold"/>
          <w:b/>
          <w:caps/>
        </w:rPr>
      </w:pPr>
      <w:r>
        <w:rPr>
          <w:rFonts w:ascii="Arial Bold" w:hAnsi="Arial Bold"/>
          <w:b/>
          <w:caps/>
        </w:rPr>
        <w:br w:type="page"/>
      </w:r>
    </w:p>
    <w:p w:rsidR="0047051E" w:rsidRPr="00133BC1" w:rsidRDefault="00133BC1" w:rsidP="00133BC1">
      <w:pPr>
        <w:jc w:val="center"/>
        <w:rPr>
          <w:b/>
          <w:sz w:val="28"/>
          <w:szCs w:val="28"/>
        </w:rPr>
      </w:pPr>
      <w:r w:rsidRPr="00133BC1">
        <w:rPr>
          <w:b/>
          <w:sz w:val="28"/>
          <w:szCs w:val="28"/>
        </w:rPr>
        <w:lastRenderedPageBreak/>
        <w:t>TABLE OF EXHIBITS</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I</w:t>
      </w:r>
      <w:r>
        <w:rPr>
          <w:rFonts w:eastAsia="Calibri" w:cs="Arial"/>
          <w:szCs w:val="24"/>
        </w:rPr>
        <w:t>-</w:t>
      </w:r>
      <w:r w:rsidRPr="009A2FB5">
        <w:rPr>
          <w:rFonts w:eastAsia="Calibri" w:cs="Arial"/>
          <w:szCs w:val="24"/>
        </w:rPr>
        <w:t xml:space="preserve">1 </w:t>
      </w:r>
      <w:r w:rsidRPr="009A2FB5">
        <w:rPr>
          <w:rFonts w:eastAsia="Calibri" w:cs="Arial"/>
          <w:szCs w:val="24"/>
        </w:rPr>
        <w:tab/>
        <w:t>V&amp;A Four Step Approach and Phase I and II Work Plans</w:t>
      </w:r>
      <w:r w:rsidRPr="009A2FB5">
        <w:rPr>
          <w:rFonts w:eastAsia="Calibri" w:cs="Arial"/>
          <w:szCs w:val="24"/>
        </w:rPr>
        <w:tab/>
        <w:t>5</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I</w:t>
      </w:r>
      <w:r>
        <w:rPr>
          <w:rFonts w:eastAsia="Calibri" w:cs="Arial"/>
          <w:szCs w:val="24"/>
        </w:rPr>
        <w:t>-</w:t>
      </w:r>
      <w:r w:rsidRPr="009A2FB5">
        <w:rPr>
          <w:rFonts w:eastAsia="Calibri" w:cs="Arial"/>
          <w:szCs w:val="24"/>
        </w:rPr>
        <w:t xml:space="preserve">2 </w:t>
      </w:r>
      <w:r w:rsidRPr="009A2FB5">
        <w:rPr>
          <w:rFonts w:eastAsia="Calibri" w:cs="Arial"/>
          <w:szCs w:val="24"/>
        </w:rPr>
        <w:tab/>
        <w:t>Evaluative Ratings</w:t>
      </w:r>
      <w:r w:rsidRPr="009A2FB5">
        <w:rPr>
          <w:rFonts w:eastAsia="Calibri" w:cs="Arial"/>
          <w:szCs w:val="24"/>
        </w:rPr>
        <w:tab/>
        <w:t>7</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I</w:t>
      </w:r>
      <w:r>
        <w:rPr>
          <w:rFonts w:eastAsia="Calibri" w:cs="Arial"/>
          <w:szCs w:val="24"/>
        </w:rPr>
        <w:t>-</w:t>
      </w:r>
      <w:r w:rsidRPr="009A2FB5">
        <w:rPr>
          <w:rFonts w:eastAsia="Calibri" w:cs="Arial"/>
          <w:szCs w:val="24"/>
        </w:rPr>
        <w:t xml:space="preserve">3 </w:t>
      </w:r>
      <w:r w:rsidRPr="009A2FB5">
        <w:rPr>
          <w:rFonts w:eastAsia="Calibri" w:cs="Arial"/>
          <w:szCs w:val="24"/>
        </w:rPr>
        <w:tab/>
        <w:t>Findings and Recommendations Summary</w:t>
      </w:r>
      <w:r w:rsidRPr="009A2FB5">
        <w:rPr>
          <w:rFonts w:eastAsia="Calibri" w:cs="Arial"/>
          <w:szCs w:val="24"/>
        </w:rPr>
        <w:tab/>
        <w:t>9</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I</w:t>
      </w:r>
      <w:r>
        <w:rPr>
          <w:rFonts w:eastAsia="Calibri" w:cs="Arial"/>
          <w:szCs w:val="24"/>
        </w:rPr>
        <w:t>-</w:t>
      </w:r>
      <w:r w:rsidRPr="009A2FB5">
        <w:rPr>
          <w:rFonts w:eastAsia="Calibri" w:cs="Arial"/>
          <w:szCs w:val="24"/>
        </w:rPr>
        <w:t xml:space="preserve">4 </w:t>
      </w:r>
      <w:r w:rsidRPr="009A2FB5">
        <w:rPr>
          <w:rFonts w:eastAsia="Calibri" w:cs="Arial"/>
          <w:szCs w:val="24"/>
        </w:rPr>
        <w:tab/>
        <w:t>Annual Cost Savings Estimates</w:t>
      </w:r>
      <w:r w:rsidRPr="009A2FB5">
        <w:rPr>
          <w:rFonts w:eastAsia="Calibri" w:cs="Arial"/>
          <w:szCs w:val="24"/>
        </w:rPr>
        <w:tab/>
        <w:t>47</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II</w:t>
      </w:r>
      <w:r>
        <w:rPr>
          <w:rFonts w:eastAsia="Calibri" w:cs="Arial"/>
          <w:szCs w:val="24"/>
        </w:rPr>
        <w:t>-</w:t>
      </w:r>
      <w:r w:rsidRPr="009A2FB5">
        <w:rPr>
          <w:rFonts w:eastAsia="Calibri" w:cs="Arial"/>
          <w:szCs w:val="24"/>
        </w:rPr>
        <w:t xml:space="preserve">1 </w:t>
      </w:r>
      <w:r w:rsidRPr="009A2FB5">
        <w:rPr>
          <w:rFonts w:eastAsia="Calibri" w:cs="Arial"/>
          <w:szCs w:val="24"/>
        </w:rPr>
        <w:tab/>
        <w:t>PPL Electric Utilities Corporation Organization Chart</w:t>
      </w:r>
      <w:r w:rsidRPr="009A2FB5">
        <w:rPr>
          <w:rFonts w:eastAsia="Calibri" w:cs="Arial"/>
          <w:szCs w:val="24"/>
        </w:rPr>
        <w:tab/>
        <w:t>51</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II</w:t>
      </w:r>
      <w:r>
        <w:rPr>
          <w:rFonts w:eastAsia="Calibri" w:cs="Arial"/>
          <w:szCs w:val="24"/>
        </w:rPr>
        <w:t>-</w:t>
      </w:r>
      <w:r w:rsidRPr="009A2FB5">
        <w:rPr>
          <w:rFonts w:eastAsia="Calibri" w:cs="Arial"/>
          <w:szCs w:val="24"/>
        </w:rPr>
        <w:t xml:space="preserve">2 </w:t>
      </w:r>
      <w:r w:rsidRPr="009A2FB5">
        <w:rPr>
          <w:rFonts w:eastAsia="Calibri" w:cs="Arial"/>
          <w:szCs w:val="24"/>
        </w:rPr>
        <w:tab/>
        <w:t>PPL EU Employee Headcount</w:t>
      </w:r>
      <w:r w:rsidRPr="009A2FB5">
        <w:rPr>
          <w:rFonts w:eastAsia="Calibri" w:cs="Arial"/>
          <w:szCs w:val="24"/>
        </w:rPr>
        <w:tab/>
        <w:t>53</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II</w:t>
      </w:r>
      <w:r>
        <w:rPr>
          <w:rFonts w:eastAsia="Calibri" w:cs="Arial"/>
          <w:szCs w:val="24"/>
        </w:rPr>
        <w:t>-</w:t>
      </w:r>
      <w:r w:rsidRPr="009A2FB5">
        <w:rPr>
          <w:rFonts w:eastAsia="Calibri" w:cs="Arial"/>
          <w:szCs w:val="24"/>
        </w:rPr>
        <w:t xml:space="preserve">3 </w:t>
      </w:r>
      <w:r w:rsidRPr="009A2FB5">
        <w:rPr>
          <w:rFonts w:eastAsia="Calibri" w:cs="Arial"/>
          <w:szCs w:val="24"/>
        </w:rPr>
        <w:tab/>
        <w:t>PPL EU Transmission Capital Spending 2011–2015</w:t>
      </w:r>
      <w:r w:rsidRPr="009A2FB5">
        <w:rPr>
          <w:rFonts w:eastAsia="Calibri" w:cs="Arial"/>
          <w:szCs w:val="24"/>
        </w:rPr>
        <w:tab/>
        <w:t>55</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t>Exhibit II</w:t>
      </w:r>
      <w:r>
        <w:rPr>
          <w:rFonts w:eastAsia="Calibri" w:cs="Arial"/>
          <w:szCs w:val="24"/>
        </w:rPr>
        <w:t>-</w:t>
      </w:r>
      <w:r w:rsidRPr="009A2FB5">
        <w:rPr>
          <w:rFonts w:eastAsia="Calibri" w:cs="Arial"/>
          <w:szCs w:val="24"/>
        </w:rPr>
        <w:t xml:space="preserve">4 </w:t>
      </w:r>
      <w:r w:rsidRPr="009A2FB5">
        <w:rPr>
          <w:rFonts w:eastAsia="Calibri" w:cs="Arial"/>
          <w:szCs w:val="24"/>
        </w:rPr>
        <w:tab/>
        <w:t xml:space="preserve">PPL EU Projected Transmission and Substations Capital </w:t>
      </w:r>
      <w:r>
        <w:rPr>
          <w:rFonts w:eastAsia="Calibri" w:cs="Arial"/>
          <w:szCs w:val="24"/>
        </w:rPr>
        <w:br/>
      </w:r>
      <w:r w:rsidRPr="009A2FB5">
        <w:rPr>
          <w:rFonts w:eastAsia="Calibri" w:cs="Arial"/>
          <w:szCs w:val="24"/>
        </w:rPr>
        <w:t>Investment (2016-2020)</w:t>
      </w:r>
      <w:r w:rsidRPr="009A2FB5">
        <w:rPr>
          <w:rFonts w:eastAsia="Calibri" w:cs="Arial"/>
          <w:szCs w:val="24"/>
        </w:rPr>
        <w:tab/>
        <w:t>56</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II</w:t>
      </w:r>
      <w:r>
        <w:rPr>
          <w:rFonts w:eastAsia="Calibri" w:cs="Arial"/>
          <w:szCs w:val="24"/>
        </w:rPr>
        <w:t>-</w:t>
      </w:r>
      <w:r w:rsidRPr="009A2FB5">
        <w:rPr>
          <w:rFonts w:eastAsia="Calibri" w:cs="Arial"/>
          <w:szCs w:val="24"/>
        </w:rPr>
        <w:t xml:space="preserve">5 </w:t>
      </w:r>
      <w:r w:rsidRPr="009A2FB5">
        <w:rPr>
          <w:rFonts w:eastAsia="Calibri" w:cs="Arial"/>
          <w:szCs w:val="24"/>
        </w:rPr>
        <w:tab/>
        <w:t>PPL EU Distribution Capital Spending 2011–2015</w:t>
      </w:r>
      <w:r w:rsidRPr="009A2FB5">
        <w:rPr>
          <w:rFonts w:eastAsia="Calibri" w:cs="Arial"/>
          <w:szCs w:val="24"/>
        </w:rPr>
        <w:tab/>
        <w:t>56</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II</w:t>
      </w:r>
      <w:r>
        <w:rPr>
          <w:rFonts w:eastAsia="Calibri" w:cs="Arial"/>
          <w:szCs w:val="24"/>
        </w:rPr>
        <w:t>-</w:t>
      </w:r>
      <w:r w:rsidRPr="009A2FB5">
        <w:rPr>
          <w:rFonts w:eastAsia="Calibri" w:cs="Arial"/>
          <w:szCs w:val="24"/>
        </w:rPr>
        <w:t xml:space="preserve">6 </w:t>
      </w:r>
      <w:r w:rsidRPr="009A2FB5">
        <w:rPr>
          <w:rFonts w:eastAsia="Calibri" w:cs="Arial"/>
          <w:szCs w:val="24"/>
        </w:rPr>
        <w:tab/>
        <w:t>PPL EU Projected Distribution Capital Investment (2016–2020)</w:t>
      </w:r>
      <w:r w:rsidRPr="009A2FB5">
        <w:rPr>
          <w:rFonts w:eastAsia="Calibri" w:cs="Arial"/>
          <w:szCs w:val="24"/>
        </w:rPr>
        <w:tab/>
        <w:t>56</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t>Exhibit II</w:t>
      </w:r>
      <w:r>
        <w:rPr>
          <w:rFonts w:eastAsia="Calibri" w:cs="Arial"/>
          <w:szCs w:val="24"/>
        </w:rPr>
        <w:t>-</w:t>
      </w:r>
      <w:r w:rsidRPr="009A2FB5">
        <w:rPr>
          <w:rFonts w:eastAsia="Calibri" w:cs="Arial"/>
          <w:szCs w:val="24"/>
        </w:rPr>
        <w:t xml:space="preserve">7 </w:t>
      </w:r>
      <w:r w:rsidRPr="009A2FB5">
        <w:rPr>
          <w:rFonts w:eastAsia="Calibri" w:cs="Arial"/>
          <w:szCs w:val="24"/>
        </w:rPr>
        <w:tab/>
        <w:t>PPL EU Financial Results (2011–2015) ($ millions, except gigawatt hours sold)</w:t>
      </w:r>
      <w:r w:rsidRPr="009A2FB5">
        <w:rPr>
          <w:rFonts w:eastAsia="Calibri" w:cs="Arial"/>
          <w:szCs w:val="24"/>
        </w:rPr>
        <w:tab/>
        <w:t>61</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II</w:t>
      </w:r>
      <w:r>
        <w:rPr>
          <w:rFonts w:eastAsia="Calibri" w:cs="Arial"/>
          <w:szCs w:val="24"/>
        </w:rPr>
        <w:t>-</w:t>
      </w:r>
      <w:r w:rsidRPr="009A2FB5">
        <w:rPr>
          <w:rFonts w:eastAsia="Calibri" w:cs="Arial"/>
          <w:szCs w:val="24"/>
        </w:rPr>
        <w:t xml:space="preserve">8 </w:t>
      </w:r>
      <w:r w:rsidRPr="009A2FB5">
        <w:rPr>
          <w:rFonts w:eastAsia="Calibri" w:cs="Arial"/>
          <w:szCs w:val="24"/>
        </w:rPr>
        <w:tab/>
        <w:t>PPL Corporation Principal Subsidiaries</w:t>
      </w:r>
      <w:r w:rsidRPr="009A2FB5">
        <w:rPr>
          <w:rFonts w:eastAsia="Calibri" w:cs="Arial"/>
          <w:szCs w:val="24"/>
        </w:rPr>
        <w:tab/>
        <w:t>62</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II</w:t>
      </w:r>
      <w:r>
        <w:rPr>
          <w:rFonts w:eastAsia="Calibri" w:cs="Arial"/>
          <w:szCs w:val="24"/>
        </w:rPr>
        <w:t>-</w:t>
      </w:r>
      <w:r w:rsidRPr="009A2FB5">
        <w:rPr>
          <w:rFonts w:eastAsia="Calibri" w:cs="Arial"/>
          <w:szCs w:val="24"/>
        </w:rPr>
        <w:t xml:space="preserve">9 </w:t>
      </w:r>
      <w:r w:rsidRPr="009A2FB5">
        <w:rPr>
          <w:rFonts w:eastAsia="Calibri" w:cs="Arial"/>
          <w:szCs w:val="24"/>
        </w:rPr>
        <w:tab/>
        <w:t>PPL Corporation Financial Results</w:t>
      </w:r>
      <w:r w:rsidRPr="009A2FB5">
        <w:rPr>
          <w:rFonts w:eastAsia="Calibri" w:cs="Arial"/>
          <w:szCs w:val="24"/>
        </w:rPr>
        <w:tab/>
        <w:t>64</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II</w:t>
      </w:r>
      <w:r>
        <w:rPr>
          <w:rFonts w:eastAsia="Calibri" w:cs="Arial"/>
          <w:szCs w:val="24"/>
        </w:rPr>
        <w:t>-</w:t>
      </w:r>
      <w:r w:rsidRPr="009A2FB5">
        <w:rPr>
          <w:rFonts w:eastAsia="Calibri" w:cs="Arial"/>
          <w:szCs w:val="24"/>
        </w:rPr>
        <w:t xml:space="preserve">10 </w:t>
      </w:r>
      <w:r w:rsidRPr="009A2FB5">
        <w:rPr>
          <w:rFonts w:eastAsia="Calibri" w:cs="Arial"/>
          <w:szCs w:val="24"/>
        </w:rPr>
        <w:tab/>
        <w:t>Comparison of PPL Corporation’s Regulated Segments for 2015</w:t>
      </w:r>
      <w:r w:rsidRPr="009A2FB5">
        <w:rPr>
          <w:rFonts w:eastAsia="Calibri" w:cs="Arial"/>
          <w:szCs w:val="24"/>
        </w:rPr>
        <w:tab/>
        <w:t>64</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II</w:t>
      </w:r>
      <w:r>
        <w:rPr>
          <w:rFonts w:eastAsia="Calibri" w:cs="Arial"/>
          <w:szCs w:val="24"/>
        </w:rPr>
        <w:t>-</w:t>
      </w:r>
      <w:r w:rsidRPr="009A2FB5">
        <w:rPr>
          <w:rFonts w:eastAsia="Calibri" w:cs="Arial"/>
          <w:szCs w:val="24"/>
        </w:rPr>
        <w:t xml:space="preserve">11 </w:t>
      </w:r>
      <w:r w:rsidRPr="009A2FB5">
        <w:rPr>
          <w:rFonts w:eastAsia="Calibri" w:cs="Arial"/>
          <w:szCs w:val="24"/>
        </w:rPr>
        <w:tab/>
        <w:t>PPL Services Corporation Organization Chart</w:t>
      </w:r>
      <w:r w:rsidRPr="009A2FB5">
        <w:rPr>
          <w:rFonts w:eastAsia="Calibri" w:cs="Arial"/>
          <w:szCs w:val="24"/>
        </w:rPr>
        <w:tab/>
        <w:t>65</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II</w:t>
      </w:r>
      <w:r>
        <w:rPr>
          <w:rFonts w:eastAsia="Calibri" w:cs="Arial"/>
          <w:szCs w:val="24"/>
        </w:rPr>
        <w:t>-</w:t>
      </w:r>
      <w:r w:rsidRPr="009A2FB5">
        <w:rPr>
          <w:rFonts w:eastAsia="Calibri" w:cs="Arial"/>
          <w:szCs w:val="24"/>
        </w:rPr>
        <w:t xml:space="preserve">12 </w:t>
      </w:r>
      <w:r w:rsidRPr="009A2FB5">
        <w:rPr>
          <w:rFonts w:eastAsia="Calibri" w:cs="Arial"/>
          <w:szCs w:val="24"/>
        </w:rPr>
        <w:tab/>
        <w:t>PPL Energy Supply, LLC Generation Assets in Talen Transaction</w:t>
      </w:r>
      <w:r w:rsidRPr="009A2FB5">
        <w:rPr>
          <w:rFonts w:eastAsia="Calibri" w:cs="Arial"/>
          <w:szCs w:val="24"/>
        </w:rPr>
        <w:tab/>
        <w:t>69</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II</w:t>
      </w:r>
      <w:r>
        <w:rPr>
          <w:rFonts w:eastAsia="Calibri" w:cs="Arial"/>
          <w:szCs w:val="24"/>
        </w:rPr>
        <w:t>-</w:t>
      </w:r>
      <w:r w:rsidRPr="009A2FB5">
        <w:rPr>
          <w:rFonts w:eastAsia="Calibri" w:cs="Arial"/>
          <w:szCs w:val="24"/>
        </w:rPr>
        <w:t xml:space="preserve">13 </w:t>
      </w:r>
      <w:r w:rsidRPr="009A2FB5">
        <w:rPr>
          <w:rFonts w:eastAsia="Calibri" w:cs="Arial"/>
          <w:szCs w:val="24"/>
        </w:rPr>
        <w:tab/>
        <w:t>PPL EU Operating Expenses (2011</w:t>
      </w:r>
      <w:r>
        <w:rPr>
          <w:rFonts w:eastAsia="Calibri" w:cs="Arial"/>
          <w:szCs w:val="24"/>
        </w:rPr>
        <w:t>–</w:t>
      </w:r>
      <w:r w:rsidRPr="009A2FB5">
        <w:rPr>
          <w:rFonts w:eastAsia="Calibri" w:cs="Arial"/>
          <w:szCs w:val="24"/>
        </w:rPr>
        <w:t>2015)</w:t>
      </w:r>
      <w:r w:rsidRPr="009A2FB5">
        <w:rPr>
          <w:rFonts w:eastAsia="Calibri" w:cs="Arial"/>
          <w:szCs w:val="24"/>
        </w:rPr>
        <w:tab/>
        <w:t>75</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II</w:t>
      </w:r>
      <w:r>
        <w:rPr>
          <w:rFonts w:eastAsia="Calibri" w:cs="Arial"/>
          <w:szCs w:val="24"/>
        </w:rPr>
        <w:t>-</w:t>
      </w:r>
      <w:r w:rsidRPr="009A2FB5">
        <w:rPr>
          <w:rFonts w:eastAsia="Calibri" w:cs="Arial"/>
          <w:szCs w:val="24"/>
        </w:rPr>
        <w:t xml:space="preserve">14 </w:t>
      </w:r>
      <w:r w:rsidRPr="009A2FB5">
        <w:rPr>
          <w:rFonts w:eastAsia="Calibri" w:cs="Arial"/>
          <w:szCs w:val="24"/>
        </w:rPr>
        <w:tab/>
        <w:t>OSHA Related Accident Trends 2011–2014</w:t>
      </w:r>
      <w:r w:rsidRPr="009A2FB5">
        <w:rPr>
          <w:rFonts w:eastAsia="Calibri" w:cs="Arial"/>
          <w:szCs w:val="24"/>
        </w:rPr>
        <w:tab/>
        <w:t>76</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II</w:t>
      </w:r>
      <w:r>
        <w:rPr>
          <w:rFonts w:eastAsia="Calibri" w:cs="Arial"/>
          <w:szCs w:val="24"/>
        </w:rPr>
        <w:t>-</w:t>
      </w:r>
      <w:r w:rsidRPr="009A2FB5">
        <w:rPr>
          <w:rFonts w:eastAsia="Calibri" w:cs="Arial"/>
          <w:szCs w:val="24"/>
        </w:rPr>
        <w:t xml:space="preserve">15 </w:t>
      </w:r>
      <w:r w:rsidRPr="009A2FB5">
        <w:rPr>
          <w:rFonts w:eastAsia="Calibri" w:cs="Arial"/>
          <w:szCs w:val="24"/>
        </w:rPr>
        <w:tab/>
        <w:t>DART Safety Targets and Performance for 2015 and 2016</w:t>
      </w:r>
      <w:r w:rsidRPr="009A2FB5">
        <w:rPr>
          <w:rFonts w:eastAsia="Calibri" w:cs="Arial"/>
          <w:szCs w:val="24"/>
        </w:rPr>
        <w:tab/>
        <w:t>77</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III</w:t>
      </w:r>
      <w:r>
        <w:rPr>
          <w:rFonts w:eastAsia="Calibri" w:cs="Arial"/>
          <w:szCs w:val="24"/>
        </w:rPr>
        <w:t>-</w:t>
      </w:r>
      <w:r w:rsidRPr="009A2FB5">
        <w:rPr>
          <w:rFonts w:eastAsia="Calibri" w:cs="Arial"/>
          <w:szCs w:val="24"/>
        </w:rPr>
        <w:t xml:space="preserve">1 </w:t>
      </w:r>
      <w:r w:rsidRPr="009A2FB5">
        <w:rPr>
          <w:rFonts w:eastAsia="Calibri" w:cs="Arial"/>
          <w:szCs w:val="24"/>
        </w:rPr>
        <w:tab/>
        <w:t>PPL Corporation Board Member Experience</w:t>
      </w:r>
      <w:r w:rsidRPr="009A2FB5">
        <w:rPr>
          <w:rFonts w:eastAsia="Calibri" w:cs="Arial"/>
          <w:szCs w:val="24"/>
        </w:rPr>
        <w:tab/>
        <w:t>97</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t>Exhibit III</w:t>
      </w:r>
      <w:r>
        <w:rPr>
          <w:rFonts w:eastAsia="Calibri" w:cs="Arial"/>
          <w:szCs w:val="24"/>
        </w:rPr>
        <w:t>-</w:t>
      </w:r>
      <w:r w:rsidRPr="009A2FB5">
        <w:rPr>
          <w:rFonts w:eastAsia="Calibri" w:cs="Arial"/>
          <w:szCs w:val="24"/>
        </w:rPr>
        <w:t xml:space="preserve">2 </w:t>
      </w:r>
      <w:r w:rsidRPr="009A2FB5">
        <w:rPr>
          <w:rFonts w:eastAsia="Calibri" w:cs="Arial"/>
          <w:szCs w:val="24"/>
        </w:rPr>
        <w:tab/>
        <w:t xml:space="preserve">Members of the Board of Directors or Managers (B) and </w:t>
      </w:r>
      <w:r>
        <w:rPr>
          <w:rFonts w:eastAsia="Calibri" w:cs="Arial"/>
          <w:szCs w:val="24"/>
        </w:rPr>
        <w:br/>
      </w:r>
      <w:r w:rsidRPr="009A2FB5">
        <w:rPr>
          <w:rFonts w:eastAsia="Calibri" w:cs="Arial"/>
          <w:szCs w:val="24"/>
        </w:rPr>
        <w:t>Officers (O) for PPL EU and Each of PPL EU’s Affiliates</w:t>
      </w:r>
      <w:r w:rsidRPr="009A2FB5">
        <w:rPr>
          <w:rFonts w:eastAsia="Calibri" w:cs="Arial"/>
          <w:szCs w:val="24"/>
        </w:rPr>
        <w:tab/>
        <w:t>99</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IV</w:t>
      </w:r>
      <w:r>
        <w:rPr>
          <w:rFonts w:eastAsia="Calibri" w:cs="Arial"/>
          <w:szCs w:val="24"/>
        </w:rPr>
        <w:t>-</w:t>
      </w:r>
      <w:r w:rsidRPr="009A2FB5">
        <w:rPr>
          <w:rFonts w:eastAsia="Calibri" w:cs="Arial"/>
          <w:szCs w:val="24"/>
        </w:rPr>
        <w:t xml:space="preserve">1 </w:t>
      </w:r>
      <w:r w:rsidRPr="009A2FB5">
        <w:rPr>
          <w:rFonts w:eastAsia="Calibri" w:cs="Arial"/>
          <w:szCs w:val="24"/>
        </w:rPr>
        <w:tab/>
        <w:t>PPL Corporation Legal Entity Structure</w:t>
      </w:r>
      <w:r w:rsidRPr="009A2FB5">
        <w:rPr>
          <w:rFonts w:eastAsia="Calibri" w:cs="Arial"/>
          <w:szCs w:val="24"/>
        </w:rPr>
        <w:tab/>
        <w:t>110</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t>Exhibit IV</w:t>
      </w:r>
      <w:r>
        <w:rPr>
          <w:rFonts w:eastAsia="Calibri" w:cs="Arial"/>
          <w:szCs w:val="24"/>
        </w:rPr>
        <w:t>-</w:t>
      </w:r>
      <w:r w:rsidRPr="009A2FB5">
        <w:rPr>
          <w:rFonts w:eastAsia="Calibri" w:cs="Arial"/>
          <w:szCs w:val="24"/>
        </w:rPr>
        <w:t xml:space="preserve">2 </w:t>
      </w:r>
      <w:r w:rsidRPr="009A2FB5">
        <w:rPr>
          <w:rFonts w:eastAsia="Calibri" w:cs="Arial"/>
          <w:szCs w:val="24"/>
        </w:rPr>
        <w:tab/>
        <w:t xml:space="preserve">Members of the Board of Directors or Managers (B) and </w:t>
      </w:r>
      <w:r>
        <w:rPr>
          <w:rFonts w:eastAsia="Calibri" w:cs="Arial"/>
          <w:szCs w:val="24"/>
        </w:rPr>
        <w:br/>
      </w:r>
      <w:r w:rsidRPr="009A2FB5">
        <w:rPr>
          <w:rFonts w:eastAsia="Calibri" w:cs="Arial"/>
          <w:szCs w:val="24"/>
        </w:rPr>
        <w:t>Officers (O) for PPL EU and Each of PPL EU’s Affiliates</w:t>
      </w:r>
      <w:r w:rsidRPr="009A2FB5">
        <w:rPr>
          <w:rFonts w:eastAsia="Calibri" w:cs="Arial"/>
          <w:szCs w:val="24"/>
        </w:rPr>
        <w:tab/>
        <w:t>123</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IV</w:t>
      </w:r>
      <w:r>
        <w:rPr>
          <w:rFonts w:eastAsia="Calibri" w:cs="Arial"/>
          <w:szCs w:val="24"/>
        </w:rPr>
        <w:t>-</w:t>
      </w:r>
      <w:r w:rsidRPr="009A2FB5">
        <w:rPr>
          <w:rFonts w:eastAsia="Calibri" w:cs="Arial"/>
          <w:szCs w:val="24"/>
        </w:rPr>
        <w:t xml:space="preserve">3 </w:t>
      </w:r>
      <w:r w:rsidRPr="009A2FB5">
        <w:rPr>
          <w:rFonts w:eastAsia="Calibri" w:cs="Arial"/>
          <w:szCs w:val="24"/>
        </w:rPr>
        <w:tab/>
        <w:t>2012 PPL SC Costs Allocated to PPL EU</w:t>
      </w:r>
      <w:r w:rsidRPr="009A2FB5">
        <w:rPr>
          <w:rFonts w:eastAsia="Calibri" w:cs="Arial"/>
          <w:szCs w:val="24"/>
        </w:rPr>
        <w:tab/>
        <w:t>126</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IV</w:t>
      </w:r>
      <w:r>
        <w:rPr>
          <w:rFonts w:eastAsia="Calibri" w:cs="Arial"/>
          <w:szCs w:val="24"/>
        </w:rPr>
        <w:t>-</w:t>
      </w:r>
      <w:r w:rsidRPr="009A2FB5">
        <w:rPr>
          <w:rFonts w:eastAsia="Calibri" w:cs="Arial"/>
          <w:szCs w:val="24"/>
        </w:rPr>
        <w:t xml:space="preserve">4 </w:t>
      </w:r>
      <w:r w:rsidRPr="009A2FB5">
        <w:rPr>
          <w:rFonts w:eastAsia="Calibri" w:cs="Arial"/>
          <w:szCs w:val="24"/>
        </w:rPr>
        <w:tab/>
        <w:t>2013 PPL SC Costs Allocated to PPL EU</w:t>
      </w:r>
      <w:r w:rsidRPr="009A2FB5">
        <w:rPr>
          <w:rFonts w:eastAsia="Calibri" w:cs="Arial"/>
          <w:szCs w:val="24"/>
        </w:rPr>
        <w:tab/>
        <w:t>127</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IV</w:t>
      </w:r>
      <w:r>
        <w:rPr>
          <w:rFonts w:eastAsia="Calibri" w:cs="Arial"/>
          <w:szCs w:val="24"/>
        </w:rPr>
        <w:t>-</w:t>
      </w:r>
      <w:r w:rsidRPr="009A2FB5">
        <w:rPr>
          <w:rFonts w:eastAsia="Calibri" w:cs="Arial"/>
          <w:szCs w:val="24"/>
        </w:rPr>
        <w:t xml:space="preserve">5 </w:t>
      </w:r>
      <w:r w:rsidRPr="009A2FB5">
        <w:rPr>
          <w:rFonts w:eastAsia="Calibri" w:cs="Arial"/>
          <w:szCs w:val="24"/>
        </w:rPr>
        <w:tab/>
        <w:t>2014 PPL SC Costs Allocated to PPL EU</w:t>
      </w:r>
      <w:r w:rsidRPr="009A2FB5">
        <w:rPr>
          <w:rFonts w:eastAsia="Calibri" w:cs="Arial"/>
          <w:szCs w:val="24"/>
        </w:rPr>
        <w:tab/>
        <w:t>127</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IV</w:t>
      </w:r>
      <w:r>
        <w:rPr>
          <w:rFonts w:eastAsia="Calibri" w:cs="Arial"/>
          <w:szCs w:val="24"/>
        </w:rPr>
        <w:t>-</w:t>
      </w:r>
      <w:r w:rsidRPr="009A2FB5">
        <w:rPr>
          <w:rFonts w:eastAsia="Calibri" w:cs="Arial"/>
          <w:szCs w:val="24"/>
        </w:rPr>
        <w:t xml:space="preserve">6 </w:t>
      </w:r>
      <w:r w:rsidRPr="009A2FB5">
        <w:rPr>
          <w:rFonts w:eastAsia="Calibri" w:cs="Arial"/>
          <w:szCs w:val="24"/>
        </w:rPr>
        <w:tab/>
        <w:t>2015 PPL SC Costs Allocated to PPL EU</w:t>
      </w:r>
      <w:r w:rsidRPr="009A2FB5">
        <w:rPr>
          <w:rFonts w:eastAsia="Calibri" w:cs="Arial"/>
          <w:szCs w:val="24"/>
        </w:rPr>
        <w:tab/>
        <w:t>128</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IV</w:t>
      </w:r>
      <w:r>
        <w:rPr>
          <w:rFonts w:eastAsia="Calibri" w:cs="Arial"/>
          <w:szCs w:val="24"/>
        </w:rPr>
        <w:t>-</w:t>
      </w:r>
      <w:r w:rsidRPr="009A2FB5">
        <w:rPr>
          <w:rFonts w:eastAsia="Calibri" w:cs="Arial"/>
          <w:szCs w:val="24"/>
        </w:rPr>
        <w:t xml:space="preserve">7 </w:t>
      </w:r>
      <w:r w:rsidRPr="009A2FB5">
        <w:rPr>
          <w:rFonts w:eastAsia="Calibri" w:cs="Arial"/>
          <w:szCs w:val="24"/>
        </w:rPr>
        <w:tab/>
        <w:t>PPL EU 2015 Payments to PPL EUS</w:t>
      </w:r>
      <w:r w:rsidRPr="009A2FB5">
        <w:rPr>
          <w:rFonts w:eastAsia="Calibri" w:cs="Arial"/>
          <w:szCs w:val="24"/>
        </w:rPr>
        <w:tab/>
        <w:t>128</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IV</w:t>
      </w:r>
      <w:r>
        <w:rPr>
          <w:rFonts w:eastAsia="Calibri" w:cs="Arial"/>
          <w:szCs w:val="24"/>
        </w:rPr>
        <w:t>-</w:t>
      </w:r>
      <w:r w:rsidRPr="009A2FB5">
        <w:rPr>
          <w:rFonts w:eastAsia="Calibri" w:cs="Arial"/>
          <w:szCs w:val="24"/>
        </w:rPr>
        <w:t xml:space="preserve">8 </w:t>
      </w:r>
      <w:r w:rsidRPr="009A2FB5">
        <w:rPr>
          <w:rFonts w:eastAsia="Calibri" w:cs="Arial"/>
          <w:szCs w:val="24"/>
        </w:rPr>
        <w:tab/>
        <w:t>PPL EU Payments to PPLSolutions by Service</w:t>
      </w:r>
      <w:r w:rsidRPr="009A2FB5">
        <w:rPr>
          <w:rFonts w:eastAsia="Calibri" w:cs="Arial"/>
          <w:szCs w:val="24"/>
        </w:rPr>
        <w:tab/>
        <w:t>129</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IV</w:t>
      </w:r>
      <w:r>
        <w:rPr>
          <w:rFonts w:eastAsia="Calibri" w:cs="Arial"/>
          <w:szCs w:val="24"/>
        </w:rPr>
        <w:t>-</w:t>
      </w:r>
      <w:r w:rsidRPr="009A2FB5">
        <w:rPr>
          <w:rFonts w:eastAsia="Calibri" w:cs="Arial"/>
          <w:szCs w:val="24"/>
        </w:rPr>
        <w:t xml:space="preserve">9 </w:t>
      </w:r>
      <w:r w:rsidRPr="009A2FB5">
        <w:rPr>
          <w:rFonts w:eastAsia="Calibri" w:cs="Arial"/>
          <w:szCs w:val="24"/>
        </w:rPr>
        <w:tab/>
        <w:t>PPL EU Transactions with CEP Commerce</w:t>
      </w:r>
      <w:r w:rsidRPr="009A2FB5">
        <w:rPr>
          <w:rFonts w:eastAsia="Calibri" w:cs="Arial"/>
          <w:szCs w:val="24"/>
        </w:rPr>
        <w:tab/>
        <w:t>129</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IV</w:t>
      </w:r>
      <w:r>
        <w:rPr>
          <w:rFonts w:eastAsia="Calibri" w:cs="Arial"/>
          <w:szCs w:val="24"/>
        </w:rPr>
        <w:t>-</w:t>
      </w:r>
      <w:r w:rsidRPr="009A2FB5">
        <w:rPr>
          <w:rFonts w:eastAsia="Calibri" w:cs="Arial"/>
          <w:szCs w:val="24"/>
        </w:rPr>
        <w:t xml:space="preserve">10 </w:t>
      </w:r>
      <w:r w:rsidRPr="009A2FB5">
        <w:rPr>
          <w:rFonts w:eastAsia="Calibri" w:cs="Arial"/>
          <w:szCs w:val="24"/>
        </w:rPr>
        <w:tab/>
        <w:t>PPL EU Charges to Affiliates for Rent</w:t>
      </w:r>
      <w:r w:rsidRPr="009A2FB5">
        <w:rPr>
          <w:rFonts w:eastAsia="Calibri" w:cs="Arial"/>
          <w:szCs w:val="24"/>
        </w:rPr>
        <w:tab/>
        <w:t>130</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IV</w:t>
      </w:r>
      <w:r>
        <w:rPr>
          <w:rFonts w:eastAsia="Calibri" w:cs="Arial"/>
          <w:szCs w:val="24"/>
        </w:rPr>
        <w:t>-</w:t>
      </w:r>
      <w:r w:rsidRPr="009A2FB5">
        <w:rPr>
          <w:rFonts w:eastAsia="Calibri" w:cs="Arial"/>
          <w:szCs w:val="24"/>
        </w:rPr>
        <w:t xml:space="preserve">11 </w:t>
      </w:r>
      <w:r w:rsidRPr="009A2FB5">
        <w:rPr>
          <w:rFonts w:eastAsia="Calibri" w:cs="Arial"/>
          <w:szCs w:val="24"/>
        </w:rPr>
        <w:tab/>
        <w:t>PPL EU Charges to Affiliates for Facilities Services</w:t>
      </w:r>
      <w:r w:rsidRPr="009A2FB5">
        <w:rPr>
          <w:rFonts w:eastAsia="Calibri" w:cs="Arial"/>
          <w:szCs w:val="24"/>
        </w:rPr>
        <w:tab/>
        <w:t>130</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IV</w:t>
      </w:r>
      <w:r>
        <w:rPr>
          <w:rFonts w:eastAsia="Calibri" w:cs="Arial"/>
          <w:szCs w:val="24"/>
        </w:rPr>
        <w:t>-</w:t>
      </w:r>
      <w:r w:rsidRPr="009A2FB5">
        <w:rPr>
          <w:rFonts w:eastAsia="Calibri" w:cs="Arial"/>
          <w:szCs w:val="24"/>
        </w:rPr>
        <w:t xml:space="preserve">12 </w:t>
      </w:r>
      <w:r w:rsidRPr="009A2FB5">
        <w:rPr>
          <w:rFonts w:eastAsia="Calibri" w:cs="Arial"/>
          <w:szCs w:val="24"/>
        </w:rPr>
        <w:tab/>
        <w:t>PPL EU Payments to Affiliate Service Companies</w:t>
      </w:r>
      <w:r w:rsidRPr="009A2FB5">
        <w:rPr>
          <w:rFonts w:eastAsia="Calibri" w:cs="Arial"/>
          <w:szCs w:val="24"/>
        </w:rPr>
        <w:tab/>
        <w:t>131</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IV</w:t>
      </w:r>
      <w:r>
        <w:rPr>
          <w:rFonts w:eastAsia="Calibri" w:cs="Arial"/>
          <w:szCs w:val="24"/>
        </w:rPr>
        <w:t>-</w:t>
      </w:r>
      <w:r w:rsidRPr="009A2FB5">
        <w:rPr>
          <w:rFonts w:eastAsia="Calibri" w:cs="Arial"/>
          <w:szCs w:val="24"/>
        </w:rPr>
        <w:t xml:space="preserve">13 </w:t>
      </w:r>
      <w:r w:rsidRPr="009A2FB5">
        <w:rPr>
          <w:rFonts w:eastAsia="Calibri" w:cs="Arial"/>
          <w:szCs w:val="24"/>
        </w:rPr>
        <w:tab/>
        <w:t>PPL SC Direct and Indirect Charges to PPL EU</w:t>
      </w:r>
      <w:r w:rsidRPr="009A2FB5">
        <w:rPr>
          <w:rFonts w:eastAsia="Calibri" w:cs="Arial"/>
          <w:szCs w:val="24"/>
        </w:rPr>
        <w:tab/>
        <w:t>131</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lastRenderedPageBreak/>
        <w:t>Exhibit V</w:t>
      </w:r>
      <w:r>
        <w:rPr>
          <w:rFonts w:eastAsia="Calibri" w:cs="Arial"/>
          <w:szCs w:val="24"/>
        </w:rPr>
        <w:t>-</w:t>
      </w:r>
      <w:r w:rsidRPr="009A2FB5">
        <w:rPr>
          <w:rFonts w:eastAsia="Calibri" w:cs="Arial"/>
          <w:szCs w:val="24"/>
        </w:rPr>
        <w:t xml:space="preserve">1 </w:t>
      </w:r>
      <w:r w:rsidRPr="009A2FB5">
        <w:rPr>
          <w:rFonts w:eastAsia="Calibri" w:cs="Arial"/>
          <w:szCs w:val="24"/>
        </w:rPr>
        <w:tab/>
        <w:t>PPL SC Financial and Corporate Audit Organization Chart</w:t>
      </w:r>
      <w:r w:rsidRPr="009A2FB5">
        <w:rPr>
          <w:rFonts w:eastAsia="Calibri" w:cs="Arial"/>
          <w:szCs w:val="24"/>
        </w:rPr>
        <w:tab/>
        <w:t>164</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V</w:t>
      </w:r>
      <w:r>
        <w:rPr>
          <w:rFonts w:eastAsia="Calibri" w:cs="Arial"/>
          <w:szCs w:val="24"/>
        </w:rPr>
        <w:t>-</w:t>
      </w:r>
      <w:r w:rsidRPr="009A2FB5">
        <w:rPr>
          <w:rFonts w:eastAsia="Calibri" w:cs="Arial"/>
          <w:szCs w:val="24"/>
        </w:rPr>
        <w:t xml:space="preserve">2 </w:t>
      </w:r>
      <w:r w:rsidRPr="009A2FB5">
        <w:rPr>
          <w:rFonts w:eastAsia="Calibri" w:cs="Arial"/>
          <w:szCs w:val="24"/>
        </w:rPr>
        <w:tab/>
        <w:t>PPL EU Long-Term Debt as of December 31, 2014</w:t>
      </w:r>
      <w:r w:rsidRPr="009A2FB5">
        <w:rPr>
          <w:rFonts w:eastAsia="Calibri" w:cs="Arial"/>
          <w:szCs w:val="24"/>
        </w:rPr>
        <w:tab/>
        <w:t>169</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V</w:t>
      </w:r>
      <w:r>
        <w:rPr>
          <w:rFonts w:eastAsia="Calibri" w:cs="Arial"/>
          <w:szCs w:val="24"/>
        </w:rPr>
        <w:t>-</w:t>
      </w:r>
      <w:r w:rsidRPr="009A2FB5">
        <w:rPr>
          <w:rFonts w:eastAsia="Calibri" w:cs="Arial"/>
          <w:szCs w:val="24"/>
        </w:rPr>
        <w:t xml:space="preserve">3 </w:t>
      </w:r>
      <w:r w:rsidRPr="009A2FB5">
        <w:rPr>
          <w:rFonts w:eastAsia="Calibri" w:cs="Arial"/>
          <w:szCs w:val="24"/>
        </w:rPr>
        <w:tab/>
        <w:t>PPL Credit Ratings – October 15, 2015</w:t>
      </w:r>
      <w:r w:rsidRPr="009A2FB5">
        <w:rPr>
          <w:rFonts w:eastAsia="Calibri" w:cs="Arial"/>
          <w:szCs w:val="24"/>
        </w:rPr>
        <w:tab/>
        <w:t>170</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V</w:t>
      </w:r>
      <w:r>
        <w:rPr>
          <w:rFonts w:eastAsia="Calibri" w:cs="Arial"/>
          <w:szCs w:val="24"/>
        </w:rPr>
        <w:t>-</w:t>
      </w:r>
      <w:r w:rsidRPr="009A2FB5">
        <w:rPr>
          <w:rFonts w:eastAsia="Calibri" w:cs="Arial"/>
          <w:szCs w:val="24"/>
        </w:rPr>
        <w:t xml:space="preserve">4 </w:t>
      </w:r>
      <w:r w:rsidRPr="009A2FB5">
        <w:rPr>
          <w:rFonts w:eastAsia="Calibri" w:cs="Arial"/>
          <w:szCs w:val="24"/>
        </w:rPr>
        <w:tab/>
        <w:t>Credit Ratings and Applicable Interest Rates</w:t>
      </w:r>
      <w:r w:rsidRPr="009A2FB5">
        <w:rPr>
          <w:rFonts w:eastAsia="Calibri" w:cs="Arial"/>
          <w:szCs w:val="24"/>
        </w:rPr>
        <w:tab/>
        <w:t>172</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V</w:t>
      </w:r>
      <w:r>
        <w:rPr>
          <w:rFonts w:eastAsia="Calibri" w:cs="Arial"/>
          <w:szCs w:val="24"/>
        </w:rPr>
        <w:t>-</w:t>
      </w:r>
      <w:r w:rsidRPr="009A2FB5">
        <w:rPr>
          <w:rFonts w:eastAsia="Calibri" w:cs="Arial"/>
          <w:szCs w:val="24"/>
        </w:rPr>
        <w:t xml:space="preserve">5 </w:t>
      </w:r>
      <w:r w:rsidRPr="009A2FB5">
        <w:rPr>
          <w:rFonts w:eastAsia="Calibri" w:cs="Arial"/>
          <w:szCs w:val="24"/>
        </w:rPr>
        <w:tab/>
        <w:t>$300,000,000 Revolving Credit Agreement Commitments</w:t>
      </w:r>
      <w:r w:rsidRPr="009A2FB5">
        <w:rPr>
          <w:rFonts w:eastAsia="Calibri" w:cs="Arial"/>
          <w:szCs w:val="24"/>
        </w:rPr>
        <w:tab/>
        <w:t>173</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t>Exhibit V</w:t>
      </w:r>
      <w:r>
        <w:rPr>
          <w:rFonts w:eastAsia="Calibri" w:cs="Arial"/>
          <w:szCs w:val="24"/>
        </w:rPr>
        <w:t>-</w:t>
      </w:r>
      <w:r w:rsidRPr="009A2FB5">
        <w:rPr>
          <w:rFonts w:eastAsia="Calibri" w:cs="Arial"/>
          <w:szCs w:val="24"/>
        </w:rPr>
        <w:t xml:space="preserve">6 </w:t>
      </w:r>
      <w:r w:rsidRPr="009A2FB5">
        <w:rPr>
          <w:rFonts w:eastAsia="Calibri" w:cs="Arial"/>
          <w:szCs w:val="24"/>
        </w:rPr>
        <w:tab/>
        <w:t xml:space="preserve">PPL EU Dividends and PPL Capital Contributions </w:t>
      </w:r>
      <w:r>
        <w:rPr>
          <w:rFonts w:eastAsia="Calibri" w:cs="Arial"/>
          <w:szCs w:val="24"/>
        </w:rPr>
        <w:t>F</w:t>
      </w:r>
      <w:r w:rsidRPr="009A2FB5">
        <w:rPr>
          <w:rFonts w:eastAsia="Calibri" w:cs="Arial"/>
          <w:szCs w:val="24"/>
        </w:rPr>
        <w:t xml:space="preserve">or the </w:t>
      </w:r>
      <w:r>
        <w:rPr>
          <w:rFonts w:eastAsia="Calibri" w:cs="Arial"/>
          <w:szCs w:val="24"/>
        </w:rPr>
        <w:t>P</w:t>
      </w:r>
      <w:r w:rsidRPr="009A2FB5">
        <w:rPr>
          <w:rFonts w:eastAsia="Calibri" w:cs="Arial"/>
          <w:szCs w:val="24"/>
        </w:rPr>
        <w:t xml:space="preserve">ast </w:t>
      </w:r>
      <w:r>
        <w:rPr>
          <w:rFonts w:eastAsia="Calibri" w:cs="Arial"/>
          <w:szCs w:val="24"/>
        </w:rPr>
        <w:br/>
        <w:t>F</w:t>
      </w:r>
      <w:r w:rsidRPr="009A2FB5">
        <w:rPr>
          <w:rFonts w:eastAsia="Calibri" w:cs="Arial"/>
          <w:szCs w:val="24"/>
        </w:rPr>
        <w:t xml:space="preserve">ive </w:t>
      </w:r>
      <w:r>
        <w:rPr>
          <w:rFonts w:eastAsia="Calibri" w:cs="Arial"/>
          <w:szCs w:val="24"/>
        </w:rPr>
        <w:t>Y</w:t>
      </w:r>
      <w:r w:rsidRPr="009A2FB5">
        <w:rPr>
          <w:rFonts w:eastAsia="Calibri" w:cs="Arial"/>
          <w:szCs w:val="24"/>
        </w:rPr>
        <w:t>ears (2010–2014)</w:t>
      </w:r>
      <w:r w:rsidRPr="009A2FB5">
        <w:rPr>
          <w:rFonts w:eastAsia="Calibri" w:cs="Arial"/>
          <w:szCs w:val="24"/>
        </w:rPr>
        <w:tab/>
        <w:t>176</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V</w:t>
      </w:r>
      <w:r>
        <w:rPr>
          <w:rFonts w:eastAsia="Calibri" w:cs="Arial"/>
          <w:szCs w:val="24"/>
        </w:rPr>
        <w:t>-</w:t>
      </w:r>
      <w:r w:rsidRPr="009A2FB5">
        <w:rPr>
          <w:rFonts w:eastAsia="Calibri" w:cs="Arial"/>
          <w:szCs w:val="24"/>
        </w:rPr>
        <w:t xml:space="preserve">7 </w:t>
      </w:r>
      <w:r w:rsidRPr="009A2FB5">
        <w:rPr>
          <w:rFonts w:eastAsia="Calibri" w:cs="Arial"/>
          <w:szCs w:val="24"/>
        </w:rPr>
        <w:tab/>
        <w:t>PPL EUS Finance and Regulatory Affairs Organization Chart</w:t>
      </w:r>
      <w:r w:rsidRPr="009A2FB5">
        <w:rPr>
          <w:rFonts w:eastAsia="Calibri" w:cs="Arial"/>
          <w:szCs w:val="24"/>
        </w:rPr>
        <w:tab/>
        <w:t>179</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V</w:t>
      </w:r>
      <w:r>
        <w:rPr>
          <w:rFonts w:eastAsia="Calibri" w:cs="Arial"/>
          <w:szCs w:val="24"/>
        </w:rPr>
        <w:t>-</w:t>
      </w:r>
      <w:r w:rsidRPr="009A2FB5">
        <w:rPr>
          <w:rFonts w:eastAsia="Calibri" w:cs="Arial"/>
          <w:szCs w:val="24"/>
        </w:rPr>
        <w:t xml:space="preserve">8 </w:t>
      </w:r>
      <w:r w:rsidRPr="009A2FB5">
        <w:rPr>
          <w:rFonts w:eastAsia="Calibri" w:cs="Arial"/>
          <w:szCs w:val="24"/>
        </w:rPr>
        <w:tab/>
        <w:t>PPL Electric Customer Rate Riders</w:t>
      </w:r>
      <w:r w:rsidRPr="009A2FB5">
        <w:rPr>
          <w:rFonts w:eastAsia="Calibri" w:cs="Arial"/>
          <w:szCs w:val="24"/>
        </w:rPr>
        <w:tab/>
        <w:t>180</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V</w:t>
      </w:r>
      <w:r>
        <w:rPr>
          <w:rFonts w:eastAsia="Calibri" w:cs="Arial"/>
          <w:szCs w:val="24"/>
        </w:rPr>
        <w:t>-</w:t>
      </w:r>
      <w:r w:rsidRPr="009A2FB5">
        <w:rPr>
          <w:rFonts w:eastAsia="Calibri" w:cs="Arial"/>
          <w:szCs w:val="24"/>
        </w:rPr>
        <w:t xml:space="preserve">9 </w:t>
      </w:r>
      <w:r w:rsidRPr="009A2FB5">
        <w:rPr>
          <w:rFonts w:eastAsia="Calibri" w:cs="Arial"/>
          <w:szCs w:val="24"/>
        </w:rPr>
        <w:tab/>
        <w:t>Accounting Policies and Procedures</w:t>
      </w:r>
      <w:r w:rsidRPr="009A2FB5">
        <w:rPr>
          <w:rFonts w:eastAsia="Calibri" w:cs="Arial"/>
          <w:szCs w:val="24"/>
        </w:rPr>
        <w:tab/>
        <w:t>184</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V</w:t>
      </w:r>
      <w:r>
        <w:rPr>
          <w:rFonts w:eastAsia="Calibri" w:cs="Arial"/>
          <w:szCs w:val="24"/>
        </w:rPr>
        <w:t>-</w:t>
      </w:r>
      <w:r w:rsidRPr="009A2FB5">
        <w:rPr>
          <w:rFonts w:eastAsia="Calibri" w:cs="Arial"/>
          <w:szCs w:val="24"/>
        </w:rPr>
        <w:t xml:space="preserve">10 </w:t>
      </w:r>
      <w:r w:rsidRPr="009A2FB5">
        <w:rPr>
          <w:rFonts w:eastAsia="Calibri" w:cs="Arial"/>
          <w:szCs w:val="24"/>
        </w:rPr>
        <w:tab/>
        <w:t>PPL EU Net Payment to PPL Corporation</w:t>
      </w:r>
      <w:r w:rsidRPr="009A2FB5">
        <w:rPr>
          <w:rFonts w:eastAsia="Calibri" w:cs="Arial"/>
          <w:szCs w:val="24"/>
        </w:rPr>
        <w:tab/>
        <w:t>187</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t>Exhibit V</w:t>
      </w:r>
      <w:r>
        <w:rPr>
          <w:rFonts w:eastAsia="Calibri" w:cs="Arial"/>
          <w:szCs w:val="24"/>
        </w:rPr>
        <w:t>-</w:t>
      </w:r>
      <w:r w:rsidRPr="009A2FB5">
        <w:rPr>
          <w:rFonts w:eastAsia="Calibri" w:cs="Arial"/>
          <w:szCs w:val="24"/>
        </w:rPr>
        <w:t xml:space="preserve">11 </w:t>
      </w:r>
      <w:r w:rsidRPr="009A2FB5">
        <w:rPr>
          <w:rFonts w:eastAsia="Calibri" w:cs="Arial"/>
          <w:szCs w:val="24"/>
        </w:rPr>
        <w:tab/>
        <w:t xml:space="preserve">Distribution Aged Completed Construction Not Classified Asset </w:t>
      </w:r>
      <w:r>
        <w:rPr>
          <w:rFonts w:eastAsia="Calibri" w:cs="Arial"/>
          <w:szCs w:val="24"/>
        </w:rPr>
        <w:br/>
      </w:r>
      <w:r w:rsidRPr="009A2FB5">
        <w:rPr>
          <w:rFonts w:eastAsia="Calibri" w:cs="Arial"/>
          <w:szCs w:val="24"/>
        </w:rPr>
        <w:t>Values as of July 31, 2015</w:t>
      </w:r>
      <w:r w:rsidRPr="009A2FB5">
        <w:rPr>
          <w:rFonts w:eastAsia="Calibri" w:cs="Arial"/>
          <w:szCs w:val="24"/>
        </w:rPr>
        <w:tab/>
        <w:t>188</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VI</w:t>
      </w:r>
      <w:r>
        <w:rPr>
          <w:rFonts w:eastAsia="Calibri" w:cs="Arial"/>
          <w:szCs w:val="24"/>
        </w:rPr>
        <w:t>-</w:t>
      </w:r>
      <w:r w:rsidRPr="009A2FB5">
        <w:rPr>
          <w:rFonts w:eastAsia="Calibri" w:cs="Arial"/>
          <w:szCs w:val="24"/>
        </w:rPr>
        <w:t xml:space="preserve">1 </w:t>
      </w:r>
      <w:r w:rsidRPr="009A2FB5">
        <w:rPr>
          <w:rFonts w:eastAsia="Calibri" w:cs="Arial"/>
          <w:szCs w:val="24"/>
        </w:rPr>
        <w:tab/>
        <w:t>PPL Electric Utilities Service Territory</w:t>
      </w:r>
      <w:r w:rsidRPr="009A2FB5">
        <w:rPr>
          <w:rFonts w:eastAsia="Calibri" w:cs="Arial"/>
          <w:szCs w:val="24"/>
        </w:rPr>
        <w:tab/>
        <w:t>190</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VI</w:t>
      </w:r>
      <w:r>
        <w:rPr>
          <w:rFonts w:eastAsia="Calibri" w:cs="Arial"/>
          <w:szCs w:val="24"/>
        </w:rPr>
        <w:t>-</w:t>
      </w:r>
      <w:r w:rsidRPr="009A2FB5">
        <w:rPr>
          <w:rFonts w:eastAsia="Calibri" w:cs="Arial"/>
          <w:szCs w:val="24"/>
        </w:rPr>
        <w:t xml:space="preserve">2 </w:t>
      </w:r>
      <w:r w:rsidRPr="009A2FB5">
        <w:rPr>
          <w:rFonts w:eastAsia="Calibri" w:cs="Arial"/>
          <w:szCs w:val="24"/>
        </w:rPr>
        <w:tab/>
        <w:t>PPL EU Annual Energy and Demand 2010–2014</w:t>
      </w:r>
      <w:r w:rsidRPr="009A2FB5">
        <w:rPr>
          <w:rFonts w:eastAsia="Calibri" w:cs="Arial"/>
          <w:szCs w:val="24"/>
        </w:rPr>
        <w:tab/>
        <w:t>191</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VI</w:t>
      </w:r>
      <w:r>
        <w:rPr>
          <w:rFonts w:eastAsia="Calibri" w:cs="Arial"/>
          <w:szCs w:val="24"/>
        </w:rPr>
        <w:t>-</w:t>
      </w:r>
      <w:r w:rsidRPr="009A2FB5">
        <w:rPr>
          <w:rFonts w:eastAsia="Calibri" w:cs="Arial"/>
          <w:szCs w:val="24"/>
        </w:rPr>
        <w:t xml:space="preserve">3 </w:t>
      </w:r>
      <w:r w:rsidRPr="009A2FB5">
        <w:rPr>
          <w:rFonts w:eastAsia="Calibri" w:cs="Arial"/>
          <w:szCs w:val="24"/>
        </w:rPr>
        <w:tab/>
        <w:t>PPL Electric Utilities Organization Structure</w:t>
      </w:r>
      <w:r w:rsidRPr="009A2FB5">
        <w:rPr>
          <w:rFonts w:eastAsia="Calibri" w:cs="Arial"/>
          <w:szCs w:val="24"/>
        </w:rPr>
        <w:tab/>
        <w:t>192</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t>Exhibit VI</w:t>
      </w:r>
      <w:r>
        <w:rPr>
          <w:rFonts w:eastAsia="Calibri" w:cs="Arial"/>
          <w:szCs w:val="24"/>
        </w:rPr>
        <w:t>-</w:t>
      </w:r>
      <w:r w:rsidRPr="009A2FB5">
        <w:rPr>
          <w:rFonts w:eastAsia="Calibri" w:cs="Arial"/>
          <w:szCs w:val="24"/>
        </w:rPr>
        <w:t xml:space="preserve">4 </w:t>
      </w:r>
      <w:r w:rsidRPr="009A2FB5">
        <w:rPr>
          <w:rFonts w:eastAsia="Calibri" w:cs="Arial"/>
          <w:szCs w:val="24"/>
        </w:rPr>
        <w:tab/>
        <w:t xml:space="preserve">PPL EU Transmission and Substations O&amp;M Spending </w:t>
      </w:r>
      <w:r>
        <w:rPr>
          <w:rFonts w:eastAsia="Calibri" w:cs="Arial"/>
          <w:szCs w:val="24"/>
        </w:rPr>
        <w:br/>
      </w:r>
      <w:r w:rsidRPr="009A2FB5">
        <w:rPr>
          <w:rFonts w:eastAsia="Calibri" w:cs="Arial"/>
          <w:szCs w:val="24"/>
        </w:rPr>
        <w:t>2011–2015</w:t>
      </w:r>
      <w:r w:rsidRPr="009A2FB5">
        <w:rPr>
          <w:rFonts w:eastAsia="Calibri" w:cs="Arial"/>
          <w:szCs w:val="24"/>
        </w:rPr>
        <w:tab/>
        <w:t>193</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t>Exhibit VI</w:t>
      </w:r>
      <w:r>
        <w:rPr>
          <w:rFonts w:eastAsia="Calibri" w:cs="Arial"/>
          <w:szCs w:val="24"/>
        </w:rPr>
        <w:t>-</w:t>
      </w:r>
      <w:r w:rsidRPr="009A2FB5">
        <w:rPr>
          <w:rFonts w:eastAsia="Calibri" w:cs="Arial"/>
          <w:szCs w:val="24"/>
        </w:rPr>
        <w:t xml:space="preserve">5 </w:t>
      </w:r>
      <w:r w:rsidRPr="009A2FB5">
        <w:rPr>
          <w:rFonts w:eastAsia="Calibri" w:cs="Arial"/>
          <w:szCs w:val="24"/>
        </w:rPr>
        <w:tab/>
        <w:t xml:space="preserve">PPL EU Transmission and Substations Capital Spending </w:t>
      </w:r>
      <w:r>
        <w:rPr>
          <w:rFonts w:eastAsia="Calibri" w:cs="Arial"/>
          <w:szCs w:val="24"/>
        </w:rPr>
        <w:br/>
      </w:r>
      <w:r w:rsidRPr="009A2FB5">
        <w:rPr>
          <w:rFonts w:eastAsia="Calibri" w:cs="Arial"/>
          <w:szCs w:val="24"/>
        </w:rPr>
        <w:t>2011–2015</w:t>
      </w:r>
      <w:r w:rsidRPr="009A2FB5">
        <w:rPr>
          <w:rFonts w:eastAsia="Calibri" w:cs="Arial"/>
          <w:szCs w:val="24"/>
        </w:rPr>
        <w:tab/>
        <w:t>193</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VI</w:t>
      </w:r>
      <w:r>
        <w:rPr>
          <w:rFonts w:eastAsia="Calibri" w:cs="Arial"/>
          <w:szCs w:val="24"/>
        </w:rPr>
        <w:t>-</w:t>
      </w:r>
      <w:r w:rsidRPr="009A2FB5">
        <w:rPr>
          <w:rFonts w:eastAsia="Calibri" w:cs="Arial"/>
          <w:szCs w:val="24"/>
        </w:rPr>
        <w:t xml:space="preserve">6 </w:t>
      </w:r>
      <w:r w:rsidRPr="009A2FB5">
        <w:rPr>
          <w:rFonts w:eastAsia="Calibri" w:cs="Arial"/>
          <w:szCs w:val="24"/>
        </w:rPr>
        <w:tab/>
        <w:t>Transmission and Substations Organization Structure</w:t>
      </w:r>
      <w:r w:rsidRPr="009A2FB5">
        <w:rPr>
          <w:rFonts w:eastAsia="Calibri" w:cs="Arial"/>
          <w:szCs w:val="24"/>
        </w:rPr>
        <w:tab/>
        <w:t>194</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VI</w:t>
      </w:r>
      <w:r>
        <w:rPr>
          <w:rFonts w:eastAsia="Calibri" w:cs="Arial"/>
          <w:szCs w:val="24"/>
        </w:rPr>
        <w:t>-</w:t>
      </w:r>
      <w:r w:rsidRPr="009A2FB5">
        <w:rPr>
          <w:rFonts w:eastAsia="Calibri" w:cs="Arial"/>
          <w:szCs w:val="24"/>
        </w:rPr>
        <w:t xml:space="preserve">7 </w:t>
      </w:r>
      <w:r w:rsidRPr="009A2FB5">
        <w:rPr>
          <w:rFonts w:eastAsia="Calibri" w:cs="Arial"/>
          <w:szCs w:val="24"/>
        </w:rPr>
        <w:tab/>
        <w:t>Asset Management Organization Structure</w:t>
      </w:r>
      <w:r w:rsidRPr="009A2FB5">
        <w:rPr>
          <w:rFonts w:eastAsia="Calibri" w:cs="Arial"/>
          <w:szCs w:val="24"/>
        </w:rPr>
        <w:tab/>
        <w:t>194</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VI</w:t>
      </w:r>
      <w:r>
        <w:rPr>
          <w:rFonts w:eastAsia="Calibri" w:cs="Arial"/>
          <w:szCs w:val="24"/>
        </w:rPr>
        <w:t>-</w:t>
      </w:r>
      <w:r w:rsidRPr="009A2FB5">
        <w:rPr>
          <w:rFonts w:eastAsia="Calibri" w:cs="Arial"/>
          <w:szCs w:val="24"/>
        </w:rPr>
        <w:t xml:space="preserve">8 </w:t>
      </w:r>
      <w:r w:rsidRPr="009A2FB5">
        <w:rPr>
          <w:rFonts w:eastAsia="Calibri" w:cs="Arial"/>
          <w:szCs w:val="24"/>
        </w:rPr>
        <w:tab/>
        <w:t>Engineering Organization Structure</w:t>
      </w:r>
      <w:r w:rsidRPr="009A2FB5">
        <w:rPr>
          <w:rFonts w:eastAsia="Calibri" w:cs="Arial"/>
          <w:szCs w:val="24"/>
        </w:rPr>
        <w:tab/>
        <w:t>198</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VI</w:t>
      </w:r>
      <w:r>
        <w:rPr>
          <w:rFonts w:eastAsia="Calibri" w:cs="Arial"/>
          <w:szCs w:val="24"/>
        </w:rPr>
        <w:t>-</w:t>
      </w:r>
      <w:r w:rsidRPr="009A2FB5">
        <w:rPr>
          <w:rFonts w:eastAsia="Calibri" w:cs="Arial"/>
          <w:szCs w:val="24"/>
        </w:rPr>
        <w:t xml:space="preserve">9 </w:t>
      </w:r>
      <w:r w:rsidRPr="009A2FB5">
        <w:rPr>
          <w:rFonts w:eastAsia="Calibri" w:cs="Arial"/>
          <w:szCs w:val="24"/>
        </w:rPr>
        <w:tab/>
        <w:t>Project Management Organization Structure</w:t>
      </w:r>
      <w:r w:rsidRPr="009A2FB5">
        <w:rPr>
          <w:rFonts w:eastAsia="Calibri" w:cs="Arial"/>
          <w:szCs w:val="24"/>
        </w:rPr>
        <w:tab/>
        <w:t>199</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VI</w:t>
      </w:r>
      <w:r>
        <w:rPr>
          <w:rFonts w:eastAsia="Calibri" w:cs="Arial"/>
          <w:szCs w:val="24"/>
        </w:rPr>
        <w:t>-</w:t>
      </w:r>
      <w:r w:rsidRPr="009A2FB5">
        <w:rPr>
          <w:rFonts w:eastAsia="Calibri" w:cs="Arial"/>
          <w:szCs w:val="24"/>
        </w:rPr>
        <w:t xml:space="preserve">10 </w:t>
      </w:r>
      <w:r w:rsidRPr="009A2FB5">
        <w:rPr>
          <w:rFonts w:eastAsia="Calibri" w:cs="Arial"/>
          <w:szCs w:val="24"/>
        </w:rPr>
        <w:tab/>
        <w:t>Transmission Expansion Organization Structure</w:t>
      </w:r>
      <w:r w:rsidRPr="009A2FB5">
        <w:rPr>
          <w:rFonts w:eastAsia="Calibri" w:cs="Arial"/>
          <w:szCs w:val="24"/>
        </w:rPr>
        <w:tab/>
        <w:t>200</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VI</w:t>
      </w:r>
      <w:r>
        <w:rPr>
          <w:rFonts w:eastAsia="Calibri" w:cs="Arial"/>
          <w:szCs w:val="24"/>
        </w:rPr>
        <w:t>-</w:t>
      </w:r>
      <w:r w:rsidRPr="009A2FB5">
        <w:rPr>
          <w:rFonts w:eastAsia="Calibri" w:cs="Arial"/>
          <w:szCs w:val="24"/>
        </w:rPr>
        <w:t xml:space="preserve">11 </w:t>
      </w:r>
      <w:r w:rsidRPr="009A2FB5">
        <w:rPr>
          <w:rFonts w:eastAsia="Calibri" w:cs="Arial"/>
          <w:szCs w:val="24"/>
        </w:rPr>
        <w:tab/>
        <w:t>Transmission Operations Organization Structure</w:t>
      </w:r>
      <w:r w:rsidRPr="009A2FB5">
        <w:rPr>
          <w:rFonts w:eastAsia="Calibri" w:cs="Arial"/>
          <w:szCs w:val="24"/>
        </w:rPr>
        <w:tab/>
        <w:t>201</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VI</w:t>
      </w:r>
      <w:r>
        <w:rPr>
          <w:rFonts w:eastAsia="Calibri" w:cs="Arial"/>
          <w:szCs w:val="24"/>
        </w:rPr>
        <w:t>-</w:t>
      </w:r>
      <w:r w:rsidRPr="009A2FB5">
        <w:rPr>
          <w:rFonts w:eastAsia="Calibri" w:cs="Arial"/>
          <w:szCs w:val="24"/>
        </w:rPr>
        <w:t xml:space="preserve">12 </w:t>
      </w:r>
      <w:r w:rsidRPr="009A2FB5">
        <w:rPr>
          <w:rFonts w:eastAsia="Calibri" w:cs="Arial"/>
          <w:szCs w:val="24"/>
        </w:rPr>
        <w:tab/>
        <w:t>T&amp;S Reliability Compliance Organization Structure</w:t>
      </w:r>
      <w:r w:rsidRPr="009A2FB5">
        <w:rPr>
          <w:rFonts w:eastAsia="Calibri" w:cs="Arial"/>
          <w:szCs w:val="24"/>
        </w:rPr>
        <w:tab/>
        <w:t>202</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VI</w:t>
      </w:r>
      <w:r>
        <w:rPr>
          <w:rFonts w:eastAsia="Calibri" w:cs="Arial"/>
          <w:szCs w:val="24"/>
        </w:rPr>
        <w:t>-</w:t>
      </w:r>
      <w:r w:rsidRPr="009A2FB5">
        <w:rPr>
          <w:rFonts w:eastAsia="Calibri" w:cs="Arial"/>
          <w:szCs w:val="24"/>
        </w:rPr>
        <w:t xml:space="preserve">13 </w:t>
      </w:r>
      <w:r w:rsidRPr="009A2FB5">
        <w:rPr>
          <w:rFonts w:eastAsia="Calibri" w:cs="Arial"/>
          <w:szCs w:val="24"/>
        </w:rPr>
        <w:tab/>
        <w:t>PPL EU Transmission Reliability 2013</w:t>
      </w:r>
      <w:r>
        <w:rPr>
          <w:rFonts w:eastAsia="Calibri" w:cs="Arial"/>
          <w:szCs w:val="24"/>
        </w:rPr>
        <w:t>–</w:t>
      </w:r>
      <w:r w:rsidRPr="009A2FB5">
        <w:rPr>
          <w:rFonts w:eastAsia="Calibri" w:cs="Arial"/>
          <w:szCs w:val="24"/>
        </w:rPr>
        <w:t>2015</w:t>
      </w:r>
      <w:r w:rsidRPr="009A2FB5">
        <w:rPr>
          <w:rFonts w:eastAsia="Calibri" w:cs="Arial"/>
          <w:szCs w:val="24"/>
        </w:rPr>
        <w:tab/>
        <w:t>218</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VI</w:t>
      </w:r>
      <w:r>
        <w:rPr>
          <w:rFonts w:eastAsia="Calibri" w:cs="Arial"/>
          <w:szCs w:val="24"/>
        </w:rPr>
        <w:t>-</w:t>
      </w:r>
      <w:r w:rsidRPr="009A2FB5">
        <w:rPr>
          <w:rFonts w:eastAsia="Calibri" w:cs="Arial"/>
          <w:szCs w:val="24"/>
        </w:rPr>
        <w:t xml:space="preserve">14 </w:t>
      </w:r>
      <w:r w:rsidRPr="009A2FB5">
        <w:rPr>
          <w:rFonts w:eastAsia="Calibri" w:cs="Arial"/>
          <w:szCs w:val="24"/>
        </w:rPr>
        <w:tab/>
        <w:t>PPL EU Distribution O&amp;M Spending 2011–2015</w:t>
      </w:r>
      <w:r w:rsidRPr="009A2FB5">
        <w:rPr>
          <w:rFonts w:eastAsia="Calibri" w:cs="Arial"/>
          <w:szCs w:val="24"/>
        </w:rPr>
        <w:tab/>
        <w:t>220</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VI</w:t>
      </w:r>
      <w:r>
        <w:rPr>
          <w:rFonts w:eastAsia="Calibri" w:cs="Arial"/>
          <w:szCs w:val="24"/>
        </w:rPr>
        <w:t>-</w:t>
      </w:r>
      <w:r w:rsidRPr="009A2FB5">
        <w:rPr>
          <w:rFonts w:eastAsia="Calibri" w:cs="Arial"/>
          <w:szCs w:val="24"/>
        </w:rPr>
        <w:t xml:space="preserve">15 </w:t>
      </w:r>
      <w:r w:rsidRPr="009A2FB5">
        <w:rPr>
          <w:rFonts w:eastAsia="Calibri" w:cs="Arial"/>
          <w:szCs w:val="24"/>
        </w:rPr>
        <w:tab/>
        <w:t>PPL EU Distribution Capital Spending 2011–2015</w:t>
      </w:r>
      <w:r w:rsidRPr="009A2FB5">
        <w:rPr>
          <w:rFonts w:eastAsia="Calibri" w:cs="Arial"/>
          <w:szCs w:val="24"/>
        </w:rPr>
        <w:tab/>
        <w:t>220</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VI</w:t>
      </w:r>
      <w:r>
        <w:rPr>
          <w:rFonts w:eastAsia="Calibri" w:cs="Arial"/>
          <w:szCs w:val="24"/>
        </w:rPr>
        <w:t>-</w:t>
      </w:r>
      <w:r w:rsidRPr="009A2FB5">
        <w:rPr>
          <w:rFonts w:eastAsia="Calibri" w:cs="Arial"/>
          <w:szCs w:val="24"/>
        </w:rPr>
        <w:t xml:space="preserve">16 </w:t>
      </w:r>
      <w:r w:rsidRPr="009A2FB5">
        <w:rPr>
          <w:rFonts w:eastAsia="Calibri" w:cs="Arial"/>
          <w:szCs w:val="24"/>
        </w:rPr>
        <w:tab/>
        <w:t>Distribution Operations Organization Structure</w:t>
      </w:r>
      <w:r w:rsidRPr="009A2FB5">
        <w:rPr>
          <w:rFonts w:eastAsia="Calibri" w:cs="Arial"/>
          <w:szCs w:val="24"/>
        </w:rPr>
        <w:tab/>
        <w:t>221</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VI</w:t>
      </w:r>
      <w:r>
        <w:rPr>
          <w:rFonts w:eastAsia="Calibri" w:cs="Arial"/>
          <w:szCs w:val="24"/>
        </w:rPr>
        <w:t>-</w:t>
      </w:r>
      <w:r w:rsidRPr="009A2FB5">
        <w:rPr>
          <w:rFonts w:eastAsia="Calibri" w:cs="Arial"/>
          <w:szCs w:val="24"/>
        </w:rPr>
        <w:t xml:space="preserve">17 </w:t>
      </w:r>
      <w:r w:rsidRPr="009A2FB5">
        <w:rPr>
          <w:rFonts w:eastAsia="Calibri" w:cs="Arial"/>
          <w:szCs w:val="24"/>
        </w:rPr>
        <w:tab/>
        <w:t>Distribution Asset Management Organization Structure</w:t>
      </w:r>
      <w:r w:rsidRPr="009A2FB5">
        <w:rPr>
          <w:rFonts w:eastAsia="Calibri" w:cs="Arial"/>
          <w:szCs w:val="24"/>
        </w:rPr>
        <w:tab/>
        <w:t>222</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VI</w:t>
      </w:r>
      <w:r>
        <w:rPr>
          <w:rFonts w:eastAsia="Calibri" w:cs="Arial"/>
          <w:szCs w:val="24"/>
        </w:rPr>
        <w:t>-</w:t>
      </w:r>
      <w:r w:rsidRPr="009A2FB5">
        <w:rPr>
          <w:rFonts w:eastAsia="Calibri" w:cs="Arial"/>
          <w:szCs w:val="24"/>
        </w:rPr>
        <w:t xml:space="preserve">18 </w:t>
      </w:r>
      <w:r w:rsidRPr="009A2FB5">
        <w:rPr>
          <w:rFonts w:eastAsia="Calibri" w:cs="Arial"/>
          <w:szCs w:val="24"/>
        </w:rPr>
        <w:tab/>
        <w:t>Distribution Engineering Organization Structure</w:t>
      </w:r>
      <w:r w:rsidRPr="009A2FB5">
        <w:rPr>
          <w:rFonts w:eastAsia="Calibri" w:cs="Arial"/>
          <w:szCs w:val="24"/>
        </w:rPr>
        <w:tab/>
        <w:t>223</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VI</w:t>
      </w:r>
      <w:r>
        <w:rPr>
          <w:rFonts w:eastAsia="Calibri" w:cs="Arial"/>
          <w:szCs w:val="24"/>
        </w:rPr>
        <w:t>-</w:t>
      </w:r>
      <w:r w:rsidRPr="009A2FB5">
        <w:rPr>
          <w:rFonts w:eastAsia="Calibri" w:cs="Arial"/>
          <w:szCs w:val="24"/>
        </w:rPr>
        <w:t xml:space="preserve">19 </w:t>
      </w:r>
      <w:r w:rsidRPr="009A2FB5">
        <w:rPr>
          <w:rFonts w:eastAsia="Calibri" w:cs="Arial"/>
          <w:szCs w:val="24"/>
        </w:rPr>
        <w:tab/>
        <w:t>Project &amp; Construction Management Organization Structure</w:t>
      </w:r>
      <w:r w:rsidRPr="009A2FB5">
        <w:rPr>
          <w:rFonts w:eastAsia="Calibri" w:cs="Arial"/>
          <w:szCs w:val="24"/>
        </w:rPr>
        <w:tab/>
        <w:t>226</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VI</w:t>
      </w:r>
      <w:r>
        <w:rPr>
          <w:rFonts w:eastAsia="Calibri" w:cs="Arial"/>
          <w:szCs w:val="24"/>
        </w:rPr>
        <w:t>-</w:t>
      </w:r>
      <w:r w:rsidRPr="009A2FB5">
        <w:rPr>
          <w:rFonts w:eastAsia="Calibri" w:cs="Arial"/>
          <w:szCs w:val="24"/>
        </w:rPr>
        <w:t xml:space="preserve">20 </w:t>
      </w:r>
      <w:r w:rsidRPr="009A2FB5">
        <w:rPr>
          <w:rFonts w:eastAsia="Calibri" w:cs="Arial"/>
          <w:szCs w:val="24"/>
        </w:rPr>
        <w:tab/>
        <w:t>PPL Underground Dig-in Experience 2011–2015</w:t>
      </w:r>
      <w:r w:rsidRPr="009A2FB5">
        <w:rPr>
          <w:rFonts w:eastAsia="Calibri" w:cs="Arial"/>
          <w:szCs w:val="24"/>
        </w:rPr>
        <w:tab/>
        <w:t>227</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t>Exhibit VI</w:t>
      </w:r>
      <w:r>
        <w:rPr>
          <w:rFonts w:eastAsia="Calibri" w:cs="Arial"/>
          <w:szCs w:val="24"/>
        </w:rPr>
        <w:t>-</w:t>
      </w:r>
      <w:r w:rsidRPr="009A2FB5">
        <w:rPr>
          <w:rFonts w:eastAsia="Calibri" w:cs="Arial"/>
          <w:szCs w:val="24"/>
        </w:rPr>
        <w:t xml:space="preserve">21 </w:t>
      </w:r>
      <w:r w:rsidRPr="009A2FB5">
        <w:rPr>
          <w:rFonts w:eastAsia="Calibri" w:cs="Arial"/>
          <w:szCs w:val="24"/>
        </w:rPr>
        <w:tab/>
        <w:t xml:space="preserve">Lehigh/Northeast Super Region Operations Organization </w:t>
      </w:r>
      <w:r>
        <w:rPr>
          <w:rFonts w:eastAsia="Calibri" w:cs="Arial"/>
          <w:szCs w:val="24"/>
        </w:rPr>
        <w:br/>
      </w:r>
      <w:r w:rsidRPr="009A2FB5">
        <w:rPr>
          <w:rFonts w:eastAsia="Calibri" w:cs="Arial"/>
          <w:szCs w:val="24"/>
        </w:rPr>
        <w:t>Structure</w:t>
      </w:r>
      <w:r w:rsidRPr="009A2FB5">
        <w:rPr>
          <w:rFonts w:eastAsia="Calibri" w:cs="Arial"/>
          <w:szCs w:val="24"/>
        </w:rPr>
        <w:tab/>
        <w:t>228</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VI</w:t>
      </w:r>
      <w:r>
        <w:rPr>
          <w:rFonts w:eastAsia="Calibri" w:cs="Arial"/>
          <w:szCs w:val="24"/>
        </w:rPr>
        <w:t>-</w:t>
      </w:r>
      <w:r w:rsidRPr="009A2FB5">
        <w:rPr>
          <w:rFonts w:eastAsia="Calibri" w:cs="Arial"/>
          <w:szCs w:val="24"/>
        </w:rPr>
        <w:t xml:space="preserve">22 </w:t>
      </w:r>
      <w:r w:rsidRPr="009A2FB5">
        <w:rPr>
          <w:rFonts w:eastAsia="Calibri" w:cs="Arial"/>
          <w:szCs w:val="24"/>
        </w:rPr>
        <w:tab/>
        <w:t>Operations Organization Structure</w:t>
      </w:r>
      <w:r w:rsidRPr="009A2FB5">
        <w:rPr>
          <w:rFonts w:eastAsia="Calibri" w:cs="Arial"/>
          <w:szCs w:val="24"/>
        </w:rPr>
        <w:tab/>
        <w:t>232</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VI</w:t>
      </w:r>
      <w:r>
        <w:rPr>
          <w:rFonts w:eastAsia="Calibri" w:cs="Arial"/>
          <w:szCs w:val="24"/>
        </w:rPr>
        <w:t>-</w:t>
      </w:r>
      <w:r w:rsidRPr="009A2FB5">
        <w:rPr>
          <w:rFonts w:eastAsia="Calibri" w:cs="Arial"/>
          <w:szCs w:val="24"/>
        </w:rPr>
        <w:t xml:space="preserve">23 </w:t>
      </w:r>
      <w:r w:rsidRPr="009A2FB5">
        <w:rPr>
          <w:rFonts w:eastAsia="Calibri" w:cs="Arial"/>
          <w:szCs w:val="24"/>
        </w:rPr>
        <w:tab/>
        <w:t>PPL EU CAIDI Results 2010–2015</w:t>
      </w:r>
      <w:r w:rsidRPr="009A2FB5">
        <w:rPr>
          <w:rFonts w:eastAsia="Calibri" w:cs="Arial"/>
          <w:szCs w:val="24"/>
        </w:rPr>
        <w:tab/>
        <w:t>245</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lastRenderedPageBreak/>
        <w:t>Exhibit VI</w:t>
      </w:r>
      <w:r>
        <w:rPr>
          <w:rFonts w:eastAsia="Calibri" w:cs="Arial"/>
          <w:szCs w:val="24"/>
        </w:rPr>
        <w:t>-</w:t>
      </w:r>
      <w:r w:rsidRPr="009A2FB5">
        <w:rPr>
          <w:rFonts w:eastAsia="Calibri" w:cs="Arial"/>
          <w:szCs w:val="24"/>
        </w:rPr>
        <w:t xml:space="preserve">24 </w:t>
      </w:r>
      <w:r w:rsidRPr="009A2FB5">
        <w:rPr>
          <w:rFonts w:eastAsia="Calibri" w:cs="Arial"/>
          <w:szCs w:val="24"/>
        </w:rPr>
        <w:tab/>
        <w:t>PPL EU SAIDI Results 2010–2015</w:t>
      </w:r>
      <w:r w:rsidRPr="009A2FB5">
        <w:rPr>
          <w:rFonts w:eastAsia="Calibri" w:cs="Arial"/>
          <w:szCs w:val="24"/>
        </w:rPr>
        <w:tab/>
        <w:t>246</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VI</w:t>
      </w:r>
      <w:r>
        <w:rPr>
          <w:rFonts w:eastAsia="Calibri" w:cs="Arial"/>
          <w:szCs w:val="24"/>
        </w:rPr>
        <w:t>-</w:t>
      </w:r>
      <w:r w:rsidRPr="009A2FB5">
        <w:rPr>
          <w:rFonts w:eastAsia="Calibri" w:cs="Arial"/>
          <w:szCs w:val="24"/>
        </w:rPr>
        <w:t xml:space="preserve">25 </w:t>
      </w:r>
      <w:r w:rsidRPr="009A2FB5">
        <w:rPr>
          <w:rFonts w:eastAsia="Calibri" w:cs="Arial"/>
          <w:szCs w:val="24"/>
        </w:rPr>
        <w:tab/>
        <w:t>PPL EU SAIFI Results 2010–2015</w:t>
      </w:r>
      <w:r w:rsidRPr="009A2FB5">
        <w:rPr>
          <w:rFonts w:eastAsia="Calibri" w:cs="Arial"/>
          <w:szCs w:val="24"/>
        </w:rPr>
        <w:tab/>
        <w:t>247</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VI</w:t>
      </w:r>
      <w:r>
        <w:rPr>
          <w:rFonts w:eastAsia="Calibri" w:cs="Arial"/>
          <w:szCs w:val="24"/>
        </w:rPr>
        <w:t>-</w:t>
      </w:r>
      <w:r w:rsidRPr="009A2FB5">
        <w:rPr>
          <w:rFonts w:eastAsia="Calibri" w:cs="Arial"/>
          <w:szCs w:val="24"/>
        </w:rPr>
        <w:t xml:space="preserve">26 </w:t>
      </w:r>
      <w:r w:rsidRPr="009A2FB5">
        <w:rPr>
          <w:rFonts w:eastAsia="Calibri" w:cs="Arial"/>
          <w:szCs w:val="24"/>
        </w:rPr>
        <w:tab/>
        <w:t>PPL EU Outage Cause Summary 2010–2015</w:t>
      </w:r>
      <w:r w:rsidRPr="009A2FB5">
        <w:rPr>
          <w:rFonts w:eastAsia="Calibri" w:cs="Arial"/>
          <w:szCs w:val="24"/>
        </w:rPr>
        <w:tab/>
        <w:t>248</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VI</w:t>
      </w:r>
      <w:r>
        <w:rPr>
          <w:rFonts w:eastAsia="Calibri" w:cs="Arial"/>
          <w:szCs w:val="24"/>
        </w:rPr>
        <w:t>-</w:t>
      </w:r>
      <w:r w:rsidRPr="009A2FB5">
        <w:rPr>
          <w:rFonts w:eastAsia="Calibri" w:cs="Arial"/>
          <w:szCs w:val="24"/>
        </w:rPr>
        <w:t xml:space="preserve">27 </w:t>
      </w:r>
      <w:r w:rsidRPr="009A2FB5">
        <w:rPr>
          <w:rFonts w:eastAsia="Calibri" w:cs="Arial"/>
          <w:szCs w:val="24"/>
        </w:rPr>
        <w:tab/>
        <w:t>PPL EU CEMI Performance 2010–2015</w:t>
      </w:r>
      <w:r w:rsidRPr="009A2FB5">
        <w:rPr>
          <w:rFonts w:eastAsia="Calibri" w:cs="Arial"/>
          <w:szCs w:val="24"/>
        </w:rPr>
        <w:tab/>
        <w:t>249</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VI</w:t>
      </w:r>
      <w:r>
        <w:rPr>
          <w:rFonts w:eastAsia="Calibri" w:cs="Arial"/>
          <w:szCs w:val="24"/>
        </w:rPr>
        <w:t>-</w:t>
      </w:r>
      <w:r w:rsidRPr="009A2FB5">
        <w:rPr>
          <w:rFonts w:eastAsia="Calibri" w:cs="Arial"/>
          <w:szCs w:val="24"/>
        </w:rPr>
        <w:t xml:space="preserve">28 </w:t>
      </w:r>
      <w:r w:rsidRPr="009A2FB5">
        <w:rPr>
          <w:rFonts w:eastAsia="Calibri" w:cs="Arial"/>
          <w:szCs w:val="24"/>
        </w:rPr>
        <w:tab/>
        <w:t>PPL EU Tree-related Outages 2011–2015</w:t>
      </w:r>
      <w:r w:rsidRPr="009A2FB5">
        <w:rPr>
          <w:rFonts w:eastAsia="Calibri" w:cs="Arial"/>
          <w:szCs w:val="24"/>
        </w:rPr>
        <w:tab/>
        <w:t>251</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VII</w:t>
      </w:r>
      <w:r>
        <w:rPr>
          <w:rFonts w:eastAsia="Calibri" w:cs="Arial"/>
          <w:szCs w:val="24"/>
        </w:rPr>
        <w:t>-</w:t>
      </w:r>
      <w:r w:rsidRPr="009A2FB5">
        <w:rPr>
          <w:rFonts w:eastAsia="Calibri" w:cs="Arial"/>
          <w:szCs w:val="24"/>
        </w:rPr>
        <w:t xml:space="preserve">1 </w:t>
      </w:r>
      <w:r w:rsidRPr="009A2FB5">
        <w:rPr>
          <w:rFonts w:eastAsia="Calibri" w:cs="Arial"/>
          <w:szCs w:val="24"/>
        </w:rPr>
        <w:tab/>
        <w:t>PPL SC HR Protective Services Organization Structure</w:t>
      </w:r>
      <w:r w:rsidRPr="009A2FB5">
        <w:rPr>
          <w:rFonts w:eastAsia="Calibri" w:cs="Arial"/>
          <w:szCs w:val="24"/>
        </w:rPr>
        <w:tab/>
        <w:t>255</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VII</w:t>
      </w:r>
      <w:r>
        <w:rPr>
          <w:rFonts w:eastAsia="Calibri" w:cs="Arial"/>
          <w:szCs w:val="24"/>
        </w:rPr>
        <w:t>-</w:t>
      </w:r>
      <w:r w:rsidRPr="009A2FB5">
        <w:rPr>
          <w:rFonts w:eastAsia="Calibri" w:cs="Arial"/>
          <w:szCs w:val="24"/>
        </w:rPr>
        <w:t xml:space="preserve">2 </w:t>
      </w:r>
      <w:r w:rsidRPr="009A2FB5">
        <w:rPr>
          <w:rFonts w:eastAsia="Calibri" w:cs="Arial"/>
          <w:szCs w:val="24"/>
        </w:rPr>
        <w:tab/>
        <w:t>PPL EU Emergency Preparedness Organization Structure</w:t>
      </w:r>
      <w:r w:rsidRPr="009A2FB5">
        <w:rPr>
          <w:rFonts w:eastAsia="Calibri" w:cs="Arial"/>
          <w:szCs w:val="24"/>
        </w:rPr>
        <w:tab/>
        <w:t>263</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VII</w:t>
      </w:r>
      <w:r>
        <w:rPr>
          <w:rFonts w:eastAsia="Calibri" w:cs="Arial"/>
          <w:szCs w:val="24"/>
        </w:rPr>
        <w:t>-</w:t>
      </w:r>
      <w:r w:rsidRPr="009A2FB5">
        <w:rPr>
          <w:rFonts w:eastAsia="Calibri" w:cs="Arial"/>
          <w:szCs w:val="24"/>
        </w:rPr>
        <w:t xml:space="preserve">3 </w:t>
      </w:r>
      <w:r w:rsidRPr="009A2FB5">
        <w:rPr>
          <w:rFonts w:eastAsia="Calibri" w:cs="Arial"/>
          <w:szCs w:val="24"/>
        </w:rPr>
        <w:tab/>
        <w:t>PPL EU Reportable Storm Event Summary 2010</w:t>
      </w:r>
      <w:r>
        <w:rPr>
          <w:rFonts w:eastAsia="Calibri" w:cs="Arial"/>
          <w:szCs w:val="24"/>
        </w:rPr>
        <w:t>–</w:t>
      </w:r>
      <w:r w:rsidRPr="009A2FB5">
        <w:rPr>
          <w:rFonts w:eastAsia="Calibri" w:cs="Arial"/>
          <w:szCs w:val="24"/>
        </w:rPr>
        <w:t>2015</w:t>
      </w:r>
      <w:r w:rsidRPr="009A2FB5">
        <w:rPr>
          <w:rFonts w:eastAsia="Calibri" w:cs="Arial"/>
          <w:szCs w:val="24"/>
        </w:rPr>
        <w:tab/>
        <w:t>269</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VII</w:t>
      </w:r>
      <w:r>
        <w:rPr>
          <w:rFonts w:eastAsia="Calibri" w:cs="Arial"/>
          <w:szCs w:val="24"/>
        </w:rPr>
        <w:t>-</w:t>
      </w:r>
      <w:r w:rsidRPr="009A2FB5">
        <w:rPr>
          <w:rFonts w:eastAsia="Calibri" w:cs="Arial"/>
          <w:szCs w:val="24"/>
        </w:rPr>
        <w:t xml:space="preserve">4 </w:t>
      </w:r>
      <w:r w:rsidRPr="009A2FB5">
        <w:rPr>
          <w:rFonts w:eastAsia="Calibri" w:cs="Arial"/>
          <w:szCs w:val="24"/>
        </w:rPr>
        <w:tab/>
        <w:t>PPL EU Major Storm Events 2010–2015</w:t>
      </w:r>
      <w:r w:rsidRPr="009A2FB5">
        <w:rPr>
          <w:rFonts w:eastAsia="Calibri" w:cs="Arial"/>
          <w:szCs w:val="24"/>
        </w:rPr>
        <w:tab/>
        <w:t>269</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VII</w:t>
      </w:r>
      <w:r>
        <w:rPr>
          <w:rFonts w:eastAsia="Calibri" w:cs="Arial"/>
          <w:szCs w:val="24"/>
        </w:rPr>
        <w:t>-</w:t>
      </w:r>
      <w:r w:rsidRPr="009A2FB5">
        <w:rPr>
          <w:rFonts w:eastAsia="Calibri" w:cs="Arial"/>
          <w:szCs w:val="24"/>
        </w:rPr>
        <w:t xml:space="preserve">5 </w:t>
      </w:r>
      <w:r w:rsidRPr="009A2FB5">
        <w:rPr>
          <w:rFonts w:eastAsia="Calibri" w:cs="Arial"/>
          <w:szCs w:val="24"/>
        </w:rPr>
        <w:tab/>
        <w:t>PPL SC Information Assurance Group Organization Structure</w:t>
      </w:r>
      <w:r w:rsidRPr="009A2FB5">
        <w:rPr>
          <w:rFonts w:eastAsia="Calibri" w:cs="Arial"/>
          <w:szCs w:val="24"/>
        </w:rPr>
        <w:tab/>
        <w:t>273</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VIII</w:t>
      </w:r>
      <w:r>
        <w:rPr>
          <w:rFonts w:eastAsia="Calibri" w:cs="Arial"/>
          <w:szCs w:val="24"/>
        </w:rPr>
        <w:t>-</w:t>
      </w:r>
      <w:r w:rsidRPr="009A2FB5">
        <w:rPr>
          <w:rFonts w:eastAsia="Calibri" w:cs="Arial"/>
          <w:szCs w:val="24"/>
        </w:rPr>
        <w:t xml:space="preserve">1 </w:t>
      </w:r>
      <w:r w:rsidRPr="009A2FB5">
        <w:rPr>
          <w:rFonts w:eastAsia="Calibri" w:cs="Arial"/>
          <w:szCs w:val="24"/>
        </w:rPr>
        <w:tab/>
        <w:t>Technical Development and Improvement Organization Structure</w:t>
      </w:r>
      <w:r w:rsidRPr="009A2FB5">
        <w:rPr>
          <w:rFonts w:eastAsia="Calibri" w:cs="Arial"/>
          <w:szCs w:val="24"/>
        </w:rPr>
        <w:tab/>
        <w:t>282</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VIII</w:t>
      </w:r>
      <w:r>
        <w:rPr>
          <w:rFonts w:eastAsia="Calibri" w:cs="Arial"/>
          <w:szCs w:val="24"/>
        </w:rPr>
        <w:t>-</w:t>
      </w:r>
      <w:r w:rsidRPr="009A2FB5">
        <w:rPr>
          <w:rFonts w:eastAsia="Calibri" w:cs="Arial"/>
          <w:szCs w:val="24"/>
        </w:rPr>
        <w:t xml:space="preserve">2 </w:t>
      </w:r>
      <w:r w:rsidRPr="009A2FB5">
        <w:rPr>
          <w:rFonts w:eastAsia="Calibri" w:cs="Arial"/>
          <w:szCs w:val="24"/>
        </w:rPr>
        <w:tab/>
        <w:t>PPL EU DART Performance 2011–2015)</w:t>
      </w:r>
      <w:r w:rsidRPr="009A2FB5">
        <w:rPr>
          <w:rFonts w:eastAsia="Calibri" w:cs="Arial"/>
          <w:szCs w:val="24"/>
        </w:rPr>
        <w:tab/>
        <w:t>287</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VIII</w:t>
      </w:r>
      <w:r>
        <w:rPr>
          <w:rFonts w:eastAsia="Calibri" w:cs="Arial"/>
          <w:szCs w:val="24"/>
        </w:rPr>
        <w:t>-</w:t>
      </w:r>
      <w:r w:rsidRPr="009A2FB5">
        <w:rPr>
          <w:rFonts w:eastAsia="Calibri" w:cs="Arial"/>
          <w:szCs w:val="24"/>
        </w:rPr>
        <w:t xml:space="preserve">3 </w:t>
      </w:r>
      <w:r w:rsidRPr="009A2FB5">
        <w:rPr>
          <w:rFonts w:eastAsia="Calibri" w:cs="Arial"/>
          <w:szCs w:val="24"/>
        </w:rPr>
        <w:tab/>
        <w:t>PPL EU Contractor DART Performance 2011–2015</w:t>
      </w:r>
      <w:r w:rsidRPr="009A2FB5">
        <w:rPr>
          <w:rFonts w:eastAsia="Calibri" w:cs="Arial"/>
          <w:szCs w:val="24"/>
        </w:rPr>
        <w:tab/>
        <w:t>288</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VIII</w:t>
      </w:r>
      <w:r>
        <w:rPr>
          <w:rFonts w:eastAsia="Calibri" w:cs="Arial"/>
          <w:szCs w:val="24"/>
        </w:rPr>
        <w:t>-</w:t>
      </w:r>
      <w:r w:rsidRPr="009A2FB5">
        <w:rPr>
          <w:rFonts w:eastAsia="Calibri" w:cs="Arial"/>
          <w:szCs w:val="24"/>
        </w:rPr>
        <w:t xml:space="preserve">4 </w:t>
      </w:r>
      <w:r w:rsidRPr="009A2FB5">
        <w:rPr>
          <w:rFonts w:eastAsia="Calibri" w:cs="Arial"/>
          <w:szCs w:val="24"/>
        </w:rPr>
        <w:tab/>
        <w:t>PPL EU Motor Vehicle Accident Rate 2011–2015</w:t>
      </w:r>
      <w:r w:rsidRPr="009A2FB5">
        <w:rPr>
          <w:rFonts w:eastAsia="Calibri" w:cs="Arial"/>
          <w:szCs w:val="24"/>
        </w:rPr>
        <w:tab/>
        <w:t>288</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VIII</w:t>
      </w:r>
      <w:r>
        <w:rPr>
          <w:rFonts w:eastAsia="Calibri" w:cs="Arial"/>
          <w:szCs w:val="24"/>
        </w:rPr>
        <w:t>-</w:t>
      </w:r>
      <w:r w:rsidRPr="009A2FB5">
        <w:rPr>
          <w:rFonts w:eastAsia="Calibri" w:cs="Arial"/>
          <w:szCs w:val="24"/>
        </w:rPr>
        <w:t xml:space="preserve">5 </w:t>
      </w:r>
      <w:r w:rsidRPr="009A2FB5">
        <w:rPr>
          <w:rFonts w:eastAsia="Calibri" w:cs="Arial"/>
          <w:szCs w:val="24"/>
        </w:rPr>
        <w:tab/>
        <w:t>Supply Chain Organization Structure</w:t>
      </w:r>
      <w:r w:rsidRPr="009A2FB5">
        <w:rPr>
          <w:rFonts w:eastAsia="Calibri" w:cs="Arial"/>
          <w:szCs w:val="24"/>
        </w:rPr>
        <w:tab/>
        <w:t>290</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VIII</w:t>
      </w:r>
      <w:r>
        <w:rPr>
          <w:rFonts w:eastAsia="Calibri" w:cs="Arial"/>
          <w:szCs w:val="24"/>
        </w:rPr>
        <w:t>-</w:t>
      </w:r>
      <w:r w:rsidRPr="009A2FB5">
        <w:rPr>
          <w:rFonts w:eastAsia="Calibri" w:cs="Arial"/>
          <w:szCs w:val="24"/>
        </w:rPr>
        <w:t xml:space="preserve">6 </w:t>
      </w:r>
      <w:r w:rsidRPr="009A2FB5">
        <w:rPr>
          <w:rFonts w:eastAsia="Calibri" w:cs="Arial"/>
          <w:szCs w:val="24"/>
        </w:rPr>
        <w:tab/>
        <w:t>PPL EU Inventory Composition – November 2015</w:t>
      </w:r>
      <w:r w:rsidRPr="009A2FB5">
        <w:rPr>
          <w:rFonts w:eastAsia="Calibri" w:cs="Arial"/>
          <w:szCs w:val="24"/>
        </w:rPr>
        <w:tab/>
        <w:t>295</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t>Exhibit VIII</w:t>
      </w:r>
      <w:r>
        <w:rPr>
          <w:rFonts w:eastAsia="Calibri" w:cs="Arial"/>
          <w:szCs w:val="24"/>
        </w:rPr>
        <w:t>-</w:t>
      </w:r>
      <w:r w:rsidRPr="009A2FB5">
        <w:rPr>
          <w:rFonts w:eastAsia="Calibri" w:cs="Arial"/>
          <w:szCs w:val="24"/>
        </w:rPr>
        <w:t xml:space="preserve">7 </w:t>
      </w:r>
      <w:r w:rsidRPr="009A2FB5">
        <w:rPr>
          <w:rFonts w:eastAsia="Calibri" w:cs="Arial"/>
          <w:szCs w:val="24"/>
        </w:rPr>
        <w:tab/>
        <w:t xml:space="preserve">PPL EU Year End Inventory Levels and Annual Turns Ratios </w:t>
      </w:r>
      <w:r w:rsidRPr="009A2FB5">
        <w:rPr>
          <w:rFonts w:eastAsia="Calibri" w:cs="Arial"/>
          <w:szCs w:val="24"/>
        </w:rPr>
        <w:br/>
        <w:t>2011–2015</w:t>
      </w:r>
      <w:r w:rsidRPr="009A2FB5">
        <w:rPr>
          <w:rFonts w:eastAsia="Calibri" w:cs="Arial"/>
          <w:szCs w:val="24"/>
        </w:rPr>
        <w:tab/>
        <w:t>297</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VIII</w:t>
      </w:r>
      <w:r>
        <w:rPr>
          <w:rFonts w:eastAsia="Calibri" w:cs="Arial"/>
          <w:szCs w:val="24"/>
        </w:rPr>
        <w:t>-</w:t>
      </w:r>
      <w:r w:rsidRPr="009A2FB5">
        <w:rPr>
          <w:rFonts w:eastAsia="Calibri" w:cs="Arial"/>
          <w:szCs w:val="24"/>
        </w:rPr>
        <w:t xml:space="preserve">8 </w:t>
      </w:r>
      <w:r w:rsidRPr="009A2FB5">
        <w:rPr>
          <w:rFonts w:eastAsia="Calibri" w:cs="Arial"/>
          <w:szCs w:val="24"/>
        </w:rPr>
        <w:tab/>
        <w:t>PPL EU Annual Issues and Returns 2011–2015</w:t>
      </w:r>
      <w:r w:rsidRPr="009A2FB5">
        <w:rPr>
          <w:rFonts w:eastAsia="Calibri" w:cs="Arial"/>
          <w:szCs w:val="24"/>
        </w:rPr>
        <w:tab/>
        <w:t>298</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VIII</w:t>
      </w:r>
      <w:r>
        <w:rPr>
          <w:rFonts w:eastAsia="Calibri" w:cs="Arial"/>
          <w:szCs w:val="24"/>
        </w:rPr>
        <w:t>-</w:t>
      </w:r>
      <w:r w:rsidRPr="009A2FB5">
        <w:rPr>
          <w:rFonts w:eastAsia="Calibri" w:cs="Arial"/>
          <w:szCs w:val="24"/>
        </w:rPr>
        <w:t xml:space="preserve">9 </w:t>
      </w:r>
      <w:r w:rsidRPr="009A2FB5">
        <w:rPr>
          <w:rFonts w:eastAsia="Calibri" w:cs="Arial"/>
          <w:szCs w:val="24"/>
        </w:rPr>
        <w:tab/>
        <w:t>PPL EU Annual Cycle Count Accuracy 2011–2014</w:t>
      </w:r>
      <w:r w:rsidRPr="009A2FB5">
        <w:rPr>
          <w:rFonts w:eastAsia="Calibri" w:cs="Arial"/>
          <w:szCs w:val="24"/>
        </w:rPr>
        <w:tab/>
        <w:t>298</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VIII</w:t>
      </w:r>
      <w:r>
        <w:rPr>
          <w:rFonts w:eastAsia="Calibri" w:cs="Arial"/>
          <w:szCs w:val="24"/>
        </w:rPr>
        <w:t>-</w:t>
      </w:r>
      <w:r w:rsidRPr="009A2FB5">
        <w:rPr>
          <w:rFonts w:eastAsia="Calibri" w:cs="Arial"/>
          <w:szCs w:val="24"/>
        </w:rPr>
        <w:t xml:space="preserve">10 </w:t>
      </w:r>
      <w:r w:rsidRPr="009A2FB5">
        <w:rPr>
          <w:rFonts w:eastAsia="Calibri" w:cs="Arial"/>
          <w:szCs w:val="24"/>
        </w:rPr>
        <w:tab/>
        <w:t>Transportation Services Organization Structure</w:t>
      </w:r>
      <w:r w:rsidRPr="009A2FB5">
        <w:rPr>
          <w:rFonts w:eastAsia="Calibri" w:cs="Arial"/>
          <w:szCs w:val="24"/>
        </w:rPr>
        <w:tab/>
        <w:t>300</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VIII</w:t>
      </w:r>
      <w:r>
        <w:rPr>
          <w:rFonts w:eastAsia="Calibri" w:cs="Arial"/>
          <w:szCs w:val="24"/>
        </w:rPr>
        <w:t>-</w:t>
      </w:r>
      <w:r w:rsidRPr="009A2FB5">
        <w:rPr>
          <w:rFonts w:eastAsia="Calibri" w:cs="Arial"/>
          <w:szCs w:val="24"/>
        </w:rPr>
        <w:t xml:space="preserve">11 </w:t>
      </w:r>
      <w:r w:rsidRPr="009A2FB5">
        <w:rPr>
          <w:rFonts w:eastAsia="Calibri" w:cs="Arial"/>
          <w:szCs w:val="24"/>
        </w:rPr>
        <w:tab/>
        <w:t>PPL EU Annual Fleet O&amp;M Spending 2011–2015</w:t>
      </w:r>
      <w:r w:rsidRPr="009A2FB5">
        <w:rPr>
          <w:rFonts w:eastAsia="Calibri" w:cs="Arial"/>
          <w:szCs w:val="24"/>
        </w:rPr>
        <w:tab/>
        <w:t>302</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VIII</w:t>
      </w:r>
      <w:r>
        <w:rPr>
          <w:rFonts w:eastAsia="Calibri" w:cs="Arial"/>
          <w:szCs w:val="24"/>
        </w:rPr>
        <w:t>-</w:t>
      </w:r>
      <w:r w:rsidRPr="009A2FB5">
        <w:rPr>
          <w:rFonts w:eastAsia="Calibri" w:cs="Arial"/>
          <w:szCs w:val="24"/>
        </w:rPr>
        <w:t xml:space="preserve">12 </w:t>
      </w:r>
      <w:r w:rsidRPr="009A2FB5">
        <w:rPr>
          <w:rFonts w:eastAsia="Calibri" w:cs="Arial"/>
          <w:szCs w:val="24"/>
        </w:rPr>
        <w:tab/>
        <w:t>PPL EU Vehicle Replacement Age Triggers</w:t>
      </w:r>
      <w:r w:rsidRPr="009A2FB5">
        <w:rPr>
          <w:rFonts w:eastAsia="Calibri" w:cs="Arial"/>
          <w:szCs w:val="24"/>
        </w:rPr>
        <w:tab/>
        <w:t>303</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VIII</w:t>
      </w:r>
      <w:r>
        <w:rPr>
          <w:rFonts w:eastAsia="Calibri" w:cs="Arial"/>
          <w:szCs w:val="24"/>
        </w:rPr>
        <w:t>-</w:t>
      </w:r>
      <w:r w:rsidRPr="009A2FB5">
        <w:rPr>
          <w:rFonts w:eastAsia="Calibri" w:cs="Arial"/>
          <w:szCs w:val="24"/>
        </w:rPr>
        <w:t xml:space="preserve">13 </w:t>
      </w:r>
      <w:r w:rsidRPr="009A2FB5">
        <w:rPr>
          <w:rFonts w:eastAsia="Calibri" w:cs="Arial"/>
          <w:szCs w:val="24"/>
        </w:rPr>
        <w:tab/>
        <w:t>PPL EU Vehicle Capital Spending 2010–2015 ($ millions)</w:t>
      </w:r>
      <w:r w:rsidRPr="009A2FB5">
        <w:rPr>
          <w:rFonts w:eastAsia="Calibri" w:cs="Arial"/>
          <w:szCs w:val="24"/>
        </w:rPr>
        <w:tab/>
        <w:t>304</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VIII</w:t>
      </w:r>
      <w:r>
        <w:rPr>
          <w:rFonts w:eastAsia="Calibri" w:cs="Arial"/>
          <w:szCs w:val="24"/>
        </w:rPr>
        <w:t>-</w:t>
      </w:r>
      <w:r w:rsidRPr="009A2FB5">
        <w:rPr>
          <w:rFonts w:eastAsia="Calibri" w:cs="Arial"/>
          <w:szCs w:val="24"/>
        </w:rPr>
        <w:t xml:space="preserve">14 </w:t>
      </w:r>
      <w:r w:rsidRPr="009A2FB5">
        <w:rPr>
          <w:rFonts w:eastAsia="Calibri" w:cs="Arial"/>
          <w:szCs w:val="24"/>
        </w:rPr>
        <w:tab/>
        <w:t>PPL EU Fleet Availability 2011–2015</w:t>
      </w:r>
      <w:r w:rsidRPr="009A2FB5">
        <w:rPr>
          <w:rFonts w:eastAsia="Calibri" w:cs="Arial"/>
          <w:szCs w:val="24"/>
        </w:rPr>
        <w:tab/>
        <w:t>306</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VIII</w:t>
      </w:r>
      <w:r>
        <w:rPr>
          <w:rFonts w:eastAsia="Calibri" w:cs="Arial"/>
          <w:szCs w:val="24"/>
        </w:rPr>
        <w:t>-</w:t>
      </w:r>
      <w:r w:rsidRPr="009A2FB5">
        <w:rPr>
          <w:rFonts w:eastAsia="Calibri" w:cs="Arial"/>
          <w:szCs w:val="24"/>
        </w:rPr>
        <w:t xml:space="preserve">15 </w:t>
      </w:r>
      <w:r w:rsidRPr="009A2FB5">
        <w:rPr>
          <w:rFonts w:eastAsia="Calibri" w:cs="Arial"/>
          <w:szCs w:val="24"/>
        </w:rPr>
        <w:tab/>
        <w:t>PPL EU Fleet Age 2010–2015</w:t>
      </w:r>
      <w:r w:rsidRPr="009A2FB5">
        <w:rPr>
          <w:rFonts w:eastAsia="Calibri" w:cs="Arial"/>
          <w:szCs w:val="24"/>
        </w:rPr>
        <w:tab/>
        <w:t>307</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IX</w:t>
      </w:r>
      <w:r>
        <w:rPr>
          <w:rFonts w:eastAsia="Calibri" w:cs="Arial"/>
          <w:szCs w:val="24"/>
        </w:rPr>
        <w:t>-</w:t>
      </w:r>
      <w:r w:rsidRPr="009A2FB5">
        <w:rPr>
          <w:rFonts w:eastAsia="Calibri" w:cs="Arial"/>
          <w:szCs w:val="24"/>
        </w:rPr>
        <w:t xml:space="preserve">1 </w:t>
      </w:r>
      <w:r w:rsidRPr="009A2FB5">
        <w:rPr>
          <w:rFonts w:eastAsia="Calibri" w:cs="Arial"/>
          <w:szCs w:val="24"/>
        </w:rPr>
        <w:tab/>
        <w:t>PPL EU Customer Services Organization</w:t>
      </w:r>
      <w:r w:rsidRPr="009A2FB5">
        <w:rPr>
          <w:rFonts w:eastAsia="Calibri" w:cs="Arial"/>
          <w:szCs w:val="24"/>
        </w:rPr>
        <w:tab/>
        <w:t>308</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IX</w:t>
      </w:r>
      <w:r>
        <w:rPr>
          <w:rFonts w:eastAsia="Calibri" w:cs="Arial"/>
          <w:szCs w:val="24"/>
        </w:rPr>
        <w:t>-</w:t>
      </w:r>
      <w:r w:rsidRPr="009A2FB5">
        <w:rPr>
          <w:rFonts w:eastAsia="Calibri" w:cs="Arial"/>
          <w:szCs w:val="24"/>
        </w:rPr>
        <w:t xml:space="preserve">2 </w:t>
      </w:r>
      <w:r w:rsidRPr="009A2FB5">
        <w:rPr>
          <w:rFonts w:eastAsia="Calibri" w:cs="Arial"/>
          <w:szCs w:val="24"/>
        </w:rPr>
        <w:tab/>
        <w:t>Customer Services DART Rate and Count</w:t>
      </w:r>
      <w:r w:rsidRPr="009A2FB5">
        <w:rPr>
          <w:rFonts w:eastAsia="Calibri" w:cs="Arial"/>
          <w:szCs w:val="24"/>
        </w:rPr>
        <w:tab/>
        <w:t>312</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IX</w:t>
      </w:r>
      <w:r>
        <w:rPr>
          <w:rFonts w:eastAsia="Calibri" w:cs="Arial"/>
          <w:szCs w:val="24"/>
        </w:rPr>
        <w:t>-</w:t>
      </w:r>
      <w:r w:rsidRPr="009A2FB5">
        <w:rPr>
          <w:rFonts w:eastAsia="Calibri" w:cs="Arial"/>
          <w:szCs w:val="24"/>
        </w:rPr>
        <w:t xml:space="preserve">3 </w:t>
      </w:r>
      <w:r w:rsidRPr="009A2FB5">
        <w:rPr>
          <w:rFonts w:eastAsia="Calibri" w:cs="Arial"/>
          <w:szCs w:val="24"/>
        </w:rPr>
        <w:tab/>
        <w:t>Customer Experience Organization</w:t>
      </w:r>
      <w:r w:rsidRPr="009A2FB5">
        <w:rPr>
          <w:rFonts w:eastAsia="Calibri" w:cs="Arial"/>
          <w:szCs w:val="24"/>
        </w:rPr>
        <w:tab/>
        <w:t>314</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IX</w:t>
      </w:r>
      <w:r>
        <w:rPr>
          <w:rFonts w:eastAsia="Calibri" w:cs="Arial"/>
          <w:szCs w:val="24"/>
        </w:rPr>
        <w:t>-</w:t>
      </w:r>
      <w:r w:rsidRPr="009A2FB5">
        <w:rPr>
          <w:rFonts w:eastAsia="Calibri" w:cs="Arial"/>
          <w:szCs w:val="24"/>
        </w:rPr>
        <w:t xml:space="preserve">4 </w:t>
      </w:r>
      <w:r w:rsidRPr="009A2FB5">
        <w:rPr>
          <w:rFonts w:eastAsia="Calibri" w:cs="Arial"/>
          <w:szCs w:val="24"/>
        </w:rPr>
        <w:tab/>
        <w:t>Energy Efficiency Evaluation and Performance</w:t>
      </w:r>
      <w:r w:rsidRPr="009A2FB5">
        <w:rPr>
          <w:rFonts w:eastAsia="Calibri" w:cs="Arial"/>
          <w:szCs w:val="24"/>
        </w:rPr>
        <w:tab/>
        <w:t>321</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t>Exhibit IX</w:t>
      </w:r>
      <w:r>
        <w:rPr>
          <w:rFonts w:eastAsia="Calibri" w:cs="Arial"/>
          <w:szCs w:val="24"/>
        </w:rPr>
        <w:t>-</w:t>
      </w:r>
      <w:r w:rsidRPr="009A2FB5">
        <w:rPr>
          <w:rFonts w:eastAsia="Calibri" w:cs="Arial"/>
          <w:szCs w:val="24"/>
        </w:rPr>
        <w:t xml:space="preserve">5 </w:t>
      </w:r>
      <w:r w:rsidRPr="009A2FB5">
        <w:rPr>
          <w:rFonts w:eastAsia="Calibri" w:cs="Arial"/>
          <w:szCs w:val="24"/>
        </w:rPr>
        <w:tab/>
        <w:t xml:space="preserve">CCC Handled Contact Volume by Channel (Excludes </w:t>
      </w:r>
      <w:r>
        <w:rPr>
          <w:rFonts w:eastAsia="Calibri" w:cs="Arial"/>
          <w:szCs w:val="24"/>
        </w:rPr>
        <w:br/>
      </w:r>
      <w:r w:rsidRPr="009A2FB5">
        <w:rPr>
          <w:rFonts w:eastAsia="Calibri" w:cs="Arial"/>
          <w:szCs w:val="24"/>
        </w:rPr>
        <w:t>Outage-Related)</w:t>
      </w:r>
      <w:r w:rsidRPr="009A2FB5">
        <w:rPr>
          <w:rFonts w:eastAsia="Calibri" w:cs="Arial"/>
          <w:szCs w:val="24"/>
        </w:rPr>
        <w:tab/>
        <w:t>325</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t>Exhibit IX</w:t>
      </w:r>
      <w:r>
        <w:rPr>
          <w:rFonts w:eastAsia="Calibri" w:cs="Arial"/>
          <w:szCs w:val="24"/>
        </w:rPr>
        <w:t>-</w:t>
      </w:r>
      <w:r w:rsidRPr="009A2FB5">
        <w:rPr>
          <w:rFonts w:eastAsia="Calibri" w:cs="Arial"/>
          <w:szCs w:val="24"/>
        </w:rPr>
        <w:t xml:space="preserve">6 </w:t>
      </w:r>
      <w:r w:rsidRPr="009A2FB5">
        <w:rPr>
          <w:rFonts w:eastAsia="Calibri" w:cs="Arial"/>
          <w:szCs w:val="24"/>
        </w:rPr>
        <w:tab/>
        <w:t xml:space="preserve">PPL EU Energy Efficiency and Conservation Plan MWh Saved </w:t>
      </w:r>
      <w:r>
        <w:rPr>
          <w:rFonts w:eastAsia="Calibri" w:cs="Arial"/>
          <w:szCs w:val="24"/>
        </w:rPr>
        <w:br/>
      </w:r>
      <w:r w:rsidRPr="009A2FB5">
        <w:rPr>
          <w:rFonts w:eastAsia="Calibri" w:cs="Arial"/>
          <w:szCs w:val="24"/>
        </w:rPr>
        <w:t>Annually</w:t>
      </w:r>
      <w:r w:rsidRPr="009A2FB5">
        <w:rPr>
          <w:rFonts w:eastAsia="Calibri" w:cs="Arial"/>
          <w:szCs w:val="24"/>
        </w:rPr>
        <w:tab/>
        <w:t>329</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IX</w:t>
      </w:r>
      <w:r>
        <w:rPr>
          <w:rFonts w:eastAsia="Calibri" w:cs="Arial"/>
          <w:szCs w:val="24"/>
        </w:rPr>
        <w:t>-</w:t>
      </w:r>
      <w:r w:rsidRPr="009A2FB5">
        <w:rPr>
          <w:rFonts w:eastAsia="Calibri" w:cs="Arial"/>
          <w:szCs w:val="24"/>
        </w:rPr>
        <w:t xml:space="preserve">7 </w:t>
      </w:r>
      <w:r w:rsidRPr="009A2FB5">
        <w:rPr>
          <w:rFonts w:eastAsia="Calibri" w:cs="Arial"/>
          <w:szCs w:val="24"/>
        </w:rPr>
        <w:tab/>
        <w:t>Customer Services Operations Organization</w:t>
      </w:r>
      <w:r w:rsidRPr="009A2FB5">
        <w:rPr>
          <w:rFonts w:eastAsia="Calibri" w:cs="Arial"/>
          <w:szCs w:val="24"/>
        </w:rPr>
        <w:tab/>
        <w:t>333</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IX</w:t>
      </w:r>
      <w:r>
        <w:rPr>
          <w:rFonts w:eastAsia="Calibri" w:cs="Arial"/>
          <w:szCs w:val="24"/>
        </w:rPr>
        <w:t>-</w:t>
      </w:r>
      <w:r w:rsidRPr="009A2FB5">
        <w:rPr>
          <w:rFonts w:eastAsia="Calibri" w:cs="Arial"/>
          <w:szCs w:val="24"/>
        </w:rPr>
        <w:t xml:space="preserve">8 </w:t>
      </w:r>
      <w:r w:rsidRPr="009A2FB5">
        <w:rPr>
          <w:rFonts w:eastAsia="Calibri" w:cs="Arial"/>
          <w:szCs w:val="24"/>
        </w:rPr>
        <w:tab/>
        <w:t>Service Levels (with IVR)</w:t>
      </w:r>
      <w:r w:rsidRPr="009A2FB5">
        <w:rPr>
          <w:rFonts w:eastAsia="Calibri" w:cs="Arial"/>
          <w:szCs w:val="24"/>
        </w:rPr>
        <w:tab/>
        <w:t>334</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IX</w:t>
      </w:r>
      <w:r>
        <w:rPr>
          <w:rFonts w:eastAsia="Calibri" w:cs="Arial"/>
          <w:szCs w:val="24"/>
        </w:rPr>
        <w:t>-</w:t>
      </w:r>
      <w:r w:rsidRPr="009A2FB5">
        <w:rPr>
          <w:rFonts w:eastAsia="Calibri" w:cs="Arial"/>
          <w:szCs w:val="24"/>
        </w:rPr>
        <w:t xml:space="preserve">9 </w:t>
      </w:r>
      <w:r w:rsidRPr="009A2FB5">
        <w:rPr>
          <w:rFonts w:eastAsia="Calibri" w:cs="Arial"/>
          <w:szCs w:val="24"/>
        </w:rPr>
        <w:tab/>
        <w:t>First Call Resolution</w:t>
      </w:r>
      <w:r w:rsidRPr="009A2FB5">
        <w:rPr>
          <w:rFonts w:eastAsia="Calibri" w:cs="Arial"/>
          <w:szCs w:val="24"/>
        </w:rPr>
        <w:tab/>
        <w:t>335</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IX</w:t>
      </w:r>
      <w:r>
        <w:rPr>
          <w:rFonts w:eastAsia="Calibri" w:cs="Arial"/>
          <w:szCs w:val="24"/>
        </w:rPr>
        <w:t>-</w:t>
      </w:r>
      <w:r w:rsidRPr="009A2FB5">
        <w:rPr>
          <w:rFonts w:eastAsia="Calibri" w:cs="Arial"/>
          <w:szCs w:val="24"/>
        </w:rPr>
        <w:t xml:space="preserve">10 </w:t>
      </w:r>
      <w:r w:rsidRPr="009A2FB5">
        <w:rPr>
          <w:rFonts w:eastAsia="Calibri" w:cs="Arial"/>
          <w:szCs w:val="24"/>
        </w:rPr>
        <w:tab/>
        <w:t>Regulatory Programs Organization</w:t>
      </w:r>
      <w:r w:rsidRPr="009A2FB5">
        <w:rPr>
          <w:rFonts w:eastAsia="Calibri" w:cs="Arial"/>
          <w:szCs w:val="24"/>
        </w:rPr>
        <w:tab/>
        <w:t>339</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lastRenderedPageBreak/>
        <w:t>Exhibit IX</w:t>
      </w:r>
      <w:r>
        <w:rPr>
          <w:rFonts w:eastAsia="Calibri" w:cs="Arial"/>
          <w:szCs w:val="24"/>
        </w:rPr>
        <w:t>-</w:t>
      </w:r>
      <w:r w:rsidRPr="009A2FB5">
        <w:rPr>
          <w:rFonts w:eastAsia="Calibri" w:cs="Arial"/>
          <w:szCs w:val="24"/>
        </w:rPr>
        <w:t xml:space="preserve">11 </w:t>
      </w:r>
      <w:r w:rsidRPr="009A2FB5">
        <w:rPr>
          <w:rFonts w:eastAsia="Calibri" w:cs="Arial"/>
          <w:szCs w:val="24"/>
        </w:rPr>
        <w:tab/>
        <w:t xml:space="preserve">Comparison of Dollars Spent per Job for Universal Service WRAP </w:t>
      </w:r>
      <w:r>
        <w:rPr>
          <w:rFonts w:eastAsia="Calibri" w:cs="Arial"/>
          <w:szCs w:val="24"/>
        </w:rPr>
        <w:br/>
      </w:r>
      <w:r w:rsidRPr="009A2FB5">
        <w:rPr>
          <w:rFonts w:eastAsia="Calibri" w:cs="Arial"/>
          <w:szCs w:val="24"/>
        </w:rPr>
        <w:t>and Act 129 WRAP</w:t>
      </w:r>
      <w:r w:rsidRPr="009A2FB5">
        <w:rPr>
          <w:rFonts w:eastAsia="Calibri" w:cs="Arial"/>
          <w:szCs w:val="24"/>
        </w:rPr>
        <w:tab/>
        <w:t>342</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IX</w:t>
      </w:r>
      <w:r>
        <w:rPr>
          <w:rFonts w:eastAsia="Calibri" w:cs="Arial"/>
          <w:szCs w:val="24"/>
        </w:rPr>
        <w:t>-</w:t>
      </w:r>
      <w:r w:rsidRPr="009A2FB5">
        <w:rPr>
          <w:rFonts w:eastAsia="Calibri" w:cs="Arial"/>
          <w:szCs w:val="24"/>
        </w:rPr>
        <w:t xml:space="preserve">12 </w:t>
      </w:r>
      <w:r w:rsidRPr="009A2FB5">
        <w:rPr>
          <w:rFonts w:eastAsia="Calibri" w:cs="Arial"/>
          <w:szCs w:val="24"/>
        </w:rPr>
        <w:tab/>
        <w:t>Universal Service WRAP Cost per Customer</w:t>
      </w:r>
      <w:r w:rsidRPr="009A2FB5">
        <w:rPr>
          <w:rFonts w:eastAsia="Calibri" w:cs="Arial"/>
          <w:szCs w:val="24"/>
        </w:rPr>
        <w:tab/>
        <w:t>343</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IX</w:t>
      </w:r>
      <w:r>
        <w:rPr>
          <w:rFonts w:eastAsia="Calibri" w:cs="Arial"/>
          <w:szCs w:val="24"/>
        </w:rPr>
        <w:t>-</w:t>
      </w:r>
      <w:r w:rsidRPr="009A2FB5">
        <w:rPr>
          <w:rFonts w:eastAsia="Calibri" w:cs="Arial"/>
          <w:szCs w:val="24"/>
        </w:rPr>
        <w:t xml:space="preserve">13 </w:t>
      </w:r>
      <w:r w:rsidRPr="009A2FB5">
        <w:rPr>
          <w:rFonts w:eastAsia="Calibri" w:cs="Arial"/>
          <w:szCs w:val="24"/>
        </w:rPr>
        <w:tab/>
        <w:t>2015 Percent PUC Informal Complaints Determined as “Justified”</w:t>
      </w:r>
      <w:r w:rsidRPr="009A2FB5">
        <w:rPr>
          <w:rFonts w:eastAsia="Calibri" w:cs="Arial"/>
          <w:szCs w:val="24"/>
        </w:rPr>
        <w:tab/>
        <w:t>345</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IX</w:t>
      </w:r>
      <w:r>
        <w:rPr>
          <w:rFonts w:eastAsia="Calibri" w:cs="Arial"/>
          <w:szCs w:val="24"/>
        </w:rPr>
        <w:t>-</w:t>
      </w:r>
      <w:r w:rsidRPr="009A2FB5">
        <w:rPr>
          <w:rFonts w:eastAsia="Calibri" w:cs="Arial"/>
          <w:szCs w:val="24"/>
        </w:rPr>
        <w:t xml:space="preserve">14 </w:t>
      </w:r>
      <w:r w:rsidRPr="009A2FB5">
        <w:rPr>
          <w:rFonts w:eastAsia="Calibri" w:cs="Arial"/>
          <w:szCs w:val="24"/>
        </w:rPr>
        <w:tab/>
        <w:t>Reasons for Justified Complaints</w:t>
      </w:r>
      <w:r w:rsidRPr="009A2FB5">
        <w:rPr>
          <w:rFonts w:eastAsia="Calibri" w:cs="Arial"/>
          <w:szCs w:val="24"/>
        </w:rPr>
        <w:tab/>
        <w:t>346</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IX</w:t>
      </w:r>
      <w:r>
        <w:rPr>
          <w:rFonts w:eastAsia="Calibri" w:cs="Arial"/>
          <w:szCs w:val="24"/>
        </w:rPr>
        <w:t>-</w:t>
      </w:r>
      <w:r w:rsidRPr="009A2FB5">
        <w:rPr>
          <w:rFonts w:eastAsia="Calibri" w:cs="Arial"/>
          <w:szCs w:val="24"/>
        </w:rPr>
        <w:t xml:space="preserve">15 </w:t>
      </w:r>
      <w:r w:rsidRPr="009A2FB5">
        <w:rPr>
          <w:rFonts w:eastAsia="Calibri" w:cs="Arial"/>
          <w:szCs w:val="24"/>
        </w:rPr>
        <w:tab/>
        <w:t>Dispute Errors by Type</w:t>
      </w:r>
      <w:r w:rsidRPr="009A2FB5">
        <w:rPr>
          <w:rFonts w:eastAsia="Calibri" w:cs="Arial"/>
          <w:szCs w:val="24"/>
        </w:rPr>
        <w:tab/>
        <w:t>347</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IX</w:t>
      </w:r>
      <w:r>
        <w:rPr>
          <w:rFonts w:eastAsia="Calibri" w:cs="Arial"/>
          <w:szCs w:val="24"/>
        </w:rPr>
        <w:t>-</w:t>
      </w:r>
      <w:r w:rsidRPr="009A2FB5">
        <w:rPr>
          <w:rFonts w:eastAsia="Calibri" w:cs="Arial"/>
          <w:szCs w:val="24"/>
        </w:rPr>
        <w:t xml:space="preserve">16 </w:t>
      </w:r>
      <w:r w:rsidRPr="009A2FB5">
        <w:rPr>
          <w:rFonts w:eastAsia="Calibri" w:cs="Arial"/>
          <w:szCs w:val="24"/>
        </w:rPr>
        <w:tab/>
        <w:t>Advanced Metering and Data Operations Organization</w:t>
      </w:r>
      <w:r w:rsidRPr="009A2FB5">
        <w:rPr>
          <w:rFonts w:eastAsia="Calibri" w:cs="Arial"/>
          <w:szCs w:val="24"/>
        </w:rPr>
        <w:tab/>
        <w:t>348</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IX</w:t>
      </w:r>
      <w:r>
        <w:rPr>
          <w:rFonts w:eastAsia="Calibri" w:cs="Arial"/>
          <w:szCs w:val="24"/>
        </w:rPr>
        <w:t>-</w:t>
      </w:r>
      <w:r w:rsidRPr="009A2FB5">
        <w:rPr>
          <w:rFonts w:eastAsia="Calibri" w:cs="Arial"/>
          <w:szCs w:val="24"/>
        </w:rPr>
        <w:t xml:space="preserve">17 </w:t>
      </w:r>
      <w:r w:rsidRPr="009A2FB5">
        <w:rPr>
          <w:rFonts w:eastAsia="Calibri" w:cs="Arial"/>
          <w:szCs w:val="24"/>
        </w:rPr>
        <w:tab/>
        <w:t>Revenue Operations Organization</w:t>
      </w:r>
      <w:r w:rsidRPr="009A2FB5">
        <w:rPr>
          <w:rFonts w:eastAsia="Calibri" w:cs="Arial"/>
          <w:szCs w:val="24"/>
        </w:rPr>
        <w:tab/>
        <w:t>353</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IX</w:t>
      </w:r>
      <w:r>
        <w:rPr>
          <w:rFonts w:eastAsia="Calibri" w:cs="Arial"/>
          <w:szCs w:val="24"/>
        </w:rPr>
        <w:t>-</w:t>
      </w:r>
      <w:r w:rsidRPr="009A2FB5">
        <w:rPr>
          <w:rFonts w:eastAsia="Calibri" w:cs="Arial"/>
          <w:szCs w:val="24"/>
        </w:rPr>
        <w:t xml:space="preserve">18 </w:t>
      </w:r>
      <w:r w:rsidRPr="009A2FB5">
        <w:rPr>
          <w:rFonts w:eastAsia="Calibri" w:cs="Arial"/>
          <w:szCs w:val="24"/>
        </w:rPr>
        <w:tab/>
        <w:t>Residential Shut-offs for Non-Payment</w:t>
      </w:r>
      <w:r w:rsidRPr="009A2FB5">
        <w:rPr>
          <w:rFonts w:eastAsia="Calibri" w:cs="Arial"/>
          <w:szCs w:val="24"/>
        </w:rPr>
        <w:tab/>
        <w:t>354</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IX</w:t>
      </w:r>
      <w:r>
        <w:rPr>
          <w:rFonts w:eastAsia="Calibri" w:cs="Arial"/>
          <w:szCs w:val="24"/>
        </w:rPr>
        <w:t>-</w:t>
      </w:r>
      <w:r w:rsidRPr="009A2FB5">
        <w:rPr>
          <w:rFonts w:eastAsia="Calibri" w:cs="Arial"/>
          <w:szCs w:val="24"/>
        </w:rPr>
        <w:t xml:space="preserve">19 </w:t>
      </w:r>
      <w:r w:rsidRPr="009A2FB5">
        <w:rPr>
          <w:rFonts w:eastAsia="Calibri" w:cs="Arial"/>
          <w:szCs w:val="24"/>
        </w:rPr>
        <w:tab/>
        <w:t>Bill Payment Methods</w:t>
      </w:r>
      <w:r w:rsidRPr="009A2FB5">
        <w:rPr>
          <w:rFonts w:eastAsia="Calibri" w:cs="Arial"/>
          <w:szCs w:val="24"/>
        </w:rPr>
        <w:tab/>
        <w:t>358</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IX</w:t>
      </w:r>
      <w:r>
        <w:rPr>
          <w:rFonts w:eastAsia="Calibri" w:cs="Arial"/>
          <w:szCs w:val="24"/>
        </w:rPr>
        <w:t>-</w:t>
      </w:r>
      <w:r w:rsidRPr="009A2FB5">
        <w:rPr>
          <w:rFonts w:eastAsia="Calibri" w:cs="Arial"/>
          <w:szCs w:val="24"/>
        </w:rPr>
        <w:t xml:space="preserve">20 </w:t>
      </w:r>
      <w:r w:rsidRPr="009A2FB5">
        <w:rPr>
          <w:rFonts w:eastAsia="Calibri" w:cs="Arial"/>
          <w:szCs w:val="24"/>
        </w:rPr>
        <w:tab/>
        <w:t>Paperless Billing Accounts</w:t>
      </w:r>
      <w:r w:rsidRPr="009A2FB5">
        <w:rPr>
          <w:rFonts w:eastAsia="Calibri" w:cs="Arial"/>
          <w:szCs w:val="24"/>
        </w:rPr>
        <w:tab/>
        <w:t>359</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IX</w:t>
      </w:r>
      <w:r>
        <w:rPr>
          <w:rFonts w:eastAsia="Calibri" w:cs="Arial"/>
          <w:szCs w:val="24"/>
        </w:rPr>
        <w:t>-</w:t>
      </w:r>
      <w:r w:rsidRPr="009A2FB5">
        <w:rPr>
          <w:rFonts w:eastAsia="Calibri" w:cs="Arial"/>
          <w:szCs w:val="24"/>
        </w:rPr>
        <w:t xml:space="preserve">21 </w:t>
      </w:r>
      <w:r w:rsidRPr="009A2FB5">
        <w:rPr>
          <w:rFonts w:eastAsia="Calibri" w:cs="Arial"/>
          <w:szCs w:val="24"/>
        </w:rPr>
        <w:tab/>
        <w:t>Bills Issued Timely and Accurately</w:t>
      </w:r>
      <w:r w:rsidRPr="009A2FB5">
        <w:rPr>
          <w:rFonts w:eastAsia="Calibri" w:cs="Arial"/>
          <w:szCs w:val="24"/>
        </w:rPr>
        <w:tab/>
        <w:t>363</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IX</w:t>
      </w:r>
      <w:r>
        <w:rPr>
          <w:rFonts w:eastAsia="Calibri" w:cs="Arial"/>
          <w:szCs w:val="24"/>
        </w:rPr>
        <w:t>-</w:t>
      </w:r>
      <w:r w:rsidRPr="009A2FB5">
        <w:rPr>
          <w:rFonts w:eastAsia="Calibri" w:cs="Arial"/>
          <w:szCs w:val="24"/>
        </w:rPr>
        <w:t xml:space="preserve">22 </w:t>
      </w:r>
      <w:r w:rsidRPr="009A2FB5">
        <w:rPr>
          <w:rFonts w:eastAsia="Calibri" w:cs="Arial"/>
          <w:szCs w:val="24"/>
        </w:rPr>
        <w:tab/>
        <w:t>Bills Not Issued Timely and Bills Adjusted Performance</w:t>
      </w:r>
      <w:r w:rsidRPr="009A2FB5">
        <w:rPr>
          <w:rFonts w:eastAsia="Calibri" w:cs="Arial"/>
          <w:szCs w:val="24"/>
        </w:rPr>
        <w:tab/>
        <w:t>364</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t>Exhibit IX</w:t>
      </w:r>
      <w:r>
        <w:rPr>
          <w:rFonts w:eastAsia="Calibri" w:cs="Arial"/>
          <w:szCs w:val="24"/>
        </w:rPr>
        <w:t>-</w:t>
      </w:r>
      <w:r w:rsidRPr="009A2FB5">
        <w:rPr>
          <w:rFonts w:eastAsia="Calibri" w:cs="Arial"/>
          <w:szCs w:val="24"/>
        </w:rPr>
        <w:t xml:space="preserve">23 </w:t>
      </w:r>
      <w:r w:rsidRPr="009A2FB5">
        <w:rPr>
          <w:rFonts w:eastAsia="Calibri" w:cs="Arial"/>
          <w:szCs w:val="24"/>
        </w:rPr>
        <w:tab/>
        <w:t xml:space="preserve">Collection Agency Recovery Rate per Placement Cumulative </w:t>
      </w:r>
      <w:r w:rsidRPr="009A2FB5">
        <w:rPr>
          <w:rFonts w:eastAsia="Calibri" w:cs="Arial"/>
          <w:szCs w:val="24"/>
        </w:rPr>
        <w:br/>
        <w:t>12 Months</w:t>
      </w:r>
      <w:r w:rsidRPr="009A2FB5">
        <w:rPr>
          <w:rFonts w:eastAsia="Calibri" w:cs="Arial"/>
          <w:szCs w:val="24"/>
        </w:rPr>
        <w:tab/>
        <w:t>365</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IX</w:t>
      </w:r>
      <w:r>
        <w:rPr>
          <w:rFonts w:eastAsia="Calibri" w:cs="Arial"/>
          <w:szCs w:val="24"/>
        </w:rPr>
        <w:t>-</w:t>
      </w:r>
      <w:r w:rsidRPr="009A2FB5">
        <w:rPr>
          <w:rFonts w:eastAsia="Calibri" w:cs="Arial"/>
          <w:szCs w:val="24"/>
        </w:rPr>
        <w:t xml:space="preserve">24 </w:t>
      </w:r>
      <w:r w:rsidRPr="009A2FB5">
        <w:rPr>
          <w:rFonts w:eastAsia="Calibri" w:cs="Arial"/>
          <w:szCs w:val="24"/>
        </w:rPr>
        <w:tab/>
        <w:t>Net Write-Offs</w:t>
      </w:r>
      <w:r w:rsidRPr="009A2FB5">
        <w:rPr>
          <w:rFonts w:eastAsia="Calibri" w:cs="Arial"/>
          <w:szCs w:val="24"/>
        </w:rPr>
        <w:tab/>
        <w:t>366</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w:t>
      </w:r>
      <w:r>
        <w:rPr>
          <w:rFonts w:eastAsia="Calibri" w:cs="Arial"/>
          <w:szCs w:val="24"/>
        </w:rPr>
        <w:t>-</w:t>
      </w:r>
      <w:r w:rsidRPr="009A2FB5">
        <w:rPr>
          <w:rFonts w:eastAsia="Calibri" w:cs="Arial"/>
          <w:szCs w:val="24"/>
        </w:rPr>
        <w:t xml:space="preserve">1 </w:t>
      </w:r>
      <w:r w:rsidRPr="009A2FB5">
        <w:rPr>
          <w:rFonts w:eastAsia="Calibri" w:cs="Arial"/>
          <w:szCs w:val="24"/>
        </w:rPr>
        <w:tab/>
        <w:t>OnTrack Household Income Criteria</w:t>
      </w:r>
      <w:r w:rsidRPr="009A2FB5">
        <w:rPr>
          <w:rFonts w:eastAsia="Calibri" w:cs="Arial"/>
          <w:szCs w:val="24"/>
        </w:rPr>
        <w:tab/>
        <w:t>372</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w:t>
      </w:r>
      <w:r>
        <w:rPr>
          <w:rFonts w:eastAsia="Calibri" w:cs="Arial"/>
          <w:szCs w:val="24"/>
        </w:rPr>
        <w:t>-</w:t>
      </w:r>
      <w:r w:rsidRPr="009A2FB5">
        <w:rPr>
          <w:rFonts w:eastAsia="Calibri" w:cs="Arial"/>
          <w:szCs w:val="24"/>
        </w:rPr>
        <w:t xml:space="preserve">2 </w:t>
      </w:r>
      <w:r w:rsidRPr="009A2FB5">
        <w:rPr>
          <w:rFonts w:eastAsia="Calibri" w:cs="Arial"/>
          <w:szCs w:val="24"/>
        </w:rPr>
        <w:tab/>
        <w:t>OnTrack Annual Costs by Component</w:t>
      </w:r>
      <w:r w:rsidRPr="009A2FB5">
        <w:rPr>
          <w:rFonts w:eastAsia="Calibri" w:cs="Arial"/>
          <w:szCs w:val="24"/>
        </w:rPr>
        <w:tab/>
        <w:t>374</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w:t>
      </w:r>
      <w:r>
        <w:rPr>
          <w:rFonts w:eastAsia="Calibri" w:cs="Arial"/>
          <w:szCs w:val="24"/>
        </w:rPr>
        <w:t>-</w:t>
      </w:r>
      <w:r w:rsidRPr="009A2FB5">
        <w:rPr>
          <w:rFonts w:eastAsia="Calibri" w:cs="Arial"/>
          <w:szCs w:val="24"/>
        </w:rPr>
        <w:t xml:space="preserve">3 </w:t>
      </w:r>
      <w:r w:rsidRPr="009A2FB5">
        <w:rPr>
          <w:rFonts w:eastAsia="Calibri" w:cs="Arial"/>
          <w:szCs w:val="24"/>
        </w:rPr>
        <w:tab/>
        <w:t>OnTrack Component Costs by Percent for 2014</w:t>
      </w:r>
      <w:r w:rsidRPr="009A2FB5">
        <w:rPr>
          <w:rFonts w:eastAsia="Calibri" w:cs="Arial"/>
          <w:szCs w:val="24"/>
        </w:rPr>
        <w:tab/>
        <w:t>375</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w:t>
      </w:r>
      <w:r>
        <w:rPr>
          <w:rFonts w:eastAsia="Calibri" w:cs="Arial"/>
          <w:szCs w:val="24"/>
        </w:rPr>
        <w:t>-</w:t>
      </w:r>
      <w:r w:rsidRPr="009A2FB5">
        <w:rPr>
          <w:rFonts w:eastAsia="Calibri" w:cs="Arial"/>
          <w:szCs w:val="24"/>
        </w:rPr>
        <w:t xml:space="preserve">4 </w:t>
      </w:r>
      <w:r w:rsidRPr="009A2FB5">
        <w:rPr>
          <w:rFonts w:eastAsia="Calibri" w:cs="Arial"/>
          <w:szCs w:val="24"/>
        </w:rPr>
        <w:tab/>
        <w:t>PPL EU OnTrack Agencies</w:t>
      </w:r>
      <w:r w:rsidRPr="009A2FB5">
        <w:rPr>
          <w:rFonts w:eastAsia="Calibri" w:cs="Arial"/>
          <w:szCs w:val="24"/>
        </w:rPr>
        <w:tab/>
        <w:t>376</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w:t>
      </w:r>
      <w:r>
        <w:rPr>
          <w:rFonts w:eastAsia="Calibri" w:cs="Arial"/>
          <w:szCs w:val="24"/>
        </w:rPr>
        <w:t>-</w:t>
      </w:r>
      <w:r w:rsidRPr="009A2FB5">
        <w:rPr>
          <w:rFonts w:eastAsia="Calibri" w:cs="Arial"/>
          <w:szCs w:val="24"/>
        </w:rPr>
        <w:t xml:space="preserve">5 </w:t>
      </w:r>
      <w:r w:rsidRPr="009A2FB5">
        <w:rPr>
          <w:rFonts w:eastAsia="Calibri" w:cs="Arial"/>
          <w:szCs w:val="24"/>
        </w:rPr>
        <w:tab/>
        <w:t>PPL EU Staff with OnTrack Responsibilities</w:t>
      </w:r>
      <w:r w:rsidRPr="009A2FB5">
        <w:rPr>
          <w:rFonts w:eastAsia="Calibri" w:cs="Arial"/>
          <w:szCs w:val="24"/>
        </w:rPr>
        <w:tab/>
        <w:t>387</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w:t>
      </w:r>
      <w:r>
        <w:rPr>
          <w:rFonts w:eastAsia="Calibri" w:cs="Arial"/>
          <w:szCs w:val="24"/>
        </w:rPr>
        <w:t>-</w:t>
      </w:r>
      <w:r w:rsidRPr="009A2FB5">
        <w:rPr>
          <w:rFonts w:eastAsia="Calibri" w:cs="Arial"/>
          <w:szCs w:val="24"/>
        </w:rPr>
        <w:t xml:space="preserve">6 </w:t>
      </w:r>
      <w:r w:rsidRPr="009A2FB5">
        <w:rPr>
          <w:rFonts w:eastAsia="Calibri" w:cs="Arial"/>
          <w:szCs w:val="24"/>
        </w:rPr>
        <w:tab/>
        <w:t>OnTrack Program PPL EU Staff</w:t>
      </w:r>
      <w:r w:rsidRPr="009A2FB5">
        <w:rPr>
          <w:rFonts w:eastAsia="Calibri" w:cs="Arial"/>
          <w:szCs w:val="24"/>
        </w:rPr>
        <w:tab/>
        <w:t>388</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w:t>
      </w:r>
      <w:r>
        <w:rPr>
          <w:rFonts w:eastAsia="Calibri" w:cs="Arial"/>
          <w:szCs w:val="24"/>
        </w:rPr>
        <w:t>-</w:t>
      </w:r>
      <w:r w:rsidRPr="009A2FB5">
        <w:rPr>
          <w:rFonts w:eastAsia="Calibri" w:cs="Arial"/>
          <w:szCs w:val="24"/>
        </w:rPr>
        <w:t xml:space="preserve">7 </w:t>
      </w:r>
      <w:r w:rsidRPr="009A2FB5">
        <w:rPr>
          <w:rFonts w:eastAsia="Calibri" w:cs="Arial"/>
          <w:szCs w:val="24"/>
        </w:rPr>
        <w:tab/>
        <w:t>Regulatory Programs Responsibilities per OnTrack FTE</w:t>
      </w:r>
      <w:r w:rsidRPr="009A2FB5">
        <w:rPr>
          <w:rFonts w:eastAsia="Calibri" w:cs="Arial"/>
          <w:szCs w:val="24"/>
        </w:rPr>
        <w:tab/>
        <w:t>390</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w:t>
      </w:r>
      <w:r>
        <w:rPr>
          <w:rFonts w:eastAsia="Calibri" w:cs="Arial"/>
          <w:szCs w:val="24"/>
        </w:rPr>
        <w:t>-</w:t>
      </w:r>
      <w:r w:rsidRPr="009A2FB5">
        <w:rPr>
          <w:rFonts w:eastAsia="Calibri" w:cs="Arial"/>
          <w:szCs w:val="24"/>
        </w:rPr>
        <w:t xml:space="preserve">8 </w:t>
      </w:r>
      <w:r w:rsidRPr="009A2FB5">
        <w:rPr>
          <w:rFonts w:eastAsia="Calibri" w:cs="Arial"/>
          <w:szCs w:val="24"/>
        </w:rPr>
        <w:tab/>
        <w:t>New Enrollments by Agency for 2014</w:t>
      </w:r>
      <w:r w:rsidRPr="009A2FB5">
        <w:rPr>
          <w:rFonts w:eastAsia="Calibri" w:cs="Arial"/>
          <w:szCs w:val="24"/>
        </w:rPr>
        <w:tab/>
        <w:t>393</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w:t>
      </w:r>
      <w:r>
        <w:rPr>
          <w:rFonts w:eastAsia="Calibri" w:cs="Arial"/>
          <w:szCs w:val="24"/>
        </w:rPr>
        <w:t>-</w:t>
      </w:r>
      <w:r w:rsidRPr="009A2FB5">
        <w:rPr>
          <w:rFonts w:eastAsia="Calibri" w:cs="Arial"/>
          <w:szCs w:val="24"/>
        </w:rPr>
        <w:t xml:space="preserve">9 </w:t>
      </w:r>
      <w:r w:rsidRPr="009A2FB5">
        <w:rPr>
          <w:rFonts w:eastAsia="Calibri" w:cs="Arial"/>
          <w:szCs w:val="24"/>
        </w:rPr>
        <w:tab/>
        <w:t>Average Cost per OnTrack Agency Caseworker</w:t>
      </w:r>
      <w:r w:rsidRPr="009A2FB5">
        <w:rPr>
          <w:rFonts w:eastAsia="Calibri" w:cs="Arial"/>
          <w:szCs w:val="24"/>
        </w:rPr>
        <w:tab/>
        <w:t>394</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w:t>
      </w:r>
      <w:r>
        <w:rPr>
          <w:rFonts w:eastAsia="Calibri" w:cs="Arial"/>
          <w:szCs w:val="24"/>
        </w:rPr>
        <w:t>-</w:t>
      </w:r>
      <w:r w:rsidRPr="009A2FB5">
        <w:rPr>
          <w:rFonts w:eastAsia="Calibri" w:cs="Arial"/>
          <w:szCs w:val="24"/>
        </w:rPr>
        <w:t xml:space="preserve">10 </w:t>
      </w:r>
      <w:r w:rsidRPr="009A2FB5">
        <w:rPr>
          <w:rFonts w:eastAsia="Calibri" w:cs="Arial"/>
          <w:szCs w:val="24"/>
        </w:rPr>
        <w:tab/>
        <w:t>OnTrack Agency Caseworker Productivity</w:t>
      </w:r>
      <w:r w:rsidRPr="009A2FB5">
        <w:rPr>
          <w:rFonts w:eastAsia="Calibri" w:cs="Arial"/>
          <w:szCs w:val="24"/>
        </w:rPr>
        <w:tab/>
        <w:t>395</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w:t>
      </w:r>
      <w:r>
        <w:rPr>
          <w:rFonts w:eastAsia="Calibri" w:cs="Arial"/>
          <w:szCs w:val="24"/>
        </w:rPr>
        <w:t>-</w:t>
      </w:r>
      <w:r w:rsidRPr="009A2FB5">
        <w:rPr>
          <w:rFonts w:eastAsia="Calibri" w:cs="Arial"/>
          <w:szCs w:val="24"/>
        </w:rPr>
        <w:t xml:space="preserve">11 </w:t>
      </w:r>
      <w:r w:rsidRPr="009A2FB5">
        <w:rPr>
          <w:rFonts w:eastAsia="Calibri" w:cs="Arial"/>
          <w:szCs w:val="24"/>
        </w:rPr>
        <w:tab/>
        <w:t>OnTrack Agency FTE Staffing Levels</w:t>
      </w:r>
      <w:r w:rsidRPr="009A2FB5">
        <w:rPr>
          <w:rFonts w:eastAsia="Calibri" w:cs="Arial"/>
          <w:szCs w:val="24"/>
        </w:rPr>
        <w:tab/>
        <w:t>397</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w:t>
      </w:r>
      <w:r>
        <w:rPr>
          <w:rFonts w:eastAsia="Calibri" w:cs="Arial"/>
          <w:szCs w:val="24"/>
        </w:rPr>
        <w:t>-</w:t>
      </w:r>
      <w:r w:rsidRPr="009A2FB5">
        <w:rPr>
          <w:rFonts w:eastAsia="Calibri" w:cs="Arial"/>
          <w:szCs w:val="24"/>
        </w:rPr>
        <w:t xml:space="preserve">12 </w:t>
      </w:r>
      <w:r w:rsidRPr="009A2FB5">
        <w:rPr>
          <w:rFonts w:eastAsia="Calibri" w:cs="Arial"/>
          <w:szCs w:val="24"/>
        </w:rPr>
        <w:tab/>
        <w:t>OnTrack Enrollments for Each Agency</w:t>
      </w:r>
      <w:r w:rsidRPr="009A2FB5">
        <w:rPr>
          <w:rFonts w:eastAsia="Calibri" w:cs="Arial"/>
          <w:szCs w:val="24"/>
        </w:rPr>
        <w:tab/>
        <w:t>398</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w:t>
      </w:r>
      <w:r>
        <w:rPr>
          <w:rFonts w:eastAsia="Calibri" w:cs="Arial"/>
          <w:szCs w:val="24"/>
        </w:rPr>
        <w:t>-</w:t>
      </w:r>
      <w:r w:rsidRPr="009A2FB5">
        <w:rPr>
          <w:rFonts w:eastAsia="Calibri" w:cs="Arial"/>
          <w:szCs w:val="24"/>
        </w:rPr>
        <w:t xml:space="preserve">13 </w:t>
      </w:r>
      <w:r w:rsidRPr="009A2FB5">
        <w:rPr>
          <w:rFonts w:eastAsia="Calibri" w:cs="Arial"/>
          <w:szCs w:val="24"/>
        </w:rPr>
        <w:tab/>
        <w:t>OnTrack New Enrollments Compared to the Target</w:t>
      </w:r>
      <w:r w:rsidRPr="009A2FB5">
        <w:rPr>
          <w:rFonts w:eastAsia="Calibri" w:cs="Arial"/>
          <w:szCs w:val="24"/>
        </w:rPr>
        <w:tab/>
        <w:t>400</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w:t>
      </w:r>
      <w:r>
        <w:rPr>
          <w:rFonts w:eastAsia="Calibri" w:cs="Arial"/>
          <w:szCs w:val="24"/>
        </w:rPr>
        <w:t>-</w:t>
      </w:r>
      <w:r w:rsidRPr="009A2FB5">
        <w:rPr>
          <w:rFonts w:eastAsia="Calibri" w:cs="Arial"/>
          <w:szCs w:val="24"/>
        </w:rPr>
        <w:t xml:space="preserve">14 </w:t>
      </w:r>
      <w:r w:rsidRPr="009A2FB5">
        <w:rPr>
          <w:rFonts w:eastAsia="Calibri" w:cs="Arial"/>
          <w:szCs w:val="24"/>
        </w:rPr>
        <w:tab/>
        <w:t>New Enrollment Targets by Agency in 2015</w:t>
      </w:r>
      <w:r w:rsidRPr="009A2FB5">
        <w:rPr>
          <w:rFonts w:eastAsia="Calibri" w:cs="Arial"/>
          <w:szCs w:val="24"/>
        </w:rPr>
        <w:tab/>
        <w:t>401</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w:t>
      </w:r>
      <w:r>
        <w:rPr>
          <w:rFonts w:eastAsia="Calibri" w:cs="Arial"/>
          <w:szCs w:val="24"/>
        </w:rPr>
        <w:t>-</w:t>
      </w:r>
      <w:r w:rsidRPr="009A2FB5">
        <w:rPr>
          <w:rFonts w:eastAsia="Calibri" w:cs="Arial"/>
          <w:szCs w:val="24"/>
        </w:rPr>
        <w:t xml:space="preserve">15 </w:t>
      </w:r>
      <w:r w:rsidRPr="009A2FB5">
        <w:rPr>
          <w:rFonts w:eastAsia="Calibri" w:cs="Arial"/>
          <w:szCs w:val="24"/>
        </w:rPr>
        <w:tab/>
        <w:t>OnTrack Annual Cost per Customer</w:t>
      </w:r>
      <w:r w:rsidRPr="009A2FB5">
        <w:rPr>
          <w:rFonts w:eastAsia="Calibri" w:cs="Arial"/>
          <w:szCs w:val="24"/>
        </w:rPr>
        <w:tab/>
        <w:t>408</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t>Exhibit X</w:t>
      </w:r>
      <w:r>
        <w:rPr>
          <w:rFonts w:eastAsia="Calibri" w:cs="Arial"/>
          <w:szCs w:val="24"/>
        </w:rPr>
        <w:t>-</w:t>
      </w:r>
      <w:r w:rsidRPr="009A2FB5">
        <w:rPr>
          <w:rFonts w:eastAsia="Calibri" w:cs="Arial"/>
          <w:szCs w:val="24"/>
        </w:rPr>
        <w:t xml:space="preserve">16 </w:t>
      </w:r>
      <w:r w:rsidRPr="009A2FB5">
        <w:rPr>
          <w:rFonts w:eastAsia="Calibri" w:cs="Arial"/>
          <w:szCs w:val="24"/>
        </w:rPr>
        <w:tab/>
        <w:t xml:space="preserve">OnTrack Referrals Compared to New Enrollments and Active </w:t>
      </w:r>
      <w:r>
        <w:rPr>
          <w:rFonts w:eastAsia="Calibri" w:cs="Arial"/>
          <w:szCs w:val="24"/>
        </w:rPr>
        <w:br/>
      </w:r>
      <w:r w:rsidRPr="009A2FB5">
        <w:rPr>
          <w:rFonts w:eastAsia="Calibri" w:cs="Arial"/>
          <w:szCs w:val="24"/>
        </w:rPr>
        <w:t>Members</w:t>
      </w:r>
      <w:r w:rsidRPr="009A2FB5">
        <w:rPr>
          <w:rFonts w:eastAsia="Calibri" w:cs="Arial"/>
          <w:szCs w:val="24"/>
        </w:rPr>
        <w:tab/>
        <w:t>410</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w:t>
      </w:r>
      <w:r>
        <w:rPr>
          <w:rFonts w:eastAsia="Calibri" w:cs="Arial"/>
          <w:szCs w:val="24"/>
        </w:rPr>
        <w:t>-</w:t>
      </w:r>
      <w:r w:rsidRPr="009A2FB5">
        <w:rPr>
          <w:rFonts w:eastAsia="Calibri" w:cs="Arial"/>
          <w:szCs w:val="24"/>
        </w:rPr>
        <w:t xml:space="preserve">17 </w:t>
      </w:r>
      <w:r w:rsidRPr="009A2FB5">
        <w:rPr>
          <w:rFonts w:eastAsia="Calibri" w:cs="Arial"/>
          <w:szCs w:val="24"/>
        </w:rPr>
        <w:tab/>
        <w:t>OnTrack Agency Cost Per New Enrollment</w:t>
      </w:r>
      <w:r w:rsidRPr="009A2FB5">
        <w:rPr>
          <w:rFonts w:eastAsia="Calibri" w:cs="Arial"/>
          <w:szCs w:val="24"/>
        </w:rPr>
        <w:tab/>
        <w:t>412</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w:t>
      </w:r>
      <w:r>
        <w:rPr>
          <w:rFonts w:eastAsia="Calibri" w:cs="Arial"/>
          <w:szCs w:val="24"/>
        </w:rPr>
        <w:t>-</w:t>
      </w:r>
      <w:r w:rsidRPr="009A2FB5">
        <w:rPr>
          <w:rFonts w:eastAsia="Calibri" w:cs="Arial"/>
          <w:szCs w:val="24"/>
        </w:rPr>
        <w:t xml:space="preserve">18 </w:t>
      </w:r>
      <w:r w:rsidRPr="009A2FB5">
        <w:rPr>
          <w:rFonts w:eastAsia="Calibri" w:cs="Arial"/>
          <w:szCs w:val="24"/>
        </w:rPr>
        <w:tab/>
        <w:t>OnTrack Average Graduation Rates</w:t>
      </w:r>
      <w:r w:rsidRPr="009A2FB5">
        <w:rPr>
          <w:rFonts w:eastAsia="Calibri" w:cs="Arial"/>
          <w:szCs w:val="24"/>
        </w:rPr>
        <w:tab/>
        <w:t>413</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w:t>
      </w:r>
      <w:r>
        <w:rPr>
          <w:rFonts w:eastAsia="Calibri" w:cs="Arial"/>
          <w:szCs w:val="24"/>
        </w:rPr>
        <w:t>-</w:t>
      </w:r>
      <w:r w:rsidRPr="009A2FB5">
        <w:rPr>
          <w:rFonts w:eastAsia="Calibri" w:cs="Arial"/>
          <w:szCs w:val="24"/>
        </w:rPr>
        <w:t xml:space="preserve">19 </w:t>
      </w:r>
      <w:r w:rsidRPr="009A2FB5">
        <w:rPr>
          <w:rFonts w:eastAsia="Calibri" w:cs="Arial"/>
          <w:szCs w:val="24"/>
        </w:rPr>
        <w:tab/>
        <w:t>Percentage of OnTrack Installments Billed That Are Received</w:t>
      </w:r>
      <w:r w:rsidRPr="009A2FB5">
        <w:rPr>
          <w:rFonts w:eastAsia="Calibri" w:cs="Arial"/>
          <w:szCs w:val="24"/>
        </w:rPr>
        <w:tab/>
        <w:t>413</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w:t>
      </w:r>
      <w:r>
        <w:rPr>
          <w:rFonts w:eastAsia="Calibri" w:cs="Arial"/>
          <w:szCs w:val="24"/>
        </w:rPr>
        <w:t>-</w:t>
      </w:r>
      <w:r w:rsidRPr="009A2FB5">
        <w:rPr>
          <w:rFonts w:eastAsia="Calibri" w:cs="Arial"/>
          <w:szCs w:val="24"/>
        </w:rPr>
        <w:t xml:space="preserve">20 </w:t>
      </w:r>
      <w:r w:rsidRPr="009A2FB5">
        <w:rPr>
          <w:rFonts w:eastAsia="Calibri" w:cs="Arial"/>
          <w:szCs w:val="24"/>
        </w:rPr>
        <w:tab/>
        <w:t>OnTrack PUC Informal Complaints</w:t>
      </w:r>
      <w:r w:rsidRPr="009A2FB5">
        <w:rPr>
          <w:rFonts w:eastAsia="Calibri" w:cs="Arial"/>
          <w:szCs w:val="24"/>
        </w:rPr>
        <w:tab/>
        <w:t>414</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w:t>
      </w:r>
      <w:r>
        <w:rPr>
          <w:rFonts w:eastAsia="Calibri" w:cs="Arial"/>
          <w:szCs w:val="24"/>
        </w:rPr>
        <w:t>-</w:t>
      </w:r>
      <w:r w:rsidRPr="009A2FB5">
        <w:rPr>
          <w:rFonts w:eastAsia="Calibri" w:cs="Arial"/>
          <w:szCs w:val="24"/>
        </w:rPr>
        <w:t xml:space="preserve">21 </w:t>
      </w:r>
      <w:r w:rsidRPr="009A2FB5">
        <w:rPr>
          <w:rFonts w:eastAsia="Calibri" w:cs="Arial"/>
          <w:szCs w:val="24"/>
        </w:rPr>
        <w:tab/>
        <w:t xml:space="preserve">OnTrack Complaints </w:t>
      </w:r>
      <w:r>
        <w:rPr>
          <w:rFonts w:eastAsia="Calibri" w:cs="Arial"/>
          <w:szCs w:val="24"/>
        </w:rPr>
        <w:t>P</w:t>
      </w:r>
      <w:r w:rsidRPr="009A2FB5">
        <w:rPr>
          <w:rFonts w:eastAsia="Calibri" w:cs="Arial"/>
          <w:szCs w:val="24"/>
        </w:rPr>
        <w:t>er 1,000 OnTrack Customers</w:t>
      </w:r>
      <w:r w:rsidRPr="009A2FB5">
        <w:rPr>
          <w:rFonts w:eastAsia="Calibri" w:cs="Arial"/>
          <w:szCs w:val="24"/>
        </w:rPr>
        <w:tab/>
        <w:t>415</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w:t>
      </w:r>
      <w:r>
        <w:rPr>
          <w:rFonts w:eastAsia="Calibri" w:cs="Arial"/>
          <w:szCs w:val="24"/>
        </w:rPr>
        <w:t>-</w:t>
      </w:r>
      <w:r w:rsidRPr="009A2FB5">
        <w:rPr>
          <w:rFonts w:eastAsia="Calibri" w:cs="Arial"/>
          <w:szCs w:val="24"/>
        </w:rPr>
        <w:t xml:space="preserve">22 </w:t>
      </w:r>
      <w:r w:rsidRPr="009A2FB5">
        <w:rPr>
          <w:rFonts w:eastAsia="Calibri" w:cs="Arial"/>
          <w:szCs w:val="24"/>
        </w:rPr>
        <w:tab/>
        <w:t>OnTrack PUC Informal Complaints by Type for 2015</w:t>
      </w:r>
      <w:r w:rsidRPr="009A2FB5">
        <w:rPr>
          <w:rFonts w:eastAsia="Calibri" w:cs="Arial"/>
          <w:szCs w:val="24"/>
        </w:rPr>
        <w:tab/>
        <w:t>416</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lastRenderedPageBreak/>
        <w:t>Exhibit X</w:t>
      </w:r>
      <w:r>
        <w:rPr>
          <w:rFonts w:eastAsia="Calibri" w:cs="Arial"/>
          <w:szCs w:val="24"/>
        </w:rPr>
        <w:t>-</w:t>
      </w:r>
      <w:r w:rsidRPr="009A2FB5">
        <w:rPr>
          <w:rFonts w:eastAsia="Calibri" w:cs="Arial"/>
          <w:szCs w:val="24"/>
        </w:rPr>
        <w:t xml:space="preserve">23 </w:t>
      </w:r>
      <w:r w:rsidRPr="009A2FB5">
        <w:rPr>
          <w:rFonts w:eastAsia="Calibri" w:cs="Arial"/>
          <w:szCs w:val="24"/>
        </w:rPr>
        <w:tab/>
        <w:t xml:space="preserve">Past-Due Accounts Receivable Recovered for OnTrack </w:t>
      </w:r>
      <w:r>
        <w:rPr>
          <w:rFonts w:eastAsia="Calibri" w:cs="Arial"/>
          <w:szCs w:val="24"/>
        </w:rPr>
        <w:br/>
      </w:r>
      <w:r w:rsidRPr="009A2FB5">
        <w:rPr>
          <w:rFonts w:eastAsia="Calibri" w:cs="Arial"/>
          <w:szCs w:val="24"/>
        </w:rPr>
        <w:t>Participants</w:t>
      </w:r>
      <w:r w:rsidRPr="009A2FB5">
        <w:rPr>
          <w:rFonts w:eastAsia="Calibri" w:cs="Arial"/>
          <w:szCs w:val="24"/>
        </w:rPr>
        <w:tab/>
        <w:t>417</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XI</w:t>
      </w:r>
      <w:r>
        <w:rPr>
          <w:rFonts w:eastAsia="Calibri" w:cs="Arial"/>
          <w:szCs w:val="24"/>
        </w:rPr>
        <w:t>-</w:t>
      </w:r>
      <w:r w:rsidRPr="009A2FB5">
        <w:rPr>
          <w:rFonts w:eastAsia="Calibri" w:cs="Arial"/>
          <w:szCs w:val="24"/>
        </w:rPr>
        <w:t xml:space="preserve">1 </w:t>
      </w:r>
      <w:r w:rsidRPr="009A2FB5">
        <w:rPr>
          <w:rFonts w:eastAsia="Calibri" w:cs="Arial"/>
          <w:szCs w:val="24"/>
        </w:rPr>
        <w:tab/>
        <w:t>PPL SC Information Technology Organization Chart</w:t>
      </w:r>
      <w:r w:rsidRPr="009A2FB5">
        <w:rPr>
          <w:rFonts w:eastAsia="Calibri" w:cs="Arial"/>
          <w:szCs w:val="24"/>
        </w:rPr>
        <w:tab/>
        <w:t>423</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XI</w:t>
      </w:r>
      <w:r>
        <w:rPr>
          <w:rFonts w:eastAsia="Calibri" w:cs="Arial"/>
          <w:szCs w:val="24"/>
        </w:rPr>
        <w:t>-</w:t>
      </w:r>
      <w:r w:rsidRPr="009A2FB5">
        <w:rPr>
          <w:rFonts w:eastAsia="Calibri" w:cs="Arial"/>
          <w:szCs w:val="24"/>
        </w:rPr>
        <w:t xml:space="preserve">2 </w:t>
      </w:r>
      <w:r w:rsidRPr="009A2FB5">
        <w:rPr>
          <w:rFonts w:eastAsia="Calibri" w:cs="Arial"/>
          <w:szCs w:val="24"/>
        </w:rPr>
        <w:tab/>
        <w:t>Top 12 IT Contract Agreements Awarded 2010–2014</w:t>
      </w:r>
      <w:r w:rsidRPr="009A2FB5">
        <w:rPr>
          <w:rFonts w:eastAsia="Calibri" w:cs="Arial"/>
          <w:szCs w:val="24"/>
        </w:rPr>
        <w:tab/>
        <w:t>425</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XI</w:t>
      </w:r>
      <w:r>
        <w:rPr>
          <w:rFonts w:eastAsia="Calibri" w:cs="Arial"/>
          <w:szCs w:val="24"/>
        </w:rPr>
        <w:t>-</w:t>
      </w:r>
      <w:r w:rsidRPr="009A2FB5">
        <w:rPr>
          <w:rFonts w:eastAsia="Calibri" w:cs="Arial"/>
          <w:szCs w:val="24"/>
        </w:rPr>
        <w:t xml:space="preserve">3 </w:t>
      </w:r>
      <w:r w:rsidRPr="009A2FB5">
        <w:rPr>
          <w:rFonts w:eastAsia="Calibri" w:cs="Arial"/>
          <w:szCs w:val="24"/>
        </w:rPr>
        <w:tab/>
        <w:t>PPL ITSM Project Schedule</w:t>
      </w:r>
      <w:r w:rsidRPr="009A2FB5">
        <w:rPr>
          <w:rFonts w:eastAsia="Calibri" w:cs="Arial"/>
          <w:szCs w:val="24"/>
        </w:rPr>
        <w:tab/>
        <w:t>426</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XI</w:t>
      </w:r>
      <w:r>
        <w:rPr>
          <w:rFonts w:eastAsia="Calibri" w:cs="Arial"/>
          <w:szCs w:val="24"/>
        </w:rPr>
        <w:t>-</w:t>
      </w:r>
      <w:r w:rsidRPr="009A2FB5">
        <w:rPr>
          <w:rFonts w:eastAsia="Calibri" w:cs="Arial"/>
          <w:szCs w:val="24"/>
        </w:rPr>
        <w:t xml:space="preserve">4 </w:t>
      </w:r>
      <w:r w:rsidRPr="009A2FB5">
        <w:rPr>
          <w:rFonts w:eastAsia="Calibri" w:cs="Arial"/>
          <w:szCs w:val="24"/>
        </w:rPr>
        <w:tab/>
        <w:t>Vendor Depicted ServiceNow Base Diagram</w:t>
      </w:r>
      <w:r w:rsidRPr="009A2FB5">
        <w:rPr>
          <w:rFonts w:eastAsia="Calibri" w:cs="Arial"/>
          <w:szCs w:val="24"/>
        </w:rPr>
        <w:tab/>
        <w:t>428</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XI</w:t>
      </w:r>
      <w:r>
        <w:rPr>
          <w:rFonts w:eastAsia="Calibri" w:cs="Arial"/>
          <w:szCs w:val="24"/>
        </w:rPr>
        <w:t>-</w:t>
      </w:r>
      <w:r w:rsidRPr="009A2FB5">
        <w:rPr>
          <w:rFonts w:eastAsia="Calibri" w:cs="Arial"/>
          <w:szCs w:val="24"/>
        </w:rPr>
        <w:t xml:space="preserve">5 </w:t>
      </w:r>
      <w:r w:rsidRPr="009A2FB5">
        <w:rPr>
          <w:rFonts w:eastAsia="Calibri" w:cs="Arial"/>
          <w:szCs w:val="24"/>
        </w:rPr>
        <w:tab/>
        <w:t>Five Year Trend in Cyber Security Spending</w:t>
      </w:r>
      <w:r w:rsidRPr="009A2FB5">
        <w:rPr>
          <w:rFonts w:eastAsia="Calibri" w:cs="Arial"/>
          <w:szCs w:val="24"/>
        </w:rPr>
        <w:tab/>
        <w:t>435</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XI</w:t>
      </w:r>
      <w:r>
        <w:rPr>
          <w:rFonts w:eastAsia="Calibri" w:cs="Arial"/>
          <w:szCs w:val="24"/>
        </w:rPr>
        <w:t>-</w:t>
      </w:r>
      <w:r w:rsidRPr="009A2FB5">
        <w:rPr>
          <w:rFonts w:eastAsia="Calibri" w:cs="Arial"/>
          <w:szCs w:val="24"/>
        </w:rPr>
        <w:t xml:space="preserve">6 </w:t>
      </w:r>
      <w:r w:rsidRPr="009A2FB5">
        <w:rPr>
          <w:rFonts w:eastAsia="Calibri" w:cs="Arial"/>
          <w:szCs w:val="24"/>
        </w:rPr>
        <w:tab/>
        <w:t>Excerpt on SLA Tracking</w:t>
      </w:r>
      <w:r w:rsidRPr="009A2FB5">
        <w:rPr>
          <w:rFonts w:eastAsia="Calibri" w:cs="Arial"/>
          <w:szCs w:val="24"/>
        </w:rPr>
        <w:tab/>
        <w:t>438</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XII</w:t>
      </w:r>
      <w:r>
        <w:rPr>
          <w:rFonts w:eastAsia="Calibri" w:cs="Arial"/>
          <w:szCs w:val="24"/>
        </w:rPr>
        <w:t>-</w:t>
      </w:r>
      <w:r w:rsidRPr="009A2FB5">
        <w:rPr>
          <w:rFonts w:eastAsia="Calibri" w:cs="Arial"/>
          <w:szCs w:val="24"/>
        </w:rPr>
        <w:t xml:space="preserve">1 </w:t>
      </w:r>
      <w:r w:rsidRPr="009A2FB5">
        <w:rPr>
          <w:rFonts w:eastAsia="Calibri" w:cs="Arial"/>
          <w:szCs w:val="24"/>
        </w:rPr>
        <w:tab/>
        <w:t>PPL SC HR Organization Structure</w:t>
      </w:r>
      <w:r w:rsidRPr="009A2FB5">
        <w:rPr>
          <w:rFonts w:eastAsia="Calibri" w:cs="Arial"/>
          <w:szCs w:val="24"/>
        </w:rPr>
        <w:tab/>
        <w:t>447</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XII</w:t>
      </w:r>
      <w:r>
        <w:rPr>
          <w:rFonts w:eastAsia="Calibri" w:cs="Arial"/>
          <w:szCs w:val="24"/>
        </w:rPr>
        <w:t>-</w:t>
      </w:r>
      <w:r w:rsidRPr="009A2FB5">
        <w:rPr>
          <w:rFonts w:eastAsia="Calibri" w:cs="Arial"/>
          <w:szCs w:val="24"/>
        </w:rPr>
        <w:t xml:space="preserve">2 </w:t>
      </w:r>
      <w:r w:rsidRPr="009A2FB5">
        <w:rPr>
          <w:rFonts w:eastAsia="Calibri" w:cs="Arial"/>
          <w:szCs w:val="24"/>
        </w:rPr>
        <w:tab/>
        <w:t>PPL EU Professional Development Participation</w:t>
      </w:r>
      <w:r w:rsidR="00B052DB">
        <w:rPr>
          <w:rFonts w:eastAsia="Calibri" w:cs="Arial"/>
          <w:szCs w:val="24"/>
        </w:rPr>
        <w:t xml:space="preserve"> </w:t>
      </w:r>
      <w:r w:rsidRPr="009A2FB5">
        <w:rPr>
          <w:rFonts w:eastAsia="Calibri" w:cs="Arial"/>
          <w:szCs w:val="24"/>
        </w:rPr>
        <w:t>–</w:t>
      </w:r>
      <w:r w:rsidR="00B052DB">
        <w:rPr>
          <w:rFonts w:eastAsia="Calibri" w:cs="Arial"/>
          <w:szCs w:val="24"/>
        </w:rPr>
        <w:t xml:space="preserve"> </w:t>
      </w:r>
      <w:r w:rsidRPr="009A2FB5">
        <w:rPr>
          <w:rFonts w:eastAsia="Calibri" w:cs="Arial"/>
          <w:szCs w:val="24"/>
        </w:rPr>
        <w:t>2014</w:t>
      </w:r>
      <w:r w:rsidRPr="009A2FB5">
        <w:rPr>
          <w:rFonts w:eastAsia="Calibri" w:cs="Arial"/>
          <w:szCs w:val="24"/>
        </w:rPr>
        <w:tab/>
        <w:t>450</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XII</w:t>
      </w:r>
      <w:r>
        <w:rPr>
          <w:rFonts w:eastAsia="Calibri" w:cs="Arial"/>
          <w:szCs w:val="24"/>
        </w:rPr>
        <w:t>-</w:t>
      </w:r>
      <w:r w:rsidRPr="009A2FB5">
        <w:rPr>
          <w:rFonts w:eastAsia="Calibri" w:cs="Arial"/>
          <w:szCs w:val="24"/>
        </w:rPr>
        <w:t xml:space="preserve">3 </w:t>
      </w:r>
      <w:r w:rsidRPr="009A2FB5">
        <w:rPr>
          <w:rFonts w:eastAsia="Calibri" w:cs="Arial"/>
          <w:szCs w:val="24"/>
        </w:rPr>
        <w:tab/>
        <w:t>PPL SC HR Staffing Levels</w:t>
      </w:r>
      <w:r w:rsidRPr="009A2FB5">
        <w:rPr>
          <w:rFonts w:eastAsia="Calibri" w:cs="Arial"/>
          <w:szCs w:val="24"/>
        </w:rPr>
        <w:tab/>
        <w:t>455</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XII</w:t>
      </w:r>
      <w:r>
        <w:rPr>
          <w:rFonts w:eastAsia="Calibri" w:cs="Arial"/>
          <w:szCs w:val="24"/>
        </w:rPr>
        <w:t>-</w:t>
      </w:r>
      <w:r w:rsidRPr="009A2FB5">
        <w:rPr>
          <w:rFonts w:eastAsia="Calibri" w:cs="Arial"/>
          <w:szCs w:val="24"/>
        </w:rPr>
        <w:t xml:space="preserve">4 </w:t>
      </w:r>
      <w:r w:rsidRPr="009A2FB5">
        <w:rPr>
          <w:rFonts w:eastAsia="Calibri" w:cs="Arial"/>
          <w:szCs w:val="24"/>
        </w:rPr>
        <w:tab/>
        <w:t>PPL EUS HR Organization Structure</w:t>
      </w:r>
      <w:r w:rsidRPr="009A2FB5">
        <w:rPr>
          <w:rFonts w:eastAsia="Calibri" w:cs="Arial"/>
          <w:szCs w:val="24"/>
        </w:rPr>
        <w:tab/>
        <w:t>456</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XII</w:t>
      </w:r>
      <w:r>
        <w:rPr>
          <w:rFonts w:eastAsia="Calibri" w:cs="Arial"/>
          <w:szCs w:val="24"/>
        </w:rPr>
        <w:t>-</w:t>
      </w:r>
      <w:r w:rsidRPr="009A2FB5">
        <w:rPr>
          <w:rFonts w:eastAsia="Calibri" w:cs="Arial"/>
          <w:szCs w:val="24"/>
        </w:rPr>
        <w:t xml:space="preserve">5 </w:t>
      </w:r>
      <w:r w:rsidRPr="009A2FB5">
        <w:rPr>
          <w:rFonts w:eastAsia="Calibri" w:cs="Arial"/>
          <w:szCs w:val="24"/>
        </w:rPr>
        <w:tab/>
        <w:t>Typical HR Metrics</w:t>
      </w:r>
      <w:r w:rsidRPr="009A2FB5">
        <w:rPr>
          <w:rFonts w:eastAsia="Calibri" w:cs="Arial"/>
          <w:szCs w:val="24"/>
        </w:rPr>
        <w:tab/>
        <w:t>460</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XII</w:t>
      </w:r>
      <w:r>
        <w:rPr>
          <w:rFonts w:eastAsia="Calibri" w:cs="Arial"/>
          <w:szCs w:val="24"/>
        </w:rPr>
        <w:t>-</w:t>
      </w:r>
      <w:r w:rsidRPr="009A2FB5">
        <w:rPr>
          <w:rFonts w:eastAsia="Calibri" w:cs="Arial"/>
          <w:szCs w:val="24"/>
        </w:rPr>
        <w:t xml:space="preserve">6 </w:t>
      </w:r>
      <w:r w:rsidRPr="009A2FB5">
        <w:rPr>
          <w:rFonts w:eastAsia="Calibri" w:cs="Arial"/>
          <w:szCs w:val="24"/>
        </w:rPr>
        <w:tab/>
        <w:t>2013 Employee Engagement Survey Results</w:t>
      </w:r>
      <w:r w:rsidRPr="009A2FB5">
        <w:rPr>
          <w:rFonts w:eastAsia="Calibri" w:cs="Arial"/>
          <w:szCs w:val="24"/>
        </w:rPr>
        <w:tab/>
        <w:t>463</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XII</w:t>
      </w:r>
      <w:r>
        <w:rPr>
          <w:rFonts w:eastAsia="Calibri" w:cs="Arial"/>
          <w:szCs w:val="24"/>
        </w:rPr>
        <w:t>-</w:t>
      </w:r>
      <w:r w:rsidRPr="009A2FB5">
        <w:rPr>
          <w:rFonts w:eastAsia="Calibri" w:cs="Arial"/>
          <w:szCs w:val="24"/>
        </w:rPr>
        <w:t xml:space="preserve">7 </w:t>
      </w:r>
      <w:r w:rsidRPr="009A2FB5">
        <w:rPr>
          <w:rFonts w:eastAsia="Calibri" w:cs="Arial"/>
          <w:szCs w:val="24"/>
        </w:rPr>
        <w:tab/>
        <w:t>PPL EU Number of Grievances for 2012 through June 19, 2015</w:t>
      </w:r>
      <w:r w:rsidRPr="009A2FB5">
        <w:rPr>
          <w:rFonts w:eastAsia="Calibri" w:cs="Arial"/>
          <w:szCs w:val="24"/>
        </w:rPr>
        <w:tab/>
        <w:t>466</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XIII</w:t>
      </w:r>
      <w:r>
        <w:rPr>
          <w:rFonts w:eastAsia="Calibri" w:cs="Arial"/>
          <w:szCs w:val="24"/>
        </w:rPr>
        <w:t>-</w:t>
      </w:r>
      <w:r w:rsidRPr="009A2FB5">
        <w:rPr>
          <w:rFonts w:eastAsia="Calibri" w:cs="Arial"/>
          <w:szCs w:val="24"/>
        </w:rPr>
        <w:t xml:space="preserve">1 </w:t>
      </w:r>
      <w:r w:rsidRPr="009A2FB5">
        <w:rPr>
          <w:rFonts w:eastAsia="Calibri" w:cs="Arial"/>
          <w:szCs w:val="24"/>
        </w:rPr>
        <w:tab/>
        <w:t>PPL Corporation Tier I and Tier II Executive Job Titles</w:t>
      </w:r>
      <w:r w:rsidRPr="009A2FB5">
        <w:rPr>
          <w:rFonts w:eastAsia="Calibri" w:cs="Arial"/>
          <w:szCs w:val="24"/>
        </w:rPr>
        <w:tab/>
        <w:t>472</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XIII</w:t>
      </w:r>
      <w:r>
        <w:rPr>
          <w:rFonts w:eastAsia="Calibri" w:cs="Arial"/>
          <w:szCs w:val="24"/>
        </w:rPr>
        <w:t>-</w:t>
      </w:r>
      <w:r w:rsidRPr="009A2FB5">
        <w:rPr>
          <w:rFonts w:eastAsia="Calibri" w:cs="Arial"/>
          <w:szCs w:val="24"/>
        </w:rPr>
        <w:t xml:space="preserve">2 </w:t>
      </w:r>
      <w:r w:rsidRPr="009A2FB5">
        <w:rPr>
          <w:rFonts w:eastAsia="Calibri" w:cs="Arial"/>
          <w:szCs w:val="24"/>
        </w:rPr>
        <w:tab/>
        <w:t>PPL SC HR Compensation and Benefits Structure</w:t>
      </w:r>
      <w:r w:rsidRPr="009A2FB5">
        <w:rPr>
          <w:rFonts w:eastAsia="Calibri" w:cs="Arial"/>
          <w:szCs w:val="24"/>
        </w:rPr>
        <w:tab/>
        <w:t>474</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XIII</w:t>
      </w:r>
      <w:r>
        <w:rPr>
          <w:rFonts w:eastAsia="Calibri" w:cs="Arial"/>
          <w:szCs w:val="24"/>
        </w:rPr>
        <w:t>-</w:t>
      </w:r>
      <w:r w:rsidRPr="009A2FB5">
        <w:rPr>
          <w:rFonts w:eastAsia="Calibri" w:cs="Arial"/>
          <w:szCs w:val="24"/>
        </w:rPr>
        <w:t xml:space="preserve">3 </w:t>
      </w:r>
      <w:r w:rsidRPr="009A2FB5">
        <w:rPr>
          <w:rFonts w:eastAsia="Calibri" w:cs="Arial"/>
          <w:szCs w:val="24"/>
        </w:rPr>
        <w:tab/>
        <w:t>2015 Corporate Financial Performance</w:t>
      </w:r>
      <w:r w:rsidRPr="009A2FB5">
        <w:rPr>
          <w:rFonts w:eastAsia="Calibri" w:cs="Arial"/>
          <w:szCs w:val="24"/>
        </w:rPr>
        <w:tab/>
        <w:t>478</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XIII</w:t>
      </w:r>
      <w:r>
        <w:rPr>
          <w:rFonts w:eastAsia="Calibri" w:cs="Arial"/>
          <w:szCs w:val="24"/>
        </w:rPr>
        <w:t>-</w:t>
      </w:r>
      <w:r w:rsidRPr="009A2FB5">
        <w:rPr>
          <w:rFonts w:eastAsia="Calibri" w:cs="Arial"/>
          <w:szCs w:val="24"/>
        </w:rPr>
        <w:t xml:space="preserve">4 </w:t>
      </w:r>
      <w:r w:rsidRPr="009A2FB5">
        <w:rPr>
          <w:rFonts w:eastAsia="Calibri" w:cs="Arial"/>
          <w:szCs w:val="24"/>
        </w:rPr>
        <w:tab/>
        <w:t>Individual 2015 Annual Cash Incentive Awards</w:t>
      </w:r>
      <w:r w:rsidRPr="009A2FB5">
        <w:rPr>
          <w:rFonts w:eastAsia="Calibri" w:cs="Arial"/>
          <w:szCs w:val="24"/>
        </w:rPr>
        <w:tab/>
        <w:t>479</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t>Exhibit XIII</w:t>
      </w:r>
      <w:r>
        <w:rPr>
          <w:rFonts w:eastAsia="Calibri" w:cs="Arial"/>
          <w:szCs w:val="24"/>
        </w:rPr>
        <w:t>-</w:t>
      </w:r>
      <w:r w:rsidRPr="009A2FB5">
        <w:rPr>
          <w:rFonts w:eastAsia="Calibri" w:cs="Arial"/>
          <w:szCs w:val="24"/>
        </w:rPr>
        <w:t xml:space="preserve">5 </w:t>
      </w:r>
      <w:r w:rsidRPr="009A2FB5">
        <w:rPr>
          <w:rFonts w:eastAsia="Calibri" w:cs="Arial"/>
          <w:szCs w:val="24"/>
        </w:rPr>
        <w:tab/>
        <w:t>PPL NEO Total Executive Compensation, Tier I Summary Compensation Table 2013–2015 (Comparison across Years)</w:t>
      </w:r>
      <w:r w:rsidRPr="009A2FB5">
        <w:rPr>
          <w:rFonts w:eastAsia="Calibri" w:cs="Arial"/>
          <w:szCs w:val="24"/>
        </w:rPr>
        <w:tab/>
        <w:t>483</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t>Exhibit XIII</w:t>
      </w:r>
      <w:r>
        <w:rPr>
          <w:rFonts w:eastAsia="Calibri" w:cs="Arial"/>
          <w:szCs w:val="24"/>
        </w:rPr>
        <w:t>-</w:t>
      </w:r>
      <w:r w:rsidRPr="009A2FB5">
        <w:rPr>
          <w:rFonts w:eastAsia="Calibri" w:cs="Arial"/>
          <w:szCs w:val="24"/>
        </w:rPr>
        <w:t xml:space="preserve">6 </w:t>
      </w:r>
      <w:r w:rsidRPr="009A2FB5">
        <w:rPr>
          <w:rFonts w:eastAsia="Calibri" w:cs="Arial"/>
          <w:szCs w:val="24"/>
        </w:rPr>
        <w:tab/>
        <w:t xml:space="preserve">Elements of Compensation as a Percentage of Targeted Total </w:t>
      </w:r>
      <w:r>
        <w:rPr>
          <w:rFonts w:eastAsia="Calibri" w:cs="Arial"/>
          <w:szCs w:val="24"/>
        </w:rPr>
        <w:br/>
      </w:r>
      <w:r w:rsidRPr="009A2FB5">
        <w:rPr>
          <w:rFonts w:eastAsia="Calibri" w:cs="Arial"/>
          <w:szCs w:val="24"/>
        </w:rPr>
        <w:t>Direct Compensation – 2015(1)</w:t>
      </w:r>
      <w:r w:rsidRPr="009A2FB5">
        <w:rPr>
          <w:rFonts w:eastAsia="Calibri" w:cs="Arial"/>
          <w:szCs w:val="24"/>
        </w:rPr>
        <w:tab/>
        <w:t>487</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XIII</w:t>
      </w:r>
      <w:r>
        <w:rPr>
          <w:rFonts w:eastAsia="Calibri" w:cs="Arial"/>
          <w:szCs w:val="24"/>
        </w:rPr>
        <w:t>-</w:t>
      </w:r>
      <w:r w:rsidRPr="009A2FB5">
        <w:rPr>
          <w:rFonts w:eastAsia="Calibri" w:cs="Arial"/>
          <w:szCs w:val="24"/>
        </w:rPr>
        <w:t xml:space="preserve">7 </w:t>
      </w:r>
      <w:r w:rsidRPr="009A2FB5">
        <w:rPr>
          <w:rFonts w:eastAsia="Calibri" w:cs="Arial"/>
          <w:szCs w:val="24"/>
        </w:rPr>
        <w:tab/>
        <w:t>PPL Corporation NEO Allocation to PPL EU</w:t>
      </w:r>
      <w:r w:rsidRPr="009A2FB5">
        <w:rPr>
          <w:rFonts w:eastAsia="Calibri" w:cs="Arial"/>
          <w:szCs w:val="24"/>
        </w:rPr>
        <w:tab/>
        <w:t>488</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XIII</w:t>
      </w:r>
      <w:r>
        <w:rPr>
          <w:rFonts w:eastAsia="Calibri" w:cs="Arial"/>
          <w:szCs w:val="24"/>
        </w:rPr>
        <w:t>-</w:t>
      </w:r>
      <w:r w:rsidRPr="009A2FB5">
        <w:rPr>
          <w:rFonts w:eastAsia="Calibri" w:cs="Arial"/>
          <w:szCs w:val="24"/>
        </w:rPr>
        <w:t xml:space="preserve">8 </w:t>
      </w:r>
      <w:r w:rsidRPr="009A2FB5">
        <w:rPr>
          <w:rFonts w:eastAsia="Calibri" w:cs="Arial"/>
          <w:szCs w:val="24"/>
        </w:rPr>
        <w:tab/>
        <w:t>PPL NEO 2015 Base Salary</w:t>
      </w:r>
      <w:r w:rsidRPr="009A2FB5">
        <w:rPr>
          <w:rFonts w:eastAsia="Calibri" w:cs="Arial"/>
          <w:szCs w:val="24"/>
        </w:rPr>
        <w:tab/>
        <w:t>489</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XIII</w:t>
      </w:r>
      <w:r>
        <w:rPr>
          <w:rFonts w:eastAsia="Calibri" w:cs="Arial"/>
          <w:szCs w:val="24"/>
        </w:rPr>
        <w:t>-</w:t>
      </w:r>
      <w:r w:rsidRPr="009A2FB5">
        <w:rPr>
          <w:rFonts w:eastAsia="Calibri" w:cs="Arial"/>
          <w:szCs w:val="24"/>
        </w:rPr>
        <w:t xml:space="preserve">9 </w:t>
      </w:r>
      <w:r w:rsidRPr="009A2FB5">
        <w:rPr>
          <w:rFonts w:eastAsia="Calibri" w:cs="Arial"/>
          <w:szCs w:val="24"/>
        </w:rPr>
        <w:tab/>
        <w:t>PPL NEO 2015 Total Cash Compensation</w:t>
      </w:r>
      <w:r w:rsidRPr="009A2FB5">
        <w:rPr>
          <w:rFonts w:eastAsia="Calibri" w:cs="Arial"/>
          <w:szCs w:val="24"/>
        </w:rPr>
        <w:tab/>
        <w:t>490</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XIII</w:t>
      </w:r>
      <w:r>
        <w:rPr>
          <w:rFonts w:eastAsia="Calibri" w:cs="Arial"/>
          <w:szCs w:val="24"/>
        </w:rPr>
        <w:t>-</w:t>
      </w:r>
      <w:r w:rsidRPr="009A2FB5">
        <w:rPr>
          <w:rFonts w:eastAsia="Calibri" w:cs="Arial"/>
          <w:szCs w:val="24"/>
        </w:rPr>
        <w:t xml:space="preserve">10 </w:t>
      </w:r>
      <w:r w:rsidRPr="009A2FB5">
        <w:rPr>
          <w:rFonts w:eastAsia="Calibri" w:cs="Arial"/>
          <w:szCs w:val="24"/>
        </w:rPr>
        <w:tab/>
        <w:t>PPL NEO 2015 Total Direct Compensation</w:t>
      </w:r>
      <w:r w:rsidRPr="009A2FB5">
        <w:rPr>
          <w:rFonts w:eastAsia="Calibri" w:cs="Arial"/>
          <w:szCs w:val="24"/>
        </w:rPr>
        <w:tab/>
        <w:t>491</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XIII</w:t>
      </w:r>
      <w:r>
        <w:rPr>
          <w:rFonts w:eastAsia="Calibri" w:cs="Arial"/>
          <w:szCs w:val="24"/>
        </w:rPr>
        <w:t>-</w:t>
      </w:r>
      <w:r w:rsidRPr="009A2FB5">
        <w:rPr>
          <w:rFonts w:eastAsia="Calibri" w:cs="Arial"/>
          <w:szCs w:val="24"/>
        </w:rPr>
        <w:t xml:space="preserve">11 </w:t>
      </w:r>
      <w:r w:rsidRPr="009A2FB5">
        <w:rPr>
          <w:rFonts w:eastAsia="Calibri" w:cs="Arial"/>
          <w:szCs w:val="24"/>
        </w:rPr>
        <w:tab/>
        <w:t>PPL EU 2015 Base Salary</w:t>
      </w:r>
      <w:r w:rsidRPr="009A2FB5">
        <w:rPr>
          <w:rFonts w:eastAsia="Calibri" w:cs="Arial"/>
          <w:szCs w:val="24"/>
        </w:rPr>
        <w:tab/>
        <w:t>493</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t>Exhibit XIII</w:t>
      </w:r>
      <w:r>
        <w:rPr>
          <w:rFonts w:eastAsia="Calibri" w:cs="Arial"/>
          <w:szCs w:val="24"/>
        </w:rPr>
        <w:t>-</w:t>
      </w:r>
      <w:r w:rsidRPr="009A2FB5">
        <w:rPr>
          <w:rFonts w:eastAsia="Calibri" w:cs="Arial"/>
          <w:szCs w:val="24"/>
        </w:rPr>
        <w:t xml:space="preserve">12 </w:t>
      </w:r>
      <w:r w:rsidRPr="009A2FB5">
        <w:rPr>
          <w:rFonts w:eastAsia="Calibri" w:cs="Arial"/>
          <w:szCs w:val="24"/>
        </w:rPr>
        <w:tab/>
        <w:t xml:space="preserve">Number of PPL Corporation Executives Participating in EMPACS </w:t>
      </w:r>
      <w:r>
        <w:rPr>
          <w:rFonts w:eastAsia="Calibri" w:cs="Arial"/>
          <w:szCs w:val="24"/>
        </w:rPr>
        <w:br/>
      </w:r>
      <w:r w:rsidRPr="009A2FB5">
        <w:rPr>
          <w:rFonts w:eastAsia="Calibri" w:cs="Arial"/>
          <w:szCs w:val="24"/>
        </w:rPr>
        <w:t>and Completion Rates According to EMPACS Guidelines</w:t>
      </w:r>
      <w:r w:rsidRPr="009A2FB5">
        <w:rPr>
          <w:rFonts w:eastAsia="Calibri" w:cs="Arial"/>
          <w:szCs w:val="24"/>
        </w:rPr>
        <w:tab/>
        <w:t>496</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t>Exhibit XIV</w:t>
      </w:r>
      <w:r>
        <w:rPr>
          <w:rFonts w:eastAsia="Calibri" w:cs="Arial"/>
          <w:szCs w:val="24"/>
        </w:rPr>
        <w:t>-</w:t>
      </w:r>
      <w:r w:rsidRPr="009A2FB5">
        <w:rPr>
          <w:rFonts w:eastAsia="Calibri" w:cs="Arial"/>
          <w:szCs w:val="24"/>
        </w:rPr>
        <w:t xml:space="preserve">1 </w:t>
      </w:r>
      <w:r w:rsidRPr="009A2FB5">
        <w:rPr>
          <w:rFonts w:eastAsia="Calibri" w:cs="Arial"/>
          <w:szCs w:val="24"/>
        </w:rPr>
        <w:tab/>
        <w:t xml:space="preserve">Distribution of Responsibility for Vendor Diversity, Employee </w:t>
      </w:r>
      <w:r>
        <w:rPr>
          <w:rFonts w:eastAsia="Calibri" w:cs="Arial"/>
          <w:szCs w:val="24"/>
        </w:rPr>
        <w:br/>
      </w:r>
      <w:r w:rsidRPr="009A2FB5">
        <w:rPr>
          <w:rFonts w:eastAsia="Calibri" w:cs="Arial"/>
          <w:szCs w:val="24"/>
        </w:rPr>
        <w:t>Diversity, and Affirmative Action Obligations for PPL EU</w:t>
      </w:r>
      <w:r w:rsidRPr="009A2FB5">
        <w:rPr>
          <w:rFonts w:eastAsia="Calibri" w:cs="Arial"/>
          <w:szCs w:val="24"/>
        </w:rPr>
        <w:tab/>
        <w:t>499</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XIV</w:t>
      </w:r>
      <w:r>
        <w:rPr>
          <w:rFonts w:eastAsia="Calibri" w:cs="Arial"/>
          <w:szCs w:val="24"/>
        </w:rPr>
        <w:t>-</w:t>
      </w:r>
      <w:r w:rsidRPr="009A2FB5">
        <w:rPr>
          <w:rFonts w:eastAsia="Calibri" w:cs="Arial"/>
          <w:szCs w:val="24"/>
        </w:rPr>
        <w:t xml:space="preserve">2 </w:t>
      </w:r>
      <w:r w:rsidRPr="009A2FB5">
        <w:rPr>
          <w:rFonts w:eastAsia="Calibri" w:cs="Arial"/>
          <w:szCs w:val="24"/>
        </w:rPr>
        <w:tab/>
        <w:t>PPL EUS Supply Chain - Vendor Diversity Responsibility</w:t>
      </w:r>
      <w:r w:rsidRPr="009A2FB5">
        <w:rPr>
          <w:rFonts w:eastAsia="Calibri" w:cs="Arial"/>
          <w:szCs w:val="24"/>
        </w:rPr>
        <w:tab/>
        <w:t>501</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XIV</w:t>
      </w:r>
      <w:r>
        <w:rPr>
          <w:rFonts w:eastAsia="Calibri" w:cs="Arial"/>
          <w:szCs w:val="24"/>
        </w:rPr>
        <w:t>-</w:t>
      </w:r>
      <w:r w:rsidRPr="009A2FB5">
        <w:rPr>
          <w:rFonts w:eastAsia="Calibri" w:cs="Arial"/>
          <w:szCs w:val="24"/>
        </w:rPr>
        <w:t xml:space="preserve">3 </w:t>
      </w:r>
      <w:r w:rsidRPr="009A2FB5">
        <w:rPr>
          <w:rFonts w:eastAsia="Calibri" w:cs="Arial"/>
          <w:szCs w:val="24"/>
        </w:rPr>
        <w:tab/>
        <w:t>PPL SC and PPL EU Active Diverse Vendors 2015</w:t>
      </w:r>
      <w:r w:rsidRPr="009A2FB5">
        <w:rPr>
          <w:rFonts w:eastAsia="Calibri" w:cs="Arial"/>
          <w:szCs w:val="24"/>
        </w:rPr>
        <w:tab/>
        <w:t>503</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XIV</w:t>
      </w:r>
      <w:r>
        <w:rPr>
          <w:rFonts w:eastAsia="Calibri" w:cs="Arial"/>
          <w:szCs w:val="24"/>
        </w:rPr>
        <w:t>-</w:t>
      </w:r>
      <w:r w:rsidRPr="009A2FB5">
        <w:rPr>
          <w:rFonts w:eastAsia="Calibri" w:cs="Arial"/>
          <w:szCs w:val="24"/>
        </w:rPr>
        <w:t xml:space="preserve">4 </w:t>
      </w:r>
      <w:r w:rsidRPr="009A2FB5">
        <w:rPr>
          <w:rFonts w:eastAsia="Calibri" w:cs="Arial"/>
          <w:szCs w:val="24"/>
        </w:rPr>
        <w:tab/>
        <w:t>PPL EU Utility Sourcing Diversity Report 2010–2015</w:t>
      </w:r>
      <w:r w:rsidRPr="009A2FB5">
        <w:rPr>
          <w:rFonts w:eastAsia="Calibri" w:cs="Arial"/>
          <w:szCs w:val="24"/>
        </w:rPr>
        <w:tab/>
        <w:t>504</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t>Exhibit XIV</w:t>
      </w:r>
      <w:r>
        <w:rPr>
          <w:rFonts w:eastAsia="Calibri" w:cs="Arial"/>
          <w:szCs w:val="24"/>
        </w:rPr>
        <w:t>-</w:t>
      </w:r>
      <w:r w:rsidRPr="009A2FB5">
        <w:rPr>
          <w:rFonts w:eastAsia="Calibri" w:cs="Arial"/>
          <w:szCs w:val="24"/>
        </w:rPr>
        <w:t xml:space="preserve">5 </w:t>
      </w:r>
      <w:r w:rsidRPr="009A2FB5">
        <w:rPr>
          <w:rFonts w:eastAsia="Calibri" w:cs="Arial"/>
          <w:szCs w:val="24"/>
        </w:rPr>
        <w:tab/>
        <w:t xml:space="preserve">PPL EU Actual Vendor Diversity Spend versus Established </w:t>
      </w:r>
      <w:r>
        <w:rPr>
          <w:rFonts w:eastAsia="Calibri" w:cs="Arial"/>
          <w:szCs w:val="24"/>
        </w:rPr>
        <w:br/>
      </w:r>
      <w:r w:rsidRPr="009A2FB5">
        <w:rPr>
          <w:rFonts w:eastAsia="Calibri" w:cs="Arial"/>
          <w:szCs w:val="24"/>
        </w:rPr>
        <w:t>Diversity Spend Goals 2010–2015</w:t>
      </w:r>
      <w:r w:rsidRPr="009A2FB5">
        <w:rPr>
          <w:rFonts w:eastAsia="Calibri" w:cs="Arial"/>
          <w:szCs w:val="24"/>
        </w:rPr>
        <w:tab/>
        <w:t>506</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t>Exhibit XIV</w:t>
      </w:r>
      <w:r>
        <w:rPr>
          <w:rFonts w:eastAsia="Calibri" w:cs="Arial"/>
          <w:szCs w:val="24"/>
        </w:rPr>
        <w:t>-</w:t>
      </w:r>
      <w:r w:rsidRPr="009A2FB5">
        <w:rPr>
          <w:rFonts w:eastAsia="Calibri" w:cs="Arial"/>
          <w:szCs w:val="24"/>
        </w:rPr>
        <w:t xml:space="preserve">6 </w:t>
      </w:r>
      <w:r w:rsidRPr="009A2FB5">
        <w:rPr>
          <w:rFonts w:eastAsia="Calibri" w:cs="Arial"/>
          <w:szCs w:val="24"/>
        </w:rPr>
        <w:tab/>
        <w:t xml:space="preserve">PPL SC and PPL EU Diverse Vendors as a Percent of Total </w:t>
      </w:r>
      <w:r>
        <w:rPr>
          <w:rFonts w:eastAsia="Calibri" w:cs="Arial"/>
          <w:szCs w:val="24"/>
        </w:rPr>
        <w:br/>
      </w:r>
      <w:r w:rsidRPr="009A2FB5">
        <w:rPr>
          <w:rFonts w:eastAsia="Calibri" w:cs="Arial"/>
          <w:szCs w:val="24"/>
        </w:rPr>
        <w:t>Vendors in 2015</w:t>
      </w:r>
      <w:r w:rsidRPr="009A2FB5">
        <w:rPr>
          <w:rFonts w:eastAsia="Calibri" w:cs="Arial"/>
          <w:szCs w:val="24"/>
        </w:rPr>
        <w:tab/>
        <w:t>507</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XIV</w:t>
      </w:r>
      <w:r>
        <w:rPr>
          <w:rFonts w:eastAsia="Calibri" w:cs="Arial"/>
          <w:szCs w:val="24"/>
        </w:rPr>
        <w:t>-</w:t>
      </w:r>
      <w:r w:rsidRPr="009A2FB5">
        <w:rPr>
          <w:rFonts w:eastAsia="Calibri" w:cs="Arial"/>
          <w:szCs w:val="24"/>
        </w:rPr>
        <w:t xml:space="preserve">7 </w:t>
      </w:r>
      <w:r w:rsidRPr="009A2FB5">
        <w:rPr>
          <w:rFonts w:eastAsia="Calibri" w:cs="Arial"/>
          <w:szCs w:val="24"/>
        </w:rPr>
        <w:tab/>
        <w:t>Count of PPL EU Diverse Vendor Contracts Awarded 2010–2015</w:t>
      </w:r>
      <w:r w:rsidRPr="009A2FB5">
        <w:rPr>
          <w:rFonts w:eastAsia="Calibri" w:cs="Arial"/>
          <w:szCs w:val="24"/>
        </w:rPr>
        <w:tab/>
        <w:t>507</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lastRenderedPageBreak/>
        <w:t>Exhibit XIV</w:t>
      </w:r>
      <w:r>
        <w:rPr>
          <w:rFonts w:eastAsia="Calibri" w:cs="Arial"/>
          <w:szCs w:val="24"/>
        </w:rPr>
        <w:t>-</w:t>
      </w:r>
      <w:r w:rsidRPr="009A2FB5">
        <w:rPr>
          <w:rFonts w:eastAsia="Calibri" w:cs="Arial"/>
          <w:szCs w:val="24"/>
        </w:rPr>
        <w:t xml:space="preserve">8 </w:t>
      </w:r>
      <w:r w:rsidRPr="009A2FB5">
        <w:rPr>
          <w:rFonts w:eastAsia="Calibri" w:cs="Arial"/>
          <w:szCs w:val="24"/>
        </w:rPr>
        <w:tab/>
        <w:t>PPL EUS Human Resources – Employee Diversity Responsibility</w:t>
      </w:r>
      <w:r w:rsidRPr="009A2FB5">
        <w:rPr>
          <w:rFonts w:eastAsia="Calibri" w:cs="Arial"/>
          <w:szCs w:val="24"/>
        </w:rPr>
        <w:tab/>
        <w:t>509</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XIV</w:t>
      </w:r>
      <w:r>
        <w:rPr>
          <w:rFonts w:eastAsia="Calibri" w:cs="Arial"/>
          <w:szCs w:val="24"/>
        </w:rPr>
        <w:t>-</w:t>
      </w:r>
      <w:r w:rsidRPr="009A2FB5">
        <w:rPr>
          <w:rFonts w:eastAsia="Calibri" w:cs="Arial"/>
          <w:szCs w:val="24"/>
        </w:rPr>
        <w:t xml:space="preserve">9 </w:t>
      </w:r>
      <w:r w:rsidRPr="009A2FB5">
        <w:rPr>
          <w:rFonts w:eastAsia="Calibri" w:cs="Arial"/>
          <w:szCs w:val="24"/>
        </w:rPr>
        <w:tab/>
        <w:t>PPL and PPL EU Internships in 2014 and 2015</w:t>
      </w:r>
      <w:r w:rsidRPr="009A2FB5">
        <w:rPr>
          <w:rFonts w:eastAsia="Calibri" w:cs="Arial"/>
          <w:szCs w:val="24"/>
        </w:rPr>
        <w:tab/>
        <w:t>512</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t>Exhibit XIV</w:t>
      </w:r>
      <w:r>
        <w:rPr>
          <w:rFonts w:eastAsia="Calibri" w:cs="Arial"/>
          <w:szCs w:val="24"/>
        </w:rPr>
        <w:t>-</w:t>
      </w:r>
      <w:r w:rsidRPr="009A2FB5">
        <w:rPr>
          <w:rFonts w:eastAsia="Calibri" w:cs="Arial"/>
          <w:szCs w:val="24"/>
        </w:rPr>
        <w:t xml:space="preserve">10 </w:t>
      </w:r>
      <w:r w:rsidRPr="009A2FB5">
        <w:rPr>
          <w:rFonts w:eastAsia="Calibri" w:cs="Arial"/>
          <w:szCs w:val="24"/>
        </w:rPr>
        <w:tab/>
        <w:t xml:space="preserve">Comparison of PPL EU Minority Employees to the Labor Market </w:t>
      </w:r>
      <w:r>
        <w:rPr>
          <w:rFonts w:eastAsia="Calibri" w:cs="Arial"/>
          <w:szCs w:val="24"/>
        </w:rPr>
        <w:br/>
      </w:r>
      <w:r w:rsidRPr="009A2FB5">
        <w:rPr>
          <w:rFonts w:eastAsia="Calibri" w:cs="Arial"/>
          <w:szCs w:val="24"/>
        </w:rPr>
        <w:t>2013</w:t>
      </w:r>
      <w:r w:rsidRPr="009A2FB5">
        <w:rPr>
          <w:rFonts w:eastAsia="Calibri" w:cs="Arial"/>
          <w:szCs w:val="24"/>
        </w:rPr>
        <w:tab/>
        <w:t>512</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XIV</w:t>
      </w:r>
      <w:r>
        <w:rPr>
          <w:rFonts w:eastAsia="Calibri" w:cs="Arial"/>
          <w:szCs w:val="24"/>
        </w:rPr>
        <w:t>-</w:t>
      </w:r>
      <w:r w:rsidRPr="009A2FB5">
        <w:rPr>
          <w:rFonts w:eastAsia="Calibri" w:cs="Arial"/>
          <w:szCs w:val="24"/>
        </w:rPr>
        <w:t xml:space="preserve">11 </w:t>
      </w:r>
      <w:r w:rsidRPr="009A2FB5">
        <w:rPr>
          <w:rFonts w:eastAsia="Calibri" w:cs="Arial"/>
          <w:szCs w:val="24"/>
        </w:rPr>
        <w:tab/>
        <w:t>Application Rates for Minorities and Females 2011–2015</w:t>
      </w:r>
      <w:r w:rsidRPr="009A2FB5">
        <w:rPr>
          <w:rFonts w:eastAsia="Calibri" w:cs="Arial"/>
          <w:szCs w:val="24"/>
        </w:rPr>
        <w:tab/>
        <w:t>513</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XIV</w:t>
      </w:r>
      <w:r>
        <w:rPr>
          <w:rFonts w:eastAsia="Calibri" w:cs="Arial"/>
          <w:szCs w:val="24"/>
        </w:rPr>
        <w:t>-</w:t>
      </w:r>
      <w:r w:rsidRPr="009A2FB5">
        <w:rPr>
          <w:rFonts w:eastAsia="Calibri" w:cs="Arial"/>
          <w:szCs w:val="24"/>
        </w:rPr>
        <w:t xml:space="preserve">12 </w:t>
      </w:r>
      <w:r w:rsidRPr="009A2FB5">
        <w:rPr>
          <w:rFonts w:eastAsia="Calibri" w:cs="Arial"/>
          <w:szCs w:val="24"/>
        </w:rPr>
        <w:tab/>
        <w:t>New Hire Rates for Minorities and Females 2011–2015</w:t>
      </w:r>
      <w:r w:rsidRPr="009A2FB5">
        <w:rPr>
          <w:rFonts w:eastAsia="Calibri" w:cs="Arial"/>
          <w:szCs w:val="24"/>
        </w:rPr>
        <w:tab/>
        <w:t>513</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XIV</w:t>
      </w:r>
      <w:r>
        <w:rPr>
          <w:rFonts w:eastAsia="Calibri" w:cs="Arial"/>
          <w:szCs w:val="24"/>
        </w:rPr>
        <w:t>-</w:t>
      </w:r>
      <w:r w:rsidRPr="009A2FB5">
        <w:rPr>
          <w:rFonts w:eastAsia="Calibri" w:cs="Arial"/>
          <w:szCs w:val="24"/>
        </w:rPr>
        <w:t xml:space="preserve">13 </w:t>
      </w:r>
      <w:r w:rsidRPr="009A2FB5">
        <w:rPr>
          <w:rFonts w:eastAsia="Calibri" w:cs="Arial"/>
          <w:szCs w:val="24"/>
        </w:rPr>
        <w:tab/>
        <w:t>Promotion Rates for Minorities and Females 2011–2015</w:t>
      </w:r>
      <w:r w:rsidRPr="009A2FB5">
        <w:rPr>
          <w:rFonts w:eastAsia="Calibri" w:cs="Arial"/>
          <w:szCs w:val="24"/>
        </w:rPr>
        <w:tab/>
        <w:t>514</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t>Exhibit XIV</w:t>
      </w:r>
      <w:r>
        <w:rPr>
          <w:rFonts w:eastAsia="Calibri" w:cs="Arial"/>
          <w:szCs w:val="24"/>
        </w:rPr>
        <w:t>-</w:t>
      </w:r>
      <w:r w:rsidRPr="009A2FB5">
        <w:rPr>
          <w:rFonts w:eastAsia="Calibri" w:cs="Arial"/>
          <w:szCs w:val="24"/>
        </w:rPr>
        <w:t xml:space="preserve">14 </w:t>
      </w:r>
      <w:r w:rsidRPr="009A2FB5">
        <w:rPr>
          <w:rFonts w:eastAsia="Calibri" w:cs="Arial"/>
          <w:szCs w:val="24"/>
        </w:rPr>
        <w:tab/>
        <w:t xml:space="preserve">Aggregate Termination Rates for Minorities and Females </w:t>
      </w:r>
      <w:r>
        <w:rPr>
          <w:rFonts w:eastAsia="Calibri" w:cs="Arial"/>
          <w:szCs w:val="24"/>
        </w:rPr>
        <w:br/>
      </w:r>
      <w:r w:rsidRPr="009A2FB5">
        <w:rPr>
          <w:rFonts w:eastAsia="Calibri" w:cs="Arial"/>
          <w:szCs w:val="24"/>
        </w:rPr>
        <w:t>2011–2015</w:t>
      </w:r>
      <w:r w:rsidRPr="009A2FB5">
        <w:rPr>
          <w:rFonts w:eastAsia="Calibri" w:cs="Arial"/>
          <w:szCs w:val="24"/>
        </w:rPr>
        <w:tab/>
        <w:t>514</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t>Exhibit XIV</w:t>
      </w:r>
      <w:r>
        <w:rPr>
          <w:rFonts w:eastAsia="Calibri" w:cs="Arial"/>
          <w:szCs w:val="24"/>
        </w:rPr>
        <w:t>-</w:t>
      </w:r>
      <w:r w:rsidRPr="009A2FB5">
        <w:rPr>
          <w:rFonts w:eastAsia="Calibri" w:cs="Arial"/>
          <w:szCs w:val="24"/>
        </w:rPr>
        <w:t xml:space="preserve">15 </w:t>
      </w:r>
      <w:r w:rsidRPr="009A2FB5">
        <w:rPr>
          <w:rFonts w:eastAsia="Calibri" w:cs="Arial"/>
          <w:szCs w:val="24"/>
        </w:rPr>
        <w:tab/>
        <w:t xml:space="preserve">Involuntary Termination Rates for Minorities and Females </w:t>
      </w:r>
      <w:r>
        <w:rPr>
          <w:rFonts w:eastAsia="Calibri" w:cs="Arial"/>
          <w:szCs w:val="24"/>
        </w:rPr>
        <w:br/>
      </w:r>
      <w:r w:rsidRPr="009A2FB5">
        <w:rPr>
          <w:rFonts w:eastAsia="Calibri" w:cs="Arial"/>
          <w:szCs w:val="24"/>
        </w:rPr>
        <w:t>2011–2015</w:t>
      </w:r>
      <w:r w:rsidRPr="009A2FB5">
        <w:rPr>
          <w:rFonts w:eastAsia="Calibri" w:cs="Arial"/>
          <w:szCs w:val="24"/>
        </w:rPr>
        <w:tab/>
        <w:t>514</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t>Exhibit XIV</w:t>
      </w:r>
      <w:r>
        <w:rPr>
          <w:rFonts w:eastAsia="Calibri" w:cs="Arial"/>
          <w:szCs w:val="24"/>
        </w:rPr>
        <w:t>-</w:t>
      </w:r>
      <w:r w:rsidRPr="009A2FB5">
        <w:rPr>
          <w:rFonts w:eastAsia="Calibri" w:cs="Arial"/>
          <w:szCs w:val="24"/>
        </w:rPr>
        <w:t xml:space="preserve">16 </w:t>
      </w:r>
      <w:r w:rsidRPr="009A2FB5">
        <w:rPr>
          <w:rFonts w:eastAsia="Calibri" w:cs="Arial"/>
          <w:szCs w:val="24"/>
        </w:rPr>
        <w:tab/>
        <w:t xml:space="preserve">Voluntary Termination Rates for Minorities and Females </w:t>
      </w:r>
      <w:r>
        <w:rPr>
          <w:rFonts w:eastAsia="Calibri" w:cs="Arial"/>
          <w:szCs w:val="24"/>
        </w:rPr>
        <w:br/>
      </w:r>
      <w:r w:rsidRPr="009A2FB5">
        <w:rPr>
          <w:rFonts w:eastAsia="Calibri" w:cs="Arial"/>
          <w:szCs w:val="24"/>
        </w:rPr>
        <w:t>2011–2015</w:t>
      </w:r>
      <w:r w:rsidRPr="009A2FB5">
        <w:rPr>
          <w:rFonts w:eastAsia="Calibri" w:cs="Arial"/>
          <w:szCs w:val="24"/>
        </w:rPr>
        <w:tab/>
        <w:t>515</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XIV</w:t>
      </w:r>
      <w:r>
        <w:rPr>
          <w:rFonts w:eastAsia="Calibri" w:cs="Arial"/>
          <w:szCs w:val="24"/>
        </w:rPr>
        <w:t>-</w:t>
      </w:r>
      <w:r w:rsidRPr="009A2FB5">
        <w:rPr>
          <w:rFonts w:eastAsia="Calibri" w:cs="Arial"/>
          <w:szCs w:val="24"/>
        </w:rPr>
        <w:t xml:space="preserve">17 </w:t>
      </w:r>
      <w:r w:rsidRPr="009A2FB5">
        <w:rPr>
          <w:rFonts w:eastAsia="Calibri" w:cs="Arial"/>
          <w:szCs w:val="24"/>
        </w:rPr>
        <w:tab/>
        <w:t>PPL SC HR – Affirmative Action Program Responsibility</w:t>
      </w:r>
      <w:r w:rsidRPr="009A2FB5">
        <w:rPr>
          <w:rFonts w:eastAsia="Calibri" w:cs="Arial"/>
          <w:szCs w:val="24"/>
        </w:rPr>
        <w:tab/>
        <w:t>517</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t>Exhibit XIV</w:t>
      </w:r>
      <w:r>
        <w:rPr>
          <w:rFonts w:eastAsia="Calibri" w:cs="Arial"/>
          <w:szCs w:val="24"/>
        </w:rPr>
        <w:t>-</w:t>
      </w:r>
      <w:r w:rsidRPr="009A2FB5">
        <w:rPr>
          <w:rFonts w:eastAsia="Calibri" w:cs="Arial"/>
          <w:szCs w:val="24"/>
        </w:rPr>
        <w:t xml:space="preserve">18 </w:t>
      </w:r>
      <w:r w:rsidRPr="009A2FB5">
        <w:rPr>
          <w:rFonts w:eastAsia="Calibri" w:cs="Arial"/>
          <w:szCs w:val="24"/>
        </w:rPr>
        <w:tab/>
        <w:t xml:space="preserve">Percentage of Minority, Female, Veteran, and Persons with </w:t>
      </w:r>
      <w:r>
        <w:rPr>
          <w:rFonts w:eastAsia="Calibri" w:cs="Arial"/>
          <w:szCs w:val="24"/>
        </w:rPr>
        <w:br/>
      </w:r>
      <w:r w:rsidRPr="009A2FB5">
        <w:rPr>
          <w:rFonts w:eastAsia="Calibri" w:cs="Arial"/>
          <w:szCs w:val="24"/>
        </w:rPr>
        <w:t>Disability in the PPL EU Workforce</w:t>
      </w:r>
      <w:r w:rsidRPr="009A2FB5">
        <w:rPr>
          <w:rFonts w:eastAsia="Calibri" w:cs="Arial"/>
          <w:szCs w:val="24"/>
        </w:rPr>
        <w:tab/>
        <w:t>519</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XIV</w:t>
      </w:r>
      <w:r>
        <w:rPr>
          <w:rFonts w:eastAsia="Calibri" w:cs="Arial"/>
          <w:szCs w:val="24"/>
        </w:rPr>
        <w:t>-</w:t>
      </w:r>
      <w:r w:rsidRPr="009A2FB5">
        <w:rPr>
          <w:rFonts w:eastAsia="Calibri" w:cs="Arial"/>
          <w:szCs w:val="24"/>
        </w:rPr>
        <w:t xml:space="preserve">19 </w:t>
      </w:r>
      <w:r w:rsidRPr="009A2FB5">
        <w:rPr>
          <w:rFonts w:eastAsia="Calibri" w:cs="Arial"/>
          <w:szCs w:val="24"/>
        </w:rPr>
        <w:tab/>
        <w:t>Minority Utilization 2012–2015</w:t>
      </w:r>
      <w:r w:rsidRPr="009A2FB5">
        <w:rPr>
          <w:rFonts w:eastAsia="Calibri" w:cs="Arial"/>
          <w:szCs w:val="24"/>
        </w:rPr>
        <w:tab/>
        <w:t>520</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XIV</w:t>
      </w:r>
      <w:r>
        <w:rPr>
          <w:rFonts w:eastAsia="Calibri" w:cs="Arial"/>
          <w:szCs w:val="24"/>
        </w:rPr>
        <w:t>-</w:t>
      </w:r>
      <w:r w:rsidRPr="009A2FB5">
        <w:rPr>
          <w:rFonts w:eastAsia="Calibri" w:cs="Arial"/>
          <w:szCs w:val="24"/>
        </w:rPr>
        <w:t xml:space="preserve">20 </w:t>
      </w:r>
      <w:r w:rsidRPr="009A2FB5">
        <w:rPr>
          <w:rFonts w:eastAsia="Calibri" w:cs="Arial"/>
          <w:szCs w:val="24"/>
        </w:rPr>
        <w:tab/>
        <w:t>Female Utilization 2012–2015</w:t>
      </w:r>
      <w:r w:rsidRPr="009A2FB5">
        <w:rPr>
          <w:rFonts w:eastAsia="Calibri" w:cs="Arial"/>
          <w:szCs w:val="24"/>
        </w:rPr>
        <w:tab/>
        <w:t>521</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XIV</w:t>
      </w:r>
      <w:r>
        <w:rPr>
          <w:rFonts w:eastAsia="Calibri" w:cs="Arial"/>
          <w:szCs w:val="24"/>
        </w:rPr>
        <w:t>-</w:t>
      </w:r>
      <w:r w:rsidRPr="009A2FB5">
        <w:rPr>
          <w:rFonts w:eastAsia="Calibri" w:cs="Arial"/>
          <w:szCs w:val="24"/>
        </w:rPr>
        <w:t xml:space="preserve">21 </w:t>
      </w:r>
      <w:r w:rsidRPr="009A2FB5">
        <w:rPr>
          <w:rFonts w:eastAsia="Calibri" w:cs="Arial"/>
          <w:szCs w:val="24"/>
        </w:rPr>
        <w:tab/>
        <w:t>PPL EU Employee Concerns, 2012–2015</w:t>
      </w:r>
      <w:r w:rsidRPr="009A2FB5">
        <w:rPr>
          <w:rFonts w:eastAsia="Calibri" w:cs="Arial"/>
          <w:szCs w:val="24"/>
        </w:rPr>
        <w:tab/>
        <w:t>523</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XV</w:t>
      </w:r>
      <w:r>
        <w:rPr>
          <w:rFonts w:eastAsia="Calibri" w:cs="Arial"/>
          <w:szCs w:val="24"/>
        </w:rPr>
        <w:t>-</w:t>
      </w:r>
      <w:r w:rsidRPr="009A2FB5">
        <w:rPr>
          <w:rFonts w:eastAsia="Calibri" w:cs="Arial"/>
          <w:szCs w:val="24"/>
        </w:rPr>
        <w:t xml:space="preserve">1 </w:t>
      </w:r>
      <w:r w:rsidRPr="009A2FB5">
        <w:rPr>
          <w:rFonts w:eastAsia="Calibri" w:cs="Arial"/>
          <w:szCs w:val="24"/>
        </w:rPr>
        <w:tab/>
        <w:t>Employee Position Changes</w:t>
      </w:r>
      <w:r w:rsidRPr="009A2FB5">
        <w:rPr>
          <w:rFonts w:eastAsia="Calibri" w:cs="Arial"/>
          <w:szCs w:val="24"/>
        </w:rPr>
        <w:tab/>
        <w:t>526</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XV</w:t>
      </w:r>
      <w:r>
        <w:rPr>
          <w:rFonts w:eastAsia="Calibri" w:cs="Arial"/>
          <w:szCs w:val="24"/>
        </w:rPr>
        <w:t>-</w:t>
      </w:r>
      <w:r w:rsidRPr="009A2FB5">
        <w:rPr>
          <w:rFonts w:eastAsia="Calibri" w:cs="Arial"/>
          <w:szCs w:val="24"/>
        </w:rPr>
        <w:t xml:space="preserve">2 </w:t>
      </w:r>
      <w:r w:rsidRPr="009A2FB5">
        <w:rPr>
          <w:rFonts w:eastAsia="Calibri" w:cs="Arial"/>
          <w:szCs w:val="24"/>
        </w:rPr>
        <w:tab/>
        <w:t>Employee Position Trend – as of Year End</w:t>
      </w:r>
      <w:r w:rsidRPr="009A2FB5">
        <w:rPr>
          <w:rFonts w:eastAsia="Calibri" w:cs="Arial"/>
          <w:szCs w:val="24"/>
        </w:rPr>
        <w:tab/>
        <w:t>526</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XV</w:t>
      </w:r>
      <w:r>
        <w:rPr>
          <w:rFonts w:eastAsia="Calibri" w:cs="Arial"/>
          <w:szCs w:val="24"/>
        </w:rPr>
        <w:t>-</w:t>
      </w:r>
      <w:r w:rsidRPr="009A2FB5">
        <w:rPr>
          <w:rFonts w:eastAsia="Calibri" w:cs="Arial"/>
          <w:szCs w:val="24"/>
        </w:rPr>
        <w:t xml:space="preserve">3 </w:t>
      </w:r>
      <w:r w:rsidRPr="009A2FB5">
        <w:rPr>
          <w:rFonts w:eastAsia="Calibri" w:cs="Arial"/>
          <w:szCs w:val="24"/>
        </w:rPr>
        <w:tab/>
        <w:t>T&amp;S Staffing Changes 2014–2015 and 2016 Forecast</w:t>
      </w:r>
      <w:r w:rsidRPr="009A2FB5">
        <w:rPr>
          <w:rFonts w:eastAsia="Calibri" w:cs="Arial"/>
          <w:szCs w:val="24"/>
        </w:rPr>
        <w:tab/>
        <w:t>529</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XV</w:t>
      </w:r>
      <w:r>
        <w:rPr>
          <w:rFonts w:eastAsia="Calibri" w:cs="Arial"/>
          <w:szCs w:val="24"/>
        </w:rPr>
        <w:t>-</w:t>
      </w:r>
      <w:r w:rsidRPr="009A2FB5">
        <w:rPr>
          <w:rFonts w:eastAsia="Calibri" w:cs="Arial"/>
          <w:szCs w:val="24"/>
        </w:rPr>
        <w:t xml:space="preserve">4 </w:t>
      </w:r>
      <w:r w:rsidRPr="009A2FB5">
        <w:rPr>
          <w:rFonts w:eastAsia="Calibri" w:cs="Arial"/>
          <w:szCs w:val="24"/>
        </w:rPr>
        <w:tab/>
        <w:t>Five Year Transmission Capital Project Plan 2016–2020</w:t>
      </w:r>
      <w:r w:rsidRPr="009A2FB5">
        <w:rPr>
          <w:rFonts w:eastAsia="Calibri" w:cs="Arial"/>
          <w:szCs w:val="24"/>
        </w:rPr>
        <w:tab/>
        <w:t>531</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XV</w:t>
      </w:r>
      <w:r>
        <w:rPr>
          <w:rFonts w:eastAsia="Calibri" w:cs="Arial"/>
          <w:szCs w:val="24"/>
        </w:rPr>
        <w:t>-</w:t>
      </w:r>
      <w:r w:rsidRPr="009A2FB5">
        <w:rPr>
          <w:rFonts w:eastAsia="Calibri" w:cs="Arial"/>
          <w:szCs w:val="24"/>
        </w:rPr>
        <w:t xml:space="preserve">5 </w:t>
      </w:r>
      <w:r w:rsidRPr="009A2FB5">
        <w:rPr>
          <w:rFonts w:eastAsia="Calibri" w:cs="Arial"/>
          <w:szCs w:val="24"/>
        </w:rPr>
        <w:tab/>
        <w:t>T&amp;S Staff Augmentation Contractor FTEs as of March 31, 2016</w:t>
      </w:r>
      <w:r w:rsidRPr="009A2FB5">
        <w:rPr>
          <w:rFonts w:eastAsia="Calibri" w:cs="Arial"/>
          <w:szCs w:val="24"/>
        </w:rPr>
        <w:tab/>
        <w:t>533</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t>Exhibit XV</w:t>
      </w:r>
      <w:r>
        <w:rPr>
          <w:rFonts w:eastAsia="Calibri" w:cs="Arial"/>
          <w:szCs w:val="24"/>
        </w:rPr>
        <w:t>-</w:t>
      </w:r>
      <w:r w:rsidRPr="009A2FB5">
        <w:rPr>
          <w:rFonts w:eastAsia="Calibri" w:cs="Arial"/>
          <w:szCs w:val="24"/>
        </w:rPr>
        <w:t xml:space="preserve">6 </w:t>
      </w:r>
      <w:r w:rsidRPr="009A2FB5">
        <w:rPr>
          <w:rFonts w:eastAsia="Calibri" w:cs="Arial"/>
          <w:szCs w:val="24"/>
        </w:rPr>
        <w:tab/>
        <w:t xml:space="preserve">Distribution Operations Staffing Changes 2014–2015 and 2016 </w:t>
      </w:r>
      <w:r w:rsidRPr="009A2FB5">
        <w:rPr>
          <w:rFonts w:eastAsia="Calibri" w:cs="Arial"/>
          <w:szCs w:val="24"/>
        </w:rPr>
        <w:br/>
        <w:t>Forecast</w:t>
      </w:r>
      <w:r w:rsidRPr="009A2FB5">
        <w:rPr>
          <w:rFonts w:eastAsia="Calibri" w:cs="Arial"/>
          <w:szCs w:val="24"/>
        </w:rPr>
        <w:tab/>
        <w:t>538</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t>Exhibit XV</w:t>
      </w:r>
      <w:r>
        <w:rPr>
          <w:rFonts w:eastAsia="Calibri" w:cs="Arial"/>
          <w:szCs w:val="24"/>
        </w:rPr>
        <w:t>-</w:t>
      </w:r>
      <w:r w:rsidRPr="009A2FB5">
        <w:rPr>
          <w:rFonts w:eastAsia="Calibri" w:cs="Arial"/>
          <w:szCs w:val="24"/>
        </w:rPr>
        <w:t xml:space="preserve">7 </w:t>
      </w:r>
      <w:r w:rsidRPr="009A2FB5">
        <w:rPr>
          <w:rFonts w:eastAsia="Calibri" w:cs="Arial"/>
          <w:szCs w:val="24"/>
        </w:rPr>
        <w:tab/>
        <w:t xml:space="preserve">PPL EU Technical Development and Improvement Staffing </w:t>
      </w:r>
      <w:r>
        <w:rPr>
          <w:rFonts w:eastAsia="Calibri" w:cs="Arial"/>
          <w:szCs w:val="24"/>
        </w:rPr>
        <w:br/>
      </w:r>
      <w:r w:rsidRPr="009A2FB5">
        <w:rPr>
          <w:rFonts w:eastAsia="Calibri" w:cs="Arial"/>
          <w:szCs w:val="24"/>
        </w:rPr>
        <w:t>Changes 2014–2015</w:t>
      </w:r>
      <w:r w:rsidRPr="009A2FB5">
        <w:rPr>
          <w:rFonts w:eastAsia="Calibri" w:cs="Arial"/>
          <w:szCs w:val="24"/>
        </w:rPr>
        <w:tab/>
        <w:t>543</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t>Exhibit XV</w:t>
      </w:r>
      <w:r>
        <w:rPr>
          <w:rFonts w:eastAsia="Calibri" w:cs="Arial"/>
          <w:szCs w:val="24"/>
        </w:rPr>
        <w:t>-</w:t>
      </w:r>
      <w:r w:rsidRPr="009A2FB5">
        <w:rPr>
          <w:rFonts w:eastAsia="Calibri" w:cs="Arial"/>
          <w:szCs w:val="24"/>
        </w:rPr>
        <w:t xml:space="preserve">8 </w:t>
      </w:r>
      <w:r w:rsidRPr="009A2FB5">
        <w:rPr>
          <w:rFonts w:eastAsia="Calibri" w:cs="Arial"/>
          <w:szCs w:val="24"/>
        </w:rPr>
        <w:tab/>
        <w:t xml:space="preserve">Distribution Operations Staff Augmentation Contractor FTEs as </w:t>
      </w:r>
      <w:r>
        <w:rPr>
          <w:rFonts w:eastAsia="Calibri" w:cs="Arial"/>
          <w:szCs w:val="24"/>
        </w:rPr>
        <w:br/>
      </w:r>
      <w:r w:rsidRPr="009A2FB5">
        <w:rPr>
          <w:rFonts w:eastAsia="Calibri" w:cs="Arial"/>
          <w:szCs w:val="24"/>
        </w:rPr>
        <w:t>of March 31, 2016</w:t>
      </w:r>
      <w:r w:rsidRPr="009A2FB5">
        <w:rPr>
          <w:rFonts w:eastAsia="Calibri" w:cs="Arial"/>
          <w:szCs w:val="24"/>
        </w:rPr>
        <w:tab/>
        <w:t>544</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t>Exhibit XV</w:t>
      </w:r>
      <w:r>
        <w:rPr>
          <w:rFonts w:eastAsia="Calibri" w:cs="Arial"/>
          <w:szCs w:val="24"/>
        </w:rPr>
        <w:t>-</w:t>
      </w:r>
      <w:r w:rsidRPr="009A2FB5">
        <w:rPr>
          <w:rFonts w:eastAsia="Calibri" w:cs="Arial"/>
          <w:szCs w:val="24"/>
        </w:rPr>
        <w:t xml:space="preserve">9 </w:t>
      </w:r>
      <w:r w:rsidRPr="009A2FB5">
        <w:rPr>
          <w:rFonts w:eastAsia="Calibri" w:cs="Arial"/>
          <w:szCs w:val="24"/>
        </w:rPr>
        <w:tab/>
        <w:t xml:space="preserve">Distribution Operations Field Contractor FTEs Yearend 2015 </w:t>
      </w:r>
      <w:r>
        <w:rPr>
          <w:rFonts w:eastAsia="Calibri" w:cs="Arial"/>
          <w:szCs w:val="24"/>
        </w:rPr>
        <w:br/>
      </w:r>
      <w:r w:rsidRPr="009A2FB5">
        <w:rPr>
          <w:rFonts w:eastAsia="Calibri" w:cs="Arial"/>
          <w:szCs w:val="24"/>
        </w:rPr>
        <w:t>Actual and 2016 Projected</w:t>
      </w:r>
      <w:r w:rsidRPr="009A2FB5">
        <w:rPr>
          <w:rFonts w:eastAsia="Calibri" w:cs="Arial"/>
          <w:szCs w:val="24"/>
        </w:rPr>
        <w:tab/>
        <w:t>546</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t>Exhibit XV</w:t>
      </w:r>
      <w:r>
        <w:rPr>
          <w:rFonts w:eastAsia="Calibri" w:cs="Arial"/>
          <w:szCs w:val="24"/>
        </w:rPr>
        <w:t>-</w:t>
      </w:r>
      <w:r w:rsidRPr="009A2FB5">
        <w:rPr>
          <w:rFonts w:eastAsia="Calibri" w:cs="Arial"/>
          <w:szCs w:val="24"/>
        </w:rPr>
        <w:t xml:space="preserve">10 </w:t>
      </w:r>
      <w:r w:rsidRPr="009A2FB5">
        <w:rPr>
          <w:rFonts w:eastAsia="Calibri" w:cs="Arial"/>
          <w:szCs w:val="24"/>
        </w:rPr>
        <w:tab/>
        <w:t xml:space="preserve">PPL EU Customer Experience Employee Staffing Changes </w:t>
      </w:r>
      <w:r w:rsidRPr="009A2FB5">
        <w:rPr>
          <w:rFonts w:eastAsia="Calibri" w:cs="Arial"/>
          <w:szCs w:val="24"/>
        </w:rPr>
        <w:br/>
        <w:t>2014–2015</w:t>
      </w:r>
      <w:r w:rsidRPr="009A2FB5">
        <w:rPr>
          <w:rFonts w:eastAsia="Calibri" w:cs="Arial"/>
          <w:szCs w:val="24"/>
        </w:rPr>
        <w:tab/>
        <w:t>552</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t>Exhibit XV</w:t>
      </w:r>
      <w:r>
        <w:rPr>
          <w:rFonts w:eastAsia="Calibri" w:cs="Arial"/>
          <w:szCs w:val="24"/>
        </w:rPr>
        <w:t>-</w:t>
      </w:r>
      <w:r w:rsidRPr="009A2FB5">
        <w:rPr>
          <w:rFonts w:eastAsia="Calibri" w:cs="Arial"/>
          <w:szCs w:val="24"/>
        </w:rPr>
        <w:t xml:space="preserve">11 </w:t>
      </w:r>
      <w:r w:rsidRPr="009A2FB5">
        <w:rPr>
          <w:rFonts w:eastAsia="Calibri" w:cs="Arial"/>
          <w:szCs w:val="24"/>
        </w:rPr>
        <w:tab/>
        <w:t xml:space="preserve">PPL EU Customer Service Representatives – 2015 Business </w:t>
      </w:r>
      <w:r>
        <w:rPr>
          <w:rFonts w:eastAsia="Calibri" w:cs="Arial"/>
          <w:szCs w:val="24"/>
        </w:rPr>
        <w:br/>
      </w:r>
      <w:r w:rsidRPr="009A2FB5">
        <w:rPr>
          <w:rFonts w:eastAsia="Calibri" w:cs="Arial"/>
          <w:szCs w:val="24"/>
        </w:rPr>
        <w:t>Plan Forecast</w:t>
      </w:r>
      <w:r w:rsidRPr="009A2FB5">
        <w:rPr>
          <w:rFonts w:eastAsia="Calibri" w:cs="Arial"/>
          <w:szCs w:val="24"/>
        </w:rPr>
        <w:tab/>
        <w:t>552</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t>Exhibit XV</w:t>
      </w:r>
      <w:r>
        <w:rPr>
          <w:rFonts w:eastAsia="Calibri" w:cs="Arial"/>
          <w:szCs w:val="24"/>
        </w:rPr>
        <w:t>-</w:t>
      </w:r>
      <w:r w:rsidRPr="009A2FB5">
        <w:rPr>
          <w:rFonts w:eastAsia="Calibri" w:cs="Arial"/>
          <w:szCs w:val="24"/>
        </w:rPr>
        <w:t xml:space="preserve">12 </w:t>
      </w:r>
      <w:r w:rsidRPr="009A2FB5">
        <w:rPr>
          <w:rFonts w:eastAsia="Calibri" w:cs="Arial"/>
          <w:szCs w:val="24"/>
        </w:rPr>
        <w:tab/>
        <w:t xml:space="preserve">PPL EU Customer Services Operations Employee Staffing </w:t>
      </w:r>
      <w:r>
        <w:rPr>
          <w:rFonts w:eastAsia="Calibri" w:cs="Arial"/>
          <w:szCs w:val="24"/>
        </w:rPr>
        <w:br/>
      </w:r>
      <w:r w:rsidRPr="009A2FB5">
        <w:rPr>
          <w:rFonts w:eastAsia="Calibri" w:cs="Arial"/>
          <w:szCs w:val="24"/>
        </w:rPr>
        <w:t>Changes 2014–2015</w:t>
      </w:r>
      <w:r w:rsidRPr="009A2FB5">
        <w:rPr>
          <w:rFonts w:eastAsia="Calibri" w:cs="Arial"/>
          <w:szCs w:val="24"/>
        </w:rPr>
        <w:tab/>
        <w:t>553</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t>Exhibit XV</w:t>
      </w:r>
      <w:r>
        <w:rPr>
          <w:rFonts w:eastAsia="Calibri" w:cs="Arial"/>
          <w:szCs w:val="24"/>
        </w:rPr>
        <w:t>-</w:t>
      </w:r>
      <w:r w:rsidRPr="009A2FB5">
        <w:rPr>
          <w:rFonts w:eastAsia="Calibri" w:cs="Arial"/>
          <w:szCs w:val="24"/>
        </w:rPr>
        <w:t xml:space="preserve">13 </w:t>
      </w:r>
      <w:r w:rsidRPr="009A2FB5">
        <w:rPr>
          <w:rFonts w:eastAsia="Calibri" w:cs="Arial"/>
          <w:szCs w:val="24"/>
        </w:rPr>
        <w:tab/>
        <w:t xml:space="preserve">PPL EU Regulatory Programs Employee Staffing Changes </w:t>
      </w:r>
      <w:r w:rsidRPr="009A2FB5">
        <w:rPr>
          <w:rFonts w:eastAsia="Calibri" w:cs="Arial"/>
          <w:szCs w:val="24"/>
        </w:rPr>
        <w:br/>
        <w:t>2014–2015</w:t>
      </w:r>
      <w:r w:rsidRPr="009A2FB5">
        <w:rPr>
          <w:rFonts w:eastAsia="Calibri" w:cs="Arial"/>
          <w:szCs w:val="24"/>
        </w:rPr>
        <w:tab/>
        <w:t>554</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lastRenderedPageBreak/>
        <w:t>Exhibit XV</w:t>
      </w:r>
      <w:r>
        <w:rPr>
          <w:rFonts w:eastAsia="Calibri" w:cs="Arial"/>
          <w:szCs w:val="24"/>
        </w:rPr>
        <w:t>-</w:t>
      </w:r>
      <w:r w:rsidRPr="009A2FB5">
        <w:rPr>
          <w:rFonts w:eastAsia="Calibri" w:cs="Arial"/>
          <w:szCs w:val="24"/>
        </w:rPr>
        <w:t xml:space="preserve">14 </w:t>
      </w:r>
      <w:r w:rsidRPr="009A2FB5">
        <w:rPr>
          <w:rFonts w:eastAsia="Calibri" w:cs="Arial"/>
          <w:szCs w:val="24"/>
        </w:rPr>
        <w:tab/>
        <w:t xml:space="preserve">PPL EU Advanced Metering and Data Operations Employee </w:t>
      </w:r>
      <w:r>
        <w:rPr>
          <w:rFonts w:eastAsia="Calibri" w:cs="Arial"/>
          <w:szCs w:val="24"/>
        </w:rPr>
        <w:br/>
      </w:r>
      <w:r w:rsidRPr="009A2FB5">
        <w:rPr>
          <w:rFonts w:eastAsia="Calibri" w:cs="Arial"/>
          <w:szCs w:val="24"/>
        </w:rPr>
        <w:t>Staffing Changes 2014–2015</w:t>
      </w:r>
      <w:r w:rsidRPr="009A2FB5">
        <w:rPr>
          <w:rFonts w:eastAsia="Calibri" w:cs="Arial"/>
          <w:szCs w:val="24"/>
        </w:rPr>
        <w:tab/>
        <w:t>555</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t>Exhibit XV</w:t>
      </w:r>
      <w:r>
        <w:rPr>
          <w:rFonts w:eastAsia="Calibri" w:cs="Arial"/>
          <w:szCs w:val="24"/>
        </w:rPr>
        <w:t>-</w:t>
      </w:r>
      <w:r w:rsidRPr="009A2FB5">
        <w:rPr>
          <w:rFonts w:eastAsia="Calibri" w:cs="Arial"/>
          <w:szCs w:val="24"/>
        </w:rPr>
        <w:t xml:space="preserve">15 </w:t>
      </w:r>
      <w:r w:rsidRPr="009A2FB5">
        <w:rPr>
          <w:rFonts w:eastAsia="Calibri" w:cs="Arial"/>
          <w:szCs w:val="24"/>
        </w:rPr>
        <w:tab/>
        <w:t xml:space="preserve">PPL EU Revenue Operations Employee Staffing Changes </w:t>
      </w:r>
      <w:r w:rsidRPr="009A2FB5">
        <w:rPr>
          <w:rFonts w:eastAsia="Calibri" w:cs="Arial"/>
          <w:szCs w:val="24"/>
        </w:rPr>
        <w:br/>
        <w:t>2014–2015</w:t>
      </w:r>
      <w:r w:rsidRPr="009A2FB5">
        <w:rPr>
          <w:rFonts w:eastAsia="Calibri" w:cs="Arial"/>
          <w:szCs w:val="24"/>
        </w:rPr>
        <w:tab/>
        <w:t>556</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t>Exhibit XV</w:t>
      </w:r>
      <w:r>
        <w:rPr>
          <w:rFonts w:eastAsia="Calibri" w:cs="Arial"/>
          <w:szCs w:val="24"/>
        </w:rPr>
        <w:t>-</w:t>
      </w:r>
      <w:r w:rsidRPr="009A2FB5">
        <w:rPr>
          <w:rFonts w:eastAsia="Calibri" w:cs="Arial"/>
          <w:szCs w:val="24"/>
        </w:rPr>
        <w:t xml:space="preserve">16 </w:t>
      </w:r>
      <w:r w:rsidRPr="009A2FB5">
        <w:rPr>
          <w:rFonts w:eastAsia="Calibri" w:cs="Arial"/>
          <w:szCs w:val="24"/>
        </w:rPr>
        <w:tab/>
        <w:t xml:space="preserve">PPL SC Finance and Accounting Employee Staffing Changes </w:t>
      </w:r>
      <w:r w:rsidRPr="009A2FB5">
        <w:rPr>
          <w:rFonts w:eastAsia="Calibri" w:cs="Arial"/>
          <w:szCs w:val="24"/>
        </w:rPr>
        <w:br/>
        <w:t>2014–2015</w:t>
      </w:r>
      <w:r w:rsidRPr="009A2FB5">
        <w:rPr>
          <w:rFonts w:eastAsia="Calibri" w:cs="Arial"/>
          <w:szCs w:val="24"/>
        </w:rPr>
        <w:tab/>
        <w:t>560</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t>Exhibit XV</w:t>
      </w:r>
      <w:r>
        <w:rPr>
          <w:rFonts w:eastAsia="Calibri" w:cs="Arial"/>
          <w:szCs w:val="24"/>
        </w:rPr>
        <w:t>-</w:t>
      </w:r>
      <w:r w:rsidRPr="009A2FB5">
        <w:rPr>
          <w:rFonts w:eastAsia="Calibri" w:cs="Arial"/>
          <w:szCs w:val="24"/>
        </w:rPr>
        <w:t xml:space="preserve">17 </w:t>
      </w:r>
      <w:r w:rsidRPr="009A2FB5">
        <w:rPr>
          <w:rFonts w:eastAsia="Calibri" w:cs="Arial"/>
          <w:szCs w:val="24"/>
        </w:rPr>
        <w:tab/>
        <w:t xml:space="preserve">PPL EUS Finance and Accounting Employee Staffing Changes </w:t>
      </w:r>
      <w:r w:rsidRPr="009A2FB5">
        <w:rPr>
          <w:rFonts w:eastAsia="Calibri" w:cs="Arial"/>
          <w:szCs w:val="24"/>
        </w:rPr>
        <w:br/>
        <w:t>2014–2015</w:t>
      </w:r>
      <w:r w:rsidRPr="009A2FB5">
        <w:rPr>
          <w:rFonts w:eastAsia="Calibri" w:cs="Arial"/>
          <w:szCs w:val="24"/>
        </w:rPr>
        <w:tab/>
        <w:t>563</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t>Exhibit XV</w:t>
      </w:r>
      <w:r>
        <w:rPr>
          <w:rFonts w:eastAsia="Calibri" w:cs="Arial"/>
          <w:szCs w:val="24"/>
        </w:rPr>
        <w:t>-</w:t>
      </w:r>
      <w:r w:rsidRPr="009A2FB5">
        <w:rPr>
          <w:rFonts w:eastAsia="Calibri" w:cs="Arial"/>
          <w:szCs w:val="24"/>
        </w:rPr>
        <w:t xml:space="preserve">18 </w:t>
      </w:r>
      <w:r w:rsidRPr="009A2FB5">
        <w:rPr>
          <w:rFonts w:eastAsia="Calibri" w:cs="Arial"/>
          <w:szCs w:val="24"/>
        </w:rPr>
        <w:tab/>
        <w:t xml:space="preserve">PPL SC Information Technology Employee Staffing Changes </w:t>
      </w:r>
      <w:r w:rsidRPr="009A2FB5">
        <w:rPr>
          <w:rFonts w:eastAsia="Calibri" w:cs="Arial"/>
          <w:szCs w:val="24"/>
        </w:rPr>
        <w:br/>
        <w:t>2014–2015</w:t>
      </w:r>
      <w:r w:rsidRPr="009A2FB5">
        <w:rPr>
          <w:rFonts w:eastAsia="Calibri" w:cs="Arial"/>
          <w:szCs w:val="24"/>
        </w:rPr>
        <w:tab/>
        <w:t>567</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t>Exhibit XV</w:t>
      </w:r>
      <w:r>
        <w:rPr>
          <w:rFonts w:eastAsia="Calibri" w:cs="Arial"/>
          <w:szCs w:val="24"/>
        </w:rPr>
        <w:t>-</w:t>
      </w:r>
      <w:r w:rsidRPr="009A2FB5">
        <w:rPr>
          <w:rFonts w:eastAsia="Calibri" w:cs="Arial"/>
          <w:szCs w:val="24"/>
        </w:rPr>
        <w:t xml:space="preserve">19 </w:t>
      </w:r>
      <w:r w:rsidRPr="009A2FB5">
        <w:rPr>
          <w:rFonts w:eastAsia="Calibri" w:cs="Arial"/>
          <w:szCs w:val="24"/>
        </w:rPr>
        <w:tab/>
        <w:t xml:space="preserve">PPL SC Human Resources Employee Staffing Changes </w:t>
      </w:r>
      <w:r>
        <w:rPr>
          <w:rFonts w:eastAsia="Calibri" w:cs="Arial"/>
          <w:szCs w:val="24"/>
        </w:rPr>
        <w:br/>
      </w:r>
      <w:r w:rsidRPr="009A2FB5">
        <w:rPr>
          <w:rFonts w:eastAsia="Calibri" w:cs="Arial"/>
          <w:szCs w:val="24"/>
        </w:rPr>
        <w:t>2014–2015</w:t>
      </w:r>
      <w:r w:rsidRPr="009A2FB5">
        <w:rPr>
          <w:rFonts w:eastAsia="Calibri" w:cs="Arial"/>
          <w:szCs w:val="24"/>
        </w:rPr>
        <w:tab/>
        <w:t>571</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t>Exhibit XV</w:t>
      </w:r>
      <w:r>
        <w:rPr>
          <w:rFonts w:eastAsia="Calibri" w:cs="Arial"/>
          <w:szCs w:val="24"/>
        </w:rPr>
        <w:t>-</w:t>
      </w:r>
      <w:r w:rsidRPr="009A2FB5">
        <w:rPr>
          <w:rFonts w:eastAsia="Calibri" w:cs="Arial"/>
          <w:szCs w:val="24"/>
        </w:rPr>
        <w:t xml:space="preserve">20 </w:t>
      </w:r>
      <w:r w:rsidRPr="009A2FB5">
        <w:rPr>
          <w:rFonts w:eastAsia="Calibri" w:cs="Arial"/>
          <w:szCs w:val="24"/>
        </w:rPr>
        <w:tab/>
        <w:t xml:space="preserve">PPL EUS Human Resources Employee Staffing Changes </w:t>
      </w:r>
      <w:r>
        <w:rPr>
          <w:rFonts w:eastAsia="Calibri" w:cs="Arial"/>
          <w:szCs w:val="24"/>
        </w:rPr>
        <w:br/>
      </w:r>
      <w:r w:rsidRPr="009A2FB5">
        <w:rPr>
          <w:rFonts w:eastAsia="Calibri" w:cs="Arial"/>
          <w:szCs w:val="24"/>
        </w:rPr>
        <w:t>2014–2015</w:t>
      </w:r>
      <w:r w:rsidRPr="009A2FB5">
        <w:rPr>
          <w:rFonts w:eastAsia="Calibri" w:cs="Arial"/>
          <w:szCs w:val="24"/>
        </w:rPr>
        <w:tab/>
        <w:t>572</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t>Exhibit XV</w:t>
      </w:r>
      <w:r>
        <w:rPr>
          <w:rFonts w:eastAsia="Calibri" w:cs="Arial"/>
          <w:szCs w:val="24"/>
        </w:rPr>
        <w:t>-</w:t>
      </w:r>
      <w:r w:rsidRPr="009A2FB5">
        <w:rPr>
          <w:rFonts w:eastAsia="Calibri" w:cs="Arial"/>
          <w:szCs w:val="24"/>
        </w:rPr>
        <w:t xml:space="preserve">21 </w:t>
      </w:r>
      <w:r w:rsidRPr="009A2FB5">
        <w:rPr>
          <w:rFonts w:eastAsia="Calibri" w:cs="Arial"/>
          <w:szCs w:val="24"/>
        </w:rPr>
        <w:tab/>
        <w:t xml:space="preserve">PPL SC Corporate Communication Employee Staffing Changes </w:t>
      </w:r>
      <w:r w:rsidRPr="009A2FB5">
        <w:rPr>
          <w:rFonts w:eastAsia="Calibri" w:cs="Arial"/>
          <w:szCs w:val="24"/>
        </w:rPr>
        <w:br/>
        <w:t>2014–2015</w:t>
      </w:r>
      <w:r w:rsidRPr="009A2FB5">
        <w:rPr>
          <w:rFonts w:eastAsia="Calibri" w:cs="Arial"/>
          <w:szCs w:val="24"/>
        </w:rPr>
        <w:tab/>
        <w:t>573</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t>Exhibit XV</w:t>
      </w:r>
      <w:r>
        <w:rPr>
          <w:rFonts w:eastAsia="Calibri" w:cs="Arial"/>
          <w:szCs w:val="24"/>
        </w:rPr>
        <w:t>-</w:t>
      </w:r>
      <w:r w:rsidRPr="009A2FB5">
        <w:rPr>
          <w:rFonts w:eastAsia="Calibri" w:cs="Arial"/>
          <w:szCs w:val="24"/>
        </w:rPr>
        <w:t xml:space="preserve">22 </w:t>
      </w:r>
      <w:r w:rsidRPr="009A2FB5">
        <w:rPr>
          <w:rFonts w:eastAsia="Calibri" w:cs="Arial"/>
          <w:szCs w:val="24"/>
        </w:rPr>
        <w:tab/>
        <w:t xml:space="preserve">PPL EUS Corporate Communication Employee Staffing Changes </w:t>
      </w:r>
      <w:r w:rsidRPr="009A2FB5">
        <w:rPr>
          <w:rFonts w:eastAsia="Calibri" w:cs="Arial"/>
          <w:szCs w:val="24"/>
        </w:rPr>
        <w:br/>
        <w:t>2014–2015</w:t>
      </w:r>
      <w:r w:rsidRPr="009A2FB5">
        <w:rPr>
          <w:rFonts w:eastAsia="Calibri" w:cs="Arial"/>
          <w:szCs w:val="24"/>
        </w:rPr>
        <w:tab/>
        <w:t>573</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t>Exhibit XV</w:t>
      </w:r>
      <w:r>
        <w:rPr>
          <w:rFonts w:eastAsia="Calibri" w:cs="Arial"/>
          <w:szCs w:val="24"/>
        </w:rPr>
        <w:t>-</w:t>
      </w:r>
      <w:r w:rsidRPr="009A2FB5">
        <w:rPr>
          <w:rFonts w:eastAsia="Calibri" w:cs="Arial"/>
          <w:szCs w:val="24"/>
        </w:rPr>
        <w:t xml:space="preserve">23 </w:t>
      </w:r>
      <w:r w:rsidRPr="009A2FB5">
        <w:rPr>
          <w:rFonts w:eastAsia="Calibri" w:cs="Arial"/>
          <w:szCs w:val="24"/>
        </w:rPr>
        <w:tab/>
        <w:t xml:space="preserve">PPL SC Office of General Counsel Employee Staffing Changes </w:t>
      </w:r>
      <w:r w:rsidRPr="009A2FB5">
        <w:rPr>
          <w:rFonts w:eastAsia="Calibri" w:cs="Arial"/>
          <w:szCs w:val="24"/>
        </w:rPr>
        <w:br/>
        <w:t>2014–2015</w:t>
      </w:r>
      <w:r w:rsidRPr="009A2FB5">
        <w:rPr>
          <w:rFonts w:eastAsia="Calibri" w:cs="Arial"/>
          <w:szCs w:val="24"/>
        </w:rPr>
        <w:tab/>
        <w:t>574</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XV</w:t>
      </w:r>
      <w:r>
        <w:rPr>
          <w:rFonts w:eastAsia="Calibri" w:cs="Arial"/>
          <w:szCs w:val="24"/>
        </w:rPr>
        <w:t>-</w:t>
      </w:r>
      <w:r w:rsidRPr="009A2FB5">
        <w:rPr>
          <w:rFonts w:eastAsia="Calibri" w:cs="Arial"/>
          <w:szCs w:val="24"/>
        </w:rPr>
        <w:t xml:space="preserve">24 </w:t>
      </w:r>
      <w:r w:rsidRPr="009A2FB5">
        <w:rPr>
          <w:rFonts w:eastAsia="Calibri" w:cs="Arial"/>
          <w:szCs w:val="24"/>
        </w:rPr>
        <w:tab/>
        <w:t>PPL SC Public Affairs Employee Staffing Changes 2014–2015</w:t>
      </w:r>
      <w:r w:rsidRPr="009A2FB5">
        <w:rPr>
          <w:rFonts w:eastAsia="Calibri" w:cs="Arial"/>
          <w:szCs w:val="24"/>
        </w:rPr>
        <w:tab/>
        <w:t>575</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XV</w:t>
      </w:r>
      <w:r>
        <w:rPr>
          <w:rFonts w:eastAsia="Calibri" w:cs="Arial"/>
          <w:szCs w:val="24"/>
        </w:rPr>
        <w:t>-</w:t>
      </w:r>
      <w:r w:rsidRPr="009A2FB5">
        <w:rPr>
          <w:rFonts w:eastAsia="Calibri" w:cs="Arial"/>
          <w:szCs w:val="24"/>
        </w:rPr>
        <w:t xml:space="preserve">25 </w:t>
      </w:r>
      <w:r w:rsidRPr="009A2FB5">
        <w:rPr>
          <w:rFonts w:eastAsia="Calibri" w:cs="Arial"/>
          <w:szCs w:val="24"/>
        </w:rPr>
        <w:tab/>
        <w:t>PPL EUS Supply Chain Employee Staffing Changes 2015–2016</w:t>
      </w:r>
      <w:r w:rsidRPr="009A2FB5">
        <w:rPr>
          <w:rFonts w:eastAsia="Calibri" w:cs="Arial"/>
          <w:szCs w:val="24"/>
        </w:rPr>
        <w:tab/>
        <w:t>577</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t>Exhibit XV</w:t>
      </w:r>
      <w:r>
        <w:rPr>
          <w:rFonts w:eastAsia="Calibri" w:cs="Arial"/>
          <w:szCs w:val="24"/>
        </w:rPr>
        <w:t>-</w:t>
      </w:r>
      <w:r w:rsidRPr="009A2FB5">
        <w:rPr>
          <w:rFonts w:eastAsia="Calibri" w:cs="Arial"/>
          <w:szCs w:val="24"/>
        </w:rPr>
        <w:t xml:space="preserve">26 </w:t>
      </w:r>
      <w:r w:rsidRPr="009A2FB5">
        <w:rPr>
          <w:rFonts w:eastAsia="Calibri" w:cs="Arial"/>
          <w:szCs w:val="24"/>
        </w:rPr>
        <w:tab/>
        <w:t xml:space="preserve">PPL EUS Facilities Management Employee Staffing Changes </w:t>
      </w:r>
      <w:r w:rsidRPr="009A2FB5">
        <w:rPr>
          <w:rFonts w:eastAsia="Calibri" w:cs="Arial"/>
          <w:szCs w:val="24"/>
        </w:rPr>
        <w:br/>
        <w:t>2014–2015</w:t>
      </w:r>
      <w:r w:rsidRPr="009A2FB5">
        <w:rPr>
          <w:rFonts w:eastAsia="Calibri" w:cs="Arial"/>
          <w:szCs w:val="24"/>
        </w:rPr>
        <w:tab/>
        <w:t>579</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t>Exhibit XV</w:t>
      </w:r>
      <w:r>
        <w:rPr>
          <w:rFonts w:eastAsia="Calibri" w:cs="Arial"/>
          <w:szCs w:val="24"/>
        </w:rPr>
        <w:t>-</w:t>
      </w:r>
      <w:r w:rsidRPr="009A2FB5">
        <w:rPr>
          <w:rFonts w:eastAsia="Calibri" w:cs="Arial"/>
          <w:szCs w:val="24"/>
        </w:rPr>
        <w:t xml:space="preserve">27 </w:t>
      </w:r>
      <w:r w:rsidRPr="009A2FB5">
        <w:rPr>
          <w:rFonts w:eastAsia="Calibri" w:cs="Arial"/>
          <w:szCs w:val="24"/>
        </w:rPr>
        <w:tab/>
        <w:t xml:space="preserve">PPL SC Protective Services Employee Staffing Changes </w:t>
      </w:r>
      <w:r>
        <w:rPr>
          <w:rFonts w:eastAsia="Calibri" w:cs="Arial"/>
          <w:szCs w:val="24"/>
        </w:rPr>
        <w:br/>
      </w:r>
      <w:r w:rsidRPr="009A2FB5">
        <w:rPr>
          <w:rFonts w:eastAsia="Calibri" w:cs="Arial"/>
          <w:szCs w:val="24"/>
        </w:rPr>
        <w:t>2014–2015</w:t>
      </w:r>
      <w:r w:rsidRPr="009A2FB5">
        <w:rPr>
          <w:rFonts w:eastAsia="Calibri" w:cs="Arial"/>
          <w:szCs w:val="24"/>
        </w:rPr>
        <w:tab/>
        <w:t>580</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t>Exhibit XVI</w:t>
      </w:r>
      <w:r>
        <w:rPr>
          <w:rFonts w:eastAsia="Calibri" w:cs="Arial"/>
          <w:szCs w:val="24"/>
        </w:rPr>
        <w:t>-</w:t>
      </w:r>
      <w:r w:rsidRPr="009A2FB5">
        <w:rPr>
          <w:rFonts w:eastAsia="Calibri" w:cs="Arial"/>
          <w:szCs w:val="24"/>
        </w:rPr>
        <w:t xml:space="preserve">1 </w:t>
      </w:r>
      <w:r w:rsidRPr="009A2FB5">
        <w:rPr>
          <w:rFonts w:eastAsia="Calibri" w:cs="Arial"/>
          <w:szCs w:val="24"/>
        </w:rPr>
        <w:tab/>
        <w:t xml:space="preserve">Utility O&amp;M Cost Changes over Four Years (year before to three </w:t>
      </w:r>
      <w:r>
        <w:rPr>
          <w:rFonts w:eastAsia="Calibri" w:cs="Arial"/>
          <w:szCs w:val="24"/>
        </w:rPr>
        <w:br/>
      </w:r>
      <w:r w:rsidRPr="009A2FB5">
        <w:rPr>
          <w:rFonts w:eastAsia="Calibri" w:cs="Arial"/>
          <w:szCs w:val="24"/>
        </w:rPr>
        <w:t>years after) for 32 Merged Utilities versus 19 Non-Merged Utilities</w:t>
      </w:r>
      <w:r w:rsidRPr="009A2FB5">
        <w:rPr>
          <w:rFonts w:eastAsia="Calibri" w:cs="Arial"/>
          <w:szCs w:val="24"/>
        </w:rPr>
        <w:tab/>
        <w:t>588</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t>Exhibit XVI</w:t>
      </w:r>
      <w:r>
        <w:rPr>
          <w:rFonts w:eastAsia="Calibri" w:cs="Arial"/>
          <w:szCs w:val="24"/>
        </w:rPr>
        <w:t>-</w:t>
      </w:r>
      <w:r w:rsidRPr="009A2FB5">
        <w:rPr>
          <w:rFonts w:eastAsia="Calibri" w:cs="Arial"/>
          <w:szCs w:val="24"/>
        </w:rPr>
        <w:t xml:space="preserve">2 </w:t>
      </w:r>
      <w:r w:rsidRPr="009A2FB5">
        <w:rPr>
          <w:rFonts w:eastAsia="Calibri" w:cs="Arial"/>
          <w:szCs w:val="24"/>
        </w:rPr>
        <w:tab/>
        <w:t xml:space="preserve">Non-Fuel O&amp;M Merger Synergy Post-Merger Savings For a One </w:t>
      </w:r>
      <w:r>
        <w:rPr>
          <w:rFonts w:eastAsia="Calibri" w:cs="Arial"/>
          <w:szCs w:val="24"/>
        </w:rPr>
        <w:br/>
      </w:r>
      <w:r w:rsidRPr="009A2FB5">
        <w:rPr>
          <w:rFonts w:eastAsia="Calibri" w:cs="Arial"/>
          <w:szCs w:val="24"/>
        </w:rPr>
        <w:t>Million Customer Utility)</w:t>
      </w:r>
      <w:r w:rsidRPr="009A2FB5">
        <w:rPr>
          <w:rFonts w:eastAsia="Calibri" w:cs="Arial"/>
          <w:szCs w:val="24"/>
        </w:rPr>
        <w:tab/>
        <w:t>589</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XVI</w:t>
      </w:r>
      <w:r>
        <w:rPr>
          <w:rFonts w:eastAsia="Calibri" w:cs="Arial"/>
          <w:szCs w:val="24"/>
        </w:rPr>
        <w:t>-</w:t>
      </w:r>
      <w:r w:rsidRPr="009A2FB5">
        <w:rPr>
          <w:rFonts w:eastAsia="Calibri" w:cs="Arial"/>
          <w:szCs w:val="24"/>
        </w:rPr>
        <w:t xml:space="preserve">3 </w:t>
      </w:r>
      <w:r w:rsidRPr="009A2FB5">
        <w:rPr>
          <w:rFonts w:eastAsia="Calibri" w:cs="Arial"/>
          <w:szCs w:val="24"/>
        </w:rPr>
        <w:tab/>
        <w:t>Potential Merger Synergy Savings by Function</w:t>
      </w:r>
      <w:r w:rsidRPr="009A2FB5">
        <w:rPr>
          <w:rFonts w:eastAsia="Calibri" w:cs="Arial"/>
          <w:szCs w:val="24"/>
        </w:rPr>
        <w:tab/>
        <w:t>613</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A</w:t>
      </w:r>
      <w:r>
        <w:rPr>
          <w:rFonts w:eastAsia="Calibri" w:cs="Arial"/>
          <w:szCs w:val="24"/>
        </w:rPr>
        <w:t>-</w:t>
      </w:r>
      <w:r w:rsidRPr="009A2FB5">
        <w:rPr>
          <w:rFonts w:eastAsia="Calibri" w:cs="Arial"/>
          <w:szCs w:val="24"/>
        </w:rPr>
        <w:t xml:space="preserve">1 </w:t>
      </w:r>
      <w:r w:rsidRPr="009A2FB5">
        <w:rPr>
          <w:rFonts w:eastAsia="Calibri" w:cs="Arial"/>
          <w:szCs w:val="24"/>
        </w:rPr>
        <w:tab/>
        <w:t>Operating Revenues</w:t>
      </w:r>
      <w:r w:rsidRPr="009A2FB5">
        <w:rPr>
          <w:rFonts w:eastAsia="Calibri" w:cs="Arial"/>
          <w:szCs w:val="24"/>
        </w:rPr>
        <w:tab/>
        <w:t>621</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A</w:t>
      </w:r>
      <w:r>
        <w:rPr>
          <w:rFonts w:eastAsia="Calibri" w:cs="Arial"/>
          <w:szCs w:val="24"/>
        </w:rPr>
        <w:t>-</w:t>
      </w:r>
      <w:r w:rsidRPr="009A2FB5">
        <w:rPr>
          <w:rFonts w:eastAsia="Calibri" w:cs="Arial"/>
          <w:szCs w:val="24"/>
        </w:rPr>
        <w:t xml:space="preserve">2 </w:t>
      </w:r>
      <w:r w:rsidRPr="009A2FB5">
        <w:rPr>
          <w:rFonts w:eastAsia="Calibri" w:cs="Arial"/>
          <w:szCs w:val="24"/>
        </w:rPr>
        <w:tab/>
        <w:t>Kilowatt Hours Sold (kWh)</w:t>
      </w:r>
      <w:r w:rsidRPr="009A2FB5">
        <w:rPr>
          <w:rFonts w:eastAsia="Calibri" w:cs="Arial"/>
          <w:szCs w:val="24"/>
        </w:rPr>
        <w:tab/>
        <w:t>622</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A</w:t>
      </w:r>
      <w:r>
        <w:rPr>
          <w:rFonts w:eastAsia="Calibri" w:cs="Arial"/>
          <w:szCs w:val="24"/>
        </w:rPr>
        <w:t>-</w:t>
      </w:r>
      <w:r w:rsidRPr="009A2FB5">
        <w:rPr>
          <w:rFonts w:eastAsia="Calibri" w:cs="Arial"/>
          <w:szCs w:val="24"/>
        </w:rPr>
        <w:t xml:space="preserve">3 </w:t>
      </w:r>
      <w:r w:rsidRPr="009A2FB5">
        <w:rPr>
          <w:rFonts w:eastAsia="Calibri" w:cs="Arial"/>
          <w:szCs w:val="24"/>
        </w:rPr>
        <w:tab/>
        <w:t>Average Number of Customers Per Month</w:t>
      </w:r>
      <w:r w:rsidRPr="009A2FB5">
        <w:rPr>
          <w:rFonts w:eastAsia="Calibri" w:cs="Arial"/>
          <w:szCs w:val="24"/>
        </w:rPr>
        <w:tab/>
        <w:t>622</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A</w:t>
      </w:r>
      <w:r>
        <w:rPr>
          <w:rFonts w:eastAsia="Calibri" w:cs="Arial"/>
          <w:szCs w:val="24"/>
        </w:rPr>
        <w:t>-</w:t>
      </w:r>
      <w:r w:rsidRPr="009A2FB5">
        <w:rPr>
          <w:rFonts w:eastAsia="Calibri" w:cs="Arial"/>
          <w:szCs w:val="24"/>
        </w:rPr>
        <w:t xml:space="preserve">4 </w:t>
      </w:r>
      <w:r w:rsidRPr="009A2FB5">
        <w:rPr>
          <w:rFonts w:eastAsia="Calibri" w:cs="Arial"/>
          <w:szCs w:val="24"/>
        </w:rPr>
        <w:tab/>
        <w:t>Operation and Maintenance Expenses</w:t>
      </w:r>
      <w:r w:rsidRPr="009A2FB5">
        <w:rPr>
          <w:rFonts w:eastAsia="Calibri" w:cs="Arial"/>
          <w:szCs w:val="24"/>
        </w:rPr>
        <w:tab/>
        <w:t>623</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B</w:t>
      </w:r>
      <w:r>
        <w:rPr>
          <w:rFonts w:eastAsia="Calibri" w:cs="Arial"/>
          <w:szCs w:val="24"/>
        </w:rPr>
        <w:t>-</w:t>
      </w:r>
      <w:r w:rsidRPr="009A2FB5">
        <w:rPr>
          <w:rFonts w:eastAsia="Calibri" w:cs="Arial"/>
          <w:szCs w:val="24"/>
        </w:rPr>
        <w:t xml:space="preserve">1. </w:t>
      </w:r>
      <w:r w:rsidRPr="009A2FB5">
        <w:rPr>
          <w:rFonts w:eastAsia="Calibri" w:cs="Arial"/>
          <w:szCs w:val="24"/>
        </w:rPr>
        <w:tab/>
        <w:t>PPL Electric Utilities Corporation Balance Sheet</w:t>
      </w:r>
      <w:r w:rsidRPr="009A2FB5">
        <w:rPr>
          <w:rFonts w:eastAsia="Calibri" w:cs="Arial"/>
          <w:szCs w:val="24"/>
        </w:rPr>
        <w:tab/>
        <w:t>625</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C</w:t>
      </w:r>
      <w:r>
        <w:rPr>
          <w:rFonts w:eastAsia="Calibri" w:cs="Arial"/>
          <w:szCs w:val="24"/>
        </w:rPr>
        <w:t>-</w:t>
      </w:r>
      <w:r w:rsidRPr="009A2FB5">
        <w:rPr>
          <w:rFonts w:eastAsia="Calibri" w:cs="Arial"/>
          <w:szCs w:val="24"/>
        </w:rPr>
        <w:t xml:space="preserve">1 </w:t>
      </w:r>
      <w:r w:rsidRPr="009A2FB5">
        <w:rPr>
          <w:rFonts w:eastAsia="Calibri" w:cs="Arial"/>
          <w:szCs w:val="24"/>
        </w:rPr>
        <w:tab/>
        <w:t>Total Utility Operating Expense Per Customer</w:t>
      </w:r>
      <w:r w:rsidRPr="009A2FB5">
        <w:rPr>
          <w:rFonts w:eastAsia="Calibri" w:cs="Arial"/>
          <w:szCs w:val="24"/>
        </w:rPr>
        <w:tab/>
        <w:t>629</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t>Exhibit C</w:t>
      </w:r>
      <w:r>
        <w:rPr>
          <w:rFonts w:eastAsia="Calibri" w:cs="Arial"/>
          <w:szCs w:val="24"/>
        </w:rPr>
        <w:t>-</w:t>
      </w:r>
      <w:r w:rsidRPr="009A2FB5">
        <w:rPr>
          <w:rFonts w:eastAsia="Calibri" w:cs="Arial"/>
          <w:szCs w:val="24"/>
        </w:rPr>
        <w:t xml:space="preserve">2 </w:t>
      </w:r>
      <w:r w:rsidRPr="009A2FB5">
        <w:rPr>
          <w:rFonts w:eastAsia="Calibri" w:cs="Arial"/>
          <w:szCs w:val="24"/>
        </w:rPr>
        <w:tab/>
        <w:t xml:space="preserve">Total Transmission Operation &amp; Maintenance Expense Per </w:t>
      </w:r>
      <w:r>
        <w:rPr>
          <w:rFonts w:eastAsia="Calibri" w:cs="Arial"/>
          <w:szCs w:val="24"/>
        </w:rPr>
        <w:br/>
      </w:r>
      <w:r w:rsidRPr="009A2FB5">
        <w:rPr>
          <w:rFonts w:eastAsia="Calibri" w:cs="Arial"/>
          <w:szCs w:val="24"/>
        </w:rPr>
        <w:t>Customer</w:t>
      </w:r>
      <w:r w:rsidRPr="009A2FB5">
        <w:rPr>
          <w:rFonts w:eastAsia="Calibri" w:cs="Arial"/>
          <w:szCs w:val="24"/>
        </w:rPr>
        <w:tab/>
        <w:t>630</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t>Exhibit C</w:t>
      </w:r>
      <w:r>
        <w:rPr>
          <w:rFonts w:eastAsia="Calibri" w:cs="Arial"/>
          <w:szCs w:val="24"/>
        </w:rPr>
        <w:t>-</w:t>
      </w:r>
      <w:r w:rsidRPr="009A2FB5">
        <w:rPr>
          <w:rFonts w:eastAsia="Calibri" w:cs="Arial"/>
          <w:szCs w:val="24"/>
        </w:rPr>
        <w:t xml:space="preserve">3 </w:t>
      </w:r>
      <w:r w:rsidRPr="009A2FB5">
        <w:rPr>
          <w:rFonts w:eastAsia="Calibri" w:cs="Arial"/>
          <w:szCs w:val="24"/>
        </w:rPr>
        <w:tab/>
        <w:t xml:space="preserve">Total Distribution Operation &amp; Maintenance Expense Per </w:t>
      </w:r>
      <w:r>
        <w:rPr>
          <w:rFonts w:eastAsia="Calibri" w:cs="Arial"/>
          <w:szCs w:val="24"/>
        </w:rPr>
        <w:br/>
      </w:r>
      <w:r w:rsidRPr="009A2FB5">
        <w:rPr>
          <w:rFonts w:eastAsia="Calibri" w:cs="Arial"/>
          <w:szCs w:val="24"/>
        </w:rPr>
        <w:t>Customer</w:t>
      </w:r>
      <w:r w:rsidRPr="009A2FB5">
        <w:rPr>
          <w:rFonts w:eastAsia="Calibri" w:cs="Arial"/>
          <w:szCs w:val="24"/>
        </w:rPr>
        <w:tab/>
        <w:t>631</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lastRenderedPageBreak/>
        <w:t>Exhibit C</w:t>
      </w:r>
      <w:r>
        <w:rPr>
          <w:rFonts w:eastAsia="Calibri" w:cs="Arial"/>
          <w:szCs w:val="24"/>
        </w:rPr>
        <w:t>-</w:t>
      </w:r>
      <w:r w:rsidRPr="009A2FB5">
        <w:rPr>
          <w:rFonts w:eastAsia="Calibri" w:cs="Arial"/>
          <w:szCs w:val="24"/>
        </w:rPr>
        <w:t xml:space="preserve">4 </w:t>
      </w:r>
      <w:r w:rsidRPr="009A2FB5">
        <w:rPr>
          <w:rFonts w:eastAsia="Calibri" w:cs="Arial"/>
          <w:szCs w:val="24"/>
        </w:rPr>
        <w:tab/>
        <w:t xml:space="preserve">Total Transmission and Distribution Operation &amp; Maintenance </w:t>
      </w:r>
      <w:r>
        <w:rPr>
          <w:rFonts w:eastAsia="Calibri" w:cs="Arial"/>
          <w:szCs w:val="24"/>
        </w:rPr>
        <w:br/>
      </w:r>
      <w:r w:rsidRPr="009A2FB5">
        <w:rPr>
          <w:rFonts w:eastAsia="Calibri" w:cs="Arial"/>
          <w:szCs w:val="24"/>
        </w:rPr>
        <w:t>Expense Per Customer</w:t>
      </w:r>
      <w:r w:rsidRPr="009A2FB5">
        <w:rPr>
          <w:rFonts w:eastAsia="Calibri" w:cs="Arial"/>
          <w:szCs w:val="24"/>
        </w:rPr>
        <w:tab/>
        <w:t>632</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C</w:t>
      </w:r>
      <w:r>
        <w:rPr>
          <w:rFonts w:eastAsia="Calibri" w:cs="Arial"/>
          <w:szCs w:val="24"/>
        </w:rPr>
        <w:t>-</w:t>
      </w:r>
      <w:r w:rsidRPr="009A2FB5">
        <w:rPr>
          <w:rFonts w:eastAsia="Calibri" w:cs="Arial"/>
          <w:szCs w:val="24"/>
        </w:rPr>
        <w:t xml:space="preserve">5 </w:t>
      </w:r>
      <w:r w:rsidRPr="009A2FB5">
        <w:rPr>
          <w:rFonts w:eastAsia="Calibri" w:cs="Arial"/>
          <w:szCs w:val="24"/>
        </w:rPr>
        <w:tab/>
        <w:t>Total Administrative and General Expense Per Customer</w:t>
      </w:r>
      <w:r w:rsidRPr="009A2FB5">
        <w:rPr>
          <w:rFonts w:eastAsia="Calibri" w:cs="Arial"/>
          <w:szCs w:val="24"/>
        </w:rPr>
        <w:tab/>
        <w:t>633</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C</w:t>
      </w:r>
      <w:r>
        <w:rPr>
          <w:rFonts w:eastAsia="Calibri" w:cs="Arial"/>
          <w:szCs w:val="24"/>
        </w:rPr>
        <w:t>-</w:t>
      </w:r>
      <w:r w:rsidRPr="009A2FB5">
        <w:rPr>
          <w:rFonts w:eastAsia="Calibri" w:cs="Arial"/>
          <w:szCs w:val="24"/>
        </w:rPr>
        <w:t xml:space="preserve">6 </w:t>
      </w:r>
      <w:r w:rsidRPr="009A2FB5">
        <w:rPr>
          <w:rFonts w:eastAsia="Calibri" w:cs="Arial"/>
          <w:szCs w:val="24"/>
        </w:rPr>
        <w:tab/>
        <w:t>Aggregate Customer Service Expenses Per Customer</w:t>
      </w:r>
      <w:r w:rsidRPr="009A2FB5">
        <w:rPr>
          <w:rFonts w:eastAsia="Calibri" w:cs="Arial"/>
          <w:szCs w:val="24"/>
        </w:rPr>
        <w:tab/>
        <w:t>634</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C</w:t>
      </w:r>
      <w:r>
        <w:rPr>
          <w:rFonts w:eastAsia="Calibri" w:cs="Arial"/>
          <w:szCs w:val="24"/>
        </w:rPr>
        <w:t>-</w:t>
      </w:r>
      <w:r w:rsidRPr="009A2FB5">
        <w:rPr>
          <w:rFonts w:eastAsia="Calibri" w:cs="Arial"/>
          <w:szCs w:val="24"/>
        </w:rPr>
        <w:t xml:space="preserve">7 </w:t>
      </w:r>
      <w:r w:rsidRPr="009A2FB5">
        <w:rPr>
          <w:rFonts w:eastAsia="Calibri" w:cs="Arial"/>
          <w:szCs w:val="24"/>
        </w:rPr>
        <w:tab/>
        <w:t>Aggregate Customer Service Expenses Per Customer</w:t>
      </w:r>
      <w:r w:rsidRPr="009A2FB5">
        <w:rPr>
          <w:rFonts w:eastAsia="Calibri" w:cs="Arial"/>
          <w:szCs w:val="24"/>
        </w:rPr>
        <w:tab/>
        <w:t>635</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t>Exhibit C</w:t>
      </w:r>
      <w:r>
        <w:rPr>
          <w:rFonts w:eastAsia="Calibri" w:cs="Arial"/>
          <w:szCs w:val="24"/>
        </w:rPr>
        <w:t>-</w:t>
      </w:r>
      <w:r w:rsidRPr="009A2FB5">
        <w:rPr>
          <w:rFonts w:eastAsia="Calibri" w:cs="Arial"/>
          <w:szCs w:val="24"/>
        </w:rPr>
        <w:t xml:space="preserve">8 </w:t>
      </w:r>
      <w:r w:rsidRPr="009A2FB5">
        <w:rPr>
          <w:rFonts w:eastAsia="Calibri" w:cs="Arial"/>
          <w:szCs w:val="24"/>
        </w:rPr>
        <w:tab/>
        <w:t xml:space="preserve">Total Other Power Supply Expense Per Provider of Last Resort </w:t>
      </w:r>
      <w:r>
        <w:rPr>
          <w:rFonts w:eastAsia="Calibri" w:cs="Arial"/>
          <w:szCs w:val="24"/>
        </w:rPr>
        <w:br/>
      </w:r>
      <w:r w:rsidRPr="009A2FB5">
        <w:rPr>
          <w:rFonts w:eastAsia="Calibri" w:cs="Arial"/>
          <w:szCs w:val="24"/>
        </w:rPr>
        <w:t>(POLR) Customer</w:t>
      </w:r>
      <w:r w:rsidRPr="009A2FB5">
        <w:rPr>
          <w:rFonts w:eastAsia="Calibri" w:cs="Arial"/>
          <w:szCs w:val="24"/>
        </w:rPr>
        <w:tab/>
        <w:t>636</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t>Exhibit C</w:t>
      </w:r>
      <w:r>
        <w:rPr>
          <w:rFonts w:eastAsia="Calibri" w:cs="Arial"/>
          <w:szCs w:val="24"/>
        </w:rPr>
        <w:t>-</w:t>
      </w:r>
      <w:r w:rsidRPr="009A2FB5">
        <w:rPr>
          <w:rFonts w:eastAsia="Calibri" w:cs="Arial"/>
          <w:szCs w:val="24"/>
        </w:rPr>
        <w:t xml:space="preserve">9 </w:t>
      </w:r>
      <w:r w:rsidRPr="009A2FB5">
        <w:rPr>
          <w:rFonts w:eastAsia="Calibri" w:cs="Arial"/>
          <w:szCs w:val="24"/>
        </w:rPr>
        <w:tab/>
        <w:t>Total Transmission Plant Capital Additions Per Customer</w:t>
      </w:r>
      <w:r w:rsidRPr="009A2FB5">
        <w:rPr>
          <w:rFonts w:eastAsia="Calibri" w:cs="Arial"/>
          <w:szCs w:val="24"/>
        </w:rPr>
        <w:tab/>
        <w:t>637</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t>Exhibit C</w:t>
      </w:r>
      <w:r>
        <w:rPr>
          <w:rFonts w:eastAsia="Calibri" w:cs="Arial"/>
          <w:szCs w:val="24"/>
        </w:rPr>
        <w:t>-</w:t>
      </w:r>
      <w:r w:rsidRPr="009A2FB5">
        <w:rPr>
          <w:rFonts w:eastAsia="Calibri" w:cs="Arial"/>
          <w:szCs w:val="24"/>
        </w:rPr>
        <w:t xml:space="preserve">10 </w:t>
      </w:r>
      <w:r w:rsidRPr="009A2FB5">
        <w:rPr>
          <w:rFonts w:eastAsia="Calibri" w:cs="Arial"/>
          <w:szCs w:val="24"/>
        </w:rPr>
        <w:tab/>
        <w:t>Total Distribution Plant Capital Additions Per Customer</w:t>
      </w:r>
      <w:r w:rsidRPr="009A2FB5">
        <w:rPr>
          <w:rFonts w:eastAsia="Calibri" w:cs="Arial"/>
          <w:szCs w:val="24"/>
        </w:rPr>
        <w:tab/>
        <w:t>638</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t>Exhibit C</w:t>
      </w:r>
      <w:r>
        <w:rPr>
          <w:rFonts w:eastAsia="Calibri" w:cs="Arial"/>
          <w:szCs w:val="24"/>
        </w:rPr>
        <w:t>-</w:t>
      </w:r>
      <w:r w:rsidRPr="009A2FB5">
        <w:rPr>
          <w:rFonts w:eastAsia="Calibri" w:cs="Arial"/>
          <w:szCs w:val="24"/>
        </w:rPr>
        <w:t xml:space="preserve">11 </w:t>
      </w:r>
      <w:r w:rsidRPr="009A2FB5">
        <w:rPr>
          <w:rFonts w:eastAsia="Calibri" w:cs="Arial"/>
          <w:szCs w:val="24"/>
        </w:rPr>
        <w:tab/>
        <w:t>Net Plant in Service to Gross Plant in Service Ratio</w:t>
      </w:r>
      <w:r w:rsidRPr="009A2FB5">
        <w:rPr>
          <w:rFonts w:eastAsia="Calibri" w:cs="Arial"/>
          <w:szCs w:val="24"/>
        </w:rPr>
        <w:tab/>
        <w:t>639</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t>Exhibit C</w:t>
      </w:r>
      <w:r>
        <w:rPr>
          <w:rFonts w:eastAsia="Calibri" w:cs="Arial"/>
          <w:szCs w:val="24"/>
        </w:rPr>
        <w:t>-</w:t>
      </w:r>
      <w:r w:rsidRPr="009A2FB5">
        <w:rPr>
          <w:rFonts w:eastAsia="Calibri" w:cs="Arial"/>
          <w:szCs w:val="24"/>
        </w:rPr>
        <w:t xml:space="preserve">12 </w:t>
      </w:r>
      <w:r w:rsidRPr="009A2FB5">
        <w:rPr>
          <w:rFonts w:eastAsia="Calibri" w:cs="Arial"/>
          <w:szCs w:val="24"/>
        </w:rPr>
        <w:tab/>
        <w:t xml:space="preserve">Total Transmission Operation &amp; Maintenance Expense as a </w:t>
      </w:r>
      <w:r>
        <w:rPr>
          <w:rFonts w:eastAsia="Calibri" w:cs="Arial"/>
          <w:szCs w:val="24"/>
        </w:rPr>
        <w:br/>
      </w:r>
      <w:r w:rsidRPr="009A2FB5">
        <w:rPr>
          <w:rFonts w:eastAsia="Calibri" w:cs="Arial"/>
          <w:szCs w:val="24"/>
        </w:rPr>
        <w:t>Percentage of Transmission Plant in Service</w:t>
      </w:r>
      <w:r w:rsidRPr="009A2FB5">
        <w:rPr>
          <w:rFonts w:eastAsia="Calibri" w:cs="Arial"/>
          <w:szCs w:val="24"/>
        </w:rPr>
        <w:tab/>
        <w:t>640</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t>Exhibit C</w:t>
      </w:r>
      <w:r>
        <w:rPr>
          <w:rFonts w:eastAsia="Calibri" w:cs="Arial"/>
          <w:szCs w:val="24"/>
        </w:rPr>
        <w:t>-</w:t>
      </w:r>
      <w:r w:rsidRPr="009A2FB5">
        <w:rPr>
          <w:rFonts w:eastAsia="Calibri" w:cs="Arial"/>
          <w:szCs w:val="24"/>
        </w:rPr>
        <w:t xml:space="preserve">13 </w:t>
      </w:r>
      <w:r w:rsidRPr="009A2FB5">
        <w:rPr>
          <w:rFonts w:eastAsia="Calibri" w:cs="Arial"/>
          <w:szCs w:val="24"/>
        </w:rPr>
        <w:tab/>
        <w:t xml:space="preserve">Total Distribution Operation &amp; Maintenance Expense as a </w:t>
      </w:r>
      <w:r>
        <w:rPr>
          <w:rFonts w:eastAsia="Calibri" w:cs="Arial"/>
          <w:szCs w:val="24"/>
        </w:rPr>
        <w:br/>
      </w:r>
      <w:r w:rsidRPr="009A2FB5">
        <w:rPr>
          <w:rFonts w:eastAsia="Calibri" w:cs="Arial"/>
          <w:szCs w:val="24"/>
        </w:rPr>
        <w:t>Percentage of Distribution Plant in Service</w:t>
      </w:r>
      <w:r w:rsidRPr="009A2FB5">
        <w:rPr>
          <w:rFonts w:eastAsia="Calibri" w:cs="Arial"/>
          <w:szCs w:val="24"/>
        </w:rPr>
        <w:tab/>
        <w:t>641</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t>Exhibit C</w:t>
      </w:r>
      <w:r>
        <w:rPr>
          <w:rFonts w:eastAsia="Calibri" w:cs="Arial"/>
          <w:szCs w:val="24"/>
        </w:rPr>
        <w:t>-</w:t>
      </w:r>
      <w:r w:rsidRPr="009A2FB5">
        <w:rPr>
          <w:rFonts w:eastAsia="Calibri" w:cs="Arial"/>
          <w:szCs w:val="24"/>
        </w:rPr>
        <w:t xml:space="preserve">14 </w:t>
      </w:r>
      <w:r w:rsidRPr="009A2FB5">
        <w:rPr>
          <w:rFonts w:eastAsia="Calibri" w:cs="Arial"/>
          <w:szCs w:val="24"/>
        </w:rPr>
        <w:tab/>
        <w:t xml:space="preserve">Total Transmission &amp; Distribution Operation &amp; Maintenance </w:t>
      </w:r>
      <w:r>
        <w:rPr>
          <w:rFonts w:eastAsia="Calibri" w:cs="Arial"/>
          <w:szCs w:val="24"/>
        </w:rPr>
        <w:br/>
      </w:r>
      <w:r w:rsidRPr="009A2FB5">
        <w:rPr>
          <w:rFonts w:eastAsia="Calibri" w:cs="Arial"/>
          <w:szCs w:val="24"/>
        </w:rPr>
        <w:t xml:space="preserve">Expense as a  Percentage of Total Transmission &amp; Distribution </w:t>
      </w:r>
      <w:r>
        <w:rPr>
          <w:rFonts w:eastAsia="Calibri" w:cs="Arial"/>
          <w:szCs w:val="24"/>
        </w:rPr>
        <w:br/>
      </w:r>
      <w:r w:rsidRPr="009A2FB5">
        <w:rPr>
          <w:rFonts w:eastAsia="Calibri" w:cs="Arial"/>
          <w:szCs w:val="24"/>
        </w:rPr>
        <w:t>Plant in Service</w:t>
      </w:r>
      <w:r w:rsidRPr="009A2FB5">
        <w:rPr>
          <w:rFonts w:eastAsia="Calibri" w:cs="Arial"/>
          <w:szCs w:val="24"/>
        </w:rPr>
        <w:tab/>
        <w:t>642</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D</w:t>
      </w:r>
      <w:r>
        <w:rPr>
          <w:rFonts w:eastAsia="Calibri" w:cs="Arial"/>
          <w:szCs w:val="24"/>
        </w:rPr>
        <w:t>-</w:t>
      </w:r>
      <w:r w:rsidRPr="009A2FB5">
        <w:rPr>
          <w:rFonts w:eastAsia="Calibri" w:cs="Arial"/>
          <w:szCs w:val="24"/>
        </w:rPr>
        <w:t xml:space="preserve">1 </w:t>
      </w:r>
      <w:r w:rsidRPr="009A2FB5">
        <w:rPr>
          <w:rFonts w:eastAsia="Calibri" w:cs="Arial"/>
          <w:szCs w:val="24"/>
        </w:rPr>
        <w:tab/>
        <w:t>EDCs Percent of Calls Answered within 30 Seconds *</w:t>
      </w:r>
      <w:r w:rsidRPr="009A2FB5">
        <w:rPr>
          <w:rFonts w:eastAsia="Calibri" w:cs="Arial"/>
          <w:szCs w:val="24"/>
        </w:rPr>
        <w:tab/>
        <w:t>643</w:t>
      </w:r>
    </w:p>
    <w:p w:rsidR="000C2219" w:rsidRPr="009A2FB5" w:rsidRDefault="000C2219" w:rsidP="000C2219">
      <w:pPr>
        <w:tabs>
          <w:tab w:val="left" w:pos="1620"/>
          <w:tab w:val="right" w:leader="dot" w:pos="9360"/>
        </w:tabs>
        <w:spacing w:after="60"/>
        <w:jc w:val="left"/>
        <w:rPr>
          <w:rFonts w:eastAsia="Calibri" w:cs="Arial"/>
          <w:szCs w:val="24"/>
        </w:rPr>
      </w:pPr>
      <w:r w:rsidRPr="009A2FB5">
        <w:rPr>
          <w:rFonts w:eastAsia="Calibri" w:cs="Arial"/>
          <w:szCs w:val="24"/>
        </w:rPr>
        <w:t>Exhibit D</w:t>
      </w:r>
      <w:r>
        <w:rPr>
          <w:rFonts w:eastAsia="Calibri" w:cs="Arial"/>
          <w:szCs w:val="24"/>
        </w:rPr>
        <w:t>-</w:t>
      </w:r>
      <w:r w:rsidRPr="009A2FB5">
        <w:rPr>
          <w:rFonts w:eastAsia="Calibri" w:cs="Arial"/>
          <w:szCs w:val="24"/>
        </w:rPr>
        <w:t xml:space="preserve">2 </w:t>
      </w:r>
      <w:r w:rsidRPr="009A2FB5">
        <w:rPr>
          <w:rFonts w:eastAsia="Calibri" w:cs="Arial"/>
          <w:szCs w:val="24"/>
        </w:rPr>
        <w:tab/>
        <w:t>EDCs Call Abandonment Rate *</w:t>
      </w:r>
      <w:r w:rsidRPr="009A2FB5">
        <w:rPr>
          <w:rFonts w:eastAsia="Calibri" w:cs="Arial"/>
          <w:szCs w:val="24"/>
        </w:rPr>
        <w:tab/>
        <w:t>644</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t>Exhibit D</w:t>
      </w:r>
      <w:r>
        <w:rPr>
          <w:rFonts w:eastAsia="Calibri" w:cs="Arial"/>
          <w:szCs w:val="24"/>
        </w:rPr>
        <w:t>-</w:t>
      </w:r>
      <w:r w:rsidRPr="009A2FB5">
        <w:rPr>
          <w:rFonts w:eastAsia="Calibri" w:cs="Arial"/>
          <w:szCs w:val="24"/>
        </w:rPr>
        <w:t xml:space="preserve">3 </w:t>
      </w:r>
      <w:r w:rsidRPr="009A2FB5">
        <w:rPr>
          <w:rFonts w:eastAsia="Calibri" w:cs="Arial"/>
          <w:szCs w:val="24"/>
        </w:rPr>
        <w:tab/>
        <w:t xml:space="preserve">Percent of EDCs Residential Meters Not Read by Company or </w:t>
      </w:r>
      <w:r>
        <w:rPr>
          <w:rFonts w:eastAsia="Calibri" w:cs="Arial"/>
          <w:szCs w:val="24"/>
        </w:rPr>
        <w:br/>
      </w:r>
      <w:r w:rsidRPr="009A2FB5">
        <w:rPr>
          <w:rFonts w:eastAsia="Calibri" w:cs="Arial"/>
          <w:szCs w:val="24"/>
        </w:rPr>
        <w:t>Customer in Six (6) Months *</w:t>
      </w:r>
      <w:r w:rsidRPr="009A2FB5">
        <w:rPr>
          <w:rFonts w:eastAsia="Calibri" w:cs="Arial"/>
          <w:szCs w:val="24"/>
        </w:rPr>
        <w:tab/>
        <w:t>645</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t>Exhibit D</w:t>
      </w:r>
      <w:r>
        <w:rPr>
          <w:rFonts w:eastAsia="Calibri" w:cs="Arial"/>
          <w:szCs w:val="24"/>
        </w:rPr>
        <w:t>-</w:t>
      </w:r>
      <w:r w:rsidRPr="009A2FB5">
        <w:rPr>
          <w:rFonts w:eastAsia="Calibri" w:cs="Arial"/>
          <w:szCs w:val="24"/>
        </w:rPr>
        <w:t xml:space="preserve">4 </w:t>
      </w:r>
      <w:r w:rsidRPr="009A2FB5">
        <w:rPr>
          <w:rFonts w:eastAsia="Calibri" w:cs="Arial"/>
          <w:szCs w:val="24"/>
        </w:rPr>
        <w:tab/>
        <w:t xml:space="preserve">Residential Electric Gross Write-Offs Per Residential Electric </w:t>
      </w:r>
      <w:r>
        <w:rPr>
          <w:rFonts w:eastAsia="Calibri" w:cs="Arial"/>
          <w:szCs w:val="24"/>
        </w:rPr>
        <w:br/>
      </w:r>
      <w:r w:rsidRPr="009A2FB5">
        <w:rPr>
          <w:rFonts w:eastAsia="Calibri" w:cs="Arial"/>
          <w:szCs w:val="24"/>
        </w:rPr>
        <w:t>Customer</w:t>
      </w:r>
      <w:r w:rsidRPr="009A2FB5">
        <w:rPr>
          <w:rFonts w:eastAsia="Calibri" w:cs="Arial"/>
          <w:szCs w:val="24"/>
        </w:rPr>
        <w:tab/>
        <w:t>646</w:t>
      </w:r>
    </w:p>
    <w:p w:rsidR="000C2219" w:rsidRPr="009A2FB5" w:rsidRDefault="000C2219" w:rsidP="000C2219">
      <w:pPr>
        <w:tabs>
          <w:tab w:val="left" w:pos="1620"/>
          <w:tab w:val="right" w:leader="dot" w:pos="9360"/>
        </w:tabs>
        <w:spacing w:after="60"/>
        <w:ind w:left="1627" w:hanging="1627"/>
        <w:jc w:val="left"/>
        <w:rPr>
          <w:rFonts w:eastAsia="Calibri" w:cs="Arial"/>
          <w:szCs w:val="24"/>
        </w:rPr>
      </w:pPr>
      <w:r w:rsidRPr="009A2FB5">
        <w:rPr>
          <w:rFonts w:eastAsia="Calibri" w:cs="Arial"/>
          <w:szCs w:val="24"/>
        </w:rPr>
        <w:t>Exhibit D</w:t>
      </w:r>
      <w:r>
        <w:rPr>
          <w:rFonts w:eastAsia="Calibri" w:cs="Arial"/>
          <w:szCs w:val="24"/>
        </w:rPr>
        <w:t>-</w:t>
      </w:r>
      <w:r w:rsidRPr="009A2FB5">
        <w:rPr>
          <w:rFonts w:eastAsia="Calibri" w:cs="Arial"/>
          <w:szCs w:val="24"/>
        </w:rPr>
        <w:t xml:space="preserve">5 </w:t>
      </w:r>
      <w:r w:rsidRPr="009A2FB5">
        <w:rPr>
          <w:rFonts w:eastAsia="Calibri" w:cs="Arial"/>
          <w:szCs w:val="24"/>
        </w:rPr>
        <w:tab/>
        <w:t>Residential Electric Gross Write-Offs as a Percentage of Total Residential Operating Revenue</w:t>
      </w:r>
      <w:r w:rsidRPr="009A2FB5">
        <w:rPr>
          <w:rFonts w:eastAsia="Calibri" w:cs="Arial"/>
          <w:szCs w:val="24"/>
        </w:rPr>
        <w:tab/>
        <w:t>647</w:t>
      </w:r>
    </w:p>
    <w:p w:rsidR="001E3253" w:rsidRDefault="001E3253">
      <w:pPr>
        <w:spacing w:after="0"/>
        <w:jc w:val="left"/>
      </w:pPr>
    </w:p>
    <w:p w:rsidR="009A2FB5" w:rsidRDefault="009A2FB5">
      <w:pPr>
        <w:spacing w:after="0"/>
        <w:jc w:val="left"/>
      </w:pPr>
    </w:p>
    <w:p w:rsidR="009A2FB5" w:rsidRDefault="009A2FB5">
      <w:pPr>
        <w:spacing w:after="0"/>
        <w:jc w:val="left"/>
        <w:sectPr w:rsidR="009A2FB5" w:rsidSect="002E1582">
          <w:footerReference w:type="default" r:id="rId16"/>
          <w:pgSz w:w="12240" w:h="15840"/>
          <w:pgMar w:top="1440" w:right="1440" w:bottom="1440" w:left="1440" w:header="720" w:footer="720" w:gutter="0"/>
          <w:pgNumType w:fmt="lowerRoman" w:start="1"/>
          <w:cols w:space="720"/>
          <w:docGrid w:linePitch="360"/>
        </w:sectPr>
      </w:pPr>
    </w:p>
    <w:p w:rsidR="00AC40FC" w:rsidRDefault="00AC40FC" w:rsidP="00264A1B">
      <w:pPr>
        <w:pStyle w:val="Heading1"/>
      </w:pPr>
      <w:bookmarkStart w:id="0" w:name="_Toc462647826"/>
      <w:bookmarkStart w:id="1" w:name="_Toc464552065"/>
      <w:r>
        <w:lastRenderedPageBreak/>
        <w:t>customer services</w:t>
      </w:r>
      <w:bookmarkEnd w:id="0"/>
      <w:bookmarkEnd w:id="1"/>
    </w:p>
    <w:p w:rsidR="00AC40FC" w:rsidRDefault="00AC40FC" w:rsidP="00701DCF">
      <w:r>
        <w:t>This chapter covers the Customer Services function at PPL Electric Utilities Corporation (PPL EU).  The chapter is divided into six sections:</w:t>
      </w:r>
    </w:p>
    <w:p w:rsidR="00AC40FC" w:rsidRDefault="00AC40FC" w:rsidP="004F00E5">
      <w:pPr>
        <w:pStyle w:val="Numbering"/>
        <w:numPr>
          <w:ilvl w:val="0"/>
          <w:numId w:val="106"/>
        </w:numPr>
      </w:pPr>
      <w:r>
        <w:t>Overview</w:t>
      </w:r>
    </w:p>
    <w:p w:rsidR="00AC40FC" w:rsidRDefault="00AC40FC" w:rsidP="004F00E5">
      <w:pPr>
        <w:pStyle w:val="Numbering"/>
        <w:numPr>
          <w:ilvl w:val="0"/>
          <w:numId w:val="106"/>
        </w:numPr>
      </w:pPr>
      <w:r>
        <w:t>Customer Experience</w:t>
      </w:r>
    </w:p>
    <w:p w:rsidR="00AC40FC" w:rsidRDefault="00AC40FC" w:rsidP="004F00E5">
      <w:pPr>
        <w:pStyle w:val="Numbering"/>
        <w:numPr>
          <w:ilvl w:val="0"/>
          <w:numId w:val="106"/>
        </w:numPr>
      </w:pPr>
      <w:r>
        <w:t>Customer Services Operations</w:t>
      </w:r>
    </w:p>
    <w:p w:rsidR="00AC40FC" w:rsidRDefault="00AC40FC" w:rsidP="004F00E5">
      <w:pPr>
        <w:pStyle w:val="Numbering"/>
        <w:numPr>
          <w:ilvl w:val="0"/>
          <w:numId w:val="106"/>
        </w:numPr>
      </w:pPr>
      <w:r>
        <w:t>Regulatory Programs and Business Services</w:t>
      </w:r>
    </w:p>
    <w:p w:rsidR="00AC40FC" w:rsidRDefault="00AC40FC" w:rsidP="004F00E5">
      <w:pPr>
        <w:pStyle w:val="Numbering"/>
        <w:numPr>
          <w:ilvl w:val="0"/>
          <w:numId w:val="106"/>
        </w:numPr>
      </w:pPr>
      <w:r>
        <w:t>Advanced Metering and Data Operations</w:t>
      </w:r>
    </w:p>
    <w:p w:rsidR="00AC40FC" w:rsidRDefault="00AC40FC" w:rsidP="004F00E5">
      <w:pPr>
        <w:pStyle w:val="Numbering"/>
        <w:numPr>
          <w:ilvl w:val="0"/>
          <w:numId w:val="106"/>
        </w:numPr>
      </w:pPr>
      <w:r>
        <w:t>Revenue Operations</w:t>
      </w:r>
    </w:p>
    <w:p w:rsidR="00AC40FC" w:rsidRDefault="00AC40FC" w:rsidP="00DB7CBC">
      <w:pPr>
        <w:pStyle w:val="Normal-aftertable"/>
      </w:pPr>
      <w:r>
        <w:t>Each section has Background, Findings, and Recommendations sections.</w:t>
      </w:r>
    </w:p>
    <w:p w:rsidR="00AC40FC" w:rsidRDefault="00AC40FC" w:rsidP="004F00E5">
      <w:pPr>
        <w:pStyle w:val="Heading2"/>
        <w:numPr>
          <w:ilvl w:val="0"/>
          <w:numId w:val="150"/>
        </w:numPr>
      </w:pPr>
      <w:bookmarkStart w:id="2" w:name="_Toc462647827"/>
      <w:bookmarkStart w:id="3" w:name="_Toc464552066"/>
      <w:r>
        <w:t>overview</w:t>
      </w:r>
      <w:bookmarkEnd w:id="2"/>
      <w:bookmarkEnd w:id="3"/>
    </w:p>
    <w:p w:rsidR="00AC40FC" w:rsidRDefault="00AC40FC" w:rsidP="00BB665B">
      <w:pPr>
        <w:pStyle w:val="Heading-forToC"/>
      </w:pPr>
      <w:bookmarkStart w:id="4" w:name="_Toc462647828"/>
      <w:bookmarkStart w:id="5" w:name="_Toc464552067"/>
      <w:r>
        <w:t>Background</w:t>
      </w:r>
      <w:bookmarkEnd w:id="4"/>
      <w:bookmarkEnd w:id="5"/>
    </w:p>
    <w:p w:rsidR="00AC40FC" w:rsidRDefault="00AC40FC" w:rsidP="00701DCF">
      <w:pPr>
        <w:pStyle w:val="Heading40"/>
      </w:pPr>
      <w:r>
        <w:t>Organization Structure</w:t>
      </w:r>
    </w:p>
    <w:p w:rsidR="00AC40FC" w:rsidRDefault="00AC40FC" w:rsidP="00701DCF">
      <w:r>
        <w:t>Customer Services has a relatively new Vice President and was being reorganized during the fieldwork of the Management Audit.  There are five functions reporting directly to the Vice President:  Customer Experience, Customer Services Operations, Regulatory Programs, Advanced Metering and Data Operations, and Revenue Operations.  The corporate organization chart is shown below. (Please note that some of the organizational units shown on this chart do not represent the organizational names used by Customer Services.)</w:t>
      </w:r>
    </w:p>
    <w:p w:rsidR="00AC40FC" w:rsidRDefault="00264A1B" w:rsidP="00264A1B">
      <w:pPr>
        <w:pStyle w:val="Caption"/>
      </w:pPr>
      <w:bookmarkStart w:id="6" w:name="_Toc462648394"/>
      <w:bookmarkStart w:id="7" w:name="_Toc464553016"/>
      <w:r>
        <w:t xml:space="preserve">Exhibit </w:t>
      </w:r>
      <w:fldSimple w:instr=" STYLEREF 1 \s ">
        <w:r w:rsidR="00A24205">
          <w:rPr>
            <w:noProof/>
          </w:rPr>
          <w:t>IX</w:t>
        </w:r>
      </w:fldSimple>
      <w:r>
        <w:noBreakHyphen/>
      </w:r>
      <w:fldSimple w:instr=" SEQ Exhibit \* ARABIC \s 1 ">
        <w:r w:rsidR="00A24205">
          <w:rPr>
            <w:noProof/>
          </w:rPr>
          <w:t>1</w:t>
        </w:r>
      </w:fldSimple>
      <w:r w:rsidR="00AC40FC">
        <w:br/>
        <w:t>PPL EU Customer Services Organization</w:t>
      </w:r>
      <w:bookmarkEnd w:id="6"/>
      <w:bookmarkEnd w:id="7"/>
    </w:p>
    <w:p w:rsidR="00AC40FC" w:rsidRDefault="00AC40FC" w:rsidP="00701DCF">
      <w:pPr>
        <w:jc w:val="center"/>
      </w:pPr>
      <w:r>
        <w:rPr>
          <w:noProof/>
        </w:rPr>
        <w:drawing>
          <wp:inline distT="0" distB="0" distL="0" distR="0">
            <wp:extent cx="5943600" cy="250761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PL-EU_01071-Cust-Svc_page116_v3.jp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2507615"/>
                    </a:xfrm>
                    <a:prstGeom prst="rect">
                      <a:avLst/>
                    </a:prstGeom>
                  </pic:spPr>
                </pic:pic>
              </a:graphicData>
            </a:graphic>
          </wp:inline>
        </w:drawing>
      </w:r>
    </w:p>
    <w:p w:rsidR="00AC40FC" w:rsidRDefault="00AC40FC" w:rsidP="00701DCF">
      <w:r>
        <w:t>Source:  DN 01-071</w:t>
      </w:r>
    </w:p>
    <w:p w:rsidR="00AC40FC" w:rsidRDefault="00AC40FC" w:rsidP="00701DCF">
      <w:r>
        <w:lastRenderedPageBreak/>
        <w:t>The Cus</w:t>
      </w:r>
      <w:r w:rsidRPr="005D5C83">
        <w:t xml:space="preserve">tomer Experience </w:t>
      </w:r>
      <w:r>
        <w:t xml:space="preserve">group is comprised of the Customer Contact Centers (CCCs); Training, Development and Quality Assurance (QA); Major Accounts, Customer Experience - Digital Strategies; and Energy Efficiency.  </w:t>
      </w:r>
    </w:p>
    <w:p w:rsidR="00AC40FC" w:rsidRDefault="00AC40FC" w:rsidP="00701DCF">
      <w:r>
        <w:t xml:space="preserve">Customer Services Operations provides support for customer contact work management, performance metrics and improvement strategies.  </w:t>
      </w:r>
    </w:p>
    <w:p w:rsidR="00AC40FC" w:rsidRDefault="00AC40FC" w:rsidP="00701DCF">
      <w:r>
        <w:t xml:space="preserve">Regulatory Programs manages mandated low-income customer programs and compliance, which are discussed in more detail in Chapter X – Customer Assistance Program.  </w:t>
      </w:r>
    </w:p>
    <w:p w:rsidR="00AC40FC" w:rsidRDefault="00AC40FC" w:rsidP="00701DCF">
      <w:r>
        <w:t xml:space="preserve">Advanced Metering and Data Operations manages the existing Automated Metering Infrastructure (AMI) system and the new Smart Metering (MeterVision 20/20) project implementation that was approved by the PUC in 2015.  </w:t>
      </w:r>
    </w:p>
    <w:p w:rsidR="00AC40FC" w:rsidRDefault="00AC40FC" w:rsidP="00701DCF">
      <w:r>
        <w:t>Revenue Operations is comprised of Metering Operations, Revenue Protection, Billing Operations, and Credit and Collections.</w:t>
      </w:r>
    </w:p>
    <w:p w:rsidR="00AC40FC" w:rsidRDefault="00AC40FC" w:rsidP="00701DCF">
      <w:pPr>
        <w:pStyle w:val="Heading40"/>
      </w:pPr>
      <w:r>
        <w:t>Staffing and Performance Management</w:t>
      </w:r>
    </w:p>
    <w:p w:rsidR="00AC40FC" w:rsidRDefault="00AC40FC" w:rsidP="00701DCF">
      <w:r>
        <w:t>Overall, the Customer Services organization has 425 employees, about 17% of PPL EU’s 2,551 total employees as of mid-2015. The Customer Services 2015 O&amp;M budget was about $96 million, about 21% of PPL EU’s total O&amp;M budget of $450 million in 2015.</w:t>
      </w:r>
    </w:p>
    <w:p w:rsidR="00AC40FC" w:rsidRDefault="00AC40FC" w:rsidP="00701DCF">
      <w:r>
        <w:t>The Vice President uses the Customer Services Monthly Performance Indicators Report at monthly meetings as a platform for performance management discussion.  The monthly graphs generally depict performance relative to targets set for various metrics.  The reports reflect performance by month and compare monthly YTD performance to prior YTD performance as well as forecasts and targets for the remainder of the year.  Most of the graphs are accompanied by explanatory and analytic text, including goals, objectives, measure definitions, and status.  The first page is a scorecard summary for the above categories.  There are 12 Customer Service Department Level Goals which are reported up to the next management level and 27 additional goals used by Customer Services, totaling 39 goals represented on the scorecard summary.  A number of the performance indicators are discussed in some detail in each of the relevant organizational units in this chapter.</w:t>
      </w:r>
    </w:p>
    <w:p w:rsidR="00AC40FC" w:rsidRDefault="00AC40FC" w:rsidP="00701DCF">
      <w:r>
        <w:t xml:space="preserve">Customer Services is working to create a “customer-centric culture” as part of an “enterprise-wide initiative to enhance the holistic customer experience.”  “The initial focus is on leadership development and providing the necessary training to ensure leaders understand their role in support of the customer experience.”  Customer Services has created a cross-functional team to begin discussions around how each functional area can enhance the customer experience.  </w:t>
      </w:r>
    </w:p>
    <w:p w:rsidR="00AC40FC" w:rsidRDefault="00AC40FC" w:rsidP="00701DCF">
      <w:r>
        <w:t>Customer Services’ long-term objective is to:</w:t>
      </w:r>
    </w:p>
    <w:p w:rsidR="00AC40FC" w:rsidRDefault="00AC40FC" w:rsidP="00701DCF">
      <w:pPr>
        <w:pStyle w:val="Quotation-Sage"/>
      </w:pPr>
      <w:r>
        <w:t xml:space="preserve">.… </w:t>
      </w:r>
      <w:r w:rsidRPr="00C477F7">
        <w:t xml:space="preserve">reach customers when they want and by using their communication channel of choice, thus helping </w:t>
      </w:r>
      <w:r>
        <w:t>to</w:t>
      </w:r>
      <w:r w:rsidRPr="00C477F7">
        <w:t xml:space="preserve"> achieve top quartile in customer communications. </w:t>
      </w:r>
      <w:r>
        <w:t xml:space="preserve"> C</w:t>
      </w:r>
      <w:r w:rsidRPr="00C477F7">
        <w:t xml:space="preserve">ustomers who have a positive online user experience consistently rate </w:t>
      </w:r>
      <w:r>
        <w:t>PPL EU</w:t>
      </w:r>
      <w:r w:rsidRPr="00C477F7">
        <w:t xml:space="preserve"> higher in customer satisfaction than t</w:t>
      </w:r>
      <w:r>
        <w:t>hose who do not interact</w:t>
      </w:r>
      <w:r w:rsidRPr="00C477F7">
        <w:t xml:space="preserve"> online. </w:t>
      </w:r>
      <w:r>
        <w:t xml:space="preserve"> </w:t>
      </w:r>
      <w:r w:rsidRPr="00C477F7">
        <w:t xml:space="preserve">As online </w:t>
      </w:r>
      <w:r w:rsidRPr="00C477F7">
        <w:lastRenderedPageBreak/>
        <w:t xml:space="preserve">trends and expectations evolve, </w:t>
      </w:r>
      <w:r>
        <w:t>it is critical that it</w:t>
      </w:r>
      <w:r w:rsidRPr="00C477F7">
        <w:t xml:space="preserve"> contin</w:t>
      </w:r>
      <w:r>
        <w:t>ually enhance and evolve its</w:t>
      </w:r>
      <w:r w:rsidRPr="00C477F7">
        <w:t xml:space="preserve"> website and mobile communications channels.</w:t>
      </w:r>
    </w:p>
    <w:p w:rsidR="00AC40FC" w:rsidRDefault="00AC40FC" w:rsidP="00701DCF">
      <w:r>
        <w:t>To help achieve this objective, Customer Services is using process reengineering to improve the customer experience and move towards a more customer centric culture.  Leaders and Customer Service Representatives (CSRs) are encouraged to challenge the status quo by recognizing process gaps, identifying root causes, conducting proper due diligence to understand scope, providing alternative solutions or recommendations, creating a project plan to rectify inefficient process, and executing on the plan to mitigate risk going forward.  Customer Services has engaged a consulting firm to assist with the process reengineering effort and periodically uses another firm to assist in identifying corporate culture issues and improvement opportunities.</w:t>
      </w:r>
    </w:p>
    <w:p w:rsidR="00AC40FC" w:rsidRDefault="00AC40FC" w:rsidP="00701DCF">
      <w:r>
        <w:t xml:space="preserve">At the same time, Customer Services is implementing changes to improve the customer experience and quality of performance, it is also acting to improve productivity and efficiencies and reduce operating and maintenance (O&amp;M) costs.  Customer Services stated:  </w:t>
      </w:r>
    </w:p>
    <w:p w:rsidR="00AC40FC" w:rsidRDefault="00AC40FC" w:rsidP="00701DCF">
      <w:pPr>
        <w:pStyle w:val="Quotation-Sage"/>
      </w:pPr>
      <w:r w:rsidRPr="00805791">
        <w:t>Our</w:t>
      </w:r>
      <w:r>
        <w:t xml:space="preserve"> “i</w:t>
      </w:r>
      <w:r w:rsidRPr="00F2606F">
        <w:t>nitial response to improve the customer experience is to expand hours of support to be available for our customers when they want to inter</w:t>
      </w:r>
      <w:r>
        <w:t>act</w:t>
      </w:r>
      <w:r w:rsidRPr="00F2606F">
        <w:t xml:space="preserve"> with us.  We have developed a new Q</w:t>
      </w:r>
      <w:r>
        <w:t xml:space="preserve">uality </w:t>
      </w:r>
      <w:r w:rsidRPr="00F2606F">
        <w:t>A</w:t>
      </w:r>
      <w:r>
        <w:t>ssurance (QA)</w:t>
      </w:r>
      <w:r w:rsidRPr="00F2606F">
        <w:t xml:space="preserve"> program focused on the customer experience, and we have begun contracting with </w:t>
      </w:r>
      <w:r>
        <w:t>an independent firm</w:t>
      </w:r>
      <w:r w:rsidRPr="00F2606F">
        <w:t xml:space="preserve"> </w:t>
      </w:r>
      <w:r>
        <w:t>to monitor</w:t>
      </w:r>
      <w:r w:rsidRPr="00F2606F">
        <w:t xml:space="preserve"> both in-house and vendor partners using the new QA program.  </w:t>
      </w:r>
    </w:p>
    <w:p w:rsidR="00AC40FC" w:rsidRDefault="00AC40FC" w:rsidP="00701DCF">
      <w:pPr>
        <w:pStyle w:val="Quotation-Sage"/>
      </w:pPr>
      <w:r>
        <w:t>A new vendor has been selected</w:t>
      </w:r>
      <w:r w:rsidRPr="00F2606F">
        <w:t xml:space="preserve"> to significantly increase the number of Customer Satisfaction survey</w:t>
      </w:r>
      <w:r>
        <w:t>s, from approximately 400 to 5,000,</w:t>
      </w:r>
      <w:r w:rsidRPr="00F2606F">
        <w:t xml:space="preserve"> to supplement our QA program to get a better feel for our customers’ needs and to help us more quickly respond to our customers.  </w:t>
      </w:r>
    </w:p>
    <w:p w:rsidR="00AC40FC" w:rsidRDefault="00AC40FC" w:rsidP="00701DCF">
      <w:pPr>
        <w:pStyle w:val="Quotation-Sage"/>
      </w:pPr>
      <w:r w:rsidRPr="00F2606F">
        <w:t>We have als</w:t>
      </w:r>
      <w:r>
        <w:t>o created the Business Process I</w:t>
      </w:r>
      <w:r w:rsidRPr="00F2606F">
        <w:t>mprovement team</w:t>
      </w:r>
      <w:r>
        <w:t xml:space="preserve"> …</w:t>
      </w:r>
      <w:r w:rsidRPr="00F2606F">
        <w:t xml:space="preserve"> </w:t>
      </w:r>
      <w:r>
        <w:t xml:space="preserve">to </w:t>
      </w:r>
      <w:r w:rsidRPr="00F2606F">
        <w:t>identify inefficient process</w:t>
      </w:r>
      <w:r>
        <w:t>es</w:t>
      </w:r>
      <w:r w:rsidRPr="00F2606F">
        <w:t xml:space="preserve"> and re-define new more efficient ways of doing things: </w:t>
      </w:r>
      <w:r>
        <w:t xml:space="preserve"> </w:t>
      </w:r>
      <w:r w:rsidRPr="00F2606F">
        <w:t>through automation, streamlined processes and optimize</w:t>
      </w:r>
      <w:r>
        <w:t>d</w:t>
      </w:r>
      <w:r w:rsidRPr="00F2606F">
        <w:t xml:space="preserve"> operation</w:t>
      </w:r>
      <w:r>
        <w:t xml:space="preserve">s.  </w:t>
      </w:r>
      <w:r w:rsidRPr="00F2606F">
        <w:t xml:space="preserve">These efficiencies will help reduce </w:t>
      </w:r>
      <w:r>
        <w:t xml:space="preserve">the </w:t>
      </w:r>
      <w:r w:rsidRPr="00F2606F">
        <w:t xml:space="preserve">current staffing level while reducing O&amp;M </w:t>
      </w:r>
      <w:r w:rsidRPr="003F3235">
        <w:t>in the future.”</w:t>
      </w:r>
    </w:p>
    <w:p w:rsidR="00AC40FC" w:rsidRDefault="00AC40FC" w:rsidP="00BB665B">
      <w:pPr>
        <w:pStyle w:val="Heading-forToC"/>
      </w:pPr>
      <w:bookmarkStart w:id="8" w:name="_Toc462647829"/>
      <w:bookmarkStart w:id="9" w:name="_Toc464552068"/>
      <w:r>
        <w:t>findings</w:t>
      </w:r>
      <w:bookmarkEnd w:id="8"/>
      <w:bookmarkEnd w:id="9"/>
    </w:p>
    <w:p w:rsidR="00AC40FC" w:rsidRDefault="00AC40FC" w:rsidP="004F00E5">
      <w:pPr>
        <w:pStyle w:val="Findings"/>
        <w:numPr>
          <w:ilvl w:val="0"/>
          <w:numId w:val="41"/>
        </w:numPr>
      </w:pPr>
      <w:r>
        <w:t xml:space="preserve">Customer Services has been undergoing significant changes affecting strategies, organizational design, service quality, and staffing configurations that are likely to improve the customer experience and reduce operating costs.  </w:t>
      </w:r>
    </w:p>
    <w:p w:rsidR="00AC40FC" w:rsidRPr="003F3235" w:rsidRDefault="00AC40FC" w:rsidP="00701DCF">
      <w:r>
        <w:t>Customer S</w:t>
      </w:r>
      <w:r w:rsidRPr="00C90337">
        <w:t>ervices has embarked on a mission to create a customer service culture and is implementing changes that are state of the art for the regulated utility industry</w:t>
      </w:r>
      <w:r>
        <w:t>,</w:t>
      </w:r>
      <w:r w:rsidRPr="00C90337">
        <w:t xml:space="preserve"> </w:t>
      </w:r>
      <w:r>
        <w:t>and consistent with experience f</w:t>
      </w:r>
      <w:r w:rsidRPr="00C90337">
        <w:t xml:space="preserve">rom non-utility competitive industry leaders.  </w:t>
      </w:r>
      <w:r>
        <w:t xml:space="preserve">Customer Services has been focusing on: </w:t>
      </w:r>
      <w:r w:rsidRPr="00C90337">
        <w:t xml:space="preserve"> engaging leadership, engaging customers, hiring the right people, aligning culture, educating and training, retaining the best employees, empowering employees, communicating service success, and creating and tracking metrics</w:t>
      </w:r>
      <w:r>
        <w:t xml:space="preserve">.  </w:t>
      </w:r>
      <w:r w:rsidRPr="00C90337">
        <w:t>Customer Services is on the right path but the necessary changes are a work in progress.</w:t>
      </w:r>
      <w:r>
        <w:t xml:space="preserve">  With good execution, these initiatives are likely to improve customer service and reduce costs.</w:t>
      </w:r>
    </w:p>
    <w:p w:rsidR="00AC40FC" w:rsidRPr="004E4F64" w:rsidRDefault="00AC40FC" w:rsidP="004F00E5">
      <w:pPr>
        <w:pStyle w:val="Findings"/>
        <w:keepNext/>
        <w:numPr>
          <w:ilvl w:val="0"/>
          <w:numId w:val="41"/>
        </w:numPr>
      </w:pPr>
      <w:r>
        <w:lastRenderedPageBreak/>
        <w:t xml:space="preserve">PPL EU has consistently ranked highest among large utilities in the East Region on the J.D. Power’s </w:t>
      </w:r>
      <w:r w:rsidRPr="006E29DD">
        <w:t xml:space="preserve">Electric Utility Residential Customer Satisfaction </w:t>
      </w:r>
      <w:r>
        <w:t>Study.</w:t>
      </w:r>
    </w:p>
    <w:p w:rsidR="00AC40FC" w:rsidRDefault="00AC40FC" w:rsidP="00701DCF">
      <w:r w:rsidRPr="00F9597C">
        <w:t>PPL E</w:t>
      </w:r>
      <w:r>
        <w:t>U</w:t>
      </w:r>
      <w:r w:rsidRPr="00F9597C">
        <w:t xml:space="preserve"> rank</w:t>
      </w:r>
      <w:r>
        <w:t>ed</w:t>
      </w:r>
      <w:r w:rsidRPr="00F9597C">
        <w:t xml:space="preserve"> highest amo</w:t>
      </w:r>
      <w:r>
        <w:t>ng large utilities in the East R</w:t>
      </w:r>
      <w:r w:rsidRPr="00F9597C">
        <w:t>egion</w:t>
      </w:r>
      <w:r>
        <w:t xml:space="preserve"> in the </w:t>
      </w:r>
      <w:r w:rsidRPr="006E29DD">
        <w:t xml:space="preserve">2015 </w:t>
      </w:r>
      <w:r>
        <w:t xml:space="preserve">J. D. Power </w:t>
      </w:r>
      <w:r w:rsidRPr="006E29DD">
        <w:t xml:space="preserve">Electric Utility Residential Customer Satisfaction </w:t>
      </w:r>
      <w:r>
        <w:t>Study</w:t>
      </w:r>
      <w:r w:rsidRPr="00F9597C">
        <w:t xml:space="preserve"> for a fourth consecut</w:t>
      </w:r>
      <w:r>
        <w:t xml:space="preserve">ive year.  </w:t>
      </w:r>
      <w:r w:rsidRPr="0025168D">
        <w:t>The study</w:t>
      </w:r>
      <w:r>
        <w:t xml:space="preserve"> </w:t>
      </w:r>
      <w:r w:rsidRPr="0025168D">
        <w:t xml:space="preserve">measures customer satisfaction by examining six factors: </w:t>
      </w:r>
      <w:r>
        <w:t xml:space="preserve"> power quality and reliability, price, billing and payment, corporate citizenship, communications,</w:t>
      </w:r>
      <w:r w:rsidRPr="0025168D">
        <w:t xml:space="preserve"> and customer service.</w:t>
      </w:r>
      <w:r>
        <w:t xml:space="preserve">  The East Region large utility group is comprised of 17 utilities.  PPL EU improved on their 2014 score with the biggest gains achieved in communications, price, corporate citizenship, and power quality and reliability.</w:t>
      </w:r>
    </w:p>
    <w:p w:rsidR="00AC40FC" w:rsidRDefault="00AC40FC" w:rsidP="004F00E5">
      <w:pPr>
        <w:pStyle w:val="Findings"/>
        <w:numPr>
          <w:ilvl w:val="0"/>
          <w:numId w:val="41"/>
        </w:numPr>
      </w:pPr>
      <w:r>
        <w:t>Analyses of unit costs in 2014 showed that certain PPL EU customer services costs were higher than industry averages.</w:t>
      </w:r>
    </w:p>
    <w:p w:rsidR="00AC40FC" w:rsidRDefault="00AC40FC" w:rsidP="00701DCF">
      <w:r w:rsidRPr="006362BA">
        <w:t xml:space="preserve">Customer Services engaged </w:t>
      </w:r>
      <w:r>
        <w:t xml:space="preserve">an independent consulting firm </w:t>
      </w:r>
      <w:r w:rsidRPr="006362BA">
        <w:t>in 2014</w:t>
      </w:r>
      <w:r>
        <w:t xml:space="preserve"> to evaluate operations, identify opportunities, and make recommendations.  The firm used utility industry as well as non-utility industry measures, including unit costs and other ratios, to identify PPL EU deviations from the industry average and first quartile mean.  While there were comparisons that showed PPL EU performing better than the average and mean, there were other measures where PPL EU performed worse.</w:t>
      </w:r>
    </w:p>
    <w:p w:rsidR="00AC40FC" w:rsidRDefault="00AC40FC" w:rsidP="00701DCF">
      <w:r>
        <w:t>PPL EU’s Cost per Call, Cost per Customer, and Cost per Billing FTE Hour were significantly higher than the industry average and the 1</w:t>
      </w:r>
      <w:r w:rsidRPr="00CB1C98">
        <w:rPr>
          <w:vertAlign w:val="superscript"/>
        </w:rPr>
        <w:t>st</w:t>
      </w:r>
      <w:r>
        <w:t xml:space="preserve"> quartile mean.  The results are sufficiently compelling to demonstrate that unit costs are a valuable tool for identifying opportunities for improving performance, and even more valuable when used on an on-going month-to-month and year-to-year basis.</w:t>
      </w:r>
    </w:p>
    <w:p w:rsidR="00AC40FC" w:rsidRDefault="00AC40FC" w:rsidP="004F00E5">
      <w:pPr>
        <w:pStyle w:val="Findings"/>
        <w:numPr>
          <w:ilvl w:val="0"/>
          <w:numId w:val="41"/>
        </w:numPr>
      </w:pPr>
      <w:r>
        <w:t>The Customer Services Monthly Performance Indicators Report lacks key information to improve performance management.</w:t>
      </w:r>
    </w:p>
    <w:p w:rsidR="00AC40FC" w:rsidRDefault="00AC40FC" w:rsidP="00701DCF">
      <w:r>
        <w:t>The focus of the Monthly Report is the current year’s month-to-month and year-to-date performance compared to the previous year which lacks a longer term view to identify significant trends.  Although there are some functions that have budget-spend indicators, the report does not explicitly link service quality performance with the costs to achieve those service levels.  Customer Services has explored unit cost metrics, but there was no commitment for implementation as of the end of 2015.  A number of metrics are based on success in achieving goals that are nearly 100%, but this success rate approach does not adequately focus attention on root causes of failure or error rates that have significant impacts on service quality and allocation of resources.</w:t>
      </w:r>
    </w:p>
    <w:p w:rsidR="00AC40FC" w:rsidRPr="00F96EC1" w:rsidRDefault="00AC40FC" w:rsidP="004F00E5">
      <w:pPr>
        <w:pStyle w:val="Findings"/>
        <w:numPr>
          <w:ilvl w:val="0"/>
          <w:numId w:val="41"/>
        </w:numPr>
      </w:pPr>
      <w:r w:rsidRPr="00F96EC1">
        <w:t>Customer Service</w:t>
      </w:r>
      <w:r>
        <w:t>s is not meeting its DART safety target.</w:t>
      </w:r>
    </w:p>
    <w:p w:rsidR="00AC40FC" w:rsidRDefault="00AC40FC" w:rsidP="00701DCF">
      <w:r>
        <w:t xml:space="preserve">One of </w:t>
      </w:r>
      <w:r w:rsidRPr="00953092">
        <w:t>Customer Services</w:t>
      </w:r>
      <w:r>
        <w:t>’</w:t>
      </w:r>
      <w:r w:rsidRPr="00953092">
        <w:t xml:space="preserve"> </w:t>
      </w:r>
      <w:r>
        <w:t>12 Department Level performance indi</w:t>
      </w:r>
      <w:r w:rsidRPr="00953092">
        <w:t>c</w:t>
      </w:r>
      <w:r>
        <w:t>a</w:t>
      </w:r>
      <w:r w:rsidRPr="00953092">
        <w:t>tors</w:t>
      </w:r>
      <w:r>
        <w:t xml:space="preserve"> is safety which encompasses a number of functions.  The Customer Service objective is to support PPL EU improvement to 1</w:t>
      </w:r>
      <w:r w:rsidRPr="0050340F">
        <w:rPr>
          <w:vertAlign w:val="superscript"/>
        </w:rPr>
        <w:t>st</w:t>
      </w:r>
      <w:r>
        <w:t xml:space="preserve"> quartile safety performance.   </w:t>
      </w:r>
    </w:p>
    <w:p w:rsidR="00AC40FC" w:rsidRDefault="00AC40FC" w:rsidP="00701DCF">
      <w:r>
        <w:t xml:space="preserve">The five-year performance through the end of 2015 for two metrics, </w:t>
      </w:r>
      <w:r w:rsidRPr="006E417F">
        <w:t xml:space="preserve">Days Away, Restricted or Transferred </w:t>
      </w:r>
      <w:r>
        <w:t>injuries (DART) Rate and DART Count, is shown below:</w:t>
      </w:r>
    </w:p>
    <w:p w:rsidR="00AC40FC" w:rsidRDefault="00AC40FC" w:rsidP="00ED6D61">
      <w:pPr>
        <w:pStyle w:val="Caption"/>
      </w:pPr>
      <w:bookmarkStart w:id="10" w:name="_Toc462648395"/>
      <w:bookmarkStart w:id="11" w:name="_Toc464553017"/>
      <w:r>
        <w:lastRenderedPageBreak/>
        <w:t xml:space="preserve">Exhibit </w:t>
      </w:r>
      <w:fldSimple w:instr=" STYLEREF 1 \s ">
        <w:r w:rsidR="00A24205">
          <w:rPr>
            <w:noProof/>
          </w:rPr>
          <w:t>IX</w:t>
        </w:r>
      </w:fldSimple>
      <w:r w:rsidR="00264A1B">
        <w:noBreakHyphen/>
      </w:r>
      <w:fldSimple w:instr=" SEQ Exhibit \* ARABIC \s 1 ">
        <w:r w:rsidR="00A24205">
          <w:rPr>
            <w:noProof/>
          </w:rPr>
          <w:t>2</w:t>
        </w:r>
      </w:fldSimple>
      <w:r>
        <w:br/>
        <w:t>Customer Services DART Rate and Count</w:t>
      </w:r>
      <w:bookmarkEnd w:id="10"/>
      <w:bookmarkEnd w:id="11"/>
    </w:p>
    <w:p w:rsidR="00AC40FC" w:rsidRDefault="00AC40FC" w:rsidP="00701DCF">
      <w:pPr>
        <w:jc w:val="center"/>
      </w:pPr>
      <w:r>
        <w:rPr>
          <w:noProof/>
        </w:rPr>
        <w:drawing>
          <wp:inline distT="0" distB="0" distL="0" distR="0">
            <wp:extent cx="4581071" cy="2879271"/>
            <wp:effectExtent l="0" t="0" r="10160" b="1651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bl>
      <w:tblPr>
        <w:tblW w:w="6758" w:type="dxa"/>
        <w:jc w:val="center"/>
        <w:tblLayout w:type="fixed"/>
        <w:tblLook w:val="04A0"/>
      </w:tblPr>
      <w:tblGrid>
        <w:gridCol w:w="1718"/>
        <w:gridCol w:w="810"/>
        <w:gridCol w:w="810"/>
        <w:gridCol w:w="810"/>
        <w:gridCol w:w="810"/>
        <w:gridCol w:w="810"/>
        <w:gridCol w:w="990"/>
      </w:tblGrid>
      <w:tr w:rsidR="00AC40FC" w:rsidRPr="00D63986" w:rsidTr="00701DCF">
        <w:trPr>
          <w:cantSplit/>
          <w:trHeight w:val="300"/>
          <w:tblHeader/>
          <w:jc w:val="center"/>
        </w:trPr>
        <w:tc>
          <w:tcPr>
            <w:tcW w:w="1718" w:type="dxa"/>
            <w:tcBorders>
              <w:top w:val="single" w:sz="4" w:space="0" w:color="auto"/>
              <w:left w:val="single" w:sz="4" w:space="0" w:color="auto"/>
              <w:bottom w:val="single" w:sz="4" w:space="0" w:color="auto"/>
              <w:right w:val="single" w:sz="4" w:space="0" w:color="auto"/>
            </w:tcBorders>
            <w:shd w:val="clear" w:color="auto" w:fill="A5CD7E"/>
            <w:noWrap/>
            <w:vAlign w:val="center"/>
            <w:hideMark/>
          </w:tcPr>
          <w:p w:rsidR="00AC40FC" w:rsidRPr="00D63986" w:rsidRDefault="00AC40FC" w:rsidP="007370C9">
            <w:pPr>
              <w:spacing w:before="120"/>
              <w:jc w:val="center"/>
              <w:rPr>
                <w:rFonts w:cs="Arial"/>
                <w:b/>
                <w:color w:val="000000"/>
              </w:rPr>
            </w:pPr>
            <w:r w:rsidRPr="00D63986">
              <w:rPr>
                <w:rFonts w:cs="Arial"/>
                <w:b/>
                <w:color w:val="000000"/>
              </w:rPr>
              <w:t>Factor</w:t>
            </w:r>
          </w:p>
        </w:tc>
        <w:tc>
          <w:tcPr>
            <w:tcW w:w="81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D63986" w:rsidRDefault="00AC40FC" w:rsidP="007370C9">
            <w:pPr>
              <w:spacing w:before="120"/>
              <w:jc w:val="center"/>
              <w:rPr>
                <w:rFonts w:cs="Arial"/>
                <w:b/>
                <w:color w:val="000000"/>
              </w:rPr>
            </w:pPr>
            <w:r w:rsidRPr="00D63986">
              <w:rPr>
                <w:rFonts w:cs="Arial"/>
                <w:b/>
                <w:color w:val="000000"/>
              </w:rPr>
              <w:t>2011</w:t>
            </w:r>
          </w:p>
        </w:tc>
        <w:tc>
          <w:tcPr>
            <w:tcW w:w="81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D63986" w:rsidRDefault="00AC40FC" w:rsidP="007370C9">
            <w:pPr>
              <w:spacing w:before="120"/>
              <w:jc w:val="center"/>
              <w:rPr>
                <w:rFonts w:cs="Arial"/>
                <w:b/>
                <w:color w:val="000000"/>
              </w:rPr>
            </w:pPr>
            <w:r w:rsidRPr="00D63986">
              <w:rPr>
                <w:rFonts w:cs="Arial"/>
                <w:b/>
                <w:color w:val="000000"/>
              </w:rPr>
              <w:t>2012</w:t>
            </w:r>
          </w:p>
        </w:tc>
        <w:tc>
          <w:tcPr>
            <w:tcW w:w="81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D63986" w:rsidRDefault="00AC40FC" w:rsidP="007370C9">
            <w:pPr>
              <w:spacing w:before="120"/>
              <w:jc w:val="center"/>
              <w:rPr>
                <w:rFonts w:cs="Arial"/>
                <w:b/>
                <w:color w:val="000000"/>
              </w:rPr>
            </w:pPr>
            <w:r w:rsidRPr="00D63986">
              <w:rPr>
                <w:rFonts w:cs="Arial"/>
                <w:b/>
                <w:color w:val="000000"/>
              </w:rPr>
              <w:t>2013</w:t>
            </w:r>
          </w:p>
        </w:tc>
        <w:tc>
          <w:tcPr>
            <w:tcW w:w="81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D63986" w:rsidRDefault="00AC40FC" w:rsidP="007370C9">
            <w:pPr>
              <w:spacing w:before="120"/>
              <w:jc w:val="center"/>
              <w:rPr>
                <w:rFonts w:cs="Arial"/>
                <w:b/>
                <w:color w:val="000000"/>
              </w:rPr>
            </w:pPr>
            <w:r w:rsidRPr="00D63986">
              <w:rPr>
                <w:rFonts w:cs="Arial"/>
                <w:b/>
                <w:color w:val="000000"/>
              </w:rPr>
              <w:t>2014</w:t>
            </w:r>
          </w:p>
        </w:tc>
        <w:tc>
          <w:tcPr>
            <w:tcW w:w="81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D63986" w:rsidRDefault="00AC40FC" w:rsidP="007370C9">
            <w:pPr>
              <w:spacing w:before="120"/>
              <w:jc w:val="center"/>
              <w:rPr>
                <w:rFonts w:cs="Arial"/>
                <w:b/>
                <w:color w:val="000000"/>
              </w:rPr>
            </w:pPr>
            <w:r w:rsidRPr="00D63986">
              <w:rPr>
                <w:rFonts w:cs="Arial"/>
                <w:b/>
                <w:color w:val="000000"/>
              </w:rPr>
              <w:t>2015</w:t>
            </w:r>
          </w:p>
        </w:tc>
        <w:tc>
          <w:tcPr>
            <w:tcW w:w="99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D63986" w:rsidRDefault="00AC40FC" w:rsidP="007370C9">
            <w:pPr>
              <w:spacing w:before="120"/>
              <w:jc w:val="center"/>
              <w:rPr>
                <w:rFonts w:cs="Arial"/>
                <w:b/>
                <w:color w:val="000000"/>
              </w:rPr>
            </w:pPr>
            <w:r w:rsidRPr="00D63986">
              <w:rPr>
                <w:rFonts w:cs="Arial"/>
                <w:b/>
                <w:color w:val="000000"/>
              </w:rPr>
              <w:t>2015 Goal</w:t>
            </w:r>
          </w:p>
        </w:tc>
      </w:tr>
      <w:tr w:rsidR="00AC40FC" w:rsidRPr="0050340F" w:rsidTr="00701DCF">
        <w:trPr>
          <w:trHeight w:val="300"/>
          <w:jc w:val="center"/>
        </w:trPr>
        <w:tc>
          <w:tcPr>
            <w:tcW w:w="1718" w:type="dxa"/>
            <w:tcBorders>
              <w:top w:val="nil"/>
              <w:left w:val="single" w:sz="4" w:space="0" w:color="auto"/>
              <w:bottom w:val="single" w:sz="4" w:space="0" w:color="auto"/>
              <w:right w:val="single" w:sz="4" w:space="0" w:color="auto"/>
            </w:tcBorders>
            <w:shd w:val="clear" w:color="auto" w:fill="auto"/>
            <w:noWrap/>
            <w:vAlign w:val="center"/>
            <w:hideMark/>
          </w:tcPr>
          <w:p w:rsidR="00AC40FC" w:rsidRPr="00D63986" w:rsidRDefault="00AC40FC" w:rsidP="00701DCF">
            <w:pPr>
              <w:spacing w:after="0"/>
              <w:jc w:val="center"/>
              <w:rPr>
                <w:rFonts w:cs="Arial"/>
                <w:color w:val="000000"/>
              </w:rPr>
            </w:pPr>
            <w:r w:rsidRPr="00D63986">
              <w:rPr>
                <w:rFonts w:cs="Arial"/>
                <w:color w:val="000000"/>
              </w:rPr>
              <w:t>DART Rate</w:t>
            </w:r>
          </w:p>
        </w:tc>
        <w:tc>
          <w:tcPr>
            <w:tcW w:w="810" w:type="dxa"/>
            <w:tcBorders>
              <w:top w:val="nil"/>
              <w:left w:val="nil"/>
              <w:bottom w:val="single" w:sz="4" w:space="0" w:color="auto"/>
              <w:right w:val="single" w:sz="4" w:space="0" w:color="auto"/>
            </w:tcBorders>
            <w:shd w:val="clear" w:color="auto" w:fill="auto"/>
            <w:noWrap/>
            <w:vAlign w:val="center"/>
            <w:hideMark/>
          </w:tcPr>
          <w:p w:rsidR="00AC40FC" w:rsidRPr="00D63986" w:rsidRDefault="00AC40FC" w:rsidP="00701DCF">
            <w:pPr>
              <w:spacing w:after="0"/>
              <w:jc w:val="center"/>
              <w:rPr>
                <w:rFonts w:cs="Arial"/>
                <w:color w:val="000000"/>
              </w:rPr>
            </w:pPr>
            <w:r w:rsidRPr="00D63986">
              <w:rPr>
                <w:rFonts w:cs="Arial"/>
                <w:color w:val="000000"/>
              </w:rPr>
              <w:t>0.47</w:t>
            </w:r>
          </w:p>
        </w:tc>
        <w:tc>
          <w:tcPr>
            <w:tcW w:w="810" w:type="dxa"/>
            <w:tcBorders>
              <w:top w:val="nil"/>
              <w:left w:val="nil"/>
              <w:bottom w:val="single" w:sz="4" w:space="0" w:color="auto"/>
              <w:right w:val="single" w:sz="4" w:space="0" w:color="auto"/>
            </w:tcBorders>
            <w:shd w:val="clear" w:color="auto" w:fill="auto"/>
            <w:noWrap/>
            <w:vAlign w:val="center"/>
            <w:hideMark/>
          </w:tcPr>
          <w:p w:rsidR="00AC40FC" w:rsidRPr="00D63986" w:rsidRDefault="00AC40FC" w:rsidP="00701DCF">
            <w:pPr>
              <w:spacing w:after="0"/>
              <w:jc w:val="center"/>
              <w:rPr>
                <w:rFonts w:cs="Arial"/>
                <w:color w:val="000000"/>
              </w:rPr>
            </w:pPr>
            <w:r w:rsidRPr="00D63986">
              <w:rPr>
                <w:rFonts w:cs="Arial"/>
                <w:color w:val="000000"/>
              </w:rPr>
              <w:t>0.67</w:t>
            </w:r>
          </w:p>
        </w:tc>
        <w:tc>
          <w:tcPr>
            <w:tcW w:w="810" w:type="dxa"/>
            <w:tcBorders>
              <w:top w:val="nil"/>
              <w:left w:val="nil"/>
              <w:bottom w:val="single" w:sz="4" w:space="0" w:color="auto"/>
              <w:right w:val="single" w:sz="4" w:space="0" w:color="auto"/>
            </w:tcBorders>
            <w:shd w:val="clear" w:color="auto" w:fill="auto"/>
            <w:noWrap/>
            <w:vAlign w:val="center"/>
            <w:hideMark/>
          </w:tcPr>
          <w:p w:rsidR="00AC40FC" w:rsidRPr="00D63986" w:rsidRDefault="00AC40FC" w:rsidP="00701DCF">
            <w:pPr>
              <w:spacing w:after="0"/>
              <w:jc w:val="center"/>
              <w:rPr>
                <w:rFonts w:cs="Arial"/>
                <w:color w:val="000000"/>
              </w:rPr>
            </w:pPr>
            <w:r w:rsidRPr="00D63986">
              <w:rPr>
                <w:rFonts w:cs="Arial"/>
                <w:color w:val="000000"/>
              </w:rPr>
              <w:t>0.90</w:t>
            </w:r>
          </w:p>
        </w:tc>
        <w:tc>
          <w:tcPr>
            <w:tcW w:w="810" w:type="dxa"/>
            <w:tcBorders>
              <w:top w:val="nil"/>
              <w:left w:val="nil"/>
              <w:bottom w:val="single" w:sz="4" w:space="0" w:color="auto"/>
              <w:right w:val="single" w:sz="4" w:space="0" w:color="auto"/>
            </w:tcBorders>
            <w:shd w:val="clear" w:color="auto" w:fill="auto"/>
            <w:noWrap/>
            <w:vAlign w:val="center"/>
            <w:hideMark/>
          </w:tcPr>
          <w:p w:rsidR="00AC40FC" w:rsidRPr="00D63986" w:rsidRDefault="00AC40FC" w:rsidP="00701DCF">
            <w:pPr>
              <w:spacing w:after="0"/>
              <w:jc w:val="center"/>
              <w:rPr>
                <w:rFonts w:cs="Arial"/>
                <w:color w:val="000000"/>
              </w:rPr>
            </w:pPr>
            <w:r w:rsidRPr="00D63986">
              <w:rPr>
                <w:rFonts w:cs="Arial"/>
                <w:color w:val="000000"/>
              </w:rPr>
              <w:t>0.47</w:t>
            </w:r>
          </w:p>
        </w:tc>
        <w:tc>
          <w:tcPr>
            <w:tcW w:w="810" w:type="dxa"/>
            <w:tcBorders>
              <w:top w:val="nil"/>
              <w:left w:val="nil"/>
              <w:bottom w:val="single" w:sz="4" w:space="0" w:color="auto"/>
              <w:right w:val="single" w:sz="4" w:space="0" w:color="auto"/>
            </w:tcBorders>
            <w:shd w:val="clear" w:color="auto" w:fill="auto"/>
            <w:noWrap/>
            <w:vAlign w:val="center"/>
            <w:hideMark/>
          </w:tcPr>
          <w:p w:rsidR="00AC40FC" w:rsidRPr="00D63986" w:rsidRDefault="00AC40FC" w:rsidP="00701DCF">
            <w:pPr>
              <w:spacing w:after="0"/>
              <w:jc w:val="center"/>
              <w:rPr>
                <w:rFonts w:cs="Arial"/>
                <w:color w:val="000000"/>
              </w:rPr>
            </w:pPr>
            <w:r w:rsidRPr="00D63986">
              <w:rPr>
                <w:rFonts w:cs="Arial"/>
                <w:color w:val="000000"/>
              </w:rPr>
              <w:t>0.78</w:t>
            </w:r>
          </w:p>
        </w:tc>
        <w:tc>
          <w:tcPr>
            <w:tcW w:w="990" w:type="dxa"/>
            <w:tcBorders>
              <w:top w:val="nil"/>
              <w:left w:val="nil"/>
              <w:bottom w:val="single" w:sz="4" w:space="0" w:color="auto"/>
              <w:right w:val="single" w:sz="4" w:space="0" w:color="auto"/>
            </w:tcBorders>
            <w:shd w:val="clear" w:color="auto" w:fill="auto"/>
            <w:noWrap/>
            <w:vAlign w:val="center"/>
            <w:hideMark/>
          </w:tcPr>
          <w:p w:rsidR="00AC40FC" w:rsidRPr="00D63986" w:rsidRDefault="00AC40FC" w:rsidP="00701DCF">
            <w:pPr>
              <w:spacing w:after="0"/>
              <w:jc w:val="center"/>
              <w:rPr>
                <w:rFonts w:cs="Arial"/>
                <w:color w:val="000000"/>
              </w:rPr>
            </w:pPr>
            <w:r w:rsidRPr="00D63986">
              <w:rPr>
                <w:rFonts w:cs="Arial"/>
                <w:color w:val="000000"/>
              </w:rPr>
              <w:t>0.22</w:t>
            </w:r>
          </w:p>
        </w:tc>
      </w:tr>
      <w:tr w:rsidR="00AC40FC" w:rsidRPr="0050340F" w:rsidTr="00701DCF">
        <w:trPr>
          <w:trHeight w:val="300"/>
          <w:jc w:val="center"/>
        </w:trPr>
        <w:tc>
          <w:tcPr>
            <w:tcW w:w="1718" w:type="dxa"/>
            <w:tcBorders>
              <w:top w:val="nil"/>
              <w:left w:val="single" w:sz="4" w:space="0" w:color="auto"/>
              <w:bottom w:val="single" w:sz="4" w:space="0" w:color="auto"/>
              <w:right w:val="single" w:sz="4" w:space="0" w:color="auto"/>
            </w:tcBorders>
            <w:shd w:val="clear" w:color="auto" w:fill="auto"/>
            <w:noWrap/>
            <w:vAlign w:val="center"/>
            <w:hideMark/>
          </w:tcPr>
          <w:p w:rsidR="00AC40FC" w:rsidRPr="00D63986" w:rsidRDefault="00AC40FC" w:rsidP="00701DCF">
            <w:pPr>
              <w:spacing w:after="0"/>
              <w:jc w:val="center"/>
              <w:rPr>
                <w:rFonts w:cs="Arial"/>
                <w:color w:val="000000"/>
              </w:rPr>
            </w:pPr>
            <w:r w:rsidRPr="00D63986">
              <w:rPr>
                <w:rFonts w:cs="Arial"/>
                <w:color w:val="000000"/>
              </w:rPr>
              <w:t>DART Count</w:t>
            </w:r>
          </w:p>
        </w:tc>
        <w:tc>
          <w:tcPr>
            <w:tcW w:w="810" w:type="dxa"/>
            <w:tcBorders>
              <w:top w:val="nil"/>
              <w:left w:val="nil"/>
              <w:bottom w:val="single" w:sz="4" w:space="0" w:color="auto"/>
              <w:right w:val="single" w:sz="4" w:space="0" w:color="auto"/>
            </w:tcBorders>
            <w:shd w:val="clear" w:color="auto" w:fill="auto"/>
            <w:noWrap/>
            <w:vAlign w:val="center"/>
            <w:hideMark/>
          </w:tcPr>
          <w:p w:rsidR="00AC40FC" w:rsidRPr="00D63986" w:rsidRDefault="00AC40FC" w:rsidP="00701DCF">
            <w:pPr>
              <w:spacing w:after="0"/>
              <w:jc w:val="center"/>
              <w:rPr>
                <w:rFonts w:cs="Arial"/>
                <w:color w:val="000000"/>
              </w:rPr>
            </w:pPr>
            <w:r w:rsidRPr="00D63986">
              <w:rPr>
                <w:rFonts w:cs="Arial"/>
                <w:color w:val="000000"/>
              </w:rPr>
              <w:t>2</w:t>
            </w:r>
          </w:p>
        </w:tc>
        <w:tc>
          <w:tcPr>
            <w:tcW w:w="810" w:type="dxa"/>
            <w:tcBorders>
              <w:top w:val="nil"/>
              <w:left w:val="nil"/>
              <w:bottom w:val="single" w:sz="4" w:space="0" w:color="auto"/>
              <w:right w:val="single" w:sz="4" w:space="0" w:color="auto"/>
            </w:tcBorders>
            <w:shd w:val="clear" w:color="auto" w:fill="auto"/>
            <w:noWrap/>
            <w:vAlign w:val="center"/>
            <w:hideMark/>
          </w:tcPr>
          <w:p w:rsidR="00AC40FC" w:rsidRPr="00D63986" w:rsidRDefault="00AC40FC" w:rsidP="00701DCF">
            <w:pPr>
              <w:spacing w:after="0"/>
              <w:jc w:val="center"/>
              <w:rPr>
                <w:rFonts w:cs="Arial"/>
                <w:color w:val="000000"/>
              </w:rPr>
            </w:pPr>
            <w:r w:rsidRPr="00D63986">
              <w:rPr>
                <w:rFonts w:cs="Arial"/>
                <w:color w:val="000000"/>
              </w:rPr>
              <w:t>3</w:t>
            </w:r>
          </w:p>
        </w:tc>
        <w:tc>
          <w:tcPr>
            <w:tcW w:w="810" w:type="dxa"/>
            <w:tcBorders>
              <w:top w:val="nil"/>
              <w:left w:val="nil"/>
              <w:bottom w:val="single" w:sz="4" w:space="0" w:color="auto"/>
              <w:right w:val="single" w:sz="4" w:space="0" w:color="auto"/>
            </w:tcBorders>
            <w:shd w:val="clear" w:color="auto" w:fill="auto"/>
            <w:noWrap/>
            <w:vAlign w:val="center"/>
            <w:hideMark/>
          </w:tcPr>
          <w:p w:rsidR="00AC40FC" w:rsidRPr="00D63986" w:rsidRDefault="00AC40FC" w:rsidP="00701DCF">
            <w:pPr>
              <w:spacing w:after="0"/>
              <w:jc w:val="center"/>
              <w:rPr>
                <w:rFonts w:cs="Arial"/>
                <w:color w:val="000000"/>
              </w:rPr>
            </w:pPr>
            <w:r w:rsidRPr="00D63986">
              <w:rPr>
                <w:rFonts w:cs="Arial"/>
                <w:color w:val="000000"/>
              </w:rPr>
              <w:t>4</w:t>
            </w:r>
          </w:p>
        </w:tc>
        <w:tc>
          <w:tcPr>
            <w:tcW w:w="810" w:type="dxa"/>
            <w:tcBorders>
              <w:top w:val="nil"/>
              <w:left w:val="nil"/>
              <w:bottom w:val="single" w:sz="4" w:space="0" w:color="auto"/>
              <w:right w:val="single" w:sz="4" w:space="0" w:color="auto"/>
            </w:tcBorders>
            <w:shd w:val="clear" w:color="auto" w:fill="auto"/>
            <w:noWrap/>
            <w:vAlign w:val="center"/>
            <w:hideMark/>
          </w:tcPr>
          <w:p w:rsidR="00AC40FC" w:rsidRPr="00D63986" w:rsidRDefault="00AC40FC" w:rsidP="00701DCF">
            <w:pPr>
              <w:spacing w:after="0"/>
              <w:jc w:val="center"/>
              <w:rPr>
                <w:rFonts w:cs="Arial"/>
                <w:color w:val="000000"/>
              </w:rPr>
            </w:pPr>
            <w:r w:rsidRPr="00D63986">
              <w:rPr>
                <w:rFonts w:cs="Arial"/>
                <w:color w:val="000000"/>
              </w:rPr>
              <w:t>2</w:t>
            </w:r>
          </w:p>
        </w:tc>
        <w:tc>
          <w:tcPr>
            <w:tcW w:w="810" w:type="dxa"/>
            <w:tcBorders>
              <w:top w:val="nil"/>
              <w:left w:val="nil"/>
              <w:bottom w:val="single" w:sz="4" w:space="0" w:color="auto"/>
              <w:right w:val="single" w:sz="4" w:space="0" w:color="auto"/>
            </w:tcBorders>
            <w:shd w:val="clear" w:color="auto" w:fill="auto"/>
            <w:noWrap/>
            <w:vAlign w:val="center"/>
            <w:hideMark/>
          </w:tcPr>
          <w:p w:rsidR="00AC40FC" w:rsidRPr="00D63986" w:rsidRDefault="00AC40FC" w:rsidP="00701DCF">
            <w:pPr>
              <w:spacing w:after="0"/>
              <w:jc w:val="center"/>
              <w:rPr>
                <w:rFonts w:cs="Arial"/>
                <w:color w:val="000000"/>
              </w:rPr>
            </w:pPr>
            <w:r w:rsidRPr="00D63986">
              <w:rPr>
                <w:rFonts w:cs="Arial"/>
                <w:color w:val="000000"/>
              </w:rPr>
              <w:t>3</w:t>
            </w:r>
          </w:p>
        </w:tc>
        <w:tc>
          <w:tcPr>
            <w:tcW w:w="990" w:type="dxa"/>
            <w:tcBorders>
              <w:top w:val="nil"/>
              <w:left w:val="nil"/>
              <w:bottom w:val="single" w:sz="4" w:space="0" w:color="auto"/>
              <w:right w:val="single" w:sz="4" w:space="0" w:color="auto"/>
            </w:tcBorders>
            <w:shd w:val="clear" w:color="auto" w:fill="auto"/>
            <w:noWrap/>
            <w:vAlign w:val="center"/>
            <w:hideMark/>
          </w:tcPr>
          <w:p w:rsidR="00AC40FC" w:rsidRPr="00D63986" w:rsidRDefault="00AC40FC" w:rsidP="00701DCF">
            <w:pPr>
              <w:spacing w:after="0"/>
              <w:jc w:val="center"/>
              <w:rPr>
                <w:rFonts w:cs="Arial"/>
                <w:color w:val="000000"/>
              </w:rPr>
            </w:pPr>
            <w:r w:rsidRPr="00D63986">
              <w:rPr>
                <w:rFonts w:cs="Arial"/>
                <w:color w:val="000000"/>
              </w:rPr>
              <w:t> </w:t>
            </w:r>
            <w:r>
              <w:rPr>
                <w:rFonts w:cs="Arial"/>
                <w:color w:val="000000"/>
              </w:rPr>
              <w:t>1</w:t>
            </w:r>
          </w:p>
        </w:tc>
      </w:tr>
      <w:tr w:rsidR="00AC40FC" w:rsidRPr="0050340F" w:rsidTr="00701DCF">
        <w:trPr>
          <w:trHeight w:val="278"/>
          <w:jc w:val="center"/>
        </w:trPr>
        <w:tc>
          <w:tcPr>
            <w:tcW w:w="6758"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C40FC" w:rsidRPr="0018686C" w:rsidRDefault="00AC40FC" w:rsidP="00701DCF">
            <w:pPr>
              <w:spacing w:after="0"/>
              <w:rPr>
                <w:rFonts w:cs="Arial"/>
                <w:color w:val="000000"/>
                <w:sz w:val="21"/>
                <w:szCs w:val="21"/>
              </w:rPr>
            </w:pPr>
            <w:r w:rsidRPr="0018686C">
              <w:rPr>
                <w:rFonts w:cs="Arial"/>
                <w:color w:val="000000"/>
                <w:sz w:val="21"/>
                <w:szCs w:val="21"/>
              </w:rPr>
              <w:t>Source</w:t>
            </w:r>
            <w:r>
              <w:rPr>
                <w:rFonts w:cs="Arial"/>
                <w:color w:val="000000"/>
                <w:sz w:val="21"/>
                <w:szCs w:val="21"/>
              </w:rPr>
              <w:t>s</w:t>
            </w:r>
            <w:r w:rsidRPr="0018686C">
              <w:rPr>
                <w:rFonts w:cs="Arial"/>
                <w:color w:val="000000"/>
                <w:sz w:val="21"/>
                <w:szCs w:val="21"/>
              </w:rPr>
              <w:t xml:space="preserve">:  DN 04-230; </w:t>
            </w:r>
            <w:r>
              <w:rPr>
                <w:sz w:val="21"/>
                <w:szCs w:val="21"/>
              </w:rPr>
              <w:t>PPL EU edits</w:t>
            </w:r>
          </w:p>
        </w:tc>
      </w:tr>
    </w:tbl>
    <w:p w:rsidR="00AC40FC" w:rsidRDefault="00AC40FC" w:rsidP="00701DCF">
      <w:pPr>
        <w:pStyle w:val="Normal-aftertable"/>
      </w:pPr>
      <w:r>
        <w:t>DART is one of OSHA’s employee safety measures.  The DART Rate is a function of the number (Count) of injuries and illnesses that meet this DART definition and the number of employee annual hours, relative to the DART benchmark of 200,000 hours per year.  The 2015 DART Count was three and the number of employee hours was 768,799, resulting in the DART Rate of 0.78 (calculated as:  200,000 divided by 768,779 multiplied by 3).</w:t>
      </w:r>
    </w:p>
    <w:p w:rsidR="00AC40FC" w:rsidRDefault="00AC40FC" w:rsidP="00701DCF">
      <w:r>
        <w:t xml:space="preserve">The DART Count does not reveal any trend, but in every year the DART Rates were well above the 0.22 target for 2015. </w:t>
      </w:r>
    </w:p>
    <w:p w:rsidR="00AC40FC" w:rsidRDefault="00AC40FC" w:rsidP="00BB665B">
      <w:pPr>
        <w:pStyle w:val="Heading-forToC"/>
      </w:pPr>
      <w:bookmarkStart w:id="12" w:name="_Toc462647830"/>
      <w:bookmarkStart w:id="13" w:name="_Toc464552069"/>
      <w:r>
        <w:t>recommendations</w:t>
      </w:r>
      <w:bookmarkEnd w:id="12"/>
      <w:bookmarkEnd w:id="13"/>
    </w:p>
    <w:p w:rsidR="00AC40FC" w:rsidRDefault="00AC40FC" w:rsidP="004F00E5">
      <w:pPr>
        <w:pStyle w:val="Findings"/>
        <w:numPr>
          <w:ilvl w:val="0"/>
          <w:numId w:val="42"/>
        </w:numPr>
      </w:pPr>
      <w:r>
        <w:t>Incorporate unit costs and service quality metrics into the Customer Services Monthly Performance Indicators Report to improve performance management.  (See Findings 3 and 4)</w:t>
      </w:r>
    </w:p>
    <w:p w:rsidR="00AC40FC" w:rsidRPr="00C70DED" w:rsidRDefault="00AC40FC" w:rsidP="00701DCF">
      <w:r>
        <w:t xml:space="preserve">The Customer Services Monthly Performance Indicators Report serves as the primary performance management tool.  It has evolved over the years and continues to undergo changes.  The focus continues to be on service quality and budget performance, but noticeably missing are unit costs that that should be linked with the quality metrics so that the “cost to serve” becomes clear.  The objective should be to improve the customer experience while understanding the implications to O&amp;M costs.  Unit costs will narrow the focus of management’s attention on priorities, resource reallocations, and </w:t>
      </w:r>
      <w:r>
        <w:lastRenderedPageBreak/>
        <w:t>improvement initiatives for long-term achievement of the goals.  Tracking and managing unit costs will also help in benchmarking with other utilities.</w:t>
      </w:r>
    </w:p>
    <w:p w:rsidR="00AC40FC" w:rsidRDefault="00AC40FC" w:rsidP="00701DCF">
      <w:pPr>
        <w:pStyle w:val="Normal-aftertable"/>
      </w:pPr>
      <w:r>
        <w:t>Customer Services has already begun to reassess existing performance indicators and experiment with new ones.  Three categories of unit cost levels were considered:  Enterprise-wide, Customer Services, and Customer Services working group level.  This unit cost approach would roll up the unit costs from the working group level to the mid-level and then to the Enterprise level.   A unit cost matrix was created that should capture the majority of costs by function and organizational unit.  Ultimately, this approach could be used to link service quality and costs.  The following unit costs were explored by Customer Services and should be implemented:</w:t>
      </w:r>
    </w:p>
    <w:p w:rsidR="00AC40FC" w:rsidRDefault="00AC40FC" w:rsidP="00701DCF">
      <w:pPr>
        <w:pStyle w:val="Bullet"/>
      </w:pPr>
      <w:r>
        <w:t>Cost per Customer (Excluding Uncollectible Expenses)</w:t>
      </w:r>
    </w:p>
    <w:p w:rsidR="00AC40FC" w:rsidRDefault="00AC40FC" w:rsidP="00701DCF">
      <w:pPr>
        <w:pStyle w:val="Bullet"/>
      </w:pPr>
      <w:r>
        <w:t>Cost per Customer</w:t>
      </w:r>
    </w:p>
    <w:p w:rsidR="00AC40FC" w:rsidRDefault="00AC40FC" w:rsidP="00701DCF">
      <w:pPr>
        <w:pStyle w:val="Bullet"/>
      </w:pPr>
      <w:r>
        <w:t>Average Residential Active Overdue per Customer</w:t>
      </w:r>
    </w:p>
    <w:p w:rsidR="00AC40FC" w:rsidRDefault="00AC40FC" w:rsidP="00701DCF">
      <w:pPr>
        <w:pStyle w:val="Bullet"/>
      </w:pPr>
      <w:r>
        <w:t>Net Write Offs per Customer</w:t>
      </w:r>
    </w:p>
    <w:p w:rsidR="00AC40FC" w:rsidRDefault="00AC40FC" w:rsidP="00701DCF">
      <w:pPr>
        <w:pStyle w:val="Bullet"/>
      </w:pPr>
      <w:r>
        <w:t>Purchase of Receivables Credit per Customer</w:t>
      </w:r>
    </w:p>
    <w:p w:rsidR="00AC40FC" w:rsidRDefault="00AC40FC" w:rsidP="00701DCF">
      <w:pPr>
        <w:pStyle w:val="Bullet"/>
      </w:pPr>
      <w:r>
        <w:t>Cost per Overdue Customer</w:t>
      </w:r>
    </w:p>
    <w:p w:rsidR="00AC40FC" w:rsidRDefault="00AC40FC" w:rsidP="00701DCF">
      <w:pPr>
        <w:pStyle w:val="Bullet"/>
      </w:pPr>
      <w:r>
        <w:t>Cost per CCC Interactions</w:t>
      </w:r>
    </w:p>
    <w:p w:rsidR="00AC40FC" w:rsidRDefault="00AC40FC" w:rsidP="00701DCF">
      <w:pPr>
        <w:pStyle w:val="Bullet"/>
      </w:pPr>
      <w:r>
        <w:t>Cost per Field Action</w:t>
      </w:r>
    </w:p>
    <w:p w:rsidR="00AC40FC" w:rsidRDefault="00AC40FC" w:rsidP="00701DCF">
      <w:pPr>
        <w:pStyle w:val="Bullet"/>
      </w:pPr>
      <w:r>
        <w:t>Cost per Back Office Transaction</w:t>
      </w:r>
    </w:p>
    <w:p w:rsidR="00AC40FC" w:rsidRDefault="00AC40FC" w:rsidP="00701DCF">
      <w:pPr>
        <w:pStyle w:val="Bullet"/>
      </w:pPr>
      <w:r>
        <w:t>Cost per Low Income Customer Served</w:t>
      </w:r>
    </w:p>
    <w:p w:rsidR="00AC40FC" w:rsidRDefault="00AC40FC" w:rsidP="00701DCF">
      <w:pPr>
        <w:pStyle w:val="Bullet"/>
      </w:pPr>
      <w:r>
        <w:t>Cost per Complaint</w:t>
      </w:r>
    </w:p>
    <w:p w:rsidR="00AC40FC" w:rsidRDefault="00AC40FC" w:rsidP="00701DCF">
      <w:pPr>
        <w:pStyle w:val="Bullet"/>
      </w:pPr>
      <w:r>
        <w:t>Cost per Business Account Served</w:t>
      </w:r>
    </w:p>
    <w:p w:rsidR="00AC40FC" w:rsidRDefault="00AC40FC" w:rsidP="00701DCF">
      <w:pPr>
        <w:pStyle w:val="Bullet"/>
      </w:pPr>
      <w:r>
        <w:t>Cost per Customer Contact Representative (Revenue Protection)</w:t>
      </w:r>
    </w:p>
    <w:p w:rsidR="00AC40FC" w:rsidRDefault="00AC40FC" w:rsidP="00701DCF">
      <w:pPr>
        <w:pStyle w:val="Bullet"/>
      </w:pPr>
      <w:r>
        <w:t>Cost per Bill Sent</w:t>
      </w:r>
    </w:p>
    <w:p w:rsidR="00AC40FC" w:rsidRDefault="00AC40FC" w:rsidP="00701DCF">
      <w:pPr>
        <w:pStyle w:val="Bullet"/>
        <w:spacing w:after="120"/>
      </w:pPr>
      <w:r>
        <w:t>Cost per Letter Sent</w:t>
      </w:r>
    </w:p>
    <w:p w:rsidR="00AC40FC" w:rsidRDefault="00AC40FC" w:rsidP="00701DCF">
      <w:pPr>
        <w:pStyle w:val="Normal-aftertable"/>
      </w:pPr>
      <w:r>
        <w:t>Customer Services has used unit costs in support of business cases from time to time, including the justification for building a LIHEAP Portal that would eliminate a large number of phone calls on the basis of average cost per phone call.  Some of the unit cost metrics above should be incorporated into the Customer Services Monthly Performance Indicators Report for visibility and priority focus.  Others should be used for performance management but that do not necessarily need the same level of visibility at the monthly meetings.</w:t>
      </w:r>
    </w:p>
    <w:p w:rsidR="00AC40FC" w:rsidRPr="0021568E" w:rsidRDefault="00AC40FC" w:rsidP="00701DCF">
      <w:r>
        <w:t xml:space="preserve">Other parts of this chapter contain findings and recommendations related to performance metrics, see </w:t>
      </w:r>
      <w:r w:rsidRPr="00D977CD">
        <w:t>Section B:  Customer Experience Recommendations 1, 2 and 3; Section D:  Regulatory Programs Recommendations 1</w:t>
      </w:r>
      <w:r>
        <w:t>,</w:t>
      </w:r>
      <w:r w:rsidRPr="00D977CD">
        <w:t xml:space="preserve"> 2</w:t>
      </w:r>
      <w:r>
        <w:t>, and 3</w:t>
      </w:r>
      <w:r w:rsidRPr="00D977CD">
        <w:t>; and Section F: Revenue Operations Recommendation</w:t>
      </w:r>
      <w:r>
        <w:t>s</w:t>
      </w:r>
      <w:r w:rsidRPr="00D977CD">
        <w:t xml:space="preserve"> 3</w:t>
      </w:r>
      <w:r>
        <w:t xml:space="preserve"> and 4.</w:t>
      </w:r>
    </w:p>
    <w:p w:rsidR="00AC40FC" w:rsidRDefault="00AC40FC" w:rsidP="004F00E5">
      <w:pPr>
        <w:pStyle w:val="Findings"/>
        <w:numPr>
          <w:ilvl w:val="0"/>
          <w:numId w:val="42"/>
        </w:numPr>
      </w:pPr>
      <w:r>
        <w:t>Identify root causes for each DART incident and act to correct the underlying problems</w:t>
      </w:r>
      <w:r w:rsidRPr="009E5E3C">
        <w:t xml:space="preserve">.  </w:t>
      </w:r>
      <w:r w:rsidRPr="006D64D1">
        <w:t>(</w:t>
      </w:r>
      <w:r>
        <w:t xml:space="preserve">See </w:t>
      </w:r>
      <w:r w:rsidRPr="006D64D1">
        <w:t xml:space="preserve">Finding </w:t>
      </w:r>
      <w:r>
        <w:t>5</w:t>
      </w:r>
      <w:r w:rsidRPr="006D64D1">
        <w:t>)</w:t>
      </w:r>
    </w:p>
    <w:p w:rsidR="00AC40FC" w:rsidRPr="0021568E" w:rsidRDefault="00AC40FC" w:rsidP="00701DCF">
      <w:r>
        <w:t xml:space="preserve">Customer Services should identify and analyze the root causes that account for each DART event and then correct the underlying causes.  With respect to performance tracking, Customer Services should identify realistic stretch targets that are achievable </w:t>
      </w:r>
      <w:r>
        <w:lastRenderedPageBreak/>
        <w:t>in the near-term.  If there are conditions that differentiate work practices, both in the field and in the office environment, Customer Services should consider multiple targets that are uniquely customized to the work practices.  For example, personnel from both Metering Operations and Revenue Protection perform field work, but there may be unique work practices that would suggest different DART Rate targets.</w:t>
      </w:r>
    </w:p>
    <w:p w:rsidR="00AC40FC" w:rsidRPr="00FD1733" w:rsidRDefault="00AC40FC" w:rsidP="004F00E5">
      <w:pPr>
        <w:pStyle w:val="Heading2"/>
        <w:numPr>
          <w:ilvl w:val="0"/>
          <w:numId w:val="101"/>
        </w:numPr>
      </w:pPr>
      <w:bookmarkStart w:id="14" w:name="_Toc462647831"/>
      <w:bookmarkStart w:id="15" w:name="_Toc464552070"/>
      <w:r w:rsidRPr="00FD1733">
        <w:t>Customer experience</w:t>
      </w:r>
      <w:bookmarkEnd w:id="14"/>
      <w:bookmarkEnd w:id="15"/>
    </w:p>
    <w:p w:rsidR="00AC40FC" w:rsidRDefault="00AC40FC" w:rsidP="00BB665B">
      <w:pPr>
        <w:pStyle w:val="Heading-forToC"/>
      </w:pPr>
      <w:bookmarkStart w:id="16" w:name="_Toc462647832"/>
      <w:bookmarkStart w:id="17" w:name="_Toc464552071"/>
      <w:r>
        <w:t>Background</w:t>
      </w:r>
      <w:bookmarkEnd w:id="16"/>
      <w:bookmarkEnd w:id="17"/>
    </w:p>
    <w:p w:rsidR="00AC40FC" w:rsidRDefault="00AC40FC" w:rsidP="00701DCF">
      <w:r>
        <w:t xml:space="preserve">The Customer Experience group consists of a number of customer-related functions, as part of the recently reorganized Customer Services organization.  The following organization chart shows the six units reporting to the Customer Experience Director.  Please note that the organizational chart was taken from the corporate chart available at the time of the Audit and that Customer Services refers to this organization as Customer Experience. </w:t>
      </w:r>
    </w:p>
    <w:p w:rsidR="00AC40FC" w:rsidRDefault="00AC40FC" w:rsidP="00ED6D61">
      <w:pPr>
        <w:pStyle w:val="Caption"/>
      </w:pPr>
      <w:bookmarkStart w:id="18" w:name="_Toc462648396"/>
      <w:bookmarkStart w:id="19" w:name="_Toc464553018"/>
      <w:r>
        <w:t xml:space="preserve">Exhibit </w:t>
      </w:r>
      <w:fldSimple w:instr=" STYLEREF 1 \s ">
        <w:r w:rsidR="00A24205">
          <w:rPr>
            <w:noProof/>
          </w:rPr>
          <w:t>IX</w:t>
        </w:r>
      </w:fldSimple>
      <w:r w:rsidR="00264A1B">
        <w:noBreakHyphen/>
      </w:r>
      <w:fldSimple w:instr=" SEQ Exhibit \* ARABIC \s 1 ">
        <w:r w:rsidR="00A24205">
          <w:rPr>
            <w:noProof/>
          </w:rPr>
          <w:t>3</w:t>
        </w:r>
      </w:fldSimple>
      <w:r>
        <w:br/>
        <w:t>Customer Experience Organization</w:t>
      </w:r>
      <w:bookmarkEnd w:id="18"/>
      <w:bookmarkEnd w:id="19"/>
    </w:p>
    <w:p w:rsidR="00AC40FC" w:rsidRDefault="00AC40FC" w:rsidP="00701DCF">
      <w:pPr>
        <w:jc w:val="center"/>
      </w:pPr>
      <w:r>
        <w:rPr>
          <w:noProof/>
        </w:rPr>
        <w:drawing>
          <wp:inline distT="0" distB="0" distL="0" distR="0">
            <wp:extent cx="5943600" cy="205232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PL-EU_01071-Cust-Exp_page126_v2.jpg"/>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2052320"/>
                    </a:xfrm>
                    <a:prstGeom prst="rect">
                      <a:avLst/>
                    </a:prstGeom>
                  </pic:spPr>
                </pic:pic>
              </a:graphicData>
            </a:graphic>
          </wp:inline>
        </w:drawing>
      </w:r>
    </w:p>
    <w:p w:rsidR="00AC40FC" w:rsidRDefault="00AC40FC" w:rsidP="00701DCF">
      <w:r>
        <w:t>Source:  DN 01-071</w:t>
      </w:r>
    </w:p>
    <w:p w:rsidR="00AC40FC" w:rsidRDefault="00AC40FC" w:rsidP="00701DCF">
      <w:r>
        <w:t>The group now consists of the two PPL EU Customer Contact Centers (CCCs or call centers), Training, Development and Quality Assurance (QA), Major Accounts, Customer Experience (Digital Strategies), and Energy Efficiency.  Each group is described below.</w:t>
      </w:r>
    </w:p>
    <w:p w:rsidR="00AC40FC" w:rsidRDefault="00AC40FC" w:rsidP="00701DCF">
      <w:pPr>
        <w:pStyle w:val="Heading40"/>
      </w:pPr>
      <w:r>
        <w:t>Customer Contact Centers</w:t>
      </w:r>
    </w:p>
    <w:p w:rsidR="00AC40FC" w:rsidRDefault="00AC40FC" w:rsidP="00701DCF">
      <w:r>
        <w:t>The CCCs handle communications with customers via CSRs.  The work processes include:</w:t>
      </w:r>
    </w:p>
    <w:p w:rsidR="00AC40FC" w:rsidRDefault="00AC40FC" w:rsidP="00701DCF">
      <w:pPr>
        <w:pStyle w:val="Bullet"/>
      </w:pPr>
      <w:r>
        <w:t>Responding to customer inquiries (phone, email, and U.S. mail) related to billing, credit, and collections</w:t>
      </w:r>
    </w:p>
    <w:p w:rsidR="00AC40FC" w:rsidRDefault="00AC40FC" w:rsidP="00701DCF">
      <w:pPr>
        <w:pStyle w:val="Bullet"/>
      </w:pPr>
      <w:r>
        <w:t>Processing applications for new service at an existing location and processing the initial applications for new service installations</w:t>
      </w:r>
    </w:p>
    <w:p w:rsidR="00AC40FC" w:rsidRDefault="00AC40FC" w:rsidP="00701DCF">
      <w:pPr>
        <w:pStyle w:val="Bullet"/>
      </w:pPr>
      <w:r>
        <w:t xml:space="preserve">Processing billing exceptions and updating customer records (referred to as back-office work) </w:t>
      </w:r>
    </w:p>
    <w:p w:rsidR="00AC40FC" w:rsidRDefault="00AC40FC" w:rsidP="00701DCF">
      <w:pPr>
        <w:pStyle w:val="Bullet"/>
      </w:pPr>
      <w:r>
        <w:lastRenderedPageBreak/>
        <w:t>T</w:t>
      </w:r>
      <w:r w:rsidRPr="00A677F3">
        <w:t>raining an</w:t>
      </w:r>
      <w:r>
        <w:t>d quality assurance initiatives (with the assistance of the Training, Development and QA group)</w:t>
      </w:r>
    </w:p>
    <w:p w:rsidR="00AC40FC" w:rsidRDefault="00AC40FC" w:rsidP="00701DCF">
      <w:pPr>
        <w:pStyle w:val="Normal-aftertable"/>
      </w:pPr>
      <w:r>
        <w:t>There are two PPL EU CCCs, one located in Lehigh and the other in Scranton.  PPL EU also uses the PPLSolutions’ call center in Hazle Township and a non-affiliated contractor to provide call center services, with one location in Bethlehem and the other in Florida.  At the time of the Management Audit (field work ending December 31, 2015), there were about 260 total CSRs:  160 employees and 100 contractors.</w:t>
      </w:r>
    </w:p>
    <w:p w:rsidR="00AC40FC" w:rsidRDefault="00AC40FC" w:rsidP="00701DCF">
      <w:r>
        <w:t>In late 2015, the hours of availability of CSRs has been expanded.  At the time of the Management Audit, CSRs were available from 8 AM to 5 PM, Monday through Friday for general customer service issues.  For payment assistance and setting up payment agreements, CSR availability was expanded, from 7 AM to 10 PM, Monday through Friday, via a separate toll-free phone number.  The Interactive Voice Response (IVR) system (without live CSR assistance) provides the ability to make payments via debit and credit cards on a 24-hour, seven-day basis (24/7).</w:t>
      </w:r>
    </w:p>
    <w:p w:rsidR="00AC40FC" w:rsidRDefault="00AC40FC" w:rsidP="00701DCF">
      <w:r>
        <w:t>Customer Services uses PPL</w:t>
      </w:r>
      <w:r w:rsidRPr="002256CD">
        <w:t xml:space="preserve">Solutions </w:t>
      </w:r>
      <w:r>
        <w:t>for the same call center services that are performed by the PPL EU CCCs, including supplemental, periodic, and seasonal call center functions, such as payment arrangements, connect/disconnects, Low Income Home Energy Assistance Program (LIHEAP), Winter Relief Assistance Program (WRAP), Customer Choice, the Customer Assistance Program (OnTrack), and language interpretation.  (Please see the Customer Assistance Program chapter regarding a pilot project with PPLSolutions for the OnTrack program.)</w:t>
      </w:r>
    </w:p>
    <w:p w:rsidR="00AC40FC" w:rsidRDefault="00AC40FC" w:rsidP="00701DCF">
      <w:r>
        <w:t>Customer Services started using a new third-party contractor, for call center services in 2015, and has been reassigning hours and tasks among PPL EU CCCs, PPLSolutions, and the third-party contractor.  PPL</w:t>
      </w:r>
      <w:r w:rsidRPr="00ED6ACD">
        <w:t xml:space="preserve">Solutions </w:t>
      </w:r>
      <w:r>
        <w:t>is providing</w:t>
      </w:r>
      <w:r w:rsidRPr="00ED6ACD">
        <w:t xml:space="preserve"> primary support for OnTrack customers and support during </w:t>
      </w:r>
      <w:r>
        <w:t xml:space="preserve">the </w:t>
      </w:r>
      <w:r w:rsidRPr="00ED6ACD">
        <w:t>core business hours</w:t>
      </w:r>
      <w:r>
        <w:t xml:space="preserve"> of 8 AM to 5 PM</w:t>
      </w:r>
      <w:r w:rsidRPr="00ED6ACD">
        <w:t xml:space="preserve"> and </w:t>
      </w:r>
      <w:r>
        <w:t>the expanded fringe hours of 7 AM</w:t>
      </w:r>
      <w:r w:rsidRPr="00ED6ACD">
        <w:t xml:space="preserve"> </w:t>
      </w:r>
      <w:r>
        <w:t>to 10 PM,</w:t>
      </w:r>
      <w:r w:rsidRPr="00ED6ACD">
        <w:t xml:space="preserve"> Monday </w:t>
      </w:r>
      <w:r>
        <w:t>through</w:t>
      </w:r>
      <w:r w:rsidRPr="00ED6ACD">
        <w:t xml:space="preserve"> Friday.</w:t>
      </w:r>
      <w:r>
        <w:t xml:space="preserve"> </w:t>
      </w:r>
      <w:r w:rsidRPr="00ED6ACD">
        <w:t xml:space="preserve"> </w:t>
      </w:r>
      <w:r>
        <w:t>The third-party</w:t>
      </w:r>
      <w:r w:rsidRPr="00ED6ACD">
        <w:t xml:space="preserve"> </w:t>
      </w:r>
      <w:r>
        <w:t xml:space="preserve">call center, located in Bethlehem, </w:t>
      </w:r>
      <w:r w:rsidRPr="00ED6ACD">
        <w:t xml:space="preserve">will be used to provide </w:t>
      </w:r>
      <w:r>
        <w:t xml:space="preserve">support on a </w:t>
      </w:r>
      <w:r w:rsidRPr="00ED6ACD">
        <w:t xml:space="preserve">24/7 </w:t>
      </w:r>
      <w:r>
        <w:t>basis</w:t>
      </w:r>
      <w:r w:rsidRPr="00ED6ACD">
        <w:t xml:space="preserve"> with p</w:t>
      </w:r>
      <w:r>
        <w:t>rimary focus on after-</w:t>
      </w:r>
      <w:r w:rsidRPr="00ED6ACD">
        <w:t>hours support, covering nights and weekends</w:t>
      </w:r>
      <w:r>
        <w:t>, and for specialized projects, such as outbound collections campaigns.  The third-party contractor will also be available for peak period calls that cannot be handled by PPL EU and PPLSolutions.   The third-party F</w:t>
      </w:r>
      <w:r w:rsidRPr="00A93759">
        <w:t>lorida call cente</w:t>
      </w:r>
      <w:r>
        <w:t xml:space="preserve">r will be used </w:t>
      </w:r>
      <w:r w:rsidRPr="00A93759">
        <w:t>f</w:t>
      </w:r>
      <w:r>
        <w:t>or</w:t>
      </w:r>
      <w:r w:rsidRPr="00A93759">
        <w:t xml:space="preserve"> disaster recovery and redundancy</w:t>
      </w:r>
      <w:r>
        <w:t>.</w:t>
      </w:r>
    </w:p>
    <w:p w:rsidR="00AC40FC" w:rsidRDefault="00AC40FC" w:rsidP="00701DCF">
      <w:r>
        <w:t xml:space="preserve">The most frequently used services provided by PPLSolutions have been for payment arrangements and connect/disconnects, representing about </w:t>
      </w:r>
      <w:r w:rsidRPr="00953B54">
        <w:t>78</w:t>
      </w:r>
      <w:r>
        <w:t xml:space="preserve">% of the billed services.  About 85% </w:t>
      </w:r>
      <w:r w:rsidRPr="00ED6ACD">
        <w:t xml:space="preserve">of calls are received between </w:t>
      </w:r>
      <w:r>
        <w:t xml:space="preserve">the </w:t>
      </w:r>
      <w:r w:rsidRPr="00ED6ACD">
        <w:t xml:space="preserve">hours of 8 </w:t>
      </w:r>
      <w:r>
        <w:t>AM to 5 PM</w:t>
      </w:r>
      <w:r w:rsidRPr="00ED6ACD">
        <w:t>, Monday</w:t>
      </w:r>
      <w:r>
        <w:t xml:space="preserve"> through</w:t>
      </w:r>
      <w:r w:rsidRPr="00ED6ACD">
        <w:t xml:space="preserve"> Friday.</w:t>
      </w:r>
    </w:p>
    <w:p w:rsidR="00AC40FC" w:rsidRDefault="00AC40FC" w:rsidP="00701DCF">
      <w:r>
        <w:t xml:space="preserve">The Customer Service System (CSS) is the primary platform for handling the work of the CSRs.  Other systems interact with CSS, such as the </w:t>
      </w:r>
      <w:r w:rsidRPr="00E856B9">
        <w:t>Continuous Transition Program (CTP</w:t>
      </w:r>
      <w:r>
        <w:t>)</w:t>
      </w:r>
      <w:r w:rsidRPr="00E856B9">
        <w:t xml:space="preserve"> that is built on top of </w:t>
      </w:r>
      <w:r>
        <w:t xml:space="preserve">the </w:t>
      </w:r>
      <w:r w:rsidRPr="00E856B9">
        <w:t>CSS.  T</w:t>
      </w:r>
      <w:r>
        <w:t>he CTP reduced</w:t>
      </w:r>
      <w:r w:rsidRPr="00E856B9">
        <w:t xml:space="preserve"> the number of windows that need to be open</w:t>
      </w:r>
      <w:r>
        <w:t>ed by</w:t>
      </w:r>
      <w:r w:rsidRPr="00E856B9">
        <w:t xml:space="preserve"> </w:t>
      </w:r>
      <w:r>
        <w:t>the CSRs a</w:t>
      </w:r>
      <w:r w:rsidRPr="00E856B9">
        <w:t xml:space="preserve">nd </w:t>
      </w:r>
      <w:r>
        <w:t>the CTP provides</w:t>
      </w:r>
      <w:r w:rsidRPr="00E856B9">
        <w:t xml:space="preserve"> scripts</w:t>
      </w:r>
      <w:r>
        <w:t xml:space="preserve"> to assist the CSRs during the calls. </w:t>
      </w:r>
    </w:p>
    <w:p w:rsidR="00AC40FC" w:rsidRPr="00514F4B" w:rsidRDefault="00AC40FC" w:rsidP="00701DCF">
      <w:r>
        <w:t xml:space="preserve">Customer Experience is reassessing its existing performance indicators to determine relevance and value in achieving improved customer experience and reducing costs.  </w:t>
      </w:r>
      <w:r>
        <w:lastRenderedPageBreak/>
        <w:t>These metrics include:  Customer Satisfaction Scores, First Contact Resolution, Transfer Rate, and Service Level.  New analysis and additional data may lead to better metrics and may provide targets that are challenging but achievable through operational and process changes.  The Customer Services Operations group, which recently consolidated analytic and performance management skills, has been working with Customer Experience and the call centers as part of the reassessment.</w:t>
      </w:r>
    </w:p>
    <w:p w:rsidR="00AC40FC" w:rsidRPr="00C43400" w:rsidRDefault="00AC40FC" w:rsidP="00701DCF">
      <w:r w:rsidRPr="00C43400">
        <w:t>An “Agent Scorecard” is used to measure performance of the CSRs in the CCCs.  The existing scorecard displays the following metrics:  FCR (First Call Resolution), ATS (Adherence to Schedule), ACW (After Call Work), Hold (Average time calls placed on hold), Calls Handled (number of calls handled by the agent or group), Auxiliary Percent (percentage of time spent in non-phone time compared to staffed time), and Transfer Percent (total transfers divided by calls handled).</w:t>
      </w:r>
      <w:r>
        <w:t xml:space="preserve">  These metrics are consistently applied at the PPL EU, PPLSolutions, and contractor call centers.</w:t>
      </w:r>
      <w:r w:rsidRPr="00C43400">
        <w:t xml:space="preserve">  Customer Services is working with a contractor </w:t>
      </w:r>
      <w:r w:rsidRPr="00C43400">
        <w:rPr>
          <w:rFonts w:cs="Arial"/>
          <w:color w:val="17181C"/>
        </w:rPr>
        <w:t>specializing in solutions for measuring, monitoring, and analyzing business performance in contact centers</w:t>
      </w:r>
      <w:r w:rsidRPr="00C43400">
        <w:t xml:space="preserve"> to develop and build a new agent scorecard.</w:t>
      </w:r>
      <w:r>
        <w:t xml:space="preserve">  </w:t>
      </w:r>
    </w:p>
    <w:p w:rsidR="00AC40FC" w:rsidRDefault="00AC40FC" w:rsidP="00701DCF">
      <w:pPr>
        <w:pStyle w:val="Heading40"/>
      </w:pPr>
      <w:r>
        <w:t>Training, Development, and Quality Assurance</w:t>
      </w:r>
    </w:p>
    <w:p w:rsidR="00AC40FC" w:rsidRDefault="00AC40FC" w:rsidP="00701DCF">
      <w:r>
        <w:t>The Supervisor of Training, Development, and QA reports to the Director of Customer Experience and has seven staff that support the call centers by providing call quality assurance monitoring, call assessment contractor management, and CSR training and development.  The group also performs email audits and focused audits of the CCCs.</w:t>
      </w:r>
    </w:p>
    <w:p w:rsidR="00AC40FC" w:rsidRDefault="00AC40FC" w:rsidP="00701DCF">
      <w:r>
        <w:t xml:space="preserve">Call Assessments of the CSRs are based on 18 characteristics, such as warm welcome, clear communication, effective listening, genuine concern, information quality, and efficiency.  The reports include discussion of the opportunities for improving specific characteristics.  </w:t>
      </w:r>
      <w:r w:rsidRPr="00F40E9F">
        <w:t xml:space="preserve">Recommendations are made to the supervisors for discussion with the </w:t>
      </w:r>
      <w:r>
        <w:t>CSR</w:t>
      </w:r>
      <w:r w:rsidRPr="00F40E9F">
        <w:t>s.</w:t>
      </w:r>
      <w:r>
        <w:t xml:space="preserve"> The report summarizes the results into five categories:  Does Not Meet Expectations, Needs Improvement, Meets Expectations, Very Good, and Excellent.</w:t>
      </w:r>
      <w:r w:rsidRPr="00440B39">
        <w:t xml:space="preserve"> </w:t>
      </w:r>
      <w:r>
        <w:t xml:space="preserve">  </w:t>
      </w:r>
    </w:p>
    <w:p w:rsidR="00AC40FC" w:rsidRDefault="00AC40FC" w:rsidP="00701DCF">
      <w:r>
        <w:t xml:space="preserve"> The QA team has been working with all of PPL EU’s CCCs and the contractor call centers to periodically listen in and calibrate assessments of calls to ensure consistency for the Call Assessments among the call centers.  Customer Services increased sampling from two to four calls per month in 2015. </w:t>
      </w:r>
    </w:p>
    <w:p w:rsidR="00AC40FC" w:rsidRDefault="00AC40FC" w:rsidP="00701DCF">
      <w:r>
        <w:t>The group conducts standard training classes for new employees by call type and for each CSR title progression level and provides training for PPLSolutions’ trainers.  PPLSolutions trains its own call center CSRs according to training materials and directions from PPL EU.  PPLSolutions also performs quality assurance call monitoring and participates with PPL EU in Call Assessment calibration sessions.  PPLSolutions’ fees include supervision, quality assurance, and training.</w:t>
      </w:r>
    </w:p>
    <w:p w:rsidR="00AC40FC" w:rsidRDefault="00AC40FC" w:rsidP="00701DCF">
      <w:pPr>
        <w:pStyle w:val="Heading40"/>
      </w:pPr>
      <w:r>
        <w:t>Major Accounts</w:t>
      </w:r>
    </w:p>
    <w:p w:rsidR="00AC40FC" w:rsidRPr="000308CA" w:rsidRDefault="00AC40FC" w:rsidP="00701DCF">
      <w:pPr>
        <w:rPr>
          <w:b/>
        </w:rPr>
      </w:pPr>
      <w:r w:rsidRPr="000308CA">
        <w:t xml:space="preserve">The Major Accounts group is </w:t>
      </w:r>
      <w:r>
        <w:t xml:space="preserve">led by a Manager and is </w:t>
      </w:r>
      <w:r w:rsidRPr="000308CA">
        <w:t>responsible for interfacing with small and large commercial and industrial accounts</w:t>
      </w:r>
      <w:r>
        <w:t xml:space="preserve"> through two subgroups.  The </w:t>
      </w:r>
      <w:r w:rsidRPr="000308CA">
        <w:t xml:space="preserve">Key Account Managers </w:t>
      </w:r>
      <w:r>
        <w:t>(KAMs)</w:t>
      </w:r>
      <w:r w:rsidRPr="000308CA">
        <w:t xml:space="preserve"> visit the largest customers in the PPL EU service territory</w:t>
      </w:r>
      <w:r>
        <w:t xml:space="preserve">. </w:t>
      </w:r>
      <w:r>
        <w:rPr>
          <w:b/>
        </w:rPr>
        <w:t xml:space="preserve"> </w:t>
      </w:r>
      <w:r w:rsidRPr="000308CA">
        <w:t xml:space="preserve">The </w:t>
      </w:r>
      <w:r>
        <w:t>Business Account Specialists (BASs)</w:t>
      </w:r>
      <w:r w:rsidRPr="000308CA">
        <w:t xml:space="preserve"> respon</w:t>
      </w:r>
      <w:r>
        <w:t xml:space="preserve">d to and initiate calls in an office </w:t>
      </w:r>
      <w:r>
        <w:lastRenderedPageBreak/>
        <w:t xml:space="preserve">setting.  </w:t>
      </w:r>
      <w:r w:rsidRPr="000308CA">
        <w:t>Both groups handle customer billing inquiries, service requests, service expansions</w:t>
      </w:r>
      <w:r>
        <w:t>,</w:t>
      </w:r>
      <w:r w:rsidRPr="000308CA">
        <w:t xml:space="preserve"> and other customer issues.</w:t>
      </w:r>
    </w:p>
    <w:p w:rsidR="00AC40FC" w:rsidRDefault="00AC40FC" w:rsidP="00701DCF">
      <w:r>
        <w:t xml:space="preserve">There </w:t>
      </w:r>
      <w:r w:rsidRPr="00116BF6">
        <w:t>are five KAMs</w:t>
      </w:r>
      <w:r>
        <w:t xml:space="preserve"> that are assigned to more than 200 Key Accounts to provide frequent and personalized communications to large power customers and reliable and timely intelligence back to PPL EU functions requiring the information.  The functions of the Key Account Managers are:</w:t>
      </w:r>
    </w:p>
    <w:p w:rsidR="00AC40FC" w:rsidRDefault="00AC40FC" w:rsidP="00701DCF">
      <w:pPr>
        <w:pStyle w:val="Bullet"/>
      </w:pPr>
      <w:r>
        <w:t>Act as the primary liaison between PPL EU and its major industrial and commercial customers for business and operational matters related to the cost of electricity (tariffs and rates), especially shopping, rate cases, load, and energy management programs.  This relationship enables PPL EU to obtain timely intelligence about customer plans that could impact electric service.</w:t>
      </w:r>
    </w:p>
    <w:p w:rsidR="00AC40FC" w:rsidRDefault="00AC40FC" w:rsidP="00701DCF">
      <w:pPr>
        <w:pStyle w:val="Bullet"/>
      </w:pPr>
      <w:r>
        <w:t>Develop and sustain an effective relationship with assigned accounts in a manner that earns the trust and confidence of customers relative to how the electricity provided by PPL EU impacts their business.</w:t>
      </w:r>
    </w:p>
    <w:p w:rsidR="00AC40FC" w:rsidRDefault="00AC40FC" w:rsidP="00701DCF">
      <w:pPr>
        <w:pStyle w:val="Bullet"/>
      </w:pPr>
      <w:r>
        <w:t xml:space="preserve">Provide PPL EU with accurate and timely intelligence regarding customers’ plans related to energy consumption and use, opinions about rate options and tariffs, service needs, and overall opinion about PPL EU. </w:t>
      </w:r>
    </w:p>
    <w:p w:rsidR="00AC40FC" w:rsidRDefault="00AC40FC" w:rsidP="00701DCF">
      <w:pPr>
        <w:pStyle w:val="Bullet"/>
      </w:pPr>
      <w:r>
        <w:t>Maintain up-to-date knowledge about issues, rates, and service requirements and broker timely and effective responses to customer issues and questions about electric service and related economic issues.  This accountability includes an understanding of the customer business issues that are affected by PPL EU's service requirements, rates, and tariffs.</w:t>
      </w:r>
    </w:p>
    <w:p w:rsidR="00AC40FC" w:rsidRDefault="00AC40FC" w:rsidP="00701DCF">
      <w:pPr>
        <w:pStyle w:val="Normal-aftertable"/>
      </w:pPr>
      <w:r>
        <w:t xml:space="preserve">There </w:t>
      </w:r>
      <w:r w:rsidRPr="00116BF6">
        <w:t>are six BASs</w:t>
      </w:r>
      <w:r>
        <w:t xml:space="preserve"> and their functions are:</w:t>
      </w:r>
    </w:p>
    <w:p w:rsidR="00AC40FC" w:rsidRDefault="00AC40FC" w:rsidP="00701DCF">
      <w:pPr>
        <w:pStyle w:val="Bullet"/>
      </w:pPr>
      <w:r>
        <w:t xml:space="preserve">Respond to internal/external inquiries, requests, and complaints by phone, email, or in person while complying with PUC regulations, tariff rules, and company policies and procedures. The team initiates outbound phone calls to existing customers to help educate the customer on rate options and choices and to continue fostering positive relationship building and a single point of contact.  The BASs respond to electric service, billing, tariff, and customer choice issues. Common tasks include responding to high bill calls, analyzing and correcting billing errors, and providing operating cost projections related to rate changes, planned new equipment or entirely new customer facilities, and electricity purchasing process in Pennsylvania’s deregulated marketplace. </w:t>
      </w:r>
    </w:p>
    <w:p w:rsidR="00AC40FC" w:rsidRDefault="00AC40FC" w:rsidP="00701DCF">
      <w:pPr>
        <w:pStyle w:val="Bullet"/>
      </w:pPr>
      <w:r>
        <w:t xml:space="preserve">Analyze customers’ electric usage and service needs and advise on proper voltage and rate schedule for efficient and least cost operation of their facilities. They interpret and comply with tariff rules and rate schedule provisions that apply to industrial and commercial customers and document customer inquiries and the company’s responses and/or actions. </w:t>
      </w:r>
    </w:p>
    <w:p w:rsidR="00AC40FC" w:rsidRDefault="00AC40FC" w:rsidP="00701DCF">
      <w:pPr>
        <w:pStyle w:val="Bullet"/>
      </w:pPr>
      <w:r>
        <w:t xml:space="preserve">Develop an understanding of customers’ operations in order to obtain accurate service requirements and load estimates for new electric service requests and service changes for the customer’s facilities. They initiate work requests related to these projects and assist with modifications and follow-up work requests as needed. </w:t>
      </w:r>
    </w:p>
    <w:p w:rsidR="00AC40FC" w:rsidRDefault="00AC40FC" w:rsidP="00701DCF">
      <w:pPr>
        <w:pStyle w:val="Bullet"/>
      </w:pPr>
      <w:r>
        <w:lastRenderedPageBreak/>
        <w:t xml:space="preserve">Initiate contacts with customers to provide them information on how to purchase electricity as well as the resources available to support the customers in the purchasing process. These activities include inbound and outbound customer calls. </w:t>
      </w:r>
    </w:p>
    <w:p w:rsidR="00AC40FC" w:rsidRDefault="00AC40FC" w:rsidP="00701DCF">
      <w:pPr>
        <w:pStyle w:val="Bullet"/>
      </w:pPr>
      <w:r>
        <w:t>Act as a customer advocate and liaison with appropriate company personnel during outages.  They provide outage information necessary for customers to make decisions about their operations. They resolve service issues by working with other PPL EU employees in Distribution Operations, Engineering, Planning, and System Operations.</w:t>
      </w:r>
    </w:p>
    <w:p w:rsidR="00AC40FC" w:rsidRDefault="00AC40FC" w:rsidP="00701DCF">
      <w:pPr>
        <w:pStyle w:val="Normal-aftertable"/>
      </w:pPr>
      <w:r>
        <w:t>Major Accounts had two initiatives underway to improve services that it provides to customers and a customer satisfaction survey program was under development:</w:t>
      </w:r>
    </w:p>
    <w:p w:rsidR="00AC40FC" w:rsidRDefault="00AC40FC" w:rsidP="00701DCF">
      <w:pPr>
        <w:pStyle w:val="Bullet"/>
      </w:pPr>
      <w:r>
        <w:t>From benchmarking other utilities, Major Accounts has identified additional useful information for the customer profile, including:  a summary of all accounts associated with the customer’s main account, key contacts and secondary contacts at the facility, a summary of operations, fiscal information such as budget cycle dates, peak load information, operations schedule, planned power quality improvements, energy efficiency projects, and maintenance schedule.</w:t>
      </w:r>
    </w:p>
    <w:p w:rsidR="00AC40FC" w:rsidRDefault="00AC40FC" w:rsidP="00701DCF">
      <w:pPr>
        <w:pStyle w:val="Bullet"/>
      </w:pPr>
      <w:r>
        <w:t>The Key Account Customer on-line survey was under development and a draft questionnaire was being considered.  The questions were designed to elicit responses primarily regarding the customer’s experience with communications with the Key Account Manager for that customer.</w:t>
      </w:r>
    </w:p>
    <w:p w:rsidR="00AC40FC" w:rsidRDefault="00AC40FC" w:rsidP="00701DCF">
      <w:pPr>
        <w:pStyle w:val="Heading40"/>
      </w:pPr>
      <w:r>
        <w:t>Customer Experience</w:t>
      </w:r>
    </w:p>
    <w:p w:rsidR="00AC40FC" w:rsidRPr="003F52AD" w:rsidRDefault="00AC40FC" w:rsidP="00701DCF">
      <w:r>
        <w:t>The</w:t>
      </w:r>
      <w:r w:rsidRPr="00005591">
        <w:t xml:space="preserve"> </w:t>
      </w:r>
      <w:r>
        <w:t xml:space="preserve">newly created </w:t>
      </w:r>
      <w:r w:rsidRPr="00005591">
        <w:t>Customer Experience</w:t>
      </w:r>
      <w:r>
        <w:t xml:space="preserve"> Digital Strategies</w:t>
      </w:r>
      <w:r w:rsidRPr="00005591">
        <w:t xml:space="preserve"> </w:t>
      </w:r>
      <w:r>
        <w:t>team is responsible for digital strategies, including channel planning and analytics.  The team focuses on</w:t>
      </w:r>
      <w:r w:rsidRPr="00C477F7">
        <w:t xml:space="preserve"> </w:t>
      </w:r>
      <w:r>
        <w:t>developing and implementing Customer Services’ digital strategy for an enhanced digital experience for customers.  Long term, the team will help develop and deliver</w:t>
      </w:r>
      <w:r w:rsidRPr="003F52AD">
        <w:t xml:space="preserve"> </w:t>
      </w:r>
      <w:r>
        <w:t xml:space="preserve">a multi-channel strategy, defined as </w:t>
      </w:r>
      <w:r w:rsidRPr="003F52AD">
        <w:t>a consistent</w:t>
      </w:r>
      <w:r>
        <w:t xml:space="preserve"> and seamless </w:t>
      </w:r>
      <w:r w:rsidRPr="003F52AD">
        <w:t>experience across all digital support platforms (web</w:t>
      </w:r>
      <w:r>
        <w:t xml:space="preserve">, </w:t>
      </w:r>
      <w:r w:rsidRPr="003F52AD">
        <w:t xml:space="preserve">mobile, email, social media, live-chat, </w:t>
      </w:r>
      <w:r>
        <w:t>and IVR). By doing so, they are making i</w:t>
      </w:r>
      <w:r w:rsidRPr="003F52AD">
        <w:t xml:space="preserve">t easier for customers to do business with </w:t>
      </w:r>
      <w:r>
        <w:t>them and d</w:t>
      </w:r>
      <w:r w:rsidRPr="003F52AD">
        <w:t xml:space="preserve">elivering streamlined solutions that empower </w:t>
      </w:r>
      <w:r>
        <w:t>the customer</w:t>
      </w:r>
      <w:r w:rsidRPr="003F52AD">
        <w:t xml:space="preserve"> to transact or engage how and where they prefer.</w:t>
      </w:r>
    </w:p>
    <w:p w:rsidR="00AC40FC" w:rsidRDefault="00AC40FC" w:rsidP="00701DCF">
      <w:r>
        <w:t>There are nine positions reporting to the Manager of the Customer Experience:</w:t>
      </w:r>
    </w:p>
    <w:p w:rsidR="00AC40FC" w:rsidRPr="003F52AD" w:rsidRDefault="00AC40FC" w:rsidP="00701DCF">
      <w:pPr>
        <w:pStyle w:val="Bullet"/>
      </w:pPr>
      <w:r w:rsidRPr="003F52AD">
        <w:t>Program Marketing Specialist</w:t>
      </w:r>
      <w:r>
        <w:t xml:space="preserve"> - C</w:t>
      </w:r>
      <w:r w:rsidRPr="003F52AD">
        <w:t>raft</w:t>
      </w:r>
      <w:r>
        <w:t>s</w:t>
      </w:r>
      <w:r w:rsidRPr="003F52AD">
        <w:t xml:space="preserve"> effective marketing solutions</w:t>
      </w:r>
      <w:r>
        <w:t>;</w:t>
      </w:r>
      <w:r w:rsidRPr="003F52AD">
        <w:t xml:space="preserve"> manage</w:t>
      </w:r>
      <w:r>
        <w:t>s</w:t>
      </w:r>
      <w:r w:rsidRPr="003F52AD">
        <w:t xml:space="preserve"> various vendors, multi-disciplinary teams</w:t>
      </w:r>
      <w:r>
        <w:t>,</w:t>
      </w:r>
      <w:r w:rsidRPr="003F52AD">
        <w:t xml:space="preserve"> and content</w:t>
      </w:r>
      <w:r>
        <w:t>; and</w:t>
      </w:r>
      <w:r w:rsidRPr="003F52AD">
        <w:t xml:space="preserve"> ultimately empower</w:t>
      </w:r>
      <w:r>
        <w:t>s</w:t>
      </w:r>
      <w:r w:rsidRPr="003F52AD">
        <w:t xml:space="preserve"> and execut</w:t>
      </w:r>
      <w:r>
        <w:t>es</w:t>
      </w:r>
      <w:r w:rsidRPr="003F52AD">
        <w:t xml:space="preserve"> best in class customer engagement strategies. </w:t>
      </w:r>
      <w:r>
        <w:t xml:space="preserve"> D</w:t>
      </w:r>
      <w:r w:rsidRPr="003F52AD">
        <w:t>evelops and implements marketing strategies across multiple mediums, writes marketing material, ensures marketing content meets brand standards, executes campaigns</w:t>
      </w:r>
      <w:r>
        <w:t>,</w:t>
      </w:r>
      <w:r w:rsidRPr="003F52AD">
        <w:t xml:space="preserve"> and serves as a subject matter expert to vendors and internal clients</w:t>
      </w:r>
      <w:r>
        <w:t>.</w:t>
      </w:r>
    </w:p>
    <w:p w:rsidR="00AC40FC" w:rsidRPr="003F52AD" w:rsidRDefault="00AC40FC" w:rsidP="00701DCF">
      <w:pPr>
        <w:pStyle w:val="Bullet"/>
      </w:pPr>
      <w:r w:rsidRPr="003F52AD">
        <w:t>Digital Media Specialist</w:t>
      </w:r>
      <w:r>
        <w:t>s (two positions) - P</w:t>
      </w:r>
      <w:r w:rsidRPr="003F52AD">
        <w:t>rovide</w:t>
      </w:r>
      <w:r>
        <w:t>s</w:t>
      </w:r>
      <w:r w:rsidRPr="003F52AD">
        <w:t xml:space="preserve"> customers </w:t>
      </w:r>
      <w:r>
        <w:t xml:space="preserve">with </w:t>
      </w:r>
      <w:r w:rsidRPr="003F52AD">
        <w:t xml:space="preserve">timely and accurate resolution to a variety of different customer service issues </w:t>
      </w:r>
      <w:r>
        <w:t xml:space="preserve">and complaints </w:t>
      </w:r>
      <w:r w:rsidRPr="003F52AD">
        <w:t xml:space="preserve">that they send through various digital media channels. Once in communication with a customer, the Specialist will own that conversation until resolution or an escalation of the issue takes place and the loop is closed. </w:t>
      </w:r>
      <w:r>
        <w:t xml:space="preserve"> </w:t>
      </w:r>
      <w:r w:rsidRPr="003F52AD">
        <w:t xml:space="preserve">The </w:t>
      </w:r>
      <w:r w:rsidRPr="003F52AD">
        <w:lastRenderedPageBreak/>
        <w:t>Specialist will participate in the evolution of PPL</w:t>
      </w:r>
      <w:r>
        <w:t xml:space="preserve"> EU</w:t>
      </w:r>
      <w:r w:rsidRPr="003F52AD">
        <w:t xml:space="preserve">'s digital customer care strategy aimed at making customers happier, </w:t>
      </w:r>
      <w:r>
        <w:t>resolve issues more quickly</w:t>
      </w:r>
      <w:r w:rsidRPr="003F52AD">
        <w:t xml:space="preserve"> and on their terms. The Specialist </w:t>
      </w:r>
      <w:r>
        <w:t>will work through</w:t>
      </w:r>
      <w:r w:rsidRPr="003F52AD">
        <w:t xml:space="preserve"> multiple social media channels (Facebook, Twitter, </w:t>
      </w:r>
      <w:r>
        <w:t xml:space="preserve">and </w:t>
      </w:r>
      <w:r w:rsidRPr="003F52AD">
        <w:t xml:space="preserve">Google+) </w:t>
      </w:r>
      <w:r>
        <w:t>and email.</w:t>
      </w:r>
    </w:p>
    <w:p w:rsidR="00AC40FC" w:rsidRPr="003F52AD" w:rsidRDefault="00AC40FC" w:rsidP="00701DCF">
      <w:pPr>
        <w:pStyle w:val="Bullet"/>
      </w:pPr>
      <w:r w:rsidRPr="003F52AD">
        <w:t xml:space="preserve">Customer Experience </w:t>
      </w:r>
      <w:r>
        <w:t>and</w:t>
      </w:r>
      <w:r w:rsidRPr="003F52AD">
        <w:t xml:space="preserve"> Web Curator</w:t>
      </w:r>
      <w:r>
        <w:t xml:space="preserve"> - A</w:t>
      </w:r>
      <w:r w:rsidRPr="003F52AD">
        <w:t>ssists in the creation of customer-facing website</w:t>
      </w:r>
      <w:r>
        <w:t xml:space="preserve"> pages</w:t>
      </w:r>
      <w:r w:rsidRPr="003F52AD">
        <w:t xml:space="preserve"> as well as internal and external customer communications.</w:t>
      </w:r>
      <w:r>
        <w:t xml:space="preserve"> </w:t>
      </w:r>
      <w:r w:rsidRPr="003F52AD">
        <w:t xml:space="preserve"> Key initiatives will include the creation and promotion of web content that helps customers self-serve, understand their electricity use, manage their account</w:t>
      </w:r>
      <w:r>
        <w:t>s,</w:t>
      </w:r>
      <w:r w:rsidRPr="003F52AD">
        <w:t xml:space="preserve"> and participate in programs and services that can help them s</w:t>
      </w:r>
      <w:r>
        <w:t>ave money.</w:t>
      </w:r>
    </w:p>
    <w:p w:rsidR="00AC40FC" w:rsidRDefault="00AC40FC" w:rsidP="00701DCF">
      <w:pPr>
        <w:pStyle w:val="Bullet"/>
      </w:pPr>
      <w:r>
        <w:t>Senior User E</w:t>
      </w:r>
      <w:r w:rsidRPr="003F52AD">
        <w:t>xperience</w:t>
      </w:r>
      <w:r>
        <w:t xml:space="preserve"> Web D</w:t>
      </w:r>
      <w:r w:rsidRPr="003F52AD">
        <w:t xml:space="preserve">esigner </w:t>
      </w:r>
      <w:r>
        <w:t>- I</w:t>
      </w:r>
      <w:r w:rsidRPr="003F52AD">
        <w:t>nvolved in the development and execution of high-end creative solutions and interaction design concepts for website, blogs, social media, outbound emails</w:t>
      </w:r>
      <w:r>
        <w:t>,</w:t>
      </w:r>
      <w:r w:rsidRPr="003F52AD">
        <w:t xml:space="preserve"> and other digital chan</w:t>
      </w:r>
      <w:r>
        <w:t>nels.</w:t>
      </w:r>
    </w:p>
    <w:p w:rsidR="00AC40FC" w:rsidRDefault="00AC40FC" w:rsidP="00701DCF">
      <w:pPr>
        <w:pStyle w:val="Bullet"/>
      </w:pPr>
      <w:r w:rsidRPr="003F52AD">
        <w:t>Market Researcher</w:t>
      </w:r>
      <w:r>
        <w:t xml:space="preserve"> (two positions) - P</w:t>
      </w:r>
      <w:r w:rsidRPr="003F52AD">
        <w:t>rovide</w:t>
      </w:r>
      <w:r>
        <w:t>s</w:t>
      </w:r>
      <w:r w:rsidRPr="003F52AD">
        <w:t xml:space="preserve"> analytical and business support for Market Research. </w:t>
      </w:r>
      <w:r>
        <w:t xml:space="preserve"> S</w:t>
      </w:r>
      <w:r w:rsidRPr="003F52AD">
        <w:t>upport</w:t>
      </w:r>
      <w:r>
        <w:t>s</w:t>
      </w:r>
      <w:r w:rsidRPr="003F52AD">
        <w:t xml:space="preserve"> the organization with market research, brand awareness, consumer sentiment, and competitive benchmarking.</w:t>
      </w:r>
      <w:r>
        <w:t xml:space="preserve"> </w:t>
      </w:r>
      <w:r w:rsidRPr="003F52AD">
        <w:t xml:space="preserve"> </w:t>
      </w:r>
      <w:r>
        <w:t>P</w:t>
      </w:r>
      <w:r w:rsidRPr="003F52AD">
        <w:t>articipate</w:t>
      </w:r>
      <w:r>
        <w:t>s</w:t>
      </w:r>
      <w:r w:rsidRPr="003F52AD">
        <w:t xml:space="preserve"> in the marketing and communications strategy, manage</w:t>
      </w:r>
      <w:r>
        <w:t>s</w:t>
      </w:r>
      <w:r w:rsidRPr="003F52AD">
        <w:t xml:space="preserve"> research projects</w:t>
      </w:r>
      <w:r>
        <w:t>,</w:t>
      </w:r>
      <w:r w:rsidRPr="003F52AD">
        <w:t xml:space="preserve"> and support</w:t>
      </w:r>
      <w:r>
        <w:t>s</w:t>
      </w:r>
      <w:r w:rsidRPr="003F52AD">
        <w:t xml:space="preserve"> the custome</w:t>
      </w:r>
      <w:r>
        <w:t>r experience team.</w:t>
      </w:r>
    </w:p>
    <w:p w:rsidR="00AC40FC" w:rsidRDefault="00AC40FC" w:rsidP="00701DCF">
      <w:pPr>
        <w:pStyle w:val="Bullet"/>
      </w:pPr>
      <w:r w:rsidRPr="003F52AD">
        <w:t>Internal Communications Specialist</w:t>
      </w:r>
      <w:r>
        <w:t xml:space="preserve"> - R</w:t>
      </w:r>
      <w:r w:rsidRPr="003F52AD">
        <w:t xml:space="preserve">esponsible for the development, distribution, and follow up as it relates to communications within the </w:t>
      </w:r>
      <w:r>
        <w:t xml:space="preserve">customer contact centers. </w:t>
      </w:r>
      <w:r w:rsidRPr="003F52AD">
        <w:t xml:space="preserve"> Applies knowledge and understanding of change management principles and communication techniques and technologies to ensure work</w:t>
      </w:r>
      <w:r>
        <w:t xml:space="preserve"> </w:t>
      </w:r>
      <w:r w:rsidRPr="003F52AD">
        <w:t xml:space="preserve">force readiness. </w:t>
      </w:r>
      <w:r>
        <w:t xml:space="preserve"> E</w:t>
      </w:r>
      <w:r w:rsidRPr="003F52AD">
        <w:t>ngages with other depart</w:t>
      </w:r>
      <w:r>
        <w:t>ments</w:t>
      </w:r>
      <w:r w:rsidRPr="003F52AD">
        <w:t xml:space="preserve"> to effectively manage the timing, content, and coordination of multiple messages from multiple internal and external groups</w:t>
      </w:r>
      <w:r>
        <w:t xml:space="preserve"> to customers</w:t>
      </w:r>
      <w:r w:rsidRPr="003F52AD">
        <w:t xml:space="preserve">. </w:t>
      </w:r>
      <w:r>
        <w:t xml:space="preserve"> </w:t>
      </w:r>
      <w:r w:rsidRPr="003F52AD">
        <w:t xml:space="preserve">Partners with training, </w:t>
      </w:r>
      <w:r>
        <w:t xml:space="preserve">subject matter experts, </w:t>
      </w:r>
      <w:r w:rsidRPr="003F52AD">
        <w:t>process improvement specialists</w:t>
      </w:r>
      <w:r>
        <w:t>,</w:t>
      </w:r>
      <w:r w:rsidRPr="003F52AD">
        <w:t xml:space="preserve"> and other staff to provide a knowledge base and other reference materials that facilitates ease of learning and use. Pursues latest communication tools and technologies and benchmarks other industry communication trends.</w:t>
      </w:r>
    </w:p>
    <w:p w:rsidR="00AC40FC" w:rsidRPr="0057652B" w:rsidRDefault="00AC40FC" w:rsidP="00701DCF">
      <w:pPr>
        <w:pStyle w:val="Bullet"/>
      </w:pPr>
      <w:r w:rsidRPr="003F52AD">
        <w:t>Speech Analytics Coordinator</w:t>
      </w:r>
      <w:r>
        <w:t xml:space="preserve"> - P</w:t>
      </w:r>
      <w:r w:rsidRPr="003F52AD">
        <w:t>rovides strategic analytical support to drive better customer experien</w:t>
      </w:r>
      <w:r>
        <w:t>ce, operational efficiency, and consumer c</w:t>
      </w:r>
      <w:r w:rsidRPr="003F52AD">
        <w:t xml:space="preserve">omplaints analytics. </w:t>
      </w:r>
      <w:r>
        <w:t xml:space="preserve"> D</w:t>
      </w:r>
      <w:r w:rsidRPr="003F52AD">
        <w:t>esign</w:t>
      </w:r>
      <w:r>
        <w:t>s</w:t>
      </w:r>
      <w:r w:rsidRPr="003F52AD">
        <w:t xml:space="preserve"> and conduct</w:t>
      </w:r>
      <w:r>
        <w:t>s</w:t>
      </w:r>
      <w:r w:rsidRPr="003F52AD">
        <w:t xml:space="preserve"> ad-hoc analys</w:t>
      </w:r>
      <w:r>
        <w:t>e</w:t>
      </w:r>
      <w:r w:rsidRPr="003F52AD">
        <w:t>s and develop</w:t>
      </w:r>
      <w:r>
        <w:t>s</w:t>
      </w:r>
      <w:r w:rsidRPr="003F52AD">
        <w:t xml:space="preserve"> advanced statistical models to identify root causes related to customer experience, operational risks and efficiency, evaluate</w:t>
      </w:r>
      <w:r>
        <w:t>s</w:t>
      </w:r>
      <w:r w:rsidRPr="003F52AD">
        <w:t xml:space="preserve"> business impacts and identif</w:t>
      </w:r>
      <w:r>
        <w:t>ies</w:t>
      </w:r>
      <w:r w:rsidRPr="003F52AD">
        <w:t xml:space="preserve"> opportunities for continuous process improvements.</w:t>
      </w:r>
    </w:p>
    <w:p w:rsidR="00AC40FC" w:rsidRDefault="00AC40FC" w:rsidP="00701DCF">
      <w:pPr>
        <w:pStyle w:val="Normal-aftertable"/>
      </w:pPr>
      <w:r w:rsidRPr="0057652B">
        <w:t xml:space="preserve">Customer Services is planning to implement </w:t>
      </w:r>
      <w:r>
        <w:t xml:space="preserve">a Speech Analytics Tool.  </w:t>
      </w:r>
      <w:r w:rsidRPr="003F52AD">
        <w:t>Speech analytics will allow PPL E</w:t>
      </w:r>
      <w:r>
        <w:t>U</w:t>
      </w:r>
      <w:r w:rsidRPr="003F52AD">
        <w:t xml:space="preserve"> to more easily track key </w:t>
      </w:r>
      <w:r>
        <w:t>real-time business issues</w:t>
      </w:r>
      <w:r w:rsidRPr="003F52AD">
        <w:t xml:space="preserve">. The software will </w:t>
      </w:r>
      <w:r>
        <w:t xml:space="preserve">provide keyword and phrase identification and </w:t>
      </w:r>
      <w:r w:rsidRPr="003F52AD">
        <w:t xml:space="preserve">analyze both </w:t>
      </w:r>
      <w:r>
        <w:t xml:space="preserve">call agent </w:t>
      </w:r>
      <w:r w:rsidRPr="003F52AD">
        <w:t xml:space="preserve">and customer audio streams separately to understand the context of spoken words. </w:t>
      </w:r>
      <w:r>
        <w:t xml:space="preserve"> Perhaps </w:t>
      </w:r>
      <w:r w:rsidRPr="003F52AD">
        <w:t xml:space="preserve">most importantly, using speech analytics will allow </w:t>
      </w:r>
      <w:r>
        <w:t xml:space="preserve">identification of </w:t>
      </w:r>
      <w:r w:rsidRPr="003F52AD">
        <w:t xml:space="preserve">trends and gain business intelligence in a more sophisticated way. </w:t>
      </w:r>
      <w:r>
        <w:t xml:space="preserve"> </w:t>
      </w:r>
      <w:r w:rsidRPr="003F52AD">
        <w:t>This data may also be used to identify areas for additional customer education or proactive communications.</w:t>
      </w:r>
      <w:r>
        <w:t xml:space="preserve">  A Speech Analyst was hired in May 2016.</w:t>
      </w:r>
    </w:p>
    <w:p w:rsidR="00AC40FC" w:rsidRDefault="00AC40FC" w:rsidP="00701DCF">
      <w:r>
        <w:t>Customer Services p</w:t>
      </w:r>
      <w:r w:rsidRPr="004A1A52">
        <w:t xml:space="preserve">lans to add </w:t>
      </w:r>
      <w:r>
        <w:t xml:space="preserve">a </w:t>
      </w:r>
      <w:r w:rsidRPr="004A1A52">
        <w:t>chat feature</w:t>
      </w:r>
      <w:r>
        <w:t xml:space="preserve"> to assist customers during web transactions.  </w:t>
      </w:r>
      <w:r w:rsidRPr="004A1A52">
        <w:t xml:space="preserve">Customer Services tracks customer satisfaction for using the “CCC Transactional Index” for multiple channels:  Web, Agent (CSR), IVR, and Email. </w:t>
      </w:r>
      <w:r>
        <w:t xml:space="preserve"> </w:t>
      </w:r>
      <w:r w:rsidRPr="004A1A52">
        <w:t xml:space="preserve">As the </w:t>
      </w:r>
      <w:r w:rsidRPr="004A1A52">
        <w:lastRenderedPageBreak/>
        <w:t>number of Web transactions increase, its value to customers would be enhanced if a</w:t>
      </w:r>
      <w:r>
        <w:t xml:space="preserve"> chat feature were added, enabling the customer to more quick</w:t>
      </w:r>
      <w:r w:rsidRPr="004A1A52">
        <w:t xml:space="preserve">ly </w:t>
      </w:r>
      <w:r>
        <w:t>and successfully navigate the Web sit</w:t>
      </w:r>
      <w:r w:rsidRPr="004A1A52">
        <w:t>e with the assistance of a CSR</w:t>
      </w:r>
      <w:r>
        <w:t xml:space="preserve"> when needed</w:t>
      </w:r>
      <w:r w:rsidRPr="004A1A52">
        <w:t xml:space="preserve">. </w:t>
      </w:r>
      <w:r>
        <w:t xml:space="preserve"> </w:t>
      </w:r>
      <w:r w:rsidRPr="004A1A52">
        <w:t xml:space="preserve">Chat-related metrics </w:t>
      </w:r>
      <w:r>
        <w:t xml:space="preserve">will be </w:t>
      </w:r>
      <w:r w:rsidRPr="004A1A52">
        <w:t>easier to develop because they are integrated in the IVR.</w:t>
      </w:r>
      <w:r>
        <w:t xml:space="preserve">  A chat platform was launched in January 2016.</w:t>
      </w:r>
    </w:p>
    <w:p w:rsidR="00AC40FC" w:rsidRDefault="00AC40FC" w:rsidP="00701DCF">
      <w:r>
        <w:t xml:space="preserve">The Customer Experience team is exploring the use of data in a number of ways to improve customer experience and efficiencies.  </w:t>
      </w:r>
      <w:r w:rsidRPr="003F52AD">
        <w:t>Data is used to align customer preferences with</w:t>
      </w:r>
      <w:r>
        <w:t xml:space="preserve"> business decisions, </w:t>
      </w:r>
      <w:r w:rsidRPr="003F52AD">
        <w:t>expand and improve programs and services</w:t>
      </w:r>
      <w:r>
        <w:t>,</w:t>
      </w:r>
      <w:r w:rsidRPr="003F52AD">
        <w:t xml:space="preserve"> correct issues with dissatisfied customers</w:t>
      </w:r>
      <w:r>
        <w:t>,</w:t>
      </w:r>
      <w:r w:rsidRPr="003F52AD">
        <w:t xml:space="preserve"> and help customers better manage their energy usage. </w:t>
      </w:r>
      <w:r>
        <w:t xml:space="preserve"> </w:t>
      </w:r>
      <w:r w:rsidRPr="003F52AD">
        <w:t xml:space="preserve">By analyzing customer insights and cross-channel behavior, </w:t>
      </w:r>
      <w:r>
        <w:t xml:space="preserve">PPL EU will </w:t>
      </w:r>
      <w:r w:rsidRPr="003F52AD">
        <w:t>better understand what drives and motivates customers, detect behavioral patterns</w:t>
      </w:r>
      <w:r>
        <w:t xml:space="preserve">, </w:t>
      </w:r>
      <w:r w:rsidRPr="003F52AD">
        <w:t xml:space="preserve">adapt </w:t>
      </w:r>
      <w:r>
        <w:t>strategies, and ultimately satisfy customer needs.</w:t>
      </w:r>
    </w:p>
    <w:p w:rsidR="00AC40FC" w:rsidRPr="00997344" w:rsidRDefault="00AC40FC" w:rsidP="00701DCF">
      <w:r w:rsidRPr="003F52AD">
        <w:t>PPL E</w:t>
      </w:r>
      <w:r>
        <w:t>U ha</w:t>
      </w:r>
      <w:r w:rsidRPr="003F52AD">
        <w:t>s been active on social media since 2010.</w:t>
      </w:r>
      <w:r>
        <w:t xml:space="preserve"> </w:t>
      </w:r>
      <w:r w:rsidRPr="003F52AD">
        <w:t xml:space="preserve"> Through market research and current customer engagement</w:t>
      </w:r>
      <w:r>
        <w:t xml:space="preserve">, Customer Services plans to expand its </w:t>
      </w:r>
      <w:r w:rsidRPr="003F52AD">
        <w:t xml:space="preserve">social media strategy </w:t>
      </w:r>
      <w:r>
        <w:t xml:space="preserve">beyond public relations and </w:t>
      </w:r>
      <w:r w:rsidRPr="003F52AD">
        <w:t>crisis</w:t>
      </w:r>
      <w:r>
        <w:t xml:space="preserve">/outage </w:t>
      </w:r>
      <w:r w:rsidRPr="003F52AD">
        <w:t>communications</w:t>
      </w:r>
      <w:r>
        <w:t xml:space="preserve">. </w:t>
      </w:r>
      <w:r w:rsidRPr="003F52AD">
        <w:t xml:space="preserve">A digital media team </w:t>
      </w:r>
      <w:r>
        <w:t>is working to</w:t>
      </w:r>
      <w:r w:rsidRPr="003F52AD">
        <w:t xml:space="preserve"> provide </w:t>
      </w:r>
      <w:r>
        <w:t>c</w:t>
      </w:r>
      <w:r w:rsidRPr="003F52AD">
        <w:t xml:space="preserve">ustomers </w:t>
      </w:r>
      <w:r>
        <w:t xml:space="preserve">with </w:t>
      </w:r>
      <w:r w:rsidRPr="003F52AD">
        <w:t>timely and accurate resolution to a variety of customer service issues</w:t>
      </w:r>
      <w:r w:rsidRPr="00997344">
        <w:t>.</w:t>
      </w:r>
    </w:p>
    <w:p w:rsidR="00AC40FC" w:rsidRDefault="00AC40FC" w:rsidP="00701DCF">
      <w:r w:rsidRPr="00997344">
        <w:t xml:space="preserve">The </w:t>
      </w:r>
      <w:r>
        <w:t>m</w:t>
      </w:r>
      <w:r w:rsidRPr="00997344">
        <w:t>arket</w:t>
      </w:r>
      <w:r>
        <w:t xml:space="preserve"> research function, coordinated by a research analyst, </w:t>
      </w:r>
      <w:r>
        <w:rPr>
          <w:rFonts w:cs="Arial"/>
        </w:rPr>
        <w:t xml:space="preserve">manages residential and small business customer satisfaction and awareness surveys, primarily for transactional experience. The Major Accounts group handles large customer research.  </w:t>
      </w:r>
      <w:r>
        <w:t>The core work processes include: (1) develop and administer surveys to capture customer feedback on topics related to electric service delivery, (2) convey research findings to internal departments, (3) act an as internal advocate for the customer, and (4) solicit PPL EU employee feedback regarding various internal programs, including their level of satisfaction.</w:t>
      </w:r>
    </w:p>
    <w:p w:rsidR="00AC40FC" w:rsidRDefault="00AC40FC" w:rsidP="00701DCF">
      <w:r>
        <w:t>There are four types of research studies: (1) larger studies done by a vendor, for phone call surveys, (2) In-house studies done by an on-line survey platform that is purchased from another vendor that enables market research to create and customize surveys, (3) in-house employee surveys for feedback on PPL EU initiatives/projects to assess project effectiveness, and (4) tree trimming and vegetation management follow ups with customers.  There are four regional customer satisfaction teams that are involved in the follow-up.</w:t>
      </w:r>
    </w:p>
    <w:p w:rsidR="00AC40FC" w:rsidRPr="00F25B97" w:rsidRDefault="00AC40FC" w:rsidP="00701DCF">
      <w:pPr>
        <w:rPr>
          <w:rFonts w:cs="Arial"/>
        </w:rPr>
      </w:pPr>
      <w:r>
        <w:rPr>
          <w:rFonts w:cs="Arial"/>
        </w:rPr>
        <w:t xml:space="preserve">The market research analyst uses a vendor to manage a residential customer pool of 1,000 PPL EU customers who serve as a type of focus group.  A new pool is selected each year.  Market Research writes the questionnaire for the on-line survey.  The vendor recruits the customers, provides rewards (e.g., gift cards), and collects the survey feedback data.  The vendor gets a 66% average response rate and PPL EU analyzes the data and writes a report.  The goal is to understand customer preferences, especially with regard to self-service options and channels. </w:t>
      </w:r>
    </w:p>
    <w:p w:rsidR="00AC40FC" w:rsidRDefault="00AC40FC" w:rsidP="00701DCF">
      <w:pPr>
        <w:pStyle w:val="Heading40"/>
      </w:pPr>
      <w:r w:rsidRPr="000901EB">
        <w:t xml:space="preserve">Energy Efficiency </w:t>
      </w:r>
      <w:r>
        <w:t>Evaluation and Performance</w:t>
      </w:r>
    </w:p>
    <w:p w:rsidR="00AC40FC" w:rsidRDefault="00AC40FC" w:rsidP="00701DCF">
      <w:r w:rsidRPr="009F1E32">
        <w:t xml:space="preserve">The Energy Efficiency Evaluation </w:t>
      </w:r>
      <w:r>
        <w:t>and</w:t>
      </w:r>
      <w:r w:rsidRPr="009F1E32">
        <w:t xml:space="preserve"> Performance </w:t>
      </w:r>
      <w:r>
        <w:t xml:space="preserve">(Energy Efficiency) </w:t>
      </w:r>
      <w:r w:rsidRPr="009F1E32">
        <w:t>group</w:t>
      </w:r>
      <w:r>
        <w:t xml:space="preserve"> is responsible for managing PPL EU’s</w:t>
      </w:r>
      <w:r w:rsidRPr="009F1E32">
        <w:t xml:space="preserve"> Energy Efficiency </w:t>
      </w:r>
      <w:r>
        <w:t>and</w:t>
      </w:r>
      <w:r w:rsidRPr="009F1E32">
        <w:t xml:space="preserve"> Conservation </w:t>
      </w:r>
      <w:r>
        <w:t xml:space="preserve">(EE&amp;C) Program </w:t>
      </w:r>
      <w:r w:rsidRPr="009F1E32">
        <w:t>Plan,</w:t>
      </w:r>
      <w:r>
        <w:t xml:space="preserve"> required by Pennsylvania Act 129 and the PUC, covering a time period </w:t>
      </w:r>
      <w:r>
        <w:lastRenderedPageBreak/>
        <w:t>between June 2013 and May 2016.  Each plan year runs 12 months, from June through May.  At the time of the Management Audit, Plan Year 7 was underway, from June 2015 through May 2016.  The rolling three-year plan is updated every year.</w:t>
      </w:r>
    </w:p>
    <w:p w:rsidR="00AC40FC" w:rsidRDefault="00AC40FC" w:rsidP="00701DCF">
      <w:r>
        <w:t xml:space="preserve">Energy Efficiency </w:t>
      </w:r>
      <w:r w:rsidRPr="009F1E32">
        <w:t>is organized as shown in the chart below:</w:t>
      </w:r>
    </w:p>
    <w:p w:rsidR="00AC40FC" w:rsidRDefault="00AC40FC" w:rsidP="00ED6D61">
      <w:pPr>
        <w:pStyle w:val="Caption"/>
      </w:pPr>
      <w:bookmarkStart w:id="20" w:name="_Toc462648397"/>
      <w:bookmarkStart w:id="21" w:name="_Toc464553019"/>
      <w:r>
        <w:t xml:space="preserve">Exhibit </w:t>
      </w:r>
      <w:fldSimple w:instr=" STYLEREF 1 \s ">
        <w:r w:rsidR="00A24205">
          <w:rPr>
            <w:noProof/>
          </w:rPr>
          <w:t>IX</w:t>
        </w:r>
      </w:fldSimple>
      <w:r w:rsidR="00264A1B">
        <w:noBreakHyphen/>
      </w:r>
      <w:fldSimple w:instr=" SEQ Exhibit \* ARABIC \s 1 ">
        <w:r w:rsidR="00A24205">
          <w:rPr>
            <w:noProof/>
          </w:rPr>
          <w:t>4</w:t>
        </w:r>
      </w:fldSimple>
      <w:r>
        <w:br/>
        <w:t>Energy Efficiency Evaluation and Performance</w:t>
      </w:r>
      <w:bookmarkEnd w:id="20"/>
      <w:bookmarkEnd w:id="21"/>
    </w:p>
    <w:p w:rsidR="00AC40FC" w:rsidRDefault="00AC40FC" w:rsidP="00701DCF">
      <w:pPr>
        <w:jc w:val="center"/>
      </w:pPr>
      <w:r>
        <w:rPr>
          <w:noProof/>
        </w:rPr>
        <w:drawing>
          <wp:inline distT="0" distB="0" distL="0" distR="0">
            <wp:extent cx="5943600" cy="28232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PL-EU_01071-Energy-Eff_page128_v2.jpg"/>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2823210"/>
                    </a:xfrm>
                    <a:prstGeom prst="rect">
                      <a:avLst/>
                    </a:prstGeom>
                  </pic:spPr>
                </pic:pic>
              </a:graphicData>
            </a:graphic>
          </wp:inline>
        </w:drawing>
      </w:r>
    </w:p>
    <w:p w:rsidR="00AC40FC" w:rsidRPr="00DF4B07" w:rsidRDefault="00AC40FC" w:rsidP="00701DCF">
      <w:r>
        <w:t>Source: DN 01-071</w:t>
      </w:r>
    </w:p>
    <w:p w:rsidR="00AC40FC" w:rsidRDefault="00AC40FC" w:rsidP="00701DCF">
      <w:r>
        <w:t>There are 16 FTEs, including the Manager, who are responsible for managing EE&amp;C Program Plan spending of up to $151 million by the end of 2015.  Contractors implement the EE&amp;C programs.</w:t>
      </w:r>
    </w:p>
    <w:p w:rsidR="00AC40FC" w:rsidRDefault="00AC40FC" w:rsidP="00701DCF">
      <w:r>
        <w:t>The Energy Efficiency group’s responsibilities include:  (1) Managing</w:t>
      </w:r>
      <w:r w:rsidRPr="002862B7">
        <w:t xml:space="preserve"> </w:t>
      </w:r>
      <w:r>
        <w:t xml:space="preserve">Pennsylvania’s </w:t>
      </w:r>
      <w:r w:rsidRPr="002862B7">
        <w:t>Act 129 energy ef</w:t>
      </w:r>
      <w:r>
        <w:t xml:space="preserve">ficiency programs, including megawatt hours per </w:t>
      </w:r>
      <w:r w:rsidRPr="002862B7">
        <w:t>y</w:t>
      </w:r>
      <w:r>
        <w:t>ea</w:t>
      </w:r>
      <w:r w:rsidRPr="002862B7">
        <w:t xml:space="preserve">r savings reductions and costs by sector (residential, large </w:t>
      </w:r>
      <w:r>
        <w:t>commercial and industrial (C&amp;I)</w:t>
      </w:r>
      <w:r w:rsidRPr="002862B7">
        <w:t>, sma</w:t>
      </w:r>
      <w:r>
        <w:t>ll C&amp;I, governmen</w:t>
      </w:r>
      <w:r w:rsidRPr="002862B7">
        <w:t>t</w:t>
      </w:r>
      <w:r>
        <w:t>/non-profit/institutional, and low i</w:t>
      </w:r>
      <w:r w:rsidRPr="002862B7">
        <w:t>ncome) on a program year basis to ac</w:t>
      </w:r>
      <w:r>
        <w:t xml:space="preserve">hieve the megawatt hours per </w:t>
      </w:r>
      <w:r w:rsidRPr="002862B7">
        <w:t>y</w:t>
      </w:r>
      <w:r>
        <w:t>ea</w:t>
      </w:r>
      <w:r w:rsidRPr="002862B7">
        <w:t>r savings tar</w:t>
      </w:r>
      <w:r>
        <w:t xml:space="preserve">gets within an allocated budget; (2) </w:t>
      </w:r>
      <w:r w:rsidRPr="002862B7">
        <w:t>Accurately determin</w:t>
      </w:r>
      <w:r>
        <w:t>ing</w:t>
      </w:r>
      <w:r w:rsidRPr="002862B7">
        <w:t xml:space="preserve"> and report</w:t>
      </w:r>
      <w:r>
        <w:t>ing</w:t>
      </w:r>
      <w:r w:rsidRPr="002862B7">
        <w:t xml:space="preserve"> the savings, costs, and status of </w:t>
      </w:r>
      <w:r>
        <w:t>the</w:t>
      </w:r>
      <w:r w:rsidRPr="002862B7">
        <w:t xml:space="preserve"> E</w:t>
      </w:r>
      <w:r>
        <w:t>E&amp;C</w:t>
      </w:r>
      <w:r w:rsidRPr="002862B7">
        <w:t xml:space="preserve"> programs</w:t>
      </w:r>
      <w:r>
        <w:t>; and</w:t>
      </w:r>
      <w:r w:rsidRPr="002862B7">
        <w:t xml:space="preserve"> </w:t>
      </w:r>
      <w:r>
        <w:t xml:space="preserve">(3) </w:t>
      </w:r>
      <w:r w:rsidRPr="002862B7">
        <w:t>Ensur</w:t>
      </w:r>
      <w:r>
        <w:t>ing</w:t>
      </w:r>
      <w:r w:rsidRPr="002862B7">
        <w:t xml:space="preserve"> sufficient documentation and controls exist to substantiate the evaluated savings</w:t>
      </w:r>
      <w:r>
        <w:t>.</w:t>
      </w:r>
    </w:p>
    <w:p w:rsidR="00AC40FC" w:rsidRDefault="00AC40FC" w:rsidP="00701DCF">
      <w:r w:rsidRPr="004D1C72">
        <w:t>A</w:t>
      </w:r>
      <w:r>
        <w:t>n</w:t>
      </w:r>
      <w:r w:rsidRPr="004D1C72">
        <w:t xml:space="preserve"> </w:t>
      </w:r>
      <w:r>
        <w:t xml:space="preserve">evaluation </w:t>
      </w:r>
      <w:r w:rsidRPr="004D1C72">
        <w:t xml:space="preserve">contractor prepares annual EE&amp;C performance reports for PPL EU </w:t>
      </w:r>
      <w:r>
        <w:t>which</w:t>
      </w:r>
      <w:r w:rsidRPr="004D1C72">
        <w:t xml:space="preserve"> are submitted to the PUC.  The contractor evaluates PPL EU’s ten programs, including measurement and verification of the energy savings.  In the </w:t>
      </w:r>
      <w:r>
        <w:t>November 15, 2014 report for t</w:t>
      </w:r>
      <w:r w:rsidRPr="004D1C72">
        <w:t>he period June 2013 through May 2014, the contractor found that the utility achieved 84.73</w:t>
      </w:r>
      <w:r>
        <w:t>%</w:t>
      </w:r>
      <w:r w:rsidRPr="004D1C72">
        <w:t xml:space="preserve"> of the energy savings compliance target</w:t>
      </w:r>
      <w:r>
        <w:rPr>
          <w:rFonts w:cs="Arial"/>
        </w:rPr>
        <w:t>.</w:t>
      </w:r>
    </w:p>
    <w:p w:rsidR="00AC40FC" w:rsidRDefault="00AC40FC" w:rsidP="00701DCF">
      <w:r>
        <w:t>Certain contractors are referred to as Conservation Service Providers (CSPs) and are defined as individuals or firms under contract to PPL EU to provide consultation, design, administration, management, and/or implementation services related to the delivery of its EE&amp;C programs.  Specifically, CSPs:</w:t>
      </w:r>
    </w:p>
    <w:p w:rsidR="00AC40FC" w:rsidRDefault="00AC40FC" w:rsidP="003907AC">
      <w:pPr>
        <w:pStyle w:val="Bullet"/>
        <w:keepNext/>
      </w:pPr>
      <w:r>
        <w:lastRenderedPageBreak/>
        <w:t>Deliver turnkey program services or functions within or across programs</w:t>
      </w:r>
    </w:p>
    <w:p w:rsidR="00AC40FC" w:rsidRDefault="00AC40FC" w:rsidP="00701DCF">
      <w:pPr>
        <w:pStyle w:val="Bullet"/>
      </w:pPr>
      <w:r>
        <w:t>Are trained on PPL EU’s reporting requirements, use of the PPL EU’s data management and tracking system, customer service requirements, quality assurance and control standards, and protocols for addressing quality issues</w:t>
      </w:r>
    </w:p>
    <w:p w:rsidR="00AC40FC" w:rsidRPr="00E12E45" w:rsidRDefault="00AC40FC" w:rsidP="00701DCF">
      <w:pPr>
        <w:pStyle w:val="Bullet"/>
        <w:rPr>
          <w:bCs/>
        </w:rPr>
      </w:pPr>
      <w:r>
        <w:t>Submit monthly or quarterly reports to PPL EU that include customer data and detailed information on installed measures and incentive transactions to support Evaluation, Measurement, and Verification (EM&amp;V), tracking against the Plan’s budgets and goals, and reporting to the PUC</w:t>
      </w:r>
    </w:p>
    <w:p w:rsidR="00AC40FC" w:rsidRDefault="00AC40FC" w:rsidP="00701DCF">
      <w:pPr>
        <w:pStyle w:val="Normal-aftertable"/>
      </w:pPr>
      <w:r>
        <w:t>In addition to the CSPs, there are trade allies that include:</w:t>
      </w:r>
    </w:p>
    <w:p w:rsidR="00AC40FC" w:rsidRDefault="00AC40FC" w:rsidP="00701DCF">
      <w:pPr>
        <w:pStyle w:val="Bullet"/>
      </w:pPr>
      <w:r>
        <w:t>Comprehensive Audit Contractors who support delivery of the comprehensive audit component of the Residential Energy Assessment and Weatherization Program</w:t>
      </w:r>
    </w:p>
    <w:p w:rsidR="00AC40FC" w:rsidRDefault="00AC40FC" w:rsidP="00701DCF">
      <w:pPr>
        <w:pStyle w:val="Bullet"/>
      </w:pPr>
      <w:r>
        <w:t xml:space="preserve">Survey </w:t>
      </w:r>
      <w:r w:rsidRPr="00031EBD">
        <w:t xml:space="preserve">Contractors who </w:t>
      </w:r>
      <w:r>
        <w:t>support</w:t>
      </w:r>
      <w:r w:rsidRPr="00031EBD">
        <w:t xml:space="preserve"> delivery of the survey component of the Residential Energy Assessment </w:t>
      </w:r>
      <w:r>
        <w:t>and</w:t>
      </w:r>
      <w:r w:rsidRPr="00031EBD">
        <w:t xml:space="preserve"> Weatherization Program, the Agriculture Program, and the Master-Metered Low-Income Multifamily Housing Program </w:t>
      </w:r>
    </w:p>
    <w:p w:rsidR="00AC40FC" w:rsidRPr="00031EBD" w:rsidRDefault="00AC40FC" w:rsidP="00701DCF">
      <w:pPr>
        <w:pStyle w:val="Bullet"/>
      </w:pPr>
      <w:r>
        <w:t>Li</w:t>
      </w:r>
      <w:r w:rsidRPr="00031EBD">
        <w:t>ghting and other dealers and installers</w:t>
      </w:r>
    </w:p>
    <w:p w:rsidR="00AC40FC" w:rsidRDefault="00AC40FC" w:rsidP="00701DCF">
      <w:pPr>
        <w:pStyle w:val="Normal-aftertable"/>
      </w:pPr>
      <w:r w:rsidRPr="00AF03EA">
        <w:rPr>
          <w:bCs/>
        </w:rPr>
        <w:t>PPL EU’</w:t>
      </w:r>
      <w:r>
        <w:rPr>
          <w:bCs/>
        </w:rPr>
        <w:t>s EE&amp;C</w:t>
      </w:r>
      <w:r w:rsidRPr="00AF03EA">
        <w:rPr>
          <w:bCs/>
        </w:rPr>
        <w:t xml:space="preserve"> Plan costs</w:t>
      </w:r>
      <w:r>
        <w:rPr>
          <w:b/>
          <w:bCs/>
        </w:rPr>
        <w:t xml:space="preserve"> </w:t>
      </w:r>
      <w:r>
        <w:t xml:space="preserve">include all direct costs and common costs.  Direct costs are charged to specific programs.  Common costs span the portfolio and are allocated to customer sectors at the conclusion of the phase.  These are the costs that are in the Plan budget and subject to the funding cap.  Also included are the Act 129 Statewide Evaluator (SWE) who </w:t>
      </w:r>
      <w:r>
        <w:rPr>
          <w:rFonts w:ascii="Helvetica" w:hAnsi="Helvetica" w:cs="Helvetica"/>
          <w:color w:val="262626"/>
          <w:szCs w:val="24"/>
        </w:rPr>
        <w:t xml:space="preserve">monitors and verifies data collection, quality assurance and the results of each electric distribution company’s (EDC’s) EE&amp;C Plan and the EE&amp;C program as a whole.  These SWE costs that are allocated to PPL EU </w:t>
      </w:r>
      <w:r>
        <w:t>are not subject to the funding cap.</w:t>
      </w:r>
    </w:p>
    <w:p w:rsidR="00AC40FC" w:rsidRDefault="00AC40FC" w:rsidP="00701DCF">
      <w:r>
        <w:t>PPL EU’s Energy Efficiency Management Information System (EEMIS) allows program activities to be tracked in near real-time. This system generates reports and queries to allow ongoing monitoring, management, analysis, and reporting of activities.</w:t>
      </w:r>
    </w:p>
    <w:p w:rsidR="00AC40FC" w:rsidRDefault="00AC40FC" w:rsidP="00BB665B">
      <w:pPr>
        <w:pStyle w:val="Heading-forToC"/>
      </w:pPr>
      <w:bookmarkStart w:id="22" w:name="_Toc462647833"/>
      <w:bookmarkStart w:id="23" w:name="_Toc464552072"/>
      <w:r>
        <w:t>findings</w:t>
      </w:r>
      <w:bookmarkEnd w:id="22"/>
      <w:bookmarkEnd w:id="23"/>
    </w:p>
    <w:p w:rsidR="00AC40FC" w:rsidRDefault="00AC40FC" w:rsidP="00701DCF">
      <w:pPr>
        <w:pStyle w:val="Heading40"/>
      </w:pPr>
      <w:r>
        <w:t>Customer Contact Centers</w:t>
      </w:r>
    </w:p>
    <w:p w:rsidR="00AC40FC" w:rsidRDefault="00AC40FC" w:rsidP="004F00E5">
      <w:pPr>
        <w:pStyle w:val="Findings"/>
        <w:numPr>
          <w:ilvl w:val="0"/>
          <w:numId w:val="43"/>
        </w:numPr>
      </w:pPr>
      <w:r>
        <w:t>The First Call Resolution and the Alert Message metrics do not yet have targets.</w:t>
      </w:r>
    </w:p>
    <w:p w:rsidR="00AC40FC" w:rsidRDefault="00AC40FC" w:rsidP="00701DCF">
      <w:r>
        <w:t>As of October 2015, the Customer Services Monthly Performance Indicators Report included the First Call Resolution (FCR) metric.  There are two related measures: “</w:t>
      </w:r>
      <w:r w:rsidRPr="005F5890">
        <w:t xml:space="preserve">Associate </w:t>
      </w:r>
      <w:r>
        <w:t xml:space="preserve">[CSR] </w:t>
      </w:r>
      <w:r w:rsidRPr="005F5890">
        <w:t>FCR</w:t>
      </w:r>
      <w:r>
        <w:t>”</w:t>
      </w:r>
      <w:r w:rsidRPr="005F5890">
        <w:t xml:space="preserve"> is the percentage of callers who spoke with an agen</w:t>
      </w:r>
      <w:r>
        <w:t>t and did not call back within seven</w:t>
      </w:r>
      <w:r w:rsidRPr="005F5890">
        <w:t xml:space="preserve"> calendar days </w:t>
      </w:r>
      <w:r>
        <w:t>to</w:t>
      </w:r>
      <w:r w:rsidRPr="005F5890">
        <w:t xml:space="preserve"> speak with an agent again. </w:t>
      </w:r>
      <w:r>
        <w:t xml:space="preserve"> “</w:t>
      </w:r>
      <w:r w:rsidRPr="005F5890">
        <w:t>Total FCR</w:t>
      </w:r>
      <w:r>
        <w:t>”</w:t>
      </w:r>
      <w:r w:rsidRPr="005F5890">
        <w:t xml:space="preserve"> is the percentage of callers who calle</w:t>
      </w:r>
      <w:r>
        <w:t>d and did not call back within seven</w:t>
      </w:r>
      <w:r w:rsidRPr="005F5890">
        <w:t xml:space="preserve"> calendar days, regardless of whether they spoke to an agent or remained in the IVR.</w:t>
      </w:r>
      <w:r>
        <w:t xml:space="preserve">  The objective is to maintain or improve first call resolution.  The YTD October 2015 Associate FCR metric was 83% and the YTD for Total FCR was 66%.  There were no goals or targets for these metrics, but targets were planned for 2016.  The report notes that: “Changes were made to the reconnect call flow in the IVR to provide more accurate information </w:t>
      </w:r>
      <w:r>
        <w:lastRenderedPageBreak/>
        <w:t>about the cut-in date to the customer, to reduce follow-up calls for clarification.  Associate FCR and Total FCR remain relatively steady.”</w:t>
      </w:r>
    </w:p>
    <w:p w:rsidR="00AC40FC" w:rsidRPr="005D4C0F" w:rsidRDefault="00AC40FC" w:rsidP="00701DCF">
      <w:pPr>
        <w:rPr>
          <w:rFonts w:cs="Arial"/>
        </w:rPr>
      </w:pPr>
      <w:r>
        <w:t>The PPL Alerts Message Volume and Pricing metric is the n</w:t>
      </w:r>
      <w:r w:rsidRPr="00B12754">
        <w:t xml:space="preserve">umber of messages sent to customers and </w:t>
      </w:r>
      <w:r>
        <w:t xml:space="preserve">the </w:t>
      </w:r>
      <w:r w:rsidRPr="00B12754">
        <w:t>total cost for voice, SMS</w:t>
      </w:r>
      <w:r>
        <w:t xml:space="preserve"> (texts)</w:t>
      </w:r>
      <w:r w:rsidRPr="00B12754">
        <w:t xml:space="preserve">, and email messaging. </w:t>
      </w:r>
      <w:r>
        <w:t xml:space="preserve"> </w:t>
      </w:r>
      <w:r w:rsidRPr="00B12754">
        <w:t xml:space="preserve">The objective is using Alerts to help support the goal of achieving </w:t>
      </w:r>
      <w:r>
        <w:t>82%</w:t>
      </w:r>
      <w:r w:rsidRPr="00B12754">
        <w:t xml:space="preserve"> customer satisfaction </w:t>
      </w:r>
      <w:r>
        <w:t>with</w:t>
      </w:r>
      <w:r w:rsidRPr="00B12754">
        <w:t xml:space="preserve"> </w:t>
      </w:r>
      <w:r>
        <w:t xml:space="preserve">PPL EU’s </w:t>
      </w:r>
      <w:r w:rsidRPr="00B12754">
        <w:t xml:space="preserve">ability to keep customers informed about </w:t>
      </w:r>
      <w:r w:rsidRPr="001F2A6C">
        <w:rPr>
          <w:rFonts w:cs="Arial"/>
        </w:rPr>
        <w:t xml:space="preserve">power restoration in the manner in which they choose.  Email alert message volume grew the most during 2015.  There were no goals or targets identified.  </w:t>
      </w:r>
      <w:r>
        <w:rPr>
          <w:rFonts w:cs="Arial"/>
        </w:rPr>
        <w:t xml:space="preserve">The Report notes: </w:t>
      </w:r>
      <w:r w:rsidRPr="001F2A6C">
        <w:rPr>
          <w:rFonts w:cs="Arial"/>
        </w:rPr>
        <w:t>“All customers for whom we had a phone number or email address were automatically enrolled in</w:t>
      </w:r>
      <w:r>
        <w:rPr>
          <w:rFonts w:cs="Arial"/>
        </w:rPr>
        <w:t xml:space="preserve"> </w:t>
      </w:r>
      <w:r w:rsidRPr="001F2A6C">
        <w:rPr>
          <w:rFonts w:cs="Arial"/>
        </w:rPr>
        <w:t xml:space="preserve">outage alerts </w:t>
      </w:r>
      <w:r>
        <w:rPr>
          <w:rFonts w:cs="Arial"/>
        </w:rPr>
        <w:t xml:space="preserve">in </w:t>
      </w:r>
      <w:r w:rsidRPr="001F2A6C">
        <w:rPr>
          <w:rFonts w:cs="Arial"/>
        </w:rPr>
        <w:t xml:space="preserve">May. </w:t>
      </w:r>
      <w:r>
        <w:rPr>
          <w:rFonts w:cs="Arial"/>
        </w:rPr>
        <w:t xml:space="preserve"> </w:t>
      </w:r>
      <w:r w:rsidRPr="001F2A6C">
        <w:rPr>
          <w:rFonts w:cs="Arial"/>
        </w:rPr>
        <w:t>Alert volume is dependent upon storms and other outages. In addition, alert volume will decrease as users receive their first alerts and opt to unsubscribe.</w:t>
      </w:r>
      <w:r>
        <w:rPr>
          <w:rFonts w:cs="Arial"/>
        </w:rPr>
        <w:t>”</w:t>
      </w:r>
      <w:r w:rsidRPr="001F2A6C">
        <w:rPr>
          <w:rFonts w:cs="Arial"/>
        </w:rPr>
        <w:t xml:space="preserve"> </w:t>
      </w:r>
    </w:p>
    <w:p w:rsidR="00AC40FC" w:rsidRDefault="00AC40FC" w:rsidP="004F00E5">
      <w:pPr>
        <w:pStyle w:val="Findings"/>
        <w:numPr>
          <w:ilvl w:val="0"/>
          <w:numId w:val="43"/>
        </w:numPr>
      </w:pPr>
      <w:r w:rsidRPr="004E1B45">
        <w:t>Several cal</w:t>
      </w:r>
      <w:r>
        <w:t xml:space="preserve">l center metrics are </w:t>
      </w:r>
      <w:r w:rsidRPr="004E1B45">
        <w:t>near their targets</w:t>
      </w:r>
      <w:r>
        <w:t>.</w:t>
      </w:r>
    </w:p>
    <w:p w:rsidR="00AC40FC" w:rsidRDefault="00AC40FC" w:rsidP="00701DCF">
      <w:r>
        <w:t xml:space="preserve">The </w:t>
      </w:r>
      <w:r w:rsidRPr="00C15A1D">
        <w:t>IVR Authentication</w:t>
      </w:r>
      <w:r>
        <w:t xml:space="preserve"> Success</w:t>
      </w:r>
      <w:r w:rsidRPr="00C15A1D">
        <w:t xml:space="preserve"> </w:t>
      </w:r>
      <w:r>
        <w:t>metric is th</w:t>
      </w:r>
      <w:r w:rsidRPr="00C15A1D">
        <w:t xml:space="preserve">e measure </w:t>
      </w:r>
      <w:r>
        <w:t>of the</w:t>
      </w:r>
      <w:r w:rsidRPr="00C15A1D">
        <w:t xml:space="preserve"> number of callers authenticated within IVR, divided into the total number of calls to PPL EU’s 800-numbers on a 24/7 basis.</w:t>
      </w:r>
      <w:r>
        <w:t xml:space="preserve">  T</w:t>
      </w:r>
      <w:r w:rsidRPr="00C15A1D">
        <w:t xml:space="preserve">he objective </w:t>
      </w:r>
      <w:r>
        <w:t>is to i</w:t>
      </w:r>
      <w:r w:rsidRPr="00C15A1D">
        <w:t>mprove IVR account authentication success rate in order for more customers to self-serve, keep agent call handle times to a minimum</w:t>
      </w:r>
      <w:r>
        <w:t>,</w:t>
      </w:r>
      <w:r w:rsidRPr="00C15A1D">
        <w:t xml:space="preserve"> and avoid call transfers.</w:t>
      </w:r>
      <w:r>
        <w:t xml:space="preserve">  The October 2015 YTD Actual Percent Authenticated was 77% compared to the goal of 80%.  The Customer Services Monthly Performance Indicators Report noted </w:t>
      </w:r>
      <w:r>
        <w:rPr>
          <w:rFonts w:cs="Arial"/>
        </w:rPr>
        <w:t xml:space="preserve">that: </w:t>
      </w:r>
      <w:r w:rsidRPr="003E4C4A">
        <w:rPr>
          <w:rFonts w:cs="Arial"/>
        </w:rPr>
        <w:t>“</w:t>
      </w:r>
      <w:r w:rsidRPr="0070676D">
        <w:t>Authentication rates have risen slightly following efforts to retain the customer's account and authentication</w:t>
      </w:r>
      <w:r>
        <w:t xml:space="preserve"> information in the CIC database to assist with caller lookups.”</w:t>
      </w:r>
    </w:p>
    <w:p w:rsidR="00AC40FC" w:rsidRDefault="00AC40FC" w:rsidP="00701DCF">
      <w:r>
        <w:t>The IVR Self-Service Success metric is the</w:t>
      </w:r>
      <w:r w:rsidRPr="00546F68">
        <w:t xml:space="preserve"> number of callers beginning a self-service path in the IVR versus the number who successfully complete a transaction.  The objective is </w:t>
      </w:r>
      <w:r>
        <w:t>to e</w:t>
      </w:r>
      <w:r w:rsidRPr="00546F68">
        <w:t>nsure that efforts to allow customers to self-serve are successful and create a positive customer experience.</w:t>
      </w:r>
      <w:r>
        <w:t xml:space="preserve">  The YTD actual was 76% compared to the target of 80%.  The Report notes that: </w:t>
      </w:r>
      <w:r w:rsidRPr="003C68F5">
        <w:t xml:space="preserve">“Self-service </w:t>
      </w:r>
      <w:r>
        <w:t xml:space="preserve">[October] </w:t>
      </w:r>
      <w:r w:rsidRPr="003C68F5">
        <w:t>success remains at around 77%</w:t>
      </w:r>
      <w:r>
        <w:t xml:space="preserve"> and that a</w:t>
      </w:r>
      <w:r w:rsidRPr="003C68F5">
        <w:t>nalysis needs to be done to determine why certain transactions have lower success rates and what can be done to improve them.</w:t>
      </w:r>
      <w:r>
        <w:t>”</w:t>
      </w:r>
    </w:p>
    <w:p w:rsidR="00AC40FC" w:rsidRPr="001B5D5A" w:rsidRDefault="00AC40FC" w:rsidP="00701DCF">
      <w:r>
        <w:t>IVR Containment Rates are</w:t>
      </w:r>
      <w:r w:rsidRPr="00B8762B">
        <w:t xml:space="preserve"> total calls serviced within the IVR compared to total calls that went to </w:t>
      </w:r>
      <w:r>
        <w:t xml:space="preserve">the CSR </w:t>
      </w:r>
      <w:r w:rsidRPr="00B8762B">
        <w:t>queue</w:t>
      </w:r>
      <w:r>
        <w:t>, d</w:t>
      </w:r>
      <w:r w:rsidRPr="00B8762B">
        <w:t>uring core business hours</w:t>
      </w:r>
      <w:r>
        <w:t xml:space="preserve">.  </w:t>
      </w:r>
      <w:r w:rsidRPr="001A0C41">
        <w:t xml:space="preserve">The objective is to improve the IVR containment rate in order for more customers to self-serve and reduce calls going to </w:t>
      </w:r>
      <w:r>
        <w:t>CSRs</w:t>
      </w:r>
      <w:r w:rsidRPr="001A0C41">
        <w:t>.</w:t>
      </w:r>
      <w:r>
        <w:t xml:space="preserve">   The “Total Percent Contained” grew slightly in 2015, with YTD actual of 43% compared to a target of 50%.  The report noted: </w:t>
      </w:r>
      <w:r w:rsidRPr="001B5D5A">
        <w:t>“With the implementation of the reconnect process in the IVR, customers who are cut for non-payment can now self-serve to reconnect their service and no longer need to speak with an associate</w:t>
      </w:r>
      <w:r>
        <w:t xml:space="preserve"> [CSR]</w:t>
      </w:r>
      <w:r w:rsidRPr="001B5D5A">
        <w:t xml:space="preserve">. </w:t>
      </w:r>
      <w:r>
        <w:t xml:space="preserve"> </w:t>
      </w:r>
      <w:r w:rsidRPr="001B5D5A">
        <w:t xml:space="preserve">This has helped close the gap between calls serviced by the IVR and calls that fall out </w:t>
      </w:r>
      <w:r>
        <w:t>of</w:t>
      </w:r>
      <w:r w:rsidRPr="001B5D5A">
        <w:t xml:space="preserve"> queue during cut season.”</w:t>
      </w:r>
    </w:p>
    <w:p w:rsidR="00AC40FC" w:rsidRPr="00856AD8" w:rsidRDefault="00AC40FC" w:rsidP="00701DCF">
      <w:r>
        <w:t>Transactions Handled by Channel is the t</w:t>
      </w:r>
      <w:r w:rsidRPr="00B12754">
        <w:t xml:space="preserve">otal transactions completed </w:t>
      </w:r>
      <w:r>
        <w:t>for each of the three channels:  IVR, Web, and CSRs</w:t>
      </w:r>
      <w:r w:rsidRPr="00B12754">
        <w:t>.  The objec</w:t>
      </w:r>
      <w:r>
        <w:t>tive is to i</w:t>
      </w:r>
      <w:r w:rsidRPr="00B12754">
        <w:t xml:space="preserve">mprove self-service success in order to reduce or, at minimum, maintain the number of calls going to </w:t>
      </w:r>
      <w:r>
        <w:t>CSRs</w:t>
      </w:r>
      <w:r w:rsidRPr="00B12754">
        <w:t>.</w:t>
      </w:r>
      <w:r>
        <w:t xml:space="preserve">  The 2015 month-to-month Percent Self-Service varied, especially for transactions handled through the Web.  The aggregate Percent Self-Service for the three channels ranged from a low of 47% to a high of 73%.  The Report noted: </w:t>
      </w:r>
      <w:r w:rsidRPr="00856AD8">
        <w:t xml:space="preserve">“Web transactions increased [in September and October] as a result of more billing and payment transactions; namely, </w:t>
      </w:r>
      <w:r w:rsidRPr="00856AD8">
        <w:lastRenderedPageBreak/>
        <w:t>scheduling payments.</w:t>
      </w:r>
      <w:r>
        <w:t xml:space="preserve"> </w:t>
      </w:r>
      <w:r w:rsidRPr="00856AD8">
        <w:t xml:space="preserve"> IVR transactions increased as a result of adding stop service as a self-service option in the IVR.”</w:t>
      </w:r>
    </w:p>
    <w:p w:rsidR="00AC40FC" w:rsidRDefault="00AC40FC" w:rsidP="004F00E5">
      <w:pPr>
        <w:pStyle w:val="Findings"/>
        <w:keepNext/>
        <w:numPr>
          <w:ilvl w:val="0"/>
          <w:numId w:val="43"/>
        </w:numPr>
      </w:pPr>
      <w:r>
        <w:t>Customer Services implemented an important state-of-the-art tool that should significantly improve the CSRs’ ability to serve the customer.</w:t>
      </w:r>
    </w:p>
    <w:p w:rsidR="00AC40FC" w:rsidRPr="00410222" w:rsidRDefault="00AC40FC" w:rsidP="00701DCF">
      <w:r w:rsidRPr="00C00829">
        <w:t xml:space="preserve">The </w:t>
      </w:r>
      <w:r>
        <w:t xml:space="preserve">Intelligent </w:t>
      </w:r>
      <w:r w:rsidRPr="00C00829">
        <w:t>Desktop</w:t>
      </w:r>
      <w:r>
        <w:t xml:space="preserve"> </w:t>
      </w:r>
      <w:r w:rsidRPr="00C00829">
        <w:t xml:space="preserve">is a “one stop shop” application </w:t>
      </w:r>
      <w:r>
        <w:t xml:space="preserve">for CSRs </w:t>
      </w:r>
      <w:r w:rsidRPr="00C00829">
        <w:t xml:space="preserve">to use while servicing customers.  </w:t>
      </w:r>
      <w:r>
        <w:t xml:space="preserve">CSRs </w:t>
      </w:r>
      <w:r w:rsidRPr="00C00829">
        <w:t xml:space="preserve">will need to navigate to fewer systems </w:t>
      </w:r>
      <w:r>
        <w:t>and</w:t>
      </w:r>
      <w:r w:rsidRPr="00C00829">
        <w:t xml:space="preserve"> significantly fewer screens within those systems.  This application will build a </w:t>
      </w:r>
      <w:r>
        <w:t xml:space="preserve">“360-degree” </w:t>
      </w:r>
      <w:r w:rsidRPr="00C00829">
        <w:t xml:space="preserve">view of </w:t>
      </w:r>
      <w:r>
        <w:t xml:space="preserve">a </w:t>
      </w:r>
      <w:r w:rsidRPr="00C00829">
        <w:t xml:space="preserve">customer’s information and interactions with </w:t>
      </w:r>
      <w:r>
        <w:t>PPL EU (including Web, IVR, and calls); provide the</w:t>
      </w:r>
      <w:r w:rsidRPr="00C00829">
        <w:t xml:space="preserve"> ability to update customer info</w:t>
      </w:r>
      <w:r>
        <w:t>rmation</w:t>
      </w:r>
      <w:r w:rsidRPr="00C00829">
        <w:t xml:space="preserve"> in one location</w:t>
      </w:r>
      <w:r>
        <w:t>;</w:t>
      </w:r>
      <w:r w:rsidRPr="00C00829">
        <w:t xml:space="preserve"> see critical custo</w:t>
      </w:r>
      <w:r>
        <w:t>mer contacts in one place (cut scheduled, overdue, collections, o</w:t>
      </w:r>
      <w:r w:rsidRPr="00C00829">
        <w:t>utage, etc.)</w:t>
      </w:r>
      <w:r>
        <w:t>;</w:t>
      </w:r>
      <w:r w:rsidRPr="00C00829">
        <w:t xml:space="preserve"> and see and update all customer program enrollments (Auto-Pay, Budget Billing, Paperless) and PPL </w:t>
      </w:r>
      <w:r>
        <w:t xml:space="preserve">EU </w:t>
      </w:r>
      <w:r w:rsidRPr="00C00829">
        <w:t xml:space="preserve">Alerts in one place.  It will also display </w:t>
      </w:r>
      <w:r>
        <w:t>billing, f</w:t>
      </w:r>
      <w:r w:rsidRPr="00C00829">
        <w:t xml:space="preserve">inancial, </w:t>
      </w:r>
      <w:r>
        <w:t>u</w:t>
      </w:r>
      <w:r w:rsidRPr="00C00829">
        <w:t>sage</w:t>
      </w:r>
      <w:r>
        <w:t>,</w:t>
      </w:r>
      <w:r w:rsidRPr="00C00829">
        <w:t xml:space="preserve"> and </w:t>
      </w:r>
      <w:r>
        <w:t xml:space="preserve">supplier information </w:t>
      </w:r>
      <w:r w:rsidRPr="00C00829">
        <w:t>and include auto-documentation features,</w:t>
      </w:r>
      <w:r>
        <w:t xml:space="preserve"> reducing after-</w:t>
      </w:r>
      <w:r w:rsidRPr="00C00829">
        <w:t>call work.</w:t>
      </w:r>
    </w:p>
    <w:p w:rsidR="00AC40FC" w:rsidRDefault="00AC40FC" w:rsidP="00701DCF">
      <w:pPr>
        <w:textAlignment w:val="center"/>
        <w:rPr>
          <w:color w:val="000000"/>
        </w:rPr>
      </w:pPr>
      <w:r>
        <w:t>Customer Services sees this tool as “</w:t>
      </w:r>
      <w:r w:rsidRPr="00C00829">
        <w:t xml:space="preserve">critical to our associates’ </w:t>
      </w:r>
      <w:r>
        <w:t xml:space="preserve">[CSRs’] </w:t>
      </w:r>
      <w:r w:rsidRPr="00C00829">
        <w:t>success in providing a positive customer experience while reducing the time and money it takes to provide this experience.</w:t>
      </w:r>
      <w:r>
        <w:t>”</w:t>
      </w:r>
      <w:r w:rsidRPr="00C00829">
        <w:t xml:space="preserve">  </w:t>
      </w:r>
      <w:r>
        <w:t>Initial d</w:t>
      </w:r>
      <w:r>
        <w:rPr>
          <w:color w:val="000000"/>
        </w:rPr>
        <w:t xml:space="preserve">eliverables </w:t>
      </w:r>
      <w:r w:rsidRPr="00C00829">
        <w:rPr>
          <w:color w:val="000000"/>
        </w:rPr>
        <w:t>include</w:t>
      </w:r>
      <w:r>
        <w:rPr>
          <w:color w:val="000000"/>
        </w:rPr>
        <w:t>d</w:t>
      </w:r>
      <w:r w:rsidRPr="00C00829">
        <w:rPr>
          <w:color w:val="000000"/>
        </w:rPr>
        <w:t>:</w:t>
      </w:r>
    </w:p>
    <w:p w:rsidR="00AC40FC" w:rsidRPr="000F47A6" w:rsidRDefault="00AC40FC" w:rsidP="00701DCF">
      <w:pPr>
        <w:pStyle w:val="Bullet"/>
        <w:rPr>
          <w:color w:val="000000"/>
        </w:rPr>
      </w:pPr>
      <w:r w:rsidRPr="00C00829">
        <w:t>S</w:t>
      </w:r>
      <w:r>
        <w:t>earch for and retrieve accounts</w:t>
      </w:r>
    </w:p>
    <w:p w:rsidR="00AC40FC" w:rsidRPr="000F47A6" w:rsidRDefault="00AC40FC" w:rsidP="00701DCF">
      <w:pPr>
        <w:pStyle w:val="Bullet"/>
        <w:rPr>
          <w:color w:val="000000"/>
        </w:rPr>
      </w:pPr>
      <w:r w:rsidRPr="000F47A6">
        <w:t>View customer and account information: (name, a</w:t>
      </w:r>
      <w:r>
        <w:t>ddress, phone, account and meter numbers</w:t>
      </w:r>
      <w:r w:rsidRPr="000F47A6">
        <w:t>, rate and revenue class, etc.)</w:t>
      </w:r>
    </w:p>
    <w:p w:rsidR="00AC40FC" w:rsidRPr="000F47A6" w:rsidRDefault="00AC40FC" w:rsidP="00701DCF">
      <w:pPr>
        <w:pStyle w:val="Bullet"/>
        <w:rPr>
          <w:color w:val="000000"/>
        </w:rPr>
      </w:pPr>
      <w:r w:rsidRPr="00C00829">
        <w:t>View supplier info</w:t>
      </w:r>
      <w:r>
        <w:t>rmation</w:t>
      </w:r>
      <w:r w:rsidRPr="00C00829">
        <w:t>: (name, phone, supplier history, etc.)</w:t>
      </w:r>
    </w:p>
    <w:p w:rsidR="00AC40FC" w:rsidRPr="000F47A6" w:rsidRDefault="00AC40FC" w:rsidP="00701DCF">
      <w:pPr>
        <w:pStyle w:val="Bullet"/>
        <w:rPr>
          <w:color w:val="000000"/>
        </w:rPr>
      </w:pPr>
      <w:r w:rsidRPr="00C00829">
        <w:t>View collection activities: (collection status, last collection action, next collection action, customer financial info</w:t>
      </w:r>
      <w:r>
        <w:t>rmation</w:t>
      </w:r>
      <w:r w:rsidRPr="00C00829">
        <w:t>, etc.)</w:t>
      </w:r>
    </w:p>
    <w:p w:rsidR="00AC40FC" w:rsidRPr="000F47A6" w:rsidRDefault="00AC40FC" w:rsidP="00701DCF">
      <w:pPr>
        <w:pStyle w:val="Bullet"/>
        <w:rPr>
          <w:color w:val="000000"/>
        </w:rPr>
      </w:pPr>
      <w:r>
        <w:t>View f</w:t>
      </w:r>
      <w:r w:rsidRPr="00C00829">
        <w:t>inancial activity: (payments made, pending payments, account balance, past due balance, excess credit, etc.)</w:t>
      </w:r>
    </w:p>
    <w:p w:rsidR="00AC40FC" w:rsidRPr="000D76FC" w:rsidRDefault="00AC40FC" w:rsidP="00701DCF">
      <w:pPr>
        <w:pStyle w:val="Bullet"/>
        <w:rPr>
          <w:color w:val="000000"/>
        </w:rPr>
      </w:pPr>
      <w:r>
        <w:t>View account contacts</w:t>
      </w:r>
    </w:p>
    <w:p w:rsidR="00AC40FC" w:rsidRPr="000F47A6" w:rsidRDefault="00AC40FC" w:rsidP="00701DCF">
      <w:pPr>
        <w:pStyle w:val="Bullet"/>
        <w:rPr>
          <w:color w:val="000000"/>
        </w:rPr>
      </w:pPr>
      <w:r w:rsidRPr="00C00829">
        <w:t>Caller verification (moved from C</w:t>
      </w:r>
      <w:r>
        <w:t>ontinuous Transaction Program)</w:t>
      </w:r>
    </w:p>
    <w:p w:rsidR="00AC40FC" w:rsidRPr="000D76FC" w:rsidRDefault="00AC40FC" w:rsidP="00701DCF">
      <w:pPr>
        <w:pStyle w:val="Bullet"/>
        <w:rPr>
          <w:color w:val="000000"/>
        </w:rPr>
      </w:pPr>
      <w:r>
        <w:t>Edit mailing and email addresses</w:t>
      </w:r>
    </w:p>
    <w:p w:rsidR="00AC40FC" w:rsidRPr="000D76FC" w:rsidRDefault="00AC40FC" w:rsidP="00701DCF">
      <w:pPr>
        <w:pStyle w:val="Bullet"/>
        <w:rPr>
          <w:color w:val="000000"/>
        </w:rPr>
      </w:pPr>
      <w:r>
        <w:t>Edit primary and alternate phone numbers</w:t>
      </w:r>
    </w:p>
    <w:p w:rsidR="00AC40FC" w:rsidRPr="00AF22C0" w:rsidRDefault="00AC40FC" w:rsidP="00701DCF">
      <w:pPr>
        <w:pStyle w:val="Bullet"/>
        <w:rPr>
          <w:color w:val="000000"/>
        </w:rPr>
      </w:pPr>
      <w:r w:rsidRPr="00C00829">
        <w:t>Unlock online accounts and reset passwords</w:t>
      </w:r>
    </w:p>
    <w:p w:rsidR="00AC40FC" w:rsidRDefault="00AC40FC" w:rsidP="00701DCF">
      <w:pPr>
        <w:pStyle w:val="Normal-aftertable"/>
      </w:pPr>
      <w:r>
        <w:t>Additional useful features will continue to be added.</w:t>
      </w:r>
    </w:p>
    <w:p w:rsidR="00AC40FC" w:rsidRPr="000F47A6" w:rsidRDefault="00AC40FC" w:rsidP="00701DCF">
      <w:pPr>
        <w:pStyle w:val="Heading40"/>
      </w:pPr>
      <w:r>
        <w:t>Major Accounts</w:t>
      </w:r>
    </w:p>
    <w:p w:rsidR="00AC40FC" w:rsidRDefault="00AC40FC" w:rsidP="004F00E5">
      <w:pPr>
        <w:pStyle w:val="Findings"/>
        <w:numPr>
          <w:ilvl w:val="0"/>
          <w:numId w:val="43"/>
        </w:numPr>
      </w:pPr>
      <w:r>
        <w:t>Major Accounts does not have work management metrics that track the numbers of work units and costs expended to deliver the services.</w:t>
      </w:r>
    </w:p>
    <w:p w:rsidR="00AC40FC" w:rsidRDefault="00AC40FC" w:rsidP="00701DCF">
      <w:r>
        <w:t>A 2015 goal was to “</w:t>
      </w:r>
      <w:r w:rsidRPr="003F21B7">
        <w:t>Ensure customers are satisfied of the outcome of their contact and that it is completed with the least amount of effort.</w:t>
      </w:r>
      <w:r>
        <w:t>”  The goal, however, lacked quantifiable metrics that could be used to measure productivity, such as Key Account Manager hours per assigned account and number of calls, emails, and visits per customer per month, etc.  Moreover, there are only eleven staff – five Key Account Managers and six Business Account Specialists.  With more than 200 Key Accounts assigned to each of the five Key Account Managers, it is difficult to assess their capacity to serve customers.</w:t>
      </w:r>
    </w:p>
    <w:p w:rsidR="00AC40FC" w:rsidRDefault="00AC40FC" w:rsidP="00DB7CBC">
      <w:pPr>
        <w:pStyle w:val="Heading40"/>
      </w:pPr>
      <w:r>
        <w:lastRenderedPageBreak/>
        <w:t>Customer Experience</w:t>
      </w:r>
    </w:p>
    <w:p w:rsidR="00AC40FC" w:rsidRDefault="00AC40FC" w:rsidP="004F00E5">
      <w:pPr>
        <w:pStyle w:val="Findings"/>
        <w:numPr>
          <w:ilvl w:val="0"/>
          <w:numId w:val="43"/>
        </w:numPr>
      </w:pPr>
      <w:r>
        <w:t>The newly created Customer Experience (digital strategies) team represents a commendable strategy to consolidate a number of necessary responsibilities and skills that are needed to expand and provide a changing multi-channel experience, improve the customer experience, and reduce costs.</w:t>
      </w:r>
    </w:p>
    <w:p w:rsidR="00AC40FC" w:rsidRDefault="00AC40FC" w:rsidP="00701DCF">
      <w:pPr>
        <w:rPr>
          <w:highlight w:val="yellow"/>
        </w:rPr>
      </w:pPr>
      <w:r>
        <w:t>Long term, the Customer Experience team will help develop and deliver</w:t>
      </w:r>
      <w:r w:rsidRPr="003F52AD">
        <w:t xml:space="preserve"> </w:t>
      </w:r>
      <w:r>
        <w:t>a</w:t>
      </w:r>
      <w:r w:rsidRPr="003F52AD">
        <w:t xml:space="preserve">n </w:t>
      </w:r>
      <w:r>
        <w:t>“</w:t>
      </w:r>
      <w:r w:rsidRPr="003F52AD">
        <w:t>omni-channel</w:t>
      </w:r>
      <w:r>
        <w:t>”</w:t>
      </w:r>
      <w:r w:rsidRPr="003F52AD">
        <w:t xml:space="preserve"> </w:t>
      </w:r>
      <w:r>
        <w:t xml:space="preserve">strategy, defined as </w:t>
      </w:r>
      <w:r w:rsidRPr="003F52AD">
        <w:t>a consistent</w:t>
      </w:r>
      <w:r>
        <w:t xml:space="preserve"> and seamless </w:t>
      </w:r>
      <w:r w:rsidRPr="003F52AD">
        <w:t>experience across all digital support platforms (web</w:t>
      </w:r>
      <w:r>
        <w:t xml:space="preserve">, </w:t>
      </w:r>
      <w:r w:rsidRPr="003F52AD">
        <w:t xml:space="preserve">mobile, email, social media, live-chat, </w:t>
      </w:r>
      <w:r>
        <w:t xml:space="preserve">and IVR).  By doing so, it will be </w:t>
      </w:r>
      <w:r w:rsidRPr="003F52AD">
        <w:t xml:space="preserve">easier for customers to do business with </w:t>
      </w:r>
      <w:r>
        <w:t>PPL EU, d</w:t>
      </w:r>
      <w:r w:rsidRPr="003F52AD">
        <w:t>elivering str</w:t>
      </w:r>
      <w:r>
        <w:t>eamlined solutions that empower customers</w:t>
      </w:r>
      <w:r w:rsidRPr="003F52AD">
        <w:t xml:space="preserve"> to transact or engage how and where they prefer.</w:t>
      </w:r>
    </w:p>
    <w:p w:rsidR="00AC40FC" w:rsidRDefault="00AC40FC" w:rsidP="004F00E5">
      <w:pPr>
        <w:pStyle w:val="Findings"/>
        <w:numPr>
          <w:ilvl w:val="0"/>
          <w:numId w:val="43"/>
        </w:numPr>
      </w:pPr>
      <w:r>
        <w:t>Customer S</w:t>
      </w:r>
      <w:r w:rsidRPr="000C283E">
        <w:t xml:space="preserve">ervices </w:t>
      </w:r>
      <w:r>
        <w:t xml:space="preserve">has not measured the cost impacts associated with increasing customer use of the web and IVR channels. </w:t>
      </w:r>
    </w:p>
    <w:p w:rsidR="00AC40FC" w:rsidRPr="00E44CE0" w:rsidRDefault="00AC40FC" w:rsidP="00701DCF">
      <w:r>
        <w:t>Customer Services tracks the in-bound contact volumes of the three communication channels handled by the call centers, as shown below.</w:t>
      </w:r>
    </w:p>
    <w:p w:rsidR="00AC40FC" w:rsidRPr="00DF3FB0" w:rsidRDefault="00AC40FC" w:rsidP="00ED6D61">
      <w:pPr>
        <w:pStyle w:val="Caption"/>
      </w:pPr>
      <w:bookmarkStart w:id="24" w:name="_Toc462648398"/>
      <w:bookmarkStart w:id="25" w:name="_Toc464553020"/>
      <w:r>
        <w:t xml:space="preserve">Exhibit </w:t>
      </w:r>
      <w:fldSimple w:instr=" STYLEREF 1 \s ">
        <w:r w:rsidR="00A24205">
          <w:rPr>
            <w:noProof/>
          </w:rPr>
          <w:t>IX</w:t>
        </w:r>
      </w:fldSimple>
      <w:r w:rsidR="00264A1B">
        <w:noBreakHyphen/>
      </w:r>
      <w:fldSimple w:instr=" SEQ Exhibit \* ARABIC \s 1 ">
        <w:r w:rsidR="00A24205">
          <w:rPr>
            <w:noProof/>
          </w:rPr>
          <w:t>5</w:t>
        </w:r>
      </w:fldSimple>
      <w:r>
        <w:br/>
      </w:r>
      <w:r w:rsidRPr="00DF3FB0">
        <w:t>CCC Handled Contact Volume by Channel</w:t>
      </w:r>
      <w:r>
        <w:br/>
        <w:t>(Excludes Outage-Related)</w:t>
      </w:r>
      <w:bookmarkEnd w:id="24"/>
      <w:bookmarkEnd w:id="25"/>
    </w:p>
    <w:p w:rsidR="00AC40FC" w:rsidRDefault="00AC40FC" w:rsidP="00701DCF">
      <w:pPr>
        <w:jc w:val="center"/>
        <w:rPr>
          <w:rFonts w:cs="Arial"/>
          <w:color w:val="2C2018"/>
          <w:highlight w:val="yellow"/>
        </w:rPr>
      </w:pPr>
      <w:r>
        <w:rPr>
          <w:noProof/>
        </w:rPr>
        <w:drawing>
          <wp:inline distT="0" distB="0" distL="0" distR="0">
            <wp:extent cx="3697439" cy="2613025"/>
            <wp:effectExtent l="0" t="0" r="17780" b="1587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bl>
      <w:tblPr>
        <w:tblW w:w="9375" w:type="dxa"/>
        <w:tblInd w:w="93" w:type="dxa"/>
        <w:tblLayout w:type="fixed"/>
        <w:tblLook w:val="04A0"/>
      </w:tblPr>
      <w:tblGrid>
        <w:gridCol w:w="2535"/>
        <w:gridCol w:w="1372"/>
        <w:gridCol w:w="1373"/>
        <w:gridCol w:w="1372"/>
        <w:gridCol w:w="1373"/>
        <w:gridCol w:w="1350"/>
      </w:tblGrid>
      <w:tr w:rsidR="00AC40FC" w:rsidRPr="007370C9" w:rsidTr="00701DCF">
        <w:trPr>
          <w:cantSplit/>
          <w:trHeight w:val="300"/>
          <w:tblHeader/>
        </w:trPr>
        <w:tc>
          <w:tcPr>
            <w:tcW w:w="2535" w:type="dxa"/>
            <w:tcBorders>
              <w:top w:val="single" w:sz="4" w:space="0" w:color="auto"/>
              <w:left w:val="single" w:sz="4" w:space="0" w:color="auto"/>
              <w:bottom w:val="single" w:sz="4" w:space="0" w:color="auto"/>
              <w:right w:val="single" w:sz="4" w:space="0" w:color="auto"/>
            </w:tcBorders>
            <w:shd w:val="clear" w:color="auto" w:fill="A5CD7E"/>
            <w:noWrap/>
            <w:vAlign w:val="center"/>
            <w:hideMark/>
          </w:tcPr>
          <w:p w:rsidR="00AC40FC" w:rsidRPr="007370C9" w:rsidRDefault="00AC40FC" w:rsidP="007370C9">
            <w:pPr>
              <w:spacing w:before="120"/>
              <w:jc w:val="center"/>
              <w:rPr>
                <w:rFonts w:cs="Arial"/>
                <w:b/>
                <w:color w:val="000000"/>
              </w:rPr>
            </w:pPr>
            <w:r w:rsidRPr="007370C9">
              <w:rPr>
                <w:rFonts w:cs="Arial"/>
                <w:b/>
                <w:color w:val="000000"/>
              </w:rPr>
              <w:t>Channel</w:t>
            </w:r>
          </w:p>
        </w:tc>
        <w:tc>
          <w:tcPr>
            <w:tcW w:w="1372"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7370C9" w:rsidRDefault="00AC40FC" w:rsidP="007370C9">
            <w:pPr>
              <w:spacing w:before="120"/>
              <w:jc w:val="center"/>
              <w:rPr>
                <w:rFonts w:cs="Arial"/>
                <w:b/>
                <w:color w:val="000000"/>
              </w:rPr>
            </w:pPr>
            <w:r w:rsidRPr="007370C9">
              <w:rPr>
                <w:rFonts w:cs="Arial"/>
                <w:b/>
                <w:color w:val="000000"/>
              </w:rPr>
              <w:t>2011</w:t>
            </w:r>
          </w:p>
        </w:tc>
        <w:tc>
          <w:tcPr>
            <w:tcW w:w="1373"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7370C9" w:rsidRDefault="00AC40FC" w:rsidP="007370C9">
            <w:pPr>
              <w:spacing w:before="120"/>
              <w:jc w:val="center"/>
              <w:rPr>
                <w:rFonts w:cs="Arial"/>
                <w:b/>
                <w:color w:val="000000"/>
              </w:rPr>
            </w:pPr>
            <w:r w:rsidRPr="007370C9">
              <w:rPr>
                <w:rFonts w:cs="Arial"/>
                <w:b/>
                <w:color w:val="000000"/>
              </w:rPr>
              <w:t>2012</w:t>
            </w:r>
          </w:p>
        </w:tc>
        <w:tc>
          <w:tcPr>
            <w:tcW w:w="1372"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7370C9" w:rsidRDefault="00AC40FC" w:rsidP="007370C9">
            <w:pPr>
              <w:spacing w:before="120"/>
              <w:jc w:val="center"/>
              <w:rPr>
                <w:rFonts w:cs="Arial"/>
                <w:b/>
                <w:color w:val="000000"/>
              </w:rPr>
            </w:pPr>
            <w:r w:rsidRPr="007370C9">
              <w:rPr>
                <w:rFonts w:cs="Arial"/>
                <w:b/>
                <w:color w:val="000000"/>
              </w:rPr>
              <w:t>2013</w:t>
            </w:r>
          </w:p>
        </w:tc>
        <w:tc>
          <w:tcPr>
            <w:tcW w:w="1373"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7370C9" w:rsidRDefault="00AC40FC" w:rsidP="007370C9">
            <w:pPr>
              <w:spacing w:before="120"/>
              <w:jc w:val="center"/>
              <w:rPr>
                <w:rFonts w:cs="Arial"/>
                <w:b/>
                <w:color w:val="000000"/>
              </w:rPr>
            </w:pPr>
            <w:r w:rsidRPr="007370C9">
              <w:rPr>
                <w:rFonts w:cs="Arial"/>
                <w:b/>
                <w:color w:val="000000"/>
              </w:rPr>
              <w:t>2014</w:t>
            </w:r>
          </w:p>
        </w:tc>
        <w:tc>
          <w:tcPr>
            <w:tcW w:w="1350" w:type="dxa"/>
            <w:tcBorders>
              <w:top w:val="single" w:sz="4" w:space="0" w:color="auto"/>
              <w:left w:val="nil"/>
              <w:bottom w:val="single" w:sz="4" w:space="0" w:color="auto"/>
              <w:right w:val="single" w:sz="4" w:space="0" w:color="auto"/>
            </w:tcBorders>
            <w:shd w:val="clear" w:color="auto" w:fill="A5CD7E"/>
            <w:vAlign w:val="center"/>
          </w:tcPr>
          <w:p w:rsidR="00AC40FC" w:rsidRPr="007370C9" w:rsidRDefault="00AC40FC" w:rsidP="007370C9">
            <w:pPr>
              <w:spacing w:before="120"/>
              <w:jc w:val="center"/>
              <w:rPr>
                <w:rFonts w:cs="Arial"/>
                <w:b/>
                <w:color w:val="000000"/>
              </w:rPr>
            </w:pPr>
            <w:r w:rsidRPr="007370C9">
              <w:rPr>
                <w:rFonts w:cs="Arial"/>
                <w:b/>
                <w:color w:val="000000"/>
              </w:rPr>
              <w:t>2015</w:t>
            </w:r>
          </w:p>
        </w:tc>
      </w:tr>
      <w:tr w:rsidR="00AC40FC" w:rsidRPr="00E44CE0" w:rsidTr="00701DCF">
        <w:trPr>
          <w:trHeight w:val="300"/>
        </w:trPr>
        <w:tc>
          <w:tcPr>
            <w:tcW w:w="2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40FC" w:rsidRPr="00E44CE0" w:rsidRDefault="00AC40FC" w:rsidP="00701DCF">
            <w:pPr>
              <w:spacing w:after="0"/>
              <w:jc w:val="center"/>
              <w:rPr>
                <w:rFonts w:cs="Arial"/>
                <w:color w:val="000000"/>
                <w:sz w:val="22"/>
              </w:rPr>
            </w:pPr>
            <w:r w:rsidRPr="00E44CE0">
              <w:rPr>
                <w:rFonts w:cs="Arial"/>
                <w:color w:val="000000"/>
                <w:sz w:val="22"/>
              </w:rPr>
              <w:t>Web</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rsidR="00AC40FC" w:rsidRPr="00E44CE0" w:rsidRDefault="00AC40FC" w:rsidP="00701DCF">
            <w:pPr>
              <w:spacing w:after="0"/>
              <w:jc w:val="center"/>
              <w:rPr>
                <w:rFonts w:cs="Arial"/>
                <w:color w:val="000000"/>
                <w:sz w:val="22"/>
              </w:rPr>
            </w:pPr>
            <w:r w:rsidRPr="00E44CE0">
              <w:rPr>
                <w:rFonts w:cs="Arial"/>
                <w:color w:val="000000"/>
                <w:sz w:val="22"/>
              </w:rPr>
              <w:t>2,016,231</w:t>
            </w:r>
          </w:p>
        </w:tc>
        <w:tc>
          <w:tcPr>
            <w:tcW w:w="1373" w:type="dxa"/>
            <w:tcBorders>
              <w:top w:val="single" w:sz="4" w:space="0" w:color="auto"/>
              <w:left w:val="nil"/>
              <w:bottom w:val="single" w:sz="4" w:space="0" w:color="auto"/>
              <w:right w:val="single" w:sz="4" w:space="0" w:color="auto"/>
            </w:tcBorders>
            <w:shd w:val="clear" w:color="auto" w:fill="auto"/>
            <w:noWrap/>
            <w:vAlign w:val="center"/>
            <w:hideMark/>
          </w:tcPr>
          <w:p w:rsidR="00AC40FC" w:rsidRPr="00E44CE0" w:rsidRDefault="00AC40FC" w:rsidP="00701DCF">
            <w:pPr>
              <w:spacing w:after="0"/>
              <w:jc w:val="center"/>
              <w:rPr>
                <w:rFonts w:cs="Arial"/>
                <w:color w:val="000000"/>
                <w:sz w:val="22"/>
              </w:rPr>
            </w:pPr>
            <w:r w:rsidRPr="00E44CE0">
              <w:rPr>
                <w:rFonts w:cs="Arial"/>
                <w:color w:val="000000"/>
                <w:sz w:val="22"/>
              </w:rPr>
              <w:t>2,324,386</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rsidR="00AC40FC" w:rsidRPr="00E44CE0" w:rsidRDefault="00AC40FC" w:rsidP="00701DCF">
            <w:pPr>
              <w:spacing w:after="0"/>
              <w:jc w:val="center"/>
              <w:rPr>
                <w:rFonts w:cs="Arial"/>
                <w:color w:val="000000"/>
                <w:sz w:val="22"/>
              </w:rPr>
            </w:pPr>
            <w:r w:rsidRPr="00E44CE0">
              <w:rPr>
                <w:rFonts w:cs="Arial"/>
                <w:color w:val="000000"/>
                <w:sz w:val="22"/>
              </w:rPr>
              <w:t>2,369,026</w:t>
            </w:r>
          </w:p>
        </w:tc>
        <w:tc>
          <w:tcPr>
            <w:tcW w:w="1373" w:type="dxa"/>
            <w:tcBorders>
              <w:top w:val="single" w:sz="4" w:space="0" w:color="auto"/>
              <w:left w:val="nil"/>
              <w:bottom w:val="single" w:sz="4" w:space="0" w:color="auto"/>
              <w:right w:val="single" w:sz="4" w:space="0" w:color="auto"/>
            </w:tcBorders>
            <w:shd w:val="clear" w:color="auto" w:fill="auto"/>
            <w:noWrap/>
            <w:vAlign w:val="center"/>
            <w:hideMark/>
          </w:tcPr>
          <w:p w:rsidR="00AC40FC" w:rsidRPr="00E44CE0" w:rsidRDefault="00AC40FC" w:rsidP="00701DCF">
            <w:pPr>
              <w:spacing w:after="0"/>
              <w:jc w:val="center"/>
              <w:rPr>
                <w:rFonts w:cs="Arial"/>
                <w:color w:val="000000"/>
                <w:sz w:val="22"/>
              </w:rPr>
            </w:pPr>
            <w:r w:rsidRPr="00E44CE0">
              <w:rPr>
                <w:rFonts w:cs="Arial"/>
                <w:color w:val="000000"/>
                <w:sz w:val="22"/>
              </w:rPr>
              <w:t>2,554,339</w:t>
            </w:r>
          </w:p>
        </w:tc>
        <w:tc>
          <w:tcPr>
            <w:tcW w:w="1350" w:type="dxa"/>
            <w:tcBorders>
              <w:top w:val="single" w:sz="4" w:space="0" w:color="auto"/>
              <w:left w:val="nil"/>
              <w:bottom w:val="single" w:sz="4" w:space="0" w:color="auto"/>
              <w:right w:val="single" w:sz="4" w:space="0" w:color="auto"/>
            </w:tcBorders>
            <w:vAlign w:val="center"/>
          </w:tcPr>
          <w:p w:rsidR="00AC40FC" w:rsidRPr="00E44CE0" w:rsidRDefault="00AC40FC" w:rsidP="00701DCF">
            <w:pPr>
              <w:spacing w:after="0"/>
              <w:jc w:val="center"/>
              <w:rPr>
                <w:rFonts w:cs="Arial"/>
                <w:color w:val="000000"/>
                <w:sz w:val="22"/>
              </w:rPr>
            </w:pPr>
            <w:r>
              <w:rPr>
                <w:rFonts w:cs="Arial"/>
                <w:color w:val="000000"/>
                <w:sz w:val="22"/>
              </w:rPr>
              <w:t>2,816,593</w:t>
            </w:r>
          </w:p>
        </w:tc>
      </w:tr>
      <w:tr w:rsidR="00AC40FC" w:rsidRPr="00E44CE0" w:rsidTr="00701DCF">
        <w:trPr>
          <w:trHeight w:val="300"/>
        </w:trPr>
        <w:tc>
          <w:tcPr>
            <w:tcW w:w="2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40FC" w:rsidRPr="00E44CE0" w:rsidRDefault="00AC40FC" w:rsidP="00701DCF">
            <w:pPr>
              <w:spacing w:after="0"/>
              <w:jc w:val="center"/>
              <w:rPr>
                <w:rFonts w:cs="Arial"/>
                <w:color w:val="000000"/>
                <w:sz w:val="22"/>
              </w:rPr>
            </w:pPr>
            <w:r w:rsidRPr="00E44CE0">
              <w:rPr>
                <w:rFonts w:cs="Arial"/>
                <w:color w:val="000000"/>
                <w:sz w:val="22"/>
              </w:rPr>
              <w:t>IVR</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rsidR="00AC40FC" w:rsidRPr="00E44CE0" w:rsidRDefault="00AC40FC" w:rsidP="00701DCF">
            <w:pPr>
              <w:spacing w:after="0"/>
              <w:jc w:val="center"/>
              <w:rPr>
                <w:rFonts w:cs="Arial"/>
                <w:color w:val="000000"/>
                <w:sz w:val="22"/>
              </w:rPr>
            </w:pPr>
            <w:r w:rsidRPr="00E44CE0">
              <w:rPr>
                <w:rFonts w:cs="Arial"/>
                <w:color w:val="000000"/>
                <w:sz w:val="22"/>
              </w:rPr>
              <w:t>808,241</w:t>
            </w:r>
          </w:p>
        </w:tc>
        <w:tc>
          <w:tcPr>
            <w:tcW w:w="1373" w:type="dxa"/>
            <w:tcBorders>
              <w:top w:val="single" w:sz="4" w:space="0" w:color="auto"/>
              <w:left w:val="nil"/>
              <w:bottom w:val="single" w:sz="4" w:space="0" w:color="auto"/>
              <w:right w:val="single" w:sz="4" w:space="0" w:color="auto"/>
            </w:tcBorders>
            <w:shd w:val="clear" w:color="auto" w:fill="auto"/>
            <w:noWrap/>
            <w:vAlign w:val="center"/>
            <w:hideMark/>
          </w:tcPr>
          <w:p w:rsidR="00AC40FC" w:rsidRPr="00E44CE0" w:rsidRDefault="00AC40FC" w:rsidP="00701DCF">
            <w:pPr>
              <w:spacing w:after="0"/>
              <w:jc w:val="center"/>
              <w:rPr>
                <w:rFonts w:cs="Arial"/>
                <w:color w:val="000000"/>
                <w:sz w:val="22"/>
              </w:rPr>
            </w:pPr>
            <w:r w:rsidRPr="00E44CE0">
              <w:rPr>
                <w:rFonts w:cs="Arial"/>
                <w:color w:val="000000"/>
                <w:sz w:val="22"/>
              </w:rPr>
              <w:t>908,324</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rsidR="00AC40FC" w:rsidRPr="00E44CE0" w:rsidRDefault="00AC40FC" w:rsidP="00701DCF">
            <w:pPr>
              <w:spacing w:after="0"/>
              <w:jc w:val="center"/>
              <w:rPr>
                <w:rFonts w:cs="Arial"/>
                <w:color w:val="000000"/>
                <w:sz w:val="22"/>
              </w:rPr>
            </w:pPr>
            <w:r w:rsidRPr="00E44CE0">
              <w:rPr>
                <w:rFonts w:cs="Arial"/>
                <w:color w:val="000000"/>
                <w:sz w:val="22"/>
              </w:rPr>
              <w:t>953,047</w:t>
            </w:r>
          </w:p>
        </w:tc>
        <w:tc>
          <w:tcPr>
            <w:tcW w:w="1373" w:type="dxa"/>
            <w:tcBorders>
              <w:top w:val="single" w:sz="4" w:space="0" w:color="auto"/>
              <w:left w:val="nil"/>
              <w:bottom w:val="single" w:sz="4" w:space="0" w:color="auto"/>
              <w:right w:val="single" w:sz="4" w:space="0" w:color="auto"/>
            </w:tcBorders>
            <w:shd w:val="clear" w:color="auto" w:fill="auto"/>
            <w:noWrap/>
            <w:vAlign w:val="center"/>
            <w:hideMark/>
          </w:tcPr>
          <w:p w:rsidR="00AC40FC" w:rsidRPr="00E44CE0" w:rsidRDefault="00AC40FC" w:rsidP="00701DCF">
            <w:pPr>
              <w:spacing w:after="0"/>
              <w:jc w:val="center"/>
              <w:rPr>
                <w:rFonts w:cs="Arial"/>
                <w:color w:val="000000"/>
                <w:sz w:val="22"/>
              </w:rPr>
            </w:pPr>
            <w:r w:rsidRPr="00E44CE0">
              <w:rPr>
                <w:rFonts w:cs="Arial"/>
                <w:color w:val="000000"/>
                <w:sz w:val="22"/>
              </w:rPr>
              <w:t>1,121,449</w:t>
            </w:r>
          </w:p>
        </w:tc>
        <w:tc>
          <w:tcPr>
            <w:tcW w:w="1350" w:type="dxa"/>
            <w:tcBorders>
              <w:top w:val="single" w:sz="4" w:space="0" w:color="auto"/>
              <w:left w:val="nil"/>
              <w:bottom w:val="single" w:sz="4" w:space="0" w:color="auto"/>
              <w:right w:val="single" w:sz="4" w:space="0" w:color="auto"/>
            </w:tcBorders>
            <w:vAlign w:val="center"/>
          </w:tcPr>
          <w:p w:rsidR="00AC40FC" w:rsidRPr="00E44CE0" w:rsidRDefault="00AC40FC" w:rsidP="00701DCF">
            <w:pPr>
              <w:spacing w:after="0"/>
              <w:jc w:val="center"/>
              <w:rPr>
                <w:rFonts w:cs="Arial"/>
                <w:color w:val="000000"/>
                <w:sz w:val="22"/>
              </w:rPr>
            </w:pPr>
            <w:r>
              <w:rPr>
                <w:rFonts w:cs="Arial"/>
                <w:color w:val="000000"/>
                <w:sz w:val="22"/>
              </w:rPr>
              <w:t>1,436,591</w:t>
            </w:r>
          </w:p>
        </w:tc>
      </w:tr>
      <w:tr w:rsidR="00AC40FC" w:rsidRPr="00E44CE0" w:rsidTr="00701DCF">
        <w:trPr>
          <w:trHeight w:val="300"/>
        </w:trPr>
        <w:tc>
          <w:tcPr>
            <w:tcW w:w="2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40FC" w:rsidRPr="00E44CE0" w:rsidRDefault="00AC40FC" w:rsidP="00701DCF">
            <w:pPr>
              <w:spacing w:after="0"/>
              <w:jc w:val="center"/>
              <w:rPr>
                <w:rFonts w:cs="Arial"/>
                <w:color w:val="000000"/>
                <w:sz w:val="22"/>
              </w:rPr>
            </w:pPr>
            <w:r w:rsidRPr="00E44CE0">
              <w:rPr>
                <w:rFonts w:cs="Arial"/>
                <w:color w:val="000000"/>
                <w:sz w:val="22"/>
              </w:rPr>
              <w:t>Inbound CSR Contacts</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rsidR="00AC40FC" w:rsidRPr="00E44CE0" w:rsidRDefault="00AC40FC" w:rsidP="00701DCF">
            <w:pPr>
              <w:spacing w:after="0"/>
              <w:jc w:val="center"/>
              <w:rPr>
                <w:rFonts w:cs="Arial"/>
                <w:color w:val="000000"/>
                <w:sz w:val="22"/>
              </w:rPr>
            </w:pPr>
            <w:r w:rsidRPr="00E44CE0">
              <w:rPr>
                <w:rFonts w:cs="Arial"/>
                <w:color w:val="000000"/>
                <w:sz w:val="22"/>
              </w:rPr>
              <w:t>2,225,752</w:t>
            </w:r>
          </w:p>
        </w:tc>
        <w:tc>
          <w:tcPr>
            <w:tcW w:w="1373" w:type="dxa"/>
            <w:tcBorders>
              <w:top w:val="single" w:sz="4" w:space="0" w:color="auto"/>
              <w:left w:val="nil"/>
              <w:bottom w:val="single" w:sz="4" w:space="0" w:color="auto"/>
              <w:right w:val="single" w:sz="4" w:space="0" w:color="auto"/>
            </w:tcBorders>
            <w:shd w:val="clear" w:color="auto" w:fill="auto"/>
            <w:noWrap/>
            <w:vAlign w:val="center"/>
            <w:hideMark/>
          </w:tcPr>
          <w:p w:rsidR="00AC40FC" w:rsidRPr="00E44CE0" w:rsidRDefault="00AC40FC" w:rsidP="00701DCF">
            <w:pPr>
              <w:spacing w:after="0"/>
              <w:jc w:val="center"/>
              <w:rPr>
                <w:rFonts w:cs="Arial"/>
                <w:color w:val="000000"/>
                <w:sz w:val="22"/>
              </w:rPr>
            </w:pPr>
            <w:r w:rsidRPr="00E44CE0">
              <w:rPr>
                <w:rFonts w:cs="Arial"/>
                <w:color w:val="000000"/>
                <w:sz w:val="22"/>
              </w:rPr>
              <w:t>1,923,160</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rsidR="00AC40FC" w:rsidRPr="00E44CE0" w:rsidRDefault="00AC40FC" w:rsidP="00701DCF">
            <w:pPr>
              <w:spacing w:after="0"/>
              <w:jc w:val="center"/>
              <w:rPr>
                <w:rFonts w:cs="Arial"/>
                <w:color w:val="000000"/>
                <w:sz w:val="22"/>
              </w:rPr>
            </w:pPr>
            <w:r w:rsidRPr="00E44CE0">
              <w:rPr>
                <w:rFonts w:cs="Arial"/>
                <w:color w:val="000000"/>
                <w:sz w:val="22"/>
              </w:rPr>
              <w:t>2,050,589</w:t>
            </w:r>
          </w:p>
        </w:tc>
        <w:tc>
          <w:tcPr>
            <w:tcW w:w="1373" w:type="dxa"/>
            <w:tcBorders>
              <w:top w:val="single" w:sz="4" w:space="0" w:color="auto"/>
              <w:left w:val="nil"/>
              <w:bottom w:val="single" w:sz="4" w:space="0" w:color="auto"/>
              <w:right w:val="single" w:sz="4" w:space="0" w:color="auto"/>
            </w:tcBorders>
            <w:shd w:val="clear" w:color="auto" w:fill="auto"/>
            <w:noWrap/>
            <w:vAlign w:val="center"/>
            <w:hideMark/>
          </w:tcPr>
          <w:p w:rsidR="00AC40FC" w:rsidRPr="00E44CE0" w:rsidRDefault="00AC40FC" w:rsidP="00701DCF">
            <w:pPr>
              <w:spacing w:after="0"/>
              <w:jc w:val="center"/>
              <w:rPr>
                <w:rFonts w:cs="Arial"/>
                <w:color w:val="000000"/>
                <w:sz w:val="22"/>
              </w:rPr>
            </w:pPr>
            <w:r>
              <w:rPr>
                <w:rFonts w:cs="Arial"/>
                <w:color w:val="000000"/>
                <w:sz w:val="22"/>
              </w:rPr>
              <w:t xml:space="preserve"> 2,135,325</w:t>
            </w:r>
          </w:p>
        </w:tc>
        <w:tc>
          <w:tcPr>
            <w:tcW w:w="1350" w:type="dxa"/>
            <w:tcBorders>
              <w:top w:val="single" w:sz="4" w:space="0" w:color="auto"/>
              <w:left w:val="nil"/>
              <w:bottom w:val="single" w:sz="4" w:space="0" w:color="auto"/>
              <w:right w:val="single" w:sz="4" w:space="0" w:color="auto"/>
            </w:tcBorders>
            <w:vAlign w:val="center"/>
          </w:tcPr>
          <w:p w:rsidR="00AC40FC" w:rsidRPr="00E44CE0" w:rsidRDefault="00AC40FC" w:rsidP="00701DCF">
            <w:pPr>
              <w:spacing w:after="0"/>
              <w:jc w:val="center"/>
              <w:rPr>
                <w:rFonts w:cs="Arial"/>
                <w:color w:val="000000"/>
                <w:sz w:val="22"/>
              </w:rPr>
            </w:pPr>
            <w:r>
              <w:rPr>
                <w:rFonts w:cs="Arial"/>
                <w:color w:val="000000"/>
                <w:sz w:val="22"/>
              </w:rPr>
              <w:t>2,133,250</w:t>
            </w:r>
          </w:p>
        </w:tc>
      </w:tr>
      <w:tr w:rsidR="00AC40FC" w:rsidRPr="00E44CE0" w:rsidTr="00701DCF">
        <w:trPr>
          <w:trHeight w:val="300"/>
        </w:trPr>
        <w:tc>
          <w:tcPr>
            <w:tcW w:w="937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AC40FC" w:rsidRPr="002C298C" w:rsidRDefault="00AC40FC" w:rsidP="00701DCF">
            <w:pPr>
              <w:spacing w:after="0"/>
              <w:rPr>
                <w:rFonts w:cs="Arial"/>
                <w:color w:val="000000"/>
                <w:sz w:val="22"/>
              </w:rPr>
            </w:pPr>
            <w:r w:rsidRPr="002C298C">
              <w:rPr>
                <w:rFonts w:cs="Arial"/>
                <w:color w:val="000000"/>
                <w:sz w:val="22"/>
              </w:rPr>
              <w:t>Source</w:t>
            </w:r>
            <w:r>
              <w:rPr>
                <w:rFonts w:cs="Arial"/>
                <w:color w:val="000000"/>
                <w:sz w:val="22"/>
              </w:rPr>
              <w:t>s</w:t>
            </w:r>
            <w:r w:rsidRPr="002C298C">
              <w:rPr>
                <w:rFonts w:cs="Arial"/>
                <w:color w:val="000000"/>
                <w:sz w:val="22"/>
              </w:rPr>
              <w:t>:  DN 04-177/197</w:t>
            </w:r>
            <w:r>
              <w:rPr>
                <w:rFonts w:cs="Arial"/>
                <w:color w:val="000000"/>
                <w:sz w:val="22"/>
              </w:rPr>
              <w:t>; PPL EU edits</w:t>
            </w:r>
          </w:p>
        </w:tc>
      </w:tr>
    </w:tbl>
    <w:p w:rsidR="00AC40FC" w:rsidRDefault="00AC40FC" w:rsidP="00701DCF">
      <w:pPr>
        <w:pStyle w:val="Normal-aftertable"/>
      </w:pPr>
      <w:r>
        <w:t xml:space="preserve">As total contact volumes increase, the self-service options of Web and IVR are increasing at a faster rate than inbound CSR contacts.  The Web channel had more contacts in 2015 than the other channels.  </w:t>
      </w:r>
      <w:r w:rsidRPr="004A1A52">
        <w:t xml:space="preserve">Recent </w:t>
      </w:r>
      <w:r>
        <w:t xml:space="preserve">customer </w:t>
      </w:r>
      <w:r w:rsidRPr="004A1A52">
        <w:t xml:space="preserve">satisfaction metrics show </w:t>
      </w:r>
      <w:r w:rsidRPr="004A1A52">
        <w:lastRenderedPageBreak/>
        <w:t>that Web transactions have the highest satisfaction levels</w:t>
      </w:r>
      <w:r>
        <w:t xml:space="preserve"> compared to the other channels</w:t>
      </w:r>
      <w:r w:rsidRPr="004A1A52">
        <w:t>.</w:t>
      </w:r>
    </w:p>
    <w:p w:rsidR="00AC40FC" w:rsidRDefault="00AC40FC" w:rsidP="00701DCF">
      <w:r>
        <w:t>Absent from this report is the impact that the increasing self-service channels may be having on costs.  Self-service channels have significantly lower costs per contact and, presumably, a unit cost approach would show that total call center costs are decreasing or growing at a slower rate as the lower unit costs of the IVR and Web replace growth in the volume of inbound CSR contacts.</w:t>
      </w:r>
    </w:p>
    <w:p w:rsidR="00AC40FC" w:rsidRDefault="00AC40FC" w:rsidP="00701DCF">
      <w:r>
        <w:t xml:space="preserve">According to an independent study, moving a customer to self-service channels from telephone calls to CSRs saves an average of $0.60 to $1.50 per call.  However, PPL EU does not track actual cost/benefit dynamics of shifting contact preferences by customers, particularly when multiple contact types are used in a single transaction.  </w:t>
      </w:r>
    </w:p>
    <w:p w:rsidR="00AC40FC" w:rsidRPr="00815326" w:rsidRDefault="00AC40FC" w:rsidP="004F00E5">
      <w:pPr>
        <w:pStyle w:val="Findings"/>
        <w:numPr>
          <w:ilvl w:val="0"/>
          <w:numId w:val="43"/>
        </w:numPr>
      </w:pPr>
      <w:r w:rsidRPr="00815326">
        <w:t>Some customer</w:t>
      </w:r>
      <w:r>
        <w:t>s</w:t>
      </w:r>
      <w:r w:rsidRPr="00815326">
        <w:t xml:space="preserve"> </w:t>
      </w:r>
      <w:r>
        <w:t>are reluctant to enroll</w:t>
      </w:r>
      <w:r w:rsidRPr="00815326">
        <w:t xml:space="preserve"> in automated bill payments with credit cards</w:t>
      </w:r>
      <w:r>
        <w:t xml:space="preserve"> because of fees</w:t>
      </w:r>
      <w:r w:rsidRPr="00815326">
        <w:t xml:space="preserve">. </w:t>
      </w:r>
    </w:p>
    <w:p w:rsidR="00AC40FC" w:rsidRDefault="00AC40FC" w:rsidP="00701DCF">
      <w:r w:rsidRPr="00B41180">
        <w:t>Some customers are reluctant to pay PPL EU fees for enrolling in the automated credit card bill payment plan.  Customer Services recognizes that there may be regulatory hurdles if PPL EU eliminates the fee and seeks to recover the costs.  Analysis may demonstrate that savings associated with the use of the credit card (e.g., eliminate paper mailings) could offset PPL EU’s absorption of the fee.</w:t>
      </w:r>
    </w:p>
    <w:p w:rsidR="00AC40FC" w:rsidRDefault="00AC40FC" w:rsidP="004F00E5">
      <w:pPr>
        <w:pStyle w:val="Findings"/>
        <w:numPr>
          <w:ilvl w:val="0"/>
          <w:numId w:val="43"/>
        </w:numPr>
      </w:pPr>
      <w:r>
        <w:t>Customer Services’ market research program is comprehensive and appropriately focused on process and performance improvement.</w:t>
      </w:r>
    </w:p>
    <w:p w:rsidR="00AC40FC" w:rsidRDefault="00AC40FC" w:rsidP="00701DCF">
      <w:r>
        <w:t>A contractor conducts four market research surveys quarterly.  Because the survey format was changed in 2013, results are only available for 2014 and 2015. The following are recent survey results for the residential, business, transactional, and tree trimming research programs:</w:t>
      </w:r>
    </w:p>
    <w:p w:rsidR="00AC40FC" w:rsidRDefault="00AC40FC" w:rsidP="00701DCF">
      <w:r w:rsidRPr="004C4872">
        <w:rPr>
          <w:b/>
        </w:rPr>
        <w:t>Residential</w:t>
      </w:r>
      <w:r>
        <w:rPr>
          <w:b/>
        </w:rPr>
        <w:t>.</w:t>
      </w:r>
      <w:r>
        <w:t xml:space="preserve"> The Customer Satisfaction (CSAT) residential survey program is conducted on a quarterly basis to measure and track overall satisfaction and other key components that impact performance.  The program is utilized to improve operational effectiveness.  The data is obtained primarily via online interviews as well as phone interviews.  A total of 991 surveys were completed in the second quarter (Q2) of 2015 among the seven regions of Central, Harrisburg, Lancaster, Lehigh, Northeast, and Susquehanna.  Data are weighted by region and age, significance testing conducted at a 95% confidence level, and detailed diagnostics are provided.  Overall measures are:  Satisfaction, Image, Value, Reliability, and Communication.  Each has more specific measures.  Key findings reported for Q2 2015 were:</w:t>
      </w:r>
    </w:p>
    <w:p w:rsidR="00AC40FC" w:rsidRPr="00D139DE" w:rsidRDefault="00AC40FC" w:rsidP="00701DCF">
      <w:pPr>
        <w:pStyle w:val="Bullet"/>
        <w:rPr>
          <w:i/>
        </w:rPr>
      </w:pPr>
      <w:r w:rsidRPr="00D139DE">
        <w:rPr>
          <w:i/>
        </w:rPr>
        <w:t>Overall satisfaction among residential customers fell significantly in Q2 2015 due</w:t>
      </w:r>
      <w:r>
        <w:rPr>
          <w:i/>
        </w:rPr>
        <w:t>,</w:t>
      </w:r>
      <w:r w:rsidRPr="00D139DE">
        <w:rPr>
          <w:i/>
        </w:rPr>
        <w:t xml:space="preserve"> in part, to the announcement of PPL EU’s rate increase request and customers struggling with high bills.  This is also evident with the decline in Overall Value and Overall Image.  These issues were mentioned as customers voiced their displeasure with the rate increase and their high bills in the open-end comments this quarter.</w:t>
      </w:r>
    </w:p>
    <w:p w:rsidR="00AC40FC" w:rsidRPr="00D139DE" w:rsidRDefault="00AC40FC" w:rsidP="00701DCF">
      <w:pPr>
        <w:pStyle w:val="Bullet"/>
        <w:rPr>
          <w:i/>
        </w:rPr>
      </w:pPr>
      <w:r>
        <w:rPr>
          <w:i/>
        </w:rPr>
        <w:t>Additionally, 18–49 year-</w:t>
      </w:r>
      <w:r w:rsidRPr="00D139DE">
        <w:rPr>
          <w:i/>
        </w:rPr>
        <w:t xml:space="preserve">old satisfaction levels fell in Q2, yet still remained over the YTD goal.  This younger group continues to hold much lower satisfaction levels than the 50 plus age group.  The Total PPL EU </w:t>
      </w:r>
      <w:r>
        <w:rPr>
          <w:i/>
        </w:rPr>
        <w:t xml:space="preserve">Overall Satisfaction </w:t>
      </w:r>
      <w:r>
        <w:rPr>
          <w:i/>
        </w:rPr>
        <w:lastRenderedPageBreak/>
        <w:t>(</w:t>
      </w:r>
      <w:r w:rsidRPr="00D139DE">
        <w:rPr>
          <w:i/>
        </w:rPr>
        <w:t>OSAT</w:t>
      </w:r>
      <w:r>
        <w:rPr>
          <w:i/>
        </w:rPr>
        <w:t>)</w:t>
      </w:r>
      <w:r w:rsidRPr="00D139DE">
        <w:rPr>
          <w:i/>
        </w:rPr>
        <w:t xml:space="preserve"> goal and the Restoration Progress goal were both met as well, albeit slight declines in Total in Q2 were registered.</w:t>
      </w:r>
    </w:p>
    <w:p w:rsidR="00AC40FC" w:rsidRPr="00D139DE" w:rsidRDefault="00AC40FC" w:rsidP="00701DCF">
      <w:pPr>
        <w:pStyle w:val="Bullet"/>
        <w:rPr>
          <w:i/>
        </w:rPr>
      </w:pPr>
      <w:r w:rsidRPr="00D139DE">
        <w:rPr>
          <w:i/>
        </w:rPr>
        <w:t>Despite these decreases, most Residential customers still believe that PPL EU provides reliable service.  Additionally, customers continue to praise PPL EU for responding quickly when outages do occur and their strong customer service.</w:t>
      </w:r>
    </w:p>
    <w:p w:rsidR="00AC40FC" w:rsidRDefault="00AC40FC" w:rsidP="00701DCF">
      <w:pPr>
        <w:pStyle w:val="Bullet"/>
      </w:pPr>
      <w:r w:rsidRPr="00D139DE">
        <w:rPr>
          <w:i/>
        </w:rPr>
        <w:t>In order to improve overall satisfaction, PPL EU should consider focusing on boosting perceptions of the overall value they offer, what PPL</w:t>
      </w:r>
      <w:r>
        <w:rPr>
          <w:i/>
        </w:rPr>
        <w:t xml:space="preserve"> EU</w:t>
      </w:r>
      <w:r w:rsidRPr="00D139DE">
        <w:rPr>
          <w:i/>
        </w:rPr>
        <w:t xml:space="preserve"> is doing to help reduce the cost of electricity</w:t>
      </w:r>
      <w:r>
        <w:rPr>
          <w:i/>
        </w:rPr>
        <w:t>,</w:t>
      </w:r>
      <w:r w:rsidRPr="00D139DE">
        <w:rPr>
          <w:i/>
        </w:rPr>
        <w:t xml:space="preserve"> and educate consumers on ways to manage usage – especially with younger customers.  Doing these things could also improve PPL EU’s image.</w:t>
      </w:r>
    </w:p>
    <w:p w:rsidR="00AC40FC" w:rsidRDefault="00AC40FC" w:rsidP="00701DCF">
      <w:r w:rsidRPr="004C4872">
        <w:rPr>
          <w:b/>
        </w:rPr>
        <w:t>Business.</w:t>
      </w:r>
      <w:r>
        <w:t xml:space="preserve">  The CSAT Business program is conducted on a quarterly basis to measure and track overall satisfaction and other key components that impact performance among Business customers. The program is utilized to improve operational effectiveness.  The person interviewed is the individual most knowledgeable about electric service for his or her organization.  A total of 200 surveys were completed in Q2.  Data are weighted by rate classification, significance testing conducted at a 95% confidence level, </w:t>
      </w:r>
      <w:r w:rsidRPr="000444ED">
        <w:t>and detailed diagnostics provided at the end of each quarter</w:t>
      </w:r>
      <w:r>
        <w:t>.  Key findings reported for Q2 5015 were:</w:t>
      </w:r>
    </w:p>
    <w:p w:rsidR="00AC40FC" w:rsidRPr="009A7E76" w:rsidRDefault="00AC40FC" w:rsidP="00701DCF">
      <w:pPr>
        <w:pStyle w:val="Bullet"/>
        <w:rPr>
          <w:i/>
        </w:rPr>
      </w:pPr>
      <w:r w:rsidRPr="009A7E76">
        <w:rPr>
          <w:i/>
        </w:rPr>
        <w:t>Overall satisfaction among Business customers remained strong and steady in Q2</w:t>
      </w:r>
      <w:r>
        <w:rPr>
          <w:i/>
        </w:rPr>
        <w:t>,</w:t>
      </w:r>
      <w:r w:rsidRPr="009A7E76">
        <w:rPr>
          <w:i/>
        </w:rPr>
        <w:t xml:space="preserve"> 2015, with 84 percent giving a top 3 box rating</w:t>
      </w:r>
      <w:r>
        <w:rPr>
          <w:i/>
        </w:rPr>
        <w:t xml:space="preserve"> [highest satisfaction check-offs]</w:t>
      </w:r>
      <w:r w:rsidRPr="009A7E76">
        <w:rPr>
          <w:i/>
        </w:rPr>
        <w:t>.  However, the Total PPL EU score decreased due to Residential declines following a solid Q1 performance.  Overall satisfaction among GS-1</w:t>
      </w:r>
      <w:r>
        <w:rPr>
          <w:i/>
        </w:rPr>
        <w:t xml:space="preserve"> (small general service rate class)</w:t>
      </w:r>
      <w:r w:rsidRPr="009A7E76">
        <w:rPr>
          <w:i/>
        </w:rPr>
        <w:t xml:space="preserve"> </w:t>
      </w:r>
      <w:r>
        <w:rPr>
          <w:i/>
        </w:rPr>
        <w:t xml:space="preserve">business </w:t>
      </w:r>
      <w:r w:rsidRPr="009A7E76">
        <w:rPr>
          <w:i/>
        </w:rPr>
        <w:t>customers has trended higher since Q4 2014.</w:t>
      </w:r>
    </w:p>
    <w:p w:rsidR="00AC40FC" w:rsidRPr="009A7E76" w:rsidRDefault="00AC40FC" w:rsidP="00701DCF">
      <w:pPr>
        <w:pStyle w:val="Bullet"/>
        <w:rPr>
          <w:rFonts w:ascii="Rockwell" w:hAnsi="Rockwell" w:cs="Rockwell"/>
          <w:i/>
        </w:rPr>
      </w:pPr>
      <w:r w:rsidRPr="009A7E76">
        <w:rPr>
          <w:i/>
        </w:rPr>
        <w:t xml:space="preserve">Reliability remained particularly strong among GS-3 </w:t>
      </w:r>
      <w:r>
        <w:rPr>
          <w:i/>
        </w:rPr>
        <w:t xml:space="preserve">(large general service rate class) </w:t>
      </w:r>
      <w:r w:rsidRPr="009A7E76">
        <w:rPr>
          <w:i/>
        </w:rPr>
        <w:t>businesses and improved among GS-1 businesses, eliminating the previous gap.  Customers continue to praise PPL EU for providing reliable electricity and being proactive and responsive when outages do occur.</w:t>
      </w:r>
    </w:p>
    <w:p w:rsidR="00AC40FC" w:rsidRPr="009A7E76" w:rsidRDefault="00AC40FC" w:rsidP="00701DCF">
      <w:pPr>
        <w:pStyle w:val="Bullet"/>
        <w:rPr>
          <w:i/>
        </w:rPr>
      </w:pPr>
      <w:r w:rsidRPr="009A7E76">
        <w:rPr>
          <w:i/>
        </w:rPr>
        <w:t>Perceptions of PPL EU’s image were also quite high in Q2 as a result of an uptrend driven by GS-1 customers.  Most business customers strongly believe PPL EU operates ethically and is concerned about its customers and community.</w:t>
      </w:r>
    </w:p>
    <w:p w:rsidR="00AC40FC" w:rsidRDefault="00AC40FC" w:rsidP="00701DCF">
      <w:pPr>
        <w:pStyle w:val="Bullet"/>
      </w:pPr>
      <w:r w:rsidRPr="009A7E76">
        <w:rPr>
          <w:i/>
        </w:rPr>
        <w:t>While overall value has slowly improved there still exists some dissatisfaction regarding the cost of electricity.</w:t>
      </w:r>
      <w:r>
        <w:rPr>
          <w:i/>
        </w:rPr>
        <w:t xml:space="preserve"> </w:t>
      </w:r>
      <w:r w:rsidRPr="009A7E76">
        <w:rPr>
          <w:i/>
        </w:rPr>
        <w:t xml:space="preserve"> PPL EU could consider focusing on improving efforts to help reduce the amount of electricity by providing tools to manage usage and improving the information provided on energy efficiency programs.</w:t>
      </w:r>
    </w:p>
    <w:p w:rsidR="00AC40FC" w:rsidRPr="001C225F" w:rsidRDefault="00AC40FC" w:rsidP="00701DCF">
      <w:pPr>
        <w:rPr>
          <w:rFonts w:cs="Arial"/>
        </w:rPr>
      </w:pPr>
      <w:r w:rsidRPr="008C5904">
        <w:rPr>
          <w:rFonts w:cs="Arial"/>
          <w:b/>
        </w:rPr>
        <w:t>Transactional.</w:t>
      </w:r>
      <w:r>
        <w:rPr>
          <w:rFonts w:cs="Arial"/>
        </w:rPr>
        <w:t xml:space="preserve">  The </w:t>
      </w:r>
      <w:r w:rsidRPr="001C225F">
        <w:rPr>
          <w:rFonts w:cs="Arial"/>
        </w:rPr>
        <w:t>New Service Transactional Satisfaction Program is conducted quarterly to measure and track satisfaction of residential and business customers who have recently requested and received new service or a service upgrade.  In Q1</w:t>
      </w:r>
      <w:r>
        <w:rPr>
          <w:rFonts w:cs="Arial"/>
        </w:rPr>
        <w:t xml:space="preserve"> 20</w:t>
      </w:r>
      <w:r w:rsidRPr="001C225F">
        <w:rPr>
          <w:rFonts w:cs="Arial"/>
        </w:rPr>
        <w:t>15, a total of 1</w:t>
      </w:r>
      <w:r>
        <w:rPr>
          <w:rFonts w:cs="Arial"/>
        </w:rPr>
        <w:t>,</w:t>
      </w:r>
      <w:r w:rsidRPr="001C225F">
        <w:rPr>
          <w:rFonts w:cs="Arial"/>
        </w:rPr>
        <w:t xml:space="preserve">139 </w:t>
      </w:r>
      <w:r>
        <w:rPr>
          <w:rFonts w:cs="Arial"/>
        </w:rPr>
        <w:t>mail surveys were mailed</w:t>
      </w:r>
      <w:r w:rsidRPr="001C225F">
        <w:rPr>
          <w:rFonts w:cs="Arial"/>
        </w:rPr>
        <w:t>,</w:t>
      </w:r>
      <w:r>
        <w:rPr>
          <w:rFonts w:cs="Arial"/>
        </w:rPr>
        <w:t xml:space="preserve"> </w:t>
      </w:r>
      <w:r w:rsidRPr="001C225F">
        <w:rPr>
          <w:rFonts w:cs="Arial"/>
        </w:rPr>
        <w:t>yielding 347 total paper completes for an overall response rate of 30%</w:t>
      </w:r>
      <w:r>
        <w:rPr>
          <w:rFonts w:cs="Arial"/>
        </w:rPr>
        <w:t xml:space="preserve">.  </w:t>
      </w:r>
      <w:r w:rsidRPr="001C225F">
        <w:rPr>
          <w:rFonts w:cs="Arial"/>
        </w:rPr>
        <w:t>Key</w:t>
      </w:r>
      <w:r>
        <w:rPr>
          <w:rFonts w:cs="Arial"/>
        </w:rPr>
        <w:t xml:space="preserve"> findings reported for Q1</w:t>
      </w:r>
      <w:r w:rsidRPr="001C225F">
        <w:rPr>
          <w:rFonts w:cs="Arial"/>
        </w:rPr>
        <w:t xml:space="preserve"> 2015 were:</w:t>
      </w:r>
    </w:p>
    <w:p w:rsidR="00AC40FC" w:rsidRPr="001C225F" w:rsidRDefault="00AC40FC" w:rsidP="00701DCF">
      <w:pPr>
        <w:pStyle w:val="Bullet"/>
        <w:rPr>
          <w:rFonts w:cs="Arial"/>
          <w:bCs/>
          <w:i/>
          <w:szCs w:val="24"/>
        </w:rPr>
      </w:pPr>
      <w:r w:rsidRPr="001C225F">
        <w:rPr>
          <w:i/>
        </w:rPr>
        <w:t>Overall satisfaction with the New Service/Upgrade process was unchanged, with 76% of customers giving a Top 3 Box [highest] rating.</w:t>
      </w:r>
    </w:p>
    <w:p w:rsidR="00AC40FC" w:rsidRPr="001C225F" w:rsidRDefault="00AC40FC" w:rsidP="00701DCF">
      <w:pPr>
        <w:pStyle w:val="Bullet"/>
        <w:rPr>
          <w:rFonts w:cs="Arial"/>
          <w:i/>
          <w:szCs w:val="24"/>
        </w:rPr>
      </w:pPr>
      <w:r w:rsidRPr="001C225F">
        <w:rPr>
          <w:rFonts w:cs="Arial"/>
          <w:i/>
          <w:szCs w:val="24"/>
        </w:rPr>
        <w:t xml:space="preserve">The amount of </w:t>
      </w:r>
      <w:r w:rsidRPr="001C225F">
        <w:rPr>
          <w:rFonts w:cs="Arial"/>
          <w:bCs/>
          <w:i/>
          <w:szCs w:val="24"/>
        </w:rPr>
        <w:t xml:space="preserve">customer effort required </w:t>
      </w:r>
      <w:r w:rsidRPr="001C225F">
        <w:rPr>
          <w:rFonts w:cs="Arial"/>
          <w:i/>
          <w:szCs w:val="24"/>
        </w:rPr>
        <w:t xml:space="preserve">appears to be a key </w:t>
      </w:r>
      <w:r w:rsidRPr="001C225F">
        <w:rPr>
          <w:rFonts w:cs="Arial"/>
          <w:bCs/>
          <w:i/>
          <w:szCs w:val="24"/>
        </w:rPr>
        <w:t>driver in satisfaction.</w:t>
      </w:r>
    </w:p>
    <w:p w:rsidR="00AC40FC" w:rsidRPr="001C225F" w:rsidRDefault="00AC40FC" w:rsidP="00701DCF">
      <w:pPr>
        <w:pStyle w:val="Bullet"/>
        <w:rPr>
          <w:rFonts w:cs="Arial"/>
          <w:i/>
          <w:szCs w:val="24"/>
        </w:rPr>
      </w:pPr>
      <w:r w:rsidRPr="001C225F">
        <w:rPr>
          <w:rFonts w:cs="Arial"/>
          <w:bCs/>
          <w:i/>
          <w:szCs w:val="24"/>
        </w:rPr>
        <w:lastRenderedPageBreak/>
        <w:t xml:space="preserve">Keeping customers updated </w:t>
      </w:r>
      <w:r w:rsidRPr="001C225F">
        <w:rPr>
          <w:rFonts w:cs="Arial"/>
          <w:i/>
          <w:szCs w:val="24"/>
        </w:rPr>
        <w:t xml:space="preserve">throughout the process can eliminate perceptions of poor communication and high customer effort, and thus </w:t>
      </w:r>
      <w:r w:rsidRPr="001C225F">
        <w:rPr>
          <w:rFonts w:cs="Arial"/>
          <w:bCs/>
          <w:i/>
          <w:szCs w:val="24"/>
        </w:rPr>
        <w:t>improve satisfaction.</w:t>
      </w:r>
    </w:p>
    <w:p w:rsidR="00AC40FC" w:rsidRPr="001C225F" w:rsidRDefault="00AC40FC" w:rsidP="00701DCF">
      <w:pPr>
        <w:pStyle w:val="Bullet"/>
        <w:rPr>
          <w:rFonts w:cs="Arial"/>
          <w:i/>
          <w:szCs w:val="24"/>
        </w:rPr>
      </w:pPr>
      <w:r w:rsidRPr="001C225F">
        <w:rPr>
          <w:rFonts w:cs="Arial"/>
          <w:bCs/>
          <w:i/>
          <w:szCs w:val="24"/>
        </w:rPr>
        <w:t xml:space="preserve">Time to Complete Project </w:t>
      </w:r>
      <w:r w:rsidRPr="001C225F">
        <w:rPr>
          <w:rFonts w:cs="Arial"/>
          <w:i/>
          <w:szCs w:val="24"/>
        </w:rPr>
        <w:t>also appears to impact satisfaction, as this was another top complaint.</w:t>
      </w:r>
    </w:p>
    <w:p w:rsidR="00AC40FC" w:rsidRPr="001C225F" w:rsidRDefault="00AC40FC" w:rsidP="00701DCF">
      <w:pPr>
        <w:pStyle w:val="Bullet"/>
        <w:widowControl w:val="0"/>
        <w:autoSpaceDE w:val="0"/>
        <w:autoSpaceDN w:val="0"/>
        <w:adjustRightInd w:val="0"/>
        <w:spacing w:after="0"/>
        <w:jc w:val="left"/>
        <w:rPr>
          <w:rFonts w:ascii="Rockwell" w:hAnsi="Rockwell" w:cs="Rockwell"/>
          <w:i/>
          <w:color w:val="494D4F"/>
          <w:sz w:val="28"/>
          <w:szCs w:val="28"/>
        </w:rPr>
      </w:pPr>
      <w:r w:rsidRPr="001C225F">
        <w:rPr>
          <w:rFonts w:cs="Arial"/>
          <w:bCs/>
          <w:i/>
          <w:szCs w:val="24"/>
        </w:rPr>
        <w:t>PPL</w:t>
      </w:r>
      <w:r>
        <w:rPr>
          <w:rFonts w:cs="Arial"/>
          <w:bCs/>
          <w:i/>
          <w:szCs w:val="24"/>
        </w:rPr>
        <w:t xml:space="preserve"> EU</w:t>
      </w:r>
      <w:r w:rsidRPr="001C225F">
        <w:rPr>
          <w:rFonts w:cs="Arial"/>
          <w:bCs/>
          <w:i/>
          <w:szCs w:val="24"/>
        </w:rPr>
        <w:t xml:space="preserve"> excels during the Design phase</w:t>
      </w:r>
      <w:r w:rsidRPr="001C225F">
        <w:rPr>
          <w:rFonts w:cs="Arial"/>
          <w:i/>
          <w:szCs w:val="24"/>
        </w:rPr>
        <w:t>, as customer perceptions were very high on all measures here.</w:t>
      </w:r>
    </w:p>
    <w:p w:rsidR="00AC40FC" w:rsidRPr="00FD2E97" w:rsidRDefault="00AC40FC" w:rsidP="00701DCF">
      <w:pPr>
        <w:pStyle w:val="Bullet"/>
        <w:rPr>
          <w:sz w:val="28"/>
          <w:szCs w:val="28"/>
        </w:rPr>
      </w:pPr>
      <w:r w:rsidRPr="008C5904">
        <w:rPr>
          <w:i/>
        </w:rPr>
        <w:t>The System Total exceeded the 2015 YTD Goal by 2%</w:t>
      </w:r>
      <w:r w:rsidRPr="001C225F">
        <w:t>.</w:t>
      </w:r>
    </w:p>
    <w:p w:rsidR="00AC40FC" w:rsidRDefault="00AC40FC" w:rsidP="00701DCF">
      <w:pPr>
        <w:pStyle w:val="Normal-aftertable"/>
      </w:pPr>
      <w:r w:rsidRPr="008C5904">
        <w:rPr>
          <w:b/>
        </w:rPr>
        <w:t>Tree Trimming</w:t>
      </w:r>
      <w:r>
        <w:t>.  The Tree Trimming Customer Relations Study is conducted on a quarterly basis to measure and track satisfaction of residential customers who have had trees trimmed on or close to their property by one of the contract tree trimming companies.  A total of 485 on-line and phone surveys were completed.  Data was weighted by sample received from each contractor.  Additionally, weighting was applied 50/50 phone/online to each of the four tree trimming contractors.  Some key findings for Q2, 2015 were:</w:t>
      </w:r>
    </w:p>
    <w:p w:rsidR="00AC40FC" w:rsidRPr="0046483D" w:rsidRDefault="00AC40FC" w:rsidP="00701DCF">
      <w:pPr>
        <w:pStyle w:val="Bullet"/>
        <w:rPr>
          <w:rFonts w:cs="Arial"/>
          <w:i/>
        </w:rPr>
      </w:pPr>
      <w:r w:rsidRPr="0046483D">
        <w:rPr>
          <w:i/>
        </w:rPr>
        <w:t>Perceptions that tree trimming improves reliabi</w:t>
      </w:r>
      <w:r>
        <w:rPr>
          <w:i/>
        </w:rPr>
        <w:t>lity remained very strong in Q2, 20</w:t>
      </w:r>
      <w:r w:rsidRPr="0046483D">
        <w:rPr>
          <w:i/>
        </w:rPr>
        <w:t xml:space="preserve">15, yet </w:t>
      </w:r>
      <w:r w:rsidRPr="0046483D">
        <w:rPr>
          <w:bCs/>
          <w:i/>
        </w:rPr>
        <w:t>overall pruning satisfaction decreased</w:t>
      </w:r>
      <w:r w:rsidRPr="0046483D">
        <w:rPr>
          <w:i/>
        </w:rPr>
        <w:t>, with the largest declines seen among two of the four contractors.</w:t>
      </w:r>
    </w:p>
    <w:p w:rsidR="00AC40FC" w:rsidRPr="0046483D" w:rsidRDefault="00AC40FC" w:rsidP="00701DCF">
      <w:pPr>
        <w:pStyle w:val="Bullet"/>
        <w:rPr>
          <w:rFonts w:cs="Arial"/>
          <w:bCs/>
          <w:i/>
        </w:rPr>
      </w:pPr>
      <w:r w:rsidRPr="0046483D">
        <w:rPr>
          <w:rFonts w:cs="Arial"/>
          <w:bCs/>
          <w:i/>
        </w:rPr>
        <w:t xml:space="preserve">More urban and suburban customers were interviewed </w:t>
      </w:r>
      <w:r w:rsidRPr="0046483D">
        <w:rPr>
          <w:rFonts w:cs="Arial"/>
          <w:i/>
        </w:rPr>
        <w:t xml:space="preserve">in Q2, likely playing a role in the overall satisfaction decline as </w:t>
      </w:r>
      <w:r w:rsidRPr="0046483D">
        <w:rPr>
          <w:rFonts w:cs="Arial"/>
          <w:bCs/>
          <w:i/>
        </w:rPr>
        <w:t xml:space="preserve">these groups tend to hold lower perceptions </w:t>
      </w:r>
      <w:r w:rsidRPr="0046483D">
        <w:rPr>
          <w:rFonts w:cs="Arial"/>
          <w:i/>
        </w:rPr>
        <w:t xml:space="preserve">than the small town/rural customers. </w:t>
      </w:r>
      <w:r>
        <w:rPr>
          <w:rFonts w:cs="Arial"/>
          <w:i/>
        </w:rPr>
        <w:t xml:space="preserve"> </w:t>
      </w:r>
      <w:r w:rsidRPr="0046483D">
        <w:rPr>
          <w:rFonts w:cs="Arial"/>
          <w:i/>
        </w:rPr>
        <w:t xml:space="preserve">However, </w:t>
      </w:r>
      <w:r w:rsidRPr="0046483D">
        <w:rPr>
          <w:rFonts w:cs="Arial"/>
          <w:bCs/>
          <w:i/>
        </w:rPr>
        <w:t>small town/rural satisfaction fell in Q2 as well.</w:t>
      </w:r>
    </w:p>
    <w:p w:rsidR="00AC40FC" w:rsidRDefault="00AC40FC" w:rsidP="00701DCF">
      <w:pPr>
        <w:pStyle w:val="Bullet"/>
        <w:rPr>
          <w:rFonts w:cs="Arial"/>
          <w:bCs/>
          <w:i/>
        </w:rPr>
      </w:pPr>
      <w:r w:rsidRPr="0046483D">
        <w:rPr>
          <w:rFonts w:cs="Arial"/>
          <w:bCs/>
          <w:i/>
        </w:rPr>
        <w:t>Over-pruning, poor appearance of trees, and not cleaning up properly were top complaints.</w:t>
      </w:r>
    </w:p>
    <w:p w:rsidR="00AC40FC" w:rsidRPr="0046483D" w:rsidRDefault="00AC40FC" w:rsidP="00701DCF">
      <w:pPr>
        <w:pStyle w:val="Heading40"/>
      </w:pPr>
      <w:r>
        <w:t>Energy Efficiency</w:t>
      </w:r>
    </w:p>
    <w:p w:rsidR="00AC40FC" w:rsidRPr="00ED72D7" w:rsidRDefault="00AC40FC" w:rsidP="004F00E5">
      <w:pPr>
        <w:pStyle w:val="Findings"/>
        <w:numPr>
          <w:ilvl w:val="0"/>
          <w:numId w:val="43"/>
        </w:numPr>
      </w:pPr>
      <w:r>
        <w:t xml:space="preserve">The </w:t>
      </w:r>
      <w:r w:rsidRPr="00ED72D7">
        <w:t>EE&amp;C Plan</w:t>
      </w:r>
      <w:r>
        <w:t>’s</w:t>
      </w:r>
      <w:r w:rsidRPr="00ED72D7">
        <w:t xml:space="preserve"> </w:t>
      </w:r>
      <w:r>
        <w:t>MWh</w:t>
      </w:r>
      <w:r w:rsidRPr="00ED72D7">
        <w:t xml:space="preserve"> savings were forecast to exceed </w:t>
      </w:r>
      <w:r>
        <w:t>the year-end 2015 target while expenditures were at or below budget.</w:t>
      </w:r>
    </w:p>
    <w:p w:rsidR="00AC40FC" w:rsidRDefault="00AC40FC" w:rsidP="00701DCF">
      <w:r>
        <w:t xml:space="preserve">There are two metrics that are reported as part of the October 2015 Monthly Customer Services Performance Indicators for the 2015 EE&amp;C Plan:   </w:t>
      </w:r>
    </w:p>
    <w:p w:rsidR="00AC40FC" w:rsidRDefault="00AC40FC" w:rsidP="00701DCF">
      <w:pPr>
        <w:pStyle w:val="Bullet"/>
      </w:pPr>
      <w:r>
        <w:t>MWh Totals for Reported Savings – The objective was to achieve between 500,000 and 544,000 MWh per year of cumulative reported savings toward the Phase 2 compliance target by the end of 2015.   As of October 2015, the year-end forecast was over the upper limit of the 2015 year-end target.  October YTD actual was 537,690 MWh per year.  To control spending, certain programs were moved to “wait list” status.</w:t>
      </w:r>
    </w:p>
    <w:p w:rsidR="00AC40FC" w:rsidRDefault="00AC40FC" w:rsidP="00701DCF">
      <w:pPr>
        <w:pStyle w:val="Bullet"/>
      </w:pPr>
      <w:r>
        <w:t>Budget Actual and Goal Dollars – The objective was to ensure cumulative spending was less than $151 million by the end of 2015.  Energy Efficiency reported that October YTD spending was $124 million and was on target to meet the year-end budget goal.</w:t>
      </w:r>
    </w:p>
    <w:p w:rsidR="00AC40FC" w:rsidRDefault="00AC40FC" w:rsidP="004F00E5">
      <w:pPr>
        <w:pStyle w:val="Findings"/>
        <w:numPr>
          <w:ilvl w:val="0"/>
          <w:numId w:val="43"/>
        </w:numPr>
        <w:spacing w:before="120"/>
      </w:pPr>
      <w:r>
        <w:t>EE&amp;C Plan Actual MWh saved have exceeded the targets through 2015.</w:t>
      </w:r>
    </w:p>
    <w:p w:rsidR="00AC40FC" w:rsidRPr="001860F9" w:rsidRDefault="00AC40FC" w:rsidP="00701DCF">
      <w:r>
        <w:t>O</w:t>
      </w:r>
      <w:r w:rsidRPr="004368E5">
        <w:t xml:space="preserve">ne </w:t>
      </w:r>
      <w:r>
        <w:t xml:space="preserve">Energy Efficiency </w:t>
      </w:r>
      <w:r w:rsidRPr="004368E5">
        <w:t>performance indicator</w:t>
      </w:r>
      <w:r>
        <w:t xml:space="preserve">, EE&amp;C Plan MWh Saved Annually, has been consistently reported for five years in the Customer Services Monthly Performance Indicators Report.  The EE&amp;C Plan Budget Dollars indicator (actual against goal) was </w:t>
      </w:r>
      <w:r>
        <w:lastRenderedPageBreak/>
        <w:t xml:space="preserve">reported beginning in 2014.  Other Energy Efficiency-related metrics were reported within Energy Efficiency unit, but not at the Customer Services Monthly Performance Indicators Report level.  </w:t>
      </w:r>
      <w:r w:rsidRPr="001860F9">
        <w:t xml:space="preserve">The </w:t>
      </w:r>
      <w:r>
        <w:t>EE&amp;C Plan annual MWh</w:t>
      </w:r>
      <w:r w:rsidRPr="001860F9">
        <w:t xml:space="preserve"> saved and targets</w:t>
      </w:r>
      <w:r>
        <w:t xml:space="preserve"> are shown below.</w:t>
      </w:r>
    </w:p>
    <w:p w:rsidR="00AC40FC" w:rsidRPr="000B3599" w:rsidRDefault="00AC40FC" w:rsidP="00ED6D61">
      <w:pPr>
        <w:pStyle w:val="Caption"/>
      </w:pPr>
      <w:bookmarkStart w:id="26" w:name="_Toc462648399"/>
      <w:bookmarkStart w:id="27" w:name="_Toc464553021"/>
      <w:r>
        <w:t xml:space="preserve">Exhibit </w:t>
      </w:r>
      <w:fldSimple w:instr=" STYLEREF 1 \s ">
        <w:r w:rsidR="00A24205">
          <w:rPr>
            <w:noProof/>
          </w:rPr>
          <w:t>IX</w:t>
        </w:r>
      </w:fldSimple>
      <w:r w:rsidR="00264A1B">
        <w:noBreakHyphen/>
      </w:r>
      <w:fldSimple w:instr=" SEQ Exhibit \* ARABIC \s 1 ">
        <w:r w:rsidR="00A24205">
          <w:rPr>
            <w:noProof/>
          </w:rPr>
          <w:t>6</w:t>
        </w:r>
      </w:fldSimple>
      <w:r>
        <w:br/>
        <w:t>PPL EU Energy Efficiency and Conservation Plan</w:t>
      </w:r>
      <w:r>
        <w:br/>
        <w:t>MWh S</w:t>
      </w:r>
      <w:r w:rsidRPr="000B3599">
        <w:t>aved Annually</w:t>
      </w:r>
      <w:bookmarkEnd w:id="26"/>
      <w:bookmarkEnd w:id="27"/>
    </w:p>
    <w:p w:rsidR="00AC40FC" w:rsidRDefault="00AC40FC" w:rsidP="00701DCF">
      <w:pPr>
        <w:jc w:val="center"/>
        <w:rPr>
          <w:highlight w:val="yellow"/>
        </w:rPr>
      </w:pPr>
      <w:r>
        <w:rPr>
          <w:noProof/>
        </w:rPr>
        <w:drawing>
          <wp:inline distT="0" distB="0" distL="0" distR="0">
            <wp:extent cx="4574931" cy="2224942"/>
            <wp:effectExtent l="0" t="0" r="16510" b="444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bl>
      <w:tblPr>
        <w:tblW w:w="9328" w:type="dxa"/>
        <w:jc w:val="center"/>
        <w:tblLayout w:type="fixed"/>
        <w:tblLook w:val="04A0"/>
      </w:tblPr>
      <w:tblGrid>
        <w:gridCol w:w="1874"/>
        <w:gridCol w:w="1242"/>
        <w:gridCol w:w="1242"/>
        <w:gridCol w:w="1296"/>
        <w:gridCol w:w="1260"/>
        <w:gridCol w:w="1260"/>
        <w:gridCol w:w="1154"/>
      </w:tblGrid>
      <w:tr w:rsidR="00AC40FC" w:rsidRPr="007370C9" w:rsidTr="00701DCF">
        <w:trPr>
          <w:cantSplit/>
          <w:trHeight w:val="300"/>
          <w:tblHeader/>
          <w:jc w:val="center"/>
        </w:trPr>
        <w:tc>
          <w:tcPr>
            <w:tcW w:w="1874" w:type="dxa"/>
            <w:tcBorders>
              <w:top w:val="single" w:sz="4" w:space="0" w:color="auto"/>
              <w:left w:val="single" w:sz="4" w:space="0" w:color="auto"/>
              <w:bottom w:val="single" w:sz="4" w:space="0" w:color="auto"/>
              <w:right w:val="single" w:sz="4" w:space="0" w:color="auto"/>
            </w:tcBorders>
            <w:shd w:val="clear" w:color="auto" w:fill="A5CD7E"/>
            <w:noWrap/>
            <w:vAlign w:val="center"/>
            <w:hideMark/>
          </w:tcPr>
          <w:p w:rsidR="00AC40FC" w:rsidRPr="00C362A7" w:rsidRDefault="00AC40FC" w:rsidP="007370C9">
            <w:pPr>
              <w:spacing w:before="120"/>
              <w:jc w:val="center"/>
              <w:rPr>
                <w:rFonts w:cs="Arial"/>
                <w:b/>
                <w:color w:val="000000"/>
              </w:rPr>
            </w:pPr>
            <w:r>
              <w:rPr>
                <w:rFonts w:cs="Arial"/>
                <w:b/>
                <w:color w:val="000000"/>
              </w:rPr>
              <w:t>MWh/Year</w:t>
            </w:r>
          </w:p>
        </w:tc>
        <w:tc>
          <w:tcPr>
            <w:tcW w:w="1242"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C362A7" w:rsidRDefault="00AC40FC" w:rsidP="007370C9">
            <w:pPr>
              <w:spacing w:before="120"/>
              <w:jc w:val="center"/>
              <w:rPr>
                <w:rFonts w:cs="Arial"/>
                <w:b/>
                <w:color w:val="000000"/>
              </w:rPr>
            </w:pPr>
            <w:r w:rsidRPr="00C362A7">
              <w:rPr>
                <w:rFonts w:cs="Arial"/>
                <w:b/>
                <w:color w:val="000000"/>
              </w:rPr>
              <w:t>2010</w:t>
            </w:r>
          </w:p>
        </w:tc>
        <w:tc>
          <w:tcPr>
            <w:tcW w:w="1242"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C362A7" w:rsidRDefault="00AC40FC" w:rsidP="007370C9">
            <w:pPr>
              <w:spacing w:before="120"/>
              <w:jc w:val="center"/>
              <w:rPr>
                <w:rFonts w:cs="Arial"/>
                <w:b/>
                <w:color w:val="000000"/>
              </w:rPr>
            </w:pPr>
            <w:r w:rsidRPr="00C362A7">
              <w:rPr>
                <w:rFonts w:cs="Arial"/>
                <w:b/>
                <w:color w:val="000000"/>
              </w:rPr>
              <w:t>2011</w:t>
            </w:r>
          </w:p>
        </w:tc>
        <w:tc>
          <w:tcPr>
            <w:tcW w:w="1296"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C362A7" w:rsidRDefault="00AC40FC" w:rsidP="007370C9">
            <w:pPr>
              <w:spacing w:before="120"/>
              <w:jc w:val="center"/>
              <w:rPr>
                <w:rFonts w:cs="Arial"/>
                <w:b/>
                <w:color w:val="000000"/>
              </w:rPr>
            </w:pPr>
            <w:r w:rsidRPr="00C362A7">
              <w:rPr>
                <w:rFonts w:cs="Arial"/>
                <w:b/>
                <w:color w:val="000000"/>
              </w:rPr>
              <w:t>2012</w:t>
            </w:r>
          </w:p>
        </w:tc>
        <w:tc>
          <w:tcPr>
            <w:tcW w:w="126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C362A7" w:rsidRDefault="00AC40FC" w:rsidP="007370C9">
            <w:pPr>
              <w:spacing w:before="120"/>
              <w:jc w:val="center"/>
              <w:rPr>
                <w:rFonts w:cs="Arial"/>
                <w:b/>
                <w:color w:val="000000"/>
              </w:rPr>
            </w:pPr>
            <w:r w:rsidRPr="00C362A7">
              <w:rPr>
                <w:rFonts w:cs="Arial"/>
                <w:b/>
                <w:color w:val="000000"/>
              </w:rPr>
              <w:t>2013</w:t>
            </w:r>
          </w:p>
        </w:tc>
        <w:tc>
          <w:tcPr>
            <w:tcW w:w="126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C362A7" w:rsidRDefault="00AC40FC" w:rsidP="007370C9">
            <w:pPr>
              <w:spacing w:before="120"/>
              <w:jc w:val="center"/>
              <w:rPr>
                <w:rFonts w:cs="Arial"/>
                <w:b/>
                <w:color w:val="000000"/>
              </w:rPr>
            </w:pPr>
            <w:r w:rsidRPr="00C362A7">
              <w:rPr>
                <w:rFonts w:cs="Arial"/>
                <w:b/>
                <w:color w:val="000000"/>
              </w:rPr>
              <w:t>2014</w:t>
            </w:r>
          </w:p>
        </w:tc>
        <w:tc>
          <w:tcPr>
            <w:tcW w:w="1154"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C362A7" w:rsidRDefault="00AC40FC" w:rsidP="007370C9">
            <w:pPr>
              <w:spacing w:before="120"/>
              <w:jc w:val="center"/>
              <w:rPr>
                <w:rFonts w:cs="Arial"/>
                <w:b/>
                <w:color w:val="000000"/>
              </w:rPr>
            </w:pPr>
            <w:r>
              <w:rPr>
                <w:rFonts w:cs="Arial"/>
                <w:b/>
                <w:color w:val="000000"/>
              </w:rPr>
              <w:t xml:space="preserve"> 2015</w:t>
            </w:r>
          </w:p>
        </w:tc>
      </w:tr>
      <w:tr w:rsidR="00AC40FC" w:rsidRPr="00BC15B7" w:rsidTr="00701DCF">
        <w:trPr>
          <w:trHeight w:val="300"/>
          <w:jc w:val="center"/>
        </w:trPr>
        <w:tc>
          <w:tcPr>
            <w:tcW w:w="1874" w:type="dxa"/>
            <w:tcBorders>
              <w:top w:val="nil"/>
              <w:left w:val="single" w:sz="4" w:space="0" w:color="auto"/>
              <w:bottom w:val="single" w:sz="4" w:space="0" w:color="auto"/>
              <w:right w:val="single" w:sz="4" w:space="0" w:color="auto"/>
            </w:tcBorders>
            <w:shd w:val="clear" w:color="auto" w:fill="auto"/>
            <w:noWrap/>
            <w:vAlign w:val="center"/>
            <w:hideMark/>
          </w:tcPr>
          <w:p w:rsidR="00AC40FC" w:rsidRPr="00C362A7" w:rsidRDefault="00AC40FC" w:rsidP="00701DCF">
            <w:pPr>
              <w:spacing w:after="0"/>
              <w:jc w:val="center"/>
              <w:rPr>
                <w:rFonts w:cs="Arial"/>
                <w:color w:val="000000"/>
              </w:rPr>
            </w:pPr>
            <w:r>
              <w:rPr>
                <w:rFonts w:cs="Arial"/>
                <w:color w:val="000000"/>
              </w:rPr>
              <w:t>EOY Actual (MWh/Year</w:t>
            </w:r>
            <w:r w:rsidRPr="00C362A7">
              <w:rPr>
                <w:rFonts w:cs="Arial"/>
                <w:color w:val="000000"/>
              </w:rPr>
              <w:t>)</w:t>
            </w:r>
          </w:p>
        </w:tc>
        <w:tc>
          <w:tcPr>
            <w:tcW w:w="1242" w:type="dxa"/>
            <w:tcBorders>
              <w:top w:val="nil"/>
              <w:left w:val="nil"/>
              <w:bottom w:val="single" w:sz="4" w:space="0" w:color="auto"/>
              <w:right w:val="single" w:sz="4" w:space="0" w:color="auto"/>
            </w:tcBorders>
            <w:shd w:val="clear" w:color="auto" w:fill="auto"/>
            <w:noWrap/>
            <w:vAlign w:val="center"/>
            <w:hideMark/>
          </w:tcPr>
          <w:p w:rsidR="00AC40FC" w:rsidRPr="00C362A7" w:rsidRDefault="00AC40FC" w:rsidP="00701DCF">
            <w:pPr>
              <w:spacing w:after="0"/>
              <w:jc w:val="center"/>
              <w:rPr>
                <w:rFonts w:cs="Arial"/>
                <w:color w:val="000000"/>
              </w:rPr>
            </w:pPr>
            <w:r w:rsidRPr="00C362A7">
              <w:rPr>
                <w:rFonts w:cs="Arial"/>
                <w:color w:val="000000"/>
              </w:rPr>
              <w:t>310,650</w:t>
            </w:r>
          </w:p>
        </w:tc>
        <w:tc>
          <w:tcPr>
            <w:tcW w:w="1242" w:type="dxa"/>
            <w:tcBorders>
              <w:top w:val="nil"/>
              <w:left w:val="nil"/>
              <w:bottom w:val="single" w:sz="4" w:space="0" w:color="auto"/>
              <w:right w:val="single" w:sz="4" w:space="0" w:color="auto"/>
            </w:tcBorders>
            <w:shd w:val="clear" w:color="auto" w:fill="auto"/>
            <w:noWrap/>
            <w:vAlign w:val="center"/>
            <w:hideMark/>
          </w:tcPr>
          <w:p w:rsidR="00AC40FC" w:rsidRPr="00C362A7" w:rsidRDefault="00AC40FC" w:rsidP="00701DCF">
            <w:pPr>
              <w:spacing w:after="0"/>
              <w:jc w:val="center"/>
              <w:rPr>
                <w:rFonts w:cs="Arial"/>
                <w:color w:val="000000"/>
              </w:rPr>
            </w:pPr>
            <w:r w:rsidRPr="00C362A7">
              <w:rPr>
                <w:rFonts w:cs="Arial"/>
                <w:color w:val="000000"/>
              </w:rPr>
              <w:t>833,353</w:t>
            </w:r>
          </w:p>
        </w:tc>
        <w:tc>
          <w:tcPr>
            <w:tcW w:w="1296" w:type="dxa"/>
            <w:tcBorders>
              <w:top w:val="nil"/>
              <w:left w:val="nil"/>
              <w:bottom w:val="single" w:sz="4" w:space="0" w:color="auto"/>
              <w:right w:val="single" w:sz="4" w:space="0" w:color="auto"/>
            </w:tcBorders>
            <w:shd w:val="clear" w:color="auto" w:fill="auto"/>
            <w:noWrap/>
            <w:vAlign w:val="center"/>
            <w:hideMark/>
          </w:tcPr>
          <w:p w:rsidR="00AC40FC" w:rsidRPr="00C362A7" w:rsidRDefault="00AC40FC" w:rsidP="00701DCF">
            <w:pPr>
              <w:spacing w:after="0"/>
              <w:jc w:val="center"/>
              <w:rPr>
                <w:rFonts w:cs="Arial"/>
                <w:color w:val="000000"/>
              </w:rPr>
            </w:pPr>
            <w:r w:rsidRPr="00C362A7">
              <w:rPr>
                <w:rFonts w:cs="Arial"/>
                <w:color w:val="000000"/>
              </w:rPr>
              <w:t>1,315,307</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C362A7" w:rsidRDefault="00AC40FC" w:rsidP="00701DCF">
            <w:pPr>
              <w:spacing w:after="0"/>
              <w:jc w:val="center"/>
              <w:rPr>
                <w:rFonts w:cs="Arial"/>
                <w:color w:val="000000"/>
              </w:rPr>
            </w:pPr>
            <w:r w:rsidRPr="00C362A7">
              <w:rPr>
                <w:rFonts w:cs="Arial"/>
                <w:color w:val="000000"/>
              </w:rPr>
              <w:t>106,715</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C362A7" w:rsidRDefault="00AC40FC" w:rsidP="00701DCF">
            <w:pPr>
              <w:spacing w:after="0"/>
              <w:jc w:val="center"/>
              <w:rPr>
                <w:rFonts w:cs="Arial"/>
                <w:color w:val="000000"/>
              </w:rPr>
            </w:pPr>
            <w:r w:rsidRPr="00C362A7">
              <w:rPr>
                <w:rFonts w:cs="Arial"/>
                <w:color w:val="000000"/>
              </w:rPr>
              <w:t>321,043</w:t>
            </w:r>
          </w:p>
        </w:tc>
        <w:tc>
          <w:tcPr>
            <w:tcW w:w="1154" w:type="dxa"/>
            <w:tcBorders>
              <w:top w:val="nil"/>
              <w:left w:val="nil"/>
              <w:bottom w:val="single" w:sz="4" w:space="0" w:color="auto"/>
              <w:right w:val="single" w:sz="4" w:space="0" w:color="auto"/>
            </w:tcBorders>
            <w:shd w:val="clear" w:color="auto" w:fill="auto"/>
            <w:noWrap/>
            <w:vAlign w:val="center"/>
            <w:hideMark/>
          </w:tcPr>
          <w:p w:rsidR="00AC40FC" w:rsidRPr="00C362A7" w:rsidRDefault="00AC40FC" w:rsidP="00701DCF">
            <w:pPr>
              <w:spacing w:after="0"/>
              <w:jc w:val="center"/>
              <w:rPr>
                <w:rFonts w:cs="Arial"/>
                <w:color w:val="000000"/>
              </w:rPr>
            </w:pPr>
            <w:r>
              <w:rPr>
                <w:rFonts w:cs="Arial"/>
                <w:color w:val="000000"/>
              </w:rPr>
              <w:t>576,615</w:t>
            </w:r>
          </w:p>
        </w:tc>
      </w:tr>
      <w:tr w:rsidR="00AC40FC" w:rsidRPr="00BC15B7" w:rsidTr="00701DCF">
        <w:trPr>
          <w:trHeight w:val="300"/>
          <w:jc w:val="center"/>
        </w:trPr>
        <w:tc>
          <w:tcPr>
            <w:tcW w:w="1874" w:type="dxa"/>
            <w:tcBorders>
              <w:top w:val="nil"/>
              <w:left w:val="single" w:sz="4" w:space="0" w:color="auto"/>
              <w:bottom w:val="single" w:sz="4" w:space="0" w:color="auto"/>
              <w:right w:val="single" w:sz="4" w:space="0" w:color="auto"/>
            </w:tcBorders>
            <w:shd w:val="clear" w:color="auto" w:fill="auto"/>
            <w:noWrap/>
            <w:vAlign w:val="center"/>
            <w:hideMark/>
          </w:tcPr>
          <w:p w:rsidR="00AC40FC" w:rsidRPr="00C362A7" w:rsidRDefault="00AC40FC" w:rsidP="00701DCF">
            <w:pPr>
              <w:spacing w:after="0"/>
              <w:jc w:val="center"/>
              <w:rPr>
                <w:rFonts w:cs="Arial"/>
                <w:color w:val="000000"/>
              </w:rPr>
            </w:pPr>
            <w:r>
              <w:rPr>
                <w:rFonts w:cs="Arial"/>
                <w:color w:val="000000"/>
              </w:rPr>
              <w:t>EOY Target (MWh/Year</w:t>
            </w:r>
            <w:r w:rsidRPr="00C362A7">
              <w:rPr>
                <w:rFonts w:cs="Arial"/>
                <w:color w:val="000000"/>
              </w:rPr>
              <w:t>)</w:t>
            </w:r>
          </w:p>
        </w:tc>
        <w:tc>
          <w:tcPr>
            <w:tcW w:w="1242" w:type="dxa"/>
            <w:tcBorders>
              <w:top w:val="nil"/>
              <w:left w:val="nil"/>
              <w:bottom w:val="single" w:sz="4" w:space="0" w:color="auto"/>
              <w:right w:val="single" w:sz="4" w:space="0" w:color="auto"/>
            </w:tcBorders>
            <w:shd w:val="clear" w:color="auto" w:fill="auto"/>
            <w:noWrap/>
            <w:vAlign w:val="center"/>
            <w:hideMark/>
          </w:tcPr>
          <w:p w:rsidR="00AC40FC" w:rsidRPr="00C362A7" w:rsidRDefault="00AC40FC" w:rsidP="00701DCF">
            <w:pPr>
              <w:spacing w:after="0"/>
              <w:jc w:val="center"/>
              <w:rPr>
                <w:rFonts w:cs="Arial"/>
                <w:color w:val="000000"/>
              </w:rPr>
            </w:pPr>
            <w:r w:rsidRPr="00C362A7">
              <w:rPr>
                <w:rFonts w:cs="Arial"/>
                <w:color w:val="000000"/>
              </w:rPr>
              <w:t>266,692</w:t>
            </w:r>
          </w:p>
        </w:tc>
        <w:tc>
          <w:tcPr>
            <w:tcW w:w="1242" w:type="dxa"/>
            <w:tcBorders>
              <w:top w:val="nil"/>
              <w:left w:val="nil"/>
              <w:bottom w:val="single" w:sz="4" w:space="0" w:color="auto"/>
              <w:right w:val="single" w:sz="4" w:space="0" w:color="auto"/>
            </w:tcBorders>
            <w:shd w:val="clear" w:color="auto" w:fill="auto"/>
            <w:noWrap/>
            <w:vAlign w:val="center"/>
            <w:hideMark/>
          </w:tcPr>
          <w:p w:rsidR="00AC40FC" w:rsidRPr="00C362A7" w:rsidRDefault="00AC40FC" w:rsidP="00701DCF">
            <w:pPr>
              <w:spacing w:after="0"/>
              <w:jc w:val="center"/>
              <w:rPr>
                <w:rFonts w:cs="Arial"/>
                <w:color w:val="000000"/>
              </w:rPr>
            </w:pPr>
            <w:r w:rsidRPr="00C362A7">
              <w:rPr>
                <w:rFonts w:cs="Arial"/>
                <w:color w:val="000000"/>
              </w:rPr>
              <w:t>600,000</w:t>
            </w:r>
          </w:p>
        </w:tc>
        <w:tc>
          <w:tcPr>
            <w:tcW w:w="1296" w:type="dxa"/>
            <w:tcBorders>
              <w:top w:val="nil"/>
              <w:left w:val="nil"/>
              <w:bottom w:val="single" w:sz="4" w:space="0" w:color="auto"/>
              <w:right w:val="single" w:sz="4" w:space="0" w:color="auto"/>
            </w:tcBorders>
            <w:shd w:val="clear" w:color="auto" w:fill="auto"/>
            <w:noWrap/>
            <w:vAlign w:val="center"/>
            <w:hideMark/>
          </w:tcPr>
          <w:p w:rsidR="00AC40FC" w:rsidRPr="00C362A7" w:rsidRDefault="00AC40FC" w:rsidP="00701DCF">
            <w:pPr>
              <w:spacing w:after="0"/>
              <w:jc w:val="center"/>
              <w:rPr>
                <w:rFonts w:cs="Arial"/>
                <w:color w:val="000000"/>
              </w:rPr>
            </w:pPr>
            <w:r w:rsidRPr="00C362A7">
              <w:rPr>
                <w:rFonts w:cs="Arial"/>
                <w:color w:val="000000"/>
              </w:rPr>
              <w:t>1,300,000</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C362A7" w:rsidRDefault="00AC40FC" w:rsidP="00701DCF">
            <w:pPr>
              <w:spacing w:after="0"/>
              <w:jc w:val="center"/>
              <w:rPr>
                <w:rFonts w:cs="Arial"/>
                <w:color w:val="000000"/>
              </w:rPr>
            </w:pPr>
            <w:r w:rsidRPr="00C362A7">
              <w:rPr>
                <w:rFonts w:cs="Arial"/>
                <w:color w:val="000000"/>
              </w:rPr>
              <w:t>100,000</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C362A7" w:rsidRDefault="00AC40FC" w:rsidP="00701DCF">
            <w:pPr>
              <w:spacing w:after="0"/>
              <w:jc w:val="center"/>
              <w:rPr>
                <w:rFonts w:cs="Arial"/>
                <w:color w:val="000000"/>
              </w:rPr>
            </w:pPr>
            <w:r w:rsidRPr="00C362A7">
              <w:rPr>
                <w:rFonts w:cs="Arial"/>
                <w:color w:val="000000"/>
              </w:rPr>
              <w:t>297,500</w:t>
            </w:r>
            <w:r>
              <w:rPr>
                <w:rFonts w:cs="Arial"/>
                <w:color w:val="000000"/>
              </w:rPr>
              <w:t>*</w:t>
            </w:r>
          </w:p>
        </w:tc>
        <w:tc>
          <w:tcPr>
            <w:tcW w:w="1154" w:type="dxa"/>
            <w:tcBorders>
              <w:top w:val="nil"/>
              <w:left w:val="nil"/>
              <w:bottom w:val="single" w:sz="4" w:space="0" w:color="auto"/>
              <w:right w:val="single" w:sz="4" w:space="0" w:color="auto"/>
            </w:tcBorders>
            <w:shd w:val="clear" w:color="auto" w:fill="auto"/>
            <w:noWrap/>
            <w:vAlign w:val="center"/>
            <w:hideMark/>
          </w:tcPr>
          <w:p w:rsidR="00AC40FC" w:rsidRPr="00C362A7" w:rsidRDefault="00AC40FC" w:rsidP="00701DCF">
            <w:pPr>
              <w:spacing w:after="0"/>
              <w:jc w:val="center"/>
              <w:rPr>
                <w:rFonts w:cs="Arial"/>
                <w:color w:val="000000"/>
              </w:rPr>
            </w:pPr>
            <w:r>
              <w:rPr>
                <w:rFonts w:cs="Arial"/>
                <w:color w:val="000000"/>
              </w:rPr>
              <w:t>522,000</w:t>
            </w:r>
          </w:p>
        </w:tc>
      </w:tr>
      <w:tr w:rsidR="00AC40FC" w:rsidRPr="00BC15B7" w:rsidTr="00701DCF">
        <w:trPr>
          <w:trHeight w:val="300"/>
          <w:jc w:val="center"/>
        </w:trPr>
        <w:tc>
          <w:tcPr>
            <w:tcW w:w="9328"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AC40FC" w:rsidRPr="00C362A7" w:rsidRDefault="00AC40FC" w:rsidP="00701DCF">
            <w:pPr>
              <w:spacing w:after="0"/>
              <w:rPr>
                <w:rFonts w:cs="Arial"/>
                <w:color w:val="000000"/>
              </w:rPr>
            </w:pPr>
            <w:r w:rsidRPr="00C362A7">
              <w:rPr>
                <w:rFonts w:cs="Arial"/>
                <w:color w:val="000000"/>
                <w:sz w:val="20"/>
                <w:szCs w:val="20"/>
              </w:rPr>
              <w:t>* Note:  The 2014 Target is the midpoint between the lower and upper limit target for that year</w:t>
            </w:r>
            <w:r w:rsidRPr="00C362A7">
              <w:rPr>
                <w:rFonts w:cs="Arial"/>
                <w:color w:val="000000"/>
              </w:rPr>
              <w:t>.</w:t>
            </w:r>
          </w:p>
        </w:tc>
      </w:tr>
      <w:tr w:rsidR="00AC40FC" w:rsidRPr="00BC15B7" w:rsidTr="00701DCF">
        <w:trPr>
          <w:trHeight w:val="300"/>
          <w:jc w:val="center"/>
        </w:trPr>
        <w:tc>
          <w:tcPr>
            <w:tcW w:w="9328"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AC40FC" w:rsidRPr="009C2226" w:rsidRDefault="00AC40FC" w:rsidP="00701DCF">
            <w:pPr>
              <w:spacing w:after="0"/>
              <w:rPr>
                <w:rFonts w:cs="Arial"/>
                <w:color w:val="000000"/>
                <w:sz w:val="22"/>
              </w:rPr>
            </w:pPr>
            <w:r w:rsidRPr="009C2226">
              <w:rPr>
                <w:rFonts w:cs="Arial"/>
                <w:color w:val="000000"/>
                <w:sz w:val="22"/>
              </w:rPr>
              <w:t>Source</w:t>
            </w:r>
            <w:r>
              <w:rPr>
                <w:rFonts w:cs="Arial"/>
                <w:color w:val="000000"/>
                <w:sz w:val="22"/>
              </w:rPr>
              <w:t>s</w:t>
            </w:r>
            <w:r w:rsidRPr="009C2226">
              <w:rPr>
                <w:rFonts w:cs="Arial"/>
                <w:color w:val="000000"/>
                <w:sz w:val="22"/>
              </w:rPr>
              <w:t xml:space="preserve">:  DN 04-177/197; </w:t>
            </w:r>
            <w:r>
              <w:rPr>
                <w:sz w:val="22"/>
              </w:rPr>
              <w:t>PPL EU edits</w:t>
            </w:r>
          </w:p>
        </w:tc>
      </w:tr>
    </w:tbl>
    <w:p w:rsidR="00AC40FC" w:rsidRDefault="00AC40FC" w:rsidP="00701DCF">
      <w:pPr>
        <w:pStyle w:val="Normal-aftertable"/>
        <w:rPr>
          <w:rFonts w:cs="Arial"/>
          <w:bCs/>
          <w:color w:val="000000"/>
          <w:szCs w:val="24"/>
        </w:rPr>
      </w:pPr>
      <w:r>
        <w:rPr>
          <w:rFonts w:cs="Arial"/>
          <w:bCs/>
          <w:color w:val="000000"/>
          <w:szCs w:val="24"/>
        </w:rPr>
        <w:t>This trend shows that the EE&amp;C programs have been effective in meeting targets.</w:t>
      </w:r>
    </w:p>
    <w:p w:rsidR="00AC40FC" w:rsidRDefault="00AC40FC" w:rsidP="004F00E5">
      <w:pPr>
        <w:pStyle w:val="Findings"/>
        <w:numPr>
          <w:ilvl w:val="0"/>
          <w:numId w:val="43"/>
        </w:numPr>
      </w:pPr>
      <w:r>
        <w:t>Customer Services lacks internal cost performance and other productivity and effectiveness metrics associated with Energy Efficiency and Conservation Plan compliance and performance.</w:t>
      </w:r>
    </w:p>
    <w:p w:rsidR="00AC40FC" w:rsidRDefault="00AC40FC" w:rsidP="00701DCF">
      <w:r>
        <w:t>The Energy Efficiency unit prepares a monthly report with EE&amp;C Plan performance metrics.  The June 2015 report consisted of 39 pages of graphs that portray the monthly status update for Phase 2 cumulative portfolio reported MWh/year savings, cumulative portfolio costs, and individual customer sector MWh/year savings and costs.  The report also depicts PPL EU internal common costs associated with its organizational units and functions including:  Advertising and Marketing, EM&amp;V, Tracking System – EEMIS, General Management/Plan Management, Statewide Evaluator, Plan Development, Market Research, and Major Accounts.</w:t>
      </w:r>
    </w:p>
    <w:p w:rsidR="00AC40FC" w:rsidRDefault="00AC40FC" w:rsidP="00701DCF">
      <w:r>
        <w:t>In accordance with the PUC-approved EE&amp;C Plan, direct costs are charged to specific programs.  Common costs span the portfolio and are allocated to customer sectors at the conclusion of the phase.</w:t>
      </w:r>
    </w:p>
    <w:p w:rsidR="00AC40FC" w:rsidRDefault="00AC40FC" w:rsidP="00701DCF">
      <w:r>
        <w:lastRenderedPageBreak/>
        <w:t>According to the EE&amp;C Plan, PPL EU will have $36.1 million of estimated common costs and $148.2 million of estimated direct costs, by the end of Plan Year 7, for a total portfolio estimated cost of $184.3 million.   PPL EU’s common costs are about 24% of the direct costs (19% of total portfolio costs) and represent a significant pool of dollars that should be analyzed for cost reduction opportunities.</w:t>
      </w:r>
    </w:p>
    <w:p w:rsidR="00AC40FC" w:rsidRDefault="00AC40FC" w:rsidP="00701DCF">
      <w:r>
        <w:t xml:space="preserve">Energy Efficiency tracks all cost categories (including common costs) to determine if the actuals are in line with the PUC-approved EE&amp;C Plan budget. These actual costs are itemized in quarterly and annual reports to the PUC and the public.  </w:t>
      </w:r>
      <w:r w:rsidRPr="00063845">
        <w:t xml:space="preserve">PPL EU examines the cost of each category during the preparation and approval of its EE&amp;C Plan. </w:t>
      </w:r>
      <w:r>
        <w:t xml:space="preserve"> </w:t>
      </w:r>
      <w:r w:rsidRPr="00063845">
        <w:t xml:space="preserve">The objective is to ensure that actual savings (by program customer sector, and overall) exceed actual costs.  However, if PPL EU is under budget, the PUC requires that savings be increased until the budget is fully committed. </w:t>
      </w:r>
      <w:r>
        <w:t xml:space="preserve"> </w:t>
      </w:r>
      <w:r w:rsidRPr="00063845">
        <w:t>Therefore, any cost reductions in one category (such as reduced evaluation costs) would be used to increase costs in another category (such as CSP fees or incentives), which would require a formal change to the PUC-approved EE&amp;C Plan.</w:t>
      </w:r>
    </w:p>
    <w:p w:rsidR="00AC40FC" w:rsidRDefault="00AC40FC" w:rsidP="00701DCF">
      <w:r w:rsidRPr="004D228D">
        <w:t>A</w:t>
      </w:r>
      <w:r>
        <w:t xml:space="preserve">dministrative costs include implementation contractor fees, utility program management, evaluation, tracking systems, and marketing.  Some of these administrative costs are direct costs (directly to programs) and some are common costs that span all programs.  Whether an item is accounted for as a “common cost” or a “direct cost” is based on the method described in the approved EE&amp;C Plan. </w:t>
      </w:r>
    </w:p>
    <w:p w:rsidR="00AC40FC" w:rsidRDefault="00AC40FC" w:rsidP="00701DCF">
      <w:r>
        <w:t xml:space="preserve">As discussed above, the Energy Efficiency unit complies with the regulatory tracking requirements for the EE&amp;C Plan implementation, however, the Energy Efficiency unit does not have specific performance metrics that address the effectiveness and efficiency of its administrative functions in achieving Plan compliance and performance.     </w:t>
      </w:r>
    </w:p>
    <w:p w:rsidR="00AC40FC" w:rsidRDefault="00AC40FC" w:rsidP="00701DCF">
      <w:r>
        <w:t xml:space="preserve">For example, there are no metrics that track internal administrative costs per Plan result (dollars spent per MWh saved or per demand reduction).  There are no metrics that track the performance (input costs compared to output results) of Energy Efficiency staff, PPL EU common staff/FTEs, or the contractors.  Similarly, the Customer Services Monthly Performance Indicators Report lacks these internal performance metrics.  Tracking, reporting, and analyzing these types of metrics would likely lead to opportunities to reduce PPL EU internal </w:t>
      </w:r>
      <w:r w:rsidRPr="005A24E0">
        <w:t xml:space="preserve">O&amp;M </w:t>
      </w:r>
      <w:r>
        <w:t xml:space="preserve">administrative </w:t>
      </w:r>
      <w:r w:rsidRPr="005A24E0">
        <w:t>costs</w:t>
      </w:r>
      <w:r>
        <w:t xml:space="preserve"> and make both the EE&amp;C programs and PPL EU more cost-effective</w:t>
      </w:r>
      <w:r w:rsidRPr="005A24E0">
        <w:t>.</w:t>
      </w:r>
    </w:p>
    <w:p w:rsidR="00AC40FC" w:rsidRDefault="00AC40FC" w:rsidP="00BB665B">
      <w:pPr>
        <w:pStyle w:val="Heading-forToC"/>
      </w:pPr>
      <w:bookmarkStart w:id="28" w:name="_Toc462647834"/>
      <w:bookmarkStart w:id="29" w:name="_Toc464552073"/>
      <w:r>
        <w:t>Recommendations</w:t>
      </w:r>
      <w:bookmarkEnd w:id="28"/>
      <w:bookmarkEnd w:id="29"/>
    </w:p>
    <w:p w:rsidR="00AC40FC" w:rsidRDefault="00AC40FC" w:rsidP="004F00E5">
      <w:pPr>
        <w:pStyle w:val="Findings"/>
        <w:numPr>
          <w:ilvl w:val="0"/>
          <w:numId w:val="62"/>
        </w:numPr>
      </w:pPr>
      <w:r>
        <w:t>Create targets for the First Call Resolution and the Alert Message metrics.  (See Finding 1)</w:t>
      </w:r>
    </w:p>
    <w:p w:rsidR="00AC40FC" w:rsidRDefault="00AC40FC" w:rsidP="00701DCF">
      <w:r>
        <w:t>PPL indicated that it plans to implement targets for its First Call resolution and Alert Message metrics sometime in 2016.  Until developed, PPL EU does not have quantifiable targets to help drive improvement.</w:t>
      </w:r>
    </w:p>
    <w:p w:rsidR="00AC40FC" w:rsidRDefault="00AC40FC" w:rsidP="005672FB">
      <w:pPr>
        <w:pStyle w:val="Findings"/>
      </w:pPr>
      <w:r>
        <w:t xml:space="preserve">Establish work management and performance metrics and targets for the Major Accounts group. </w:t>
      </w:r>
      <w:r w:rsidRPr="004B1A9E">
        <w:t xml:space="preserve"> </w:t>
      </w:r>
      <w:r>
        <w:t>(See Finding 4</w:t>
      </w:r>
      <w:r w:rsidRPr="004B1A9E">
        <w:t>)</w:t>
      </w:r>
    </w:p>
    <w:p w:rsidR="00AC40FC" w:rsidRDefault="00AC40FC" w:rsidP="00701DCF">
      <w:r>
        <w:t xml:space="preserve">The Major Accounts group appears to be understaffed, given the importance of their work responsibilities and the number of large customers in PPL EU’s territory.  Customer Services should re-evaluate the assignment of more than 200 Key Accounts </w:t>
      </w:r>
      <w:r>
        <w:lastRenderedPageBreak/>
        <w:t>to each of the five Key Account Managers (KAMs) and consider increasing the staff, prioritizing and scaling back the number of accounts per KAM, or other alternatives.  As part of the assessment, new quantifiable goals should be established and performance metrics should be aligned with the goals, tracked monthly, trends analyzed, and actions taken to improve performance as necessary.  The following metrics should be established:</w:t>
      </w:r>
    </w:p>
    <w:p w:rsidR="00AC40FC" w:rsidRDefault="00AC40FC" w:rsidP="00701DCF">
      <w:pPr>
        <w:pStyle w:val="Bullet"/>
      </w:pPr>
      <w:r>
        <w:t>Number of account visits per month per KAM</w:t>
      </w:r>
    </w:p>
    <w:p w:rsidR="00AC40FC" w:rsidRDefault="00AC40FC" w:rsidP="00701DCF">
      <w:pPr>
        <w:pStyle w:val="Bullet"/>
      </w:pPr>
      <w:r>
        <w:t>Number of productive (on-site visit) hours per KAM per month</w:t>
      </w:r>
    </w:p>
    <w:p w:rsidR="00AC40FC" w:rsidRDefault="00AC40FC" w:rsidP="00701DCF">
      <w:pPr>
        <w:pStyle w:val="Bullet"/>
      </w:pPr>
      <w:r>
        <w:t>Number of non-productive (travel, etc.) hours per KAM per month</w:t>
      </w:r>
    </w:p>
    <w:p w:rsidR="00AC40FC" w:rsidRDefault="00AC40FC" w:rsidP="00701DCF">
      <w:pPr>
        <w:pStyle w:val="Bullet"/>
      </w:pPr>
      <w:r>
        <w:t>Number of calls per month per KAM</w:t>
      </w:r>
    </w:p>
    <w:p w:rsidR="00AC40FC" w:rsidRDefault="00AC40FC" w:rsidP="00701DCF">
      <w:pPr>
        <w:pStyle w:val="Bullet"/>
      </w:pPr>
      <w:r>
        <w:t>Number of emails per month per KAM</w:t>
      </w:r>
    </w:p>
    <w:p w:rsidR="00AC40FC" w:rsidRDefault="00AC40FC" w:rsidP="00BB665B">
      <w:pPr>
        <w:pStyle w:val="Bullet"/>
        <w:spacing w:after="120"/>
      </w:pPr>
      <w:r>
        <w:t>Post contact survey assessments, by KAM, per month</w:t>
      </w:r>
    </w:p>
    <w:p w:rsidR="00AC40FC" w:rsidRDefault="00AC40FC" w:rsidP="00925B43">
      <w:pPr>
        <w:pStyle w:val="Findings"/>
        <w:spacing w:before="120"/>
      </w:pPr>
      <w:r>
        <w:t xml:space="preserve">Develop and implement appropriate metrics and targets across all existing and new customer contact channels.  </w:t>
      </w:r>
      <w:r w:rsidRPr="004B1A9E">
        <w:t>(</w:t>
      </w:r>
      <w:r>
        <w:t xml:space="preserve">See </w:t>
      </w:r>
      <w:r w:rsidRPr="004B1A9E">
        <w:t xml:space="preserve">Finding </w:t>
      </w:r>
      <w:r>
        <w:t>6</w:t>
      </w:r>
      <w:r w:rsidRPr="004B1A9E">
        <w:t>)</w:t>
      </w:r>
    </w:p>
    <w:p w:rsidR="00AC40FC" w:rsidRDefault="00AC40FC" w:rsidP="00701DCF">
      <w:r>
        <w:t>Omni- or multi-channel implementation will need to be accompanied by quality and cost-related metrics that can be tracked by individual channel and across channels when customers use more than one channel during the same contact or for the same transaction.  Metrics should include:</w:t>
      </w:r>
    </w:p>
    <w:p w:rsidR="00AC40FC" w:rsidRDefault="00AC40FC" w:rsidP="00701DCF">
      <w:pPr>
        <w:pStyle w:val="Bullet"/>
      </w:pPr>
      <w:r>
        <w:t>Cost per inbound PPL EU CSR contact, per month and YTD</w:t>
      </w:r>
    </w:p>
    <w:p w:rsidR="00AC40FC" w:rsidRDefault="00AC40FC" w:rsidP="00701DCF">
      <w:pPr>
        <w:pStyle w:val="Bullet"/>
      </w:pPr>
      <w:r>
        <w:t>Cost per inbound PPLSolutions CSR contact, per month and YTD</w:t>
      </w:r>
    </w:p>
    <w:p w:rsidR="00AC40FC" w:rsidRDefault="00AC40FC" w:rsidP="00701DCF">
      <w:pPr>
        <w:pStyle w:val="Bullet"/>
      </w:pPr>
      <w:r>
        <w:t>Cost per inbound non-affiliated contractor CSR contact, per month and YTD</w:t>
      </w:r>
    </w:p>
    <w:p w:rsidR="00AC40FC" w:rsidRDefault="00AC40FC" w:rsidP="00701DCF">
      <w:pPr>
        <w:pStyle w:val="Bullet"/>
      </w:pPr>
      <w:r>
        <w:t>Cost per IVR contact, per month and YTD</w:t>
      </w:r>
    </w:p>
    <w:p w:rsidR="00AC40FC" w:rsidRDefault="00AC40FC" w:rsidP="00701DCF">
      <w:pPr>
        <w:pStyle w:val="Bullet"/>
      </w:pPr>
      <w:r>
        <w:t>Cost per Web contact, per month and YTD</w:t>
      </w:r>
    </w:p>
    <w:p w:rsidR="00AC40FC" w:rsidRDefault="00AC40FC" w:rsidP="00701DCF">
      <w:pPr>
        <w:pStyle w:val="Bullet"/>
      </w:pPr>
      <w:r>
        <w:t>Cost per transaction requiring more than one channel to resolve, per month and YTD</w:t>
      </w:r>
    </w:p>
    <w:p w:rsidR="00AC40FC" w:rsidRDefault="00AC40FC" w:rsidP="00701DCF">
      <w:pPr>
        <w:pStyle w:val="Bullet"/>
      </w:pPr>
      <w:r>
        <w:t>Cost per First Call Resolution, per month and YTD</w:t>
      </w:r>
    </w:p>
    <w:p w:rsidR="00AC40FC" w:rsidRDefault="00AC40FC" w:rsidP="00701DCF">
      <w:pPr>
        <w:pStyle w:val="Bullet"/>
      </w:pPr>
      <w:r>
        <w:t>Cost per First Contact Resolution, per month and YTD</w:t>
      </w:r>
    </w:p>
    <w:p w:rsidR="00AC40FC" w:rsidRDefault="00AC40FC" w:rsidP="00701DCF">
      <w:pPr>
        <w:pStyle w:val="Normal-aftertable"/>
      </w:pPr>
      <w:r>
        <w:t>Some of these metrics should be included in the Customer Services Monthly Performance Indicators report.  Appropriate targets should be developed for each metric.</w:t>
      </w:r>
    </w:p>
    <w:p w:rsidR="00AC40FC" w:rsidRDefault="00AC40FC" w:rsidP="00B1256E">
      <w:pPr>
        <w:pStyle w:val="Findings"/>
      </w:pPr>
      <w:r>
        <w:t>Reduce barriers to automated bill payments because of credit card fees.  (Finding 7)</w:t>
      </w:r>
    </w:p>
    <w:p w:rsidR="00AC40FC" w:rsidRDefault="00AC40FC" w:rsidP="00701DCF">
      <w:pPr>
        <w:pStyle w:val="Normal-aftertable"/>
      </w:pPr>
      <w:r>
        <w:t>Credit card usage fees paid by customers for automated billing should be eliminated or reduced through an offset to savings because of reduced paper billing and payment processing, negotiating lower fees with vendors, or a combination of both.</w:t>
      </w:r>
    </w:p>
    <w:p w:rsidR="00AC40FC" w:rsidRDefault="00AC40FC" w:rsidP="00B1256E">
      <w:pPr>
        <w:pStyle w:val="Findings"/>
      </w:pPr>
      <w:r>
        <w:t xml:space="preserve">Develop </w:t>
      </w:r>
      <w:r w:rsidRPr="0036246D">
        <w:t>additional metrics</w:t>
      </w:r>
      <w:r>
        <w:t xml:space="preserve"> and targets</w:t>
      </w:r>
      <w:r w:rsidRPr="0036246D">
        <w:t xml:space="preserve"> for assessing the </w:t>
      </w:r>
      <w:r>
        <w:t xml:space="preserve">effectiveness and efficiency, including unit cost </w:t>
      </w:r>
      <w:r w:rsidRPr="0036246D">
        <w:t>performance</w:t>
      </w:r>
      <w:r>
        <w:t>,</w:t>
      </w:r>
      <w:r w:rsidRPr="0036246D">
        <w:t xml:space="preserve"> of the Energy Efficiency function.</w:t>
      </w:r>
      <w:r>
        <w:t xml:space="preserve">  </w:t>
      </w:r>
      <w:r w:rsidRPr="004B1A9E">
        <w:t xml:space="preserve">(See Finding </w:t>
      </w:r>
      <w:r>
        <w:t>11</w:t>
      </w:r>
      <w:r w:rsidRPr="004B1A9E">
        <w:t>)</w:t>
      </w:r>
    </w:p>
    <w:p w:rsidR="00AC40FC" w:rsidRPr="0036246D" w:rsidRDefault="00AC40FC" w:rsidP="00701DCF">
      <w:r>
        <w:t xml:space="preserve">Customer Services should develop Energy Efficiency performance indicators that measure the productivity and effectiveness of PPL EU internal costs to support and </w:t>
      </w:r>
      <w:r>
        <w:lastRenderedPageBreak/>
        <w:t xml:space="preserve">manage the EE&amp;C Plan expenditures, MWh saved, and MW demand reductions.  Regardless of the relatively smaller administrative costs compared to other component and overall program costs and regardless of comprehensiveness of cost and budget management, PPL EU will benefit from measuring and understanding its internal unit cost performance that supports the delivery of the Plan goals.  In addition to meeting regulatory reporting requirements, industry standard metrics, and comparable utility performance, Energy Efficiency should explore additional practices and metrics for performance measurement. </w:t>
      </w:r>
    </w:p>
    <w:p w:rsidR="00AC40FC" w:rsidRDefault="00AC40FC" w:rsidP="00701DCF">
      <w:r w:rsidRPr="00E07270">
        <w:t>Appropriate new metrics include:</w:t>
      </w:r>
    </w:p>
    <w:p w:rsidR="00AC40FC" w:rsidRDefault="00AC40FC" w:rsidP="00701DCF">
      <w:pPr>
        <w:pStyle w:val="Bullet"/>
      </w:pPr>
      <w:r>
        <w:t>Energy Efficiency FTEs and related costs, per MWh saved per month and YTD</w:t>
      </w:r>
    </w:p>
    <w:p w:rsidR="00AC40FC" w:rsidRDefault="00AC40FC" w:rsidP="00701DCF">
      <w:pPr>
        <w:pStyle w:val="Bullet"/>
      </w:pPr>
      <w:r>
        <w:t>Energy Efficiency FTEs and related costs, per MW demand avoided or reduced per month and YTD</w:t>
      </w:r>
    </w:p>
    <w:p w:rsidR="00AC40FC" w:rsidRDefault="00AC40FC" w:rsidP="00701DCF">
      <w:pPr>
        <w:pStyle w:val="Bullet"/>
      </w:pPr>
      <w:r>
        <w:t>Total PPL EU (Energy Efficiency plus other common staff) costs, per MWh saved per month and YTD</w:t>
      </w:r>
    </w:p>
    <w:p w:rsidR="00AC40FC" w:rsidRDefault="00AC40FC" w:rsidP="00701DCF">
      <w:pPr>
        <w:pStyle w:val="Bullet"/>
      </w:pPr>
      <w:r>
        <w:t>Total PPL EU (Energy Efficiency plus other common staff) costs, per MW demand avoided or reduced, per month and YTD</w:t>
      </w:r>
    </w:p>
    <w:p w:rsidR="00AC40FC" w:rsidRDefault="00AC40FC" w:rsidP="00701DCF">
      <w:pPr>
        <w:pStyle w:val="Bullet"/>
      </w:pPr>
      <w:r>
        <w:t>Contractor costs per unit or service delivered, per month and YTD</w:t>
      </w:r>
    </w:p>
    <w:p w:rsidR="00AC40FC" w:rsidRDefault="00AC40FC" w:rsidP="00701DCF">
      <w:pPr>
        <w:pStyle w:val="Bullet"/>
      </w:pPr>
      <w:r>
        <w:t>Contractor costs per MWh saved, per month and YTD</w:t>
      </w:r>
    </w:p>
    <w:p w:rsidR="00AC40FC" w:rsidRDefault="00AC40FC" w:rsidP="00701DCF">
      <w:pPr>
        <w:pStyle w:val="Bullet"/>
      </w:pPr>
      <w:r>
        <w:t>Contractor costs per MW demand avoided or reduced, per month and YTD</w:t>
      </w:r>
    </w:p>
    <w:p w:rsidR="00AC40FC" w:rsidRDefault="00AC40FC" w:rsidP="00701DCF">
      <w:pPr>
        <w:pStyle w:val="Bullet"/>
      </w:pPr>
      <w:r>
        <w:t>Individual program total costs per unit or service delivered, per month and YTD</w:t>
      </w:r>
    </w:p>
    <w:p w:rsidR="00AC40FC" w:rsidRDefault="00AC40FC" w:rsidP="00701DCF">
      <w:pPr>
        <w:pStyle w:val="Bullet"/>
      </w:pPr>
      <w:r>
        <w:t>Individual program total costs per MWh saved, per month and YTD</w:t>
      </w:r>
    </w:p>
    <w:p w:rsidR="00AC40FC" w:rsidRDefault="00AC40FC" w:rsidP="00701DCF">
      <w:pPr>
        <w:pStyle w:val="Bullet"/>
      </w:pPr>
      <w:r>
        <w:t>Individual program total costs per MW demand avoided or reduced, per month and YTD</w:t>
      </w:r>
    </w:p>
    <w:p w:rsidR="00AC40FC" w:rsidRDefault="00AC40FC" w:rsidP="00701DCF">
      <w:pPr>
        <w:pStyle w:val="Normal-aftertable"/>
      </w:pPr>
      <w:r>
        <w:t>It would be especially useful to elevate some of these new performance measures to the Customer Service Monthly Performance Indicators Report.  Establishing contractor-specific performance metrics will also provide input into negotiating contract terms, including unit pricing and at-risk fees linked to performance metrics.  Appropriate targets should be set for each metric.</w:t>
      </w:r>
    </w:p>
    <w:p w:rsidR="00AC40FC" w:rsidRPr="00031D23" w:rsidRDefault="00AC40FC" w:rsidP="004F00E5">
      <w:pPr>
        <w:pStyle w:val="Heading2"/>
        <w:numPr>
          <w:ilvl w:val="0"/>
          <w:numId w:val="101"/>
        </w:numPr>
      </w:pPr>
      <w:bookmarkStart w:id="30" w:name="_Toc462647835"/>
      <w:bookmarkStart w:id="31" w:name="_Toc464552074"/>
      <w:r w:rsidRPr="00031D23">
        <w:t>Customer services operations</w:t>
      </w:r>
      <w:bookmarkEnd w:id="30"/>
      <w:bookmarkEnd w:id="31"/>
    </w:p>
    <w:p w:rsidR="00AC40FC" w:rsidRDefault="00AC40FC" w:rsidP="00BB665B">
      <w:pPr>
        <w:pStyle w:val="Heading-forToC"/>
      </w:pPr>
      <w:bookmarkStart w:id="32" w:name="_Toc462647836"/>
      <w:bookmarkStart w:id="33" w:name="_Toc464552075"/>
      <w:r>
        <w:t>Background</w:t>
      </w:r>
      <w:bookmarkEnd w:id="32"/>
      <w:bookmarkEnd w:id="33"/>
    </w:p>
    <w:p w:rsidR="00AC40FC" w:rsidRDefault="00AC40FC" w:rsidP="00701DCF">
      <w:pPr>
        <w:rPr>
          <w:rFonts w:cs="Arial"/>
        </w:rPr>
      </w:pPr>
      <w:r>
        <w:rPr>
          <w:rFonts w:cs="Arial"/>
        </w:rPr>
        <w:t>The Customer Services Operations (CS Ops) unit was reorganized during the Audit fieldwork. The Director of Customer Operations has four direct reports, with a total of 28 employees.  The following chart shows the current organization:</w:t>
      </w:r>
    </w:p>
    <w:p w:rsidR="00AC40FC" w:rsidRDefault="00AC40FC" w:rsidP="00ED6D61">
      <w:pPr>
        <w:pStyle w:val="Caption"/>
      </w:pPr>
      <w:bookmarkStart w:id="34" w:name="_Toc462648400"/>
      <w:bookmarkStart w:id="35" w:name="_Toc464553022"/>
      <w:r>
        <w:lastRenderedPageBreak/>
        <w:t xml:space="preserve">Exhibit </w:t>
      </w:r>
      <w:fldSimple w:instr=" STYLEREF 1 \s ">
        <w:r w:rsidR="00A24205">
          <w:rPr>
            <w:noProof/>
          </w:rPr>
          <w:t>IX</w:t>
        </w:r>
      </w:fldSimple>
      <w:r w:rsidR="00264A1B">
        <w:noBreakHyphen/>
      </w:r>
      <w:fldSimple w:instr=" SEQ Exhibit \* ARABIC \s 1 ">
        <w:r w:rsidR="00A24205">
          <w:rPr>
            <w:noProof/>
          </w:rPr>
          <w:t>7</w:t>
        </w:r>
      </w:fldSimple>
      <w:r>
        <w:br/>
        <w:t>Customer Services Operations Organization</w:t>
      </w:r>
      <w:bookmarkEnd w:id="34"/>
      <w:bookmarkEnd w:id="35"/>
    </w:p>
    <w:p w:rsidR="00AC40FC" w:rsidRDefault="00AC40FC" w:rsidP="00701DCF">
      <w:pPr>
        <w:jc w:val="center"/>
      </w:pPr>
      <w:r>
        <w:rPr>
          <w:noProof/>
        </w:rPr>
        <w:drawing>
          <wp:inline distT="0" distB="0" distL="0" distR="0">
            <wp:extent cx="5943600" cy="13423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PL-EU_01071-Cust-Svc-Ops_page122_v2.jpg"/>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1342390"/>
                    </a:xfrm>
                    <a:prstGeom prst="rect">
                      <a:avLst/>
                    </a:prstGeom>
                  </pic:spPr>
                </pic:pic>
              </a:graphicData>
            </a:graphic>
          </wp:inline>
        </w:drawing>
      </w:r>
    </w:p>
    <w:p w:rsidR="00AC40FC" w:rsidRPr="00F57A56" w:rsidRDefault="00AC40FC" w:rsidP="00701DCF">
      <w:r>
        <w:t>Source DN 01-071</w:t>
      </w:r>
    </w:p>
    <w:p w:rsidR="00AC40FC" w:rsidRDefault="00AC40FC" w:rsidP="00701DCF">
      <w:pPr>
        <w:pStyle w:val="Normal-aftertable"/>
      </w:pPr>
      <w:r>
        <w:t xml:space="preserve">The </w:t>
      </w:r>
      <w:r w:rsidRPr="00AF0A5A">
        <w:t>functions</w:t>
      </w:r>
      <w:r>
        <w:t xml:space="preserve"> of the four direct reports are:</w:t>
      </w:r>
    </w:p>
    <w:p w:rsidR="00AC40FC" w:rsidRDefault="00AC40FC" w:rsidP="00701DCF">
      <w:pPr>
        <w:pStyle w:val="Bullet"/>
      </w:pPr>
      <w:r>
        <w:t>Business Process Improvement – Technology enhancement projects</w:t>
      </w:r>
      <w:r w:rsidRPr="00A677F3">
        <w:t xml:space="preserve"> </w:t>
      </w:r>
      <w:r>
        <w:t xml:space="preserve">and </w:t>
      </w:r>
      <w:r w:rsidRPr="00A677F3">
        <w:t>process improvement</w:t>
      </w:r>
      <w:r>
        <w:t xml:space="preserve"> coordination</w:t>
      </w:r>
    </w:p>
    <w:p w:rsidR="00AC40FC" w:rsidRDefault="00AC40FC" w:rsidP="00701DCF">
      <w:pPr>
        <w:pStyle w:val="Bullet"/>
      </w:pPr>
      <w:r>
        <w:t xml:space="preserve">IT Project Management - Coordinating Customer Services projects requiring IT support.  Currently, 16 projects are planned for completion at the end of 2015.  These projects cost approximately $6.8 million per year as part of the Consumer Services IT (information technology) budget category.  </w:t>
      </w:r>
    </w:p>
    <w:p w:rsidR="00AC40FC" w:rsidRDefault="00AC40FC" w:rsidP="00701DCF">
      <w:pPr>
        <w:pStyle w:val="Bullet"/>
      </w:pPr>
      <w:r>
        <w:t xml:space="preserve">Measurement and Data Analytics – This newly created function will:  (1) </w:t>
      </w:r>
      <w:r w:rsidRPr="0084414C">
        <w:t>Defin</w:t>
      </w:r>
      <w:r>
        <w:t>e</w:t>
      </w:r>
      <w:r w:rsidRPr="0084414C">
        <w:t xml:space="preserve"> and extend the strategy around </w:t>
      </w:r>
      <w:r>
        <w:t xml:space="preserve">the </w:t>
      </w:r>
      <w:r w:rsidRPr="0084414C">
        <w:t xml:space="preserve">Self-Serve Business Intelligence (BI) and Reporting platform, (2) Expand and develop business analytics for measurements of business performance, including KPIs, metrics and scorecards, </w:t>
      </w:r>
      <w:r>
        <w:t xml:space="preserve">and </w:t>
      </w:r>
      <w:r w:rsidRPr="0084414C">
        <w:t xml:space="preserve">(3) </w:t>
      </w:r>
      <w:r>
        <w:t>E</w:t>
      </w:r>
      <w:r w:rsidRPr="0084414C">
        <w:t>valuat</w:t>
      </w:r>
      <w:r>
        <w:t>e</w:t>
      </w:r>
      <w:r w:rsidRPr="0084414C">
        <w:t xml:space="preserve"> performance, set common measurements, and report on and drive improvements in operational efficiency</w:t>
      </w:r>
      <w:r>
        <w:t>.</w:t>
      </w:r>
    </w:p>
    <w:p w:rsidR="00AC40FC" w:rsidRPr="005F1892" w:rsidRDefault="00AC40FC" w:rsidP="00701DCF">
      <w:pPr>
        <w:pStyle w:val="Bullet"/>
      </w:pPr>
      <w:r>
        <w:t>Customer Services Operations – R</w:t>
      </w:r>
      <w:r w:rsidRPr="005F1892">
        <w:t>esponsibilities for CCC operations, including planning, workforce scheduling and coordination, multi-channel routing, and vendor management</w:t>
      </w:r>
    </w:p>
    <w:p w:rsidR="00AC40FC" w:rsidRPr="000E4C4D" w:rsidRDefault="00AC40FC" w:rsidP="00701DCF">
      <w:pPr>
        <w:pStyle w:val="Normal-aftertable"/>
      </w:pPr>
      <w:r w:rsidRPr="008F65DE">
        <w:t xml:space="preserve">CS Ops is working on creating efficiencies at the CCCs.  In </w:t>
      </w:r>
      <w:r>
        <w:t xml:space="preserve">2015, </w:t>
      </w:r>
      <w:r w:rsidRPr="008F65DE">
        <w:t xml:space="preserve">the unit has built a </w:t>
      </w:r>
      <w:r>
        <w:t>digital display for supervisors</w:t>
      </w:r>
      <w:r w:rsidRPr="008F65DE">
        <w:t xml:space="preserve"> of phone queues and response times.  Now, the CCC canvas is updated every two hours and resources are reallocated as needed.  The unit is focusing on average handle time, including talk, hold</w:t>
      </w:r>
      <w:r>
        <w:t>,</w:t>
      </w:r>
      <w:r w:rsidRPr="008F65DE">
        <w:t xml:space="preserve"> and after call time.  Handle times are being shortened as a means of improving productivity.</w:t>
      </w:r>
    </w:p>
    <w:p w:rsidR="00AC40FC" w:rsidRDefault="00AC40FC" w:rsidP="00701DCF">
      <w:r>
        <w:t xml:space="preserve">CS Ops focuses on four key performance indicators: (1) </w:t>
      </w:r>
      <w:r w:rsidRPr="00FB37DF">
        <w:t>Se</w:t>
      </w:r>
      <w:r>
        <w:t>rvice Levels, as</w:t>
      </w:r>
      <w:r w:rsidRPr="00FB37DF">
        <w:t xml:space="preserve"> </w:t>
      </w:r>
      <w:r>
        <w:t xml:space="preserve">the number of </w:t>
      </w:r>
      <w:r w:rsidRPr="00FB37DF">
        <w:t>calls answere</w:t>
      </w:r>
      <w:r>
        <w:t>d within 30 seconds, (2) Average Speed to A</w:t>
      </w:r>
      <w:r w:rsidRPr="00FB37DF">
        <w:t>nswer (this is an interim, internal metric), (3) C</w:t>
      </w:r>
      <w:r>
        <w:t>-</w:t>
      </w:r>
      <w:r w:rsidRPr="00FB37DF">
        <w:t>SAT – customer satisfaction survey and market research, and (4) F</w:t>
      </w:r>
      <w:r>
        <w:t>irst Contact Resolution (F</w:t>
      </w:r>
      <w:r w:rsidRPr="00FB37DF">
        <w:t>CR</w:t>
      </w:r>
      <w:r>
        <w:t>)</w:t>
      </w:r>
      <w:r w:rsidRPr="00FB37DF">
        <w:t xml:space="preserve">, a new metric that </w:t>
      </w:r>
      <w:r>
        <w:t>is being evaluated</w:t>
      </w:r>
      <w:r w:rsidRPr="00FB37DF">
        <w:t xml:space="preserve">.  </w:t>
      </w:r>
      <w:r>
        <w:t xml:space="preserve">Service Levels </w:t>
      </w:r>
      <w:r w:rsidRPr="00FB37DF">
        <w:t xml:space="preserve">is the primary </w:t>
      </w:r>
      <w:r>
        <w:t>performance indicator from the CS Ops perspective</w:t>
      </w:r>
      <w:r w:rsidRPr="00FB37DF">
        <w:t>.</w:t>
      </w:r>
      <w:r>
        <w:t xml:space="preserve">  The CS Ops unit is redefining a number of performance indicators and exploring the need for new ones in support of the Customer Services objectives and strategies. These performance indicators are tracked at all of the call centers:  PPL EU, PPLSolutions, and the third party contractors.</w:t>
      </w:r>
    </w:p>
    <w:p w:rsidR="00AC40FC" w:rsidRDefault="00AC40FC" w:rsidP="00701DCF">
      <w:r w:rsidRPr="00F9108A">
        <w:t>Three Customer Services contact center performance</w:t>
      </w:r>
      <w:r w:rsidRPr="000D7474">
        <w:t xml:space="preserve"> indicators are being </w:t>
      </w:r>
      <w:r>
        <w:t>tracked by Customer Services Operations and will be revised with additional experience:</w:t>
      </w:r>
    </w:p>
    <w:p w:rsidR="00AC40FC" w:rsidRDefault="00AC40FC" w:rsidP="00701DCF">
      <w:pPr>
        <w:pStyle w:val="Bullet"/>
        <w:rPr>
          <w:rFonts w:cs="Arial"/>
          <w:szCs w:val="24"/>
        </w:rPr>
      </w:pPr>
      <w:r>
        <w:lastRenderedPageBreak/>
        <w:t xml:space="preserve">CCC Contact Volumes are (1) calls answered without an outage on a 24/7 basis, (2) outage calls answered 24/7, and (3) calls offered.  The second measure combines web and emails received and completed.  The third measure is </w:t>
      </w:r>
      <w:r>
        <w:rPr>
          <w:rFonts w:cs="Arial"/>
          <w:szCs w:val="24"/>
        </w:rPr>
        <w:t>Work Assignment and Tracking Tool</w:t>
      </w:r>
      <w:r>
        <w:t xml:space="preserve"> (WATT) </w:t>
      </w:r>
      <w:r w:rsidRPr="00833F0A">
        <w:rPr>
          <w:rFonts w:cs="Arial"/>
          <w:szCs w:val="24"/>
        </w:rPr>
        <w:t>contacts created and completed</w:t>
      </w:r>
      <w:r>
        <w:rPr>
          <w:rFonts w:cs="Arial"/>
          <w:szCs w:val="24"/>
        </w:rPr>
        <w:t xml:space="preserve"> (WATT is the management system for back-office work)</w:t>
      </w:r>
      <w:r w:rsidRPr="00833F0A">
        <w:rPr>
          <w:rFonts w:cs="Arial"/>
          <w:szCs w:val="24"/>
        </w:rPr>
        <w:t xml:space="preserve">.  </w:t>
      </w:r>
      <w:r>
        <w:rPr>
          <w:rFonts w:cs="Arial"/>
          <w:szCs w:val="24"/>
        </w:rPr>
        <w:t xml:space="preserve">There are no targets associated with these volumes and </w:t>
      </w:r>
      <w:r w:rsidRPr="00833F0A">
        <w:rPr>
          <w:rFonts w:cs="Arial"/>
          <w:szCs w:val="24"/>
        </w:rPr>
        <w:t xml:space="preserve">PPL EU </w:t>
      </w:r>
      <w:r>
        <w:rPr>
          <w:rFonts w:cs="Arial"/>
          <w:szCs w:val="24"/>
        </w:rPr>
        <w:t xml:space="preserve">noted </w:t>
      </w:r>
      <w:r w:rsidRPr="00833F0A">
        <w:rPr>
          <w:rFonts w:cs="Arial"/>
          <w:szCs w:val="24"/>
        </w:rPr>
        <w:t xml:space="preserve">that this is </w:t>
      </w:r>
      <w:r>
        <w:rPr>
          <w:rFonts w:cs="Arial"/>
          <w:szCs w:val="24"/>
        </w:rPr>
        <w:t xml:space="preserve">for </w:t>
      </w:r>
      <w:r w:rsidRPr="00833F0A">
        <w:rPr>
          <w:rFonts w:cs="Arial"/>
          <w:szCs w:val="24"/>
        </w:rPr>
        <w:t>information only</w:t>
      </w:r>
      <w:r>
        <w:rPr>
          <w:rFonts w:cs="Arial"/>
          <w:szCs w:val="24"/>
        </w:rPr>
        <w:t>.</w:t>
      </w:r>
    </w:p>
    <w:p w:rsidR="00AC40FC" w:rsidRPr="00EB2767" w:rsidRDefault="00AC40FC" w:rsidP="00701DCF">
      <w:pPr>
        <w:pStyle w:val="Bullet"/>
        <w:rPr>
          <w:rFonts w:cs="Arial"/>
          <w:szCs w:val="24"/>
        </w:rPr>
      </w:pPr>
      <w:r>
        <w:t>Percent of Calls Transferred is Percent of Calls T</w:t>
      </w:r>
      <w:r w:rsidRPr="0059267C">
        <w:t>ransferred within the CCC</w:t>
      </w:r>
      <w:r>
        <w:t>s</w:t>
      </w:r>
      <w:r w:rsidRPr="0059267C">
        <w:t xml:space="preserve"> and from </w:t>
      </w:r>
      <w:r>
        <w:t>the third party call center contractor during core business hours</w:t>
      </w:r>
      <w:r w:rsidRPr="0059267C">
        <w:t>.</w:t>
      </w:r>
      <w:r>
        <w:t xml:space="preserve">  </w:t>
      </w:r>
      <w:r w:rsidRPr="00F43C34">
        <w:rPr>
          <w:szCs w:val="24"/>
        </w:rPr>
        <w:t xml:space="preserve">The objective is to limit the number of calls being transferred.  </w:t>
      </w:r>
      <w:r>
        <w:rPr>
          <w:szCs w:val="24"/>
        </w:rPr>
        <w:t>(</w:t>
      </w:r>
      <w:r w:rsidRPr="00F43C34">
        <w:rPr>
          <w:szCs w:val="24"/>
        </w:rPr>
        <w:t xml:space="preserve">PPL EU noted that </w:t>
      </w:r>
      <w:r>
        <w:rPr>
          <w:iCs/>
          <w:szCs w:val="24"/>
        </w:rPr>
        <w:t>call transfer monthly break-</w:t>
      </w:r>
      <w:r w:rsidRPr="00F43C34">
        <w:rPr>
          <w:iCs/>
          <w:szCs w:val="24"/>
        </w:rPr>
        <w:t>down was unavailable for PPL</w:t>
      </w:r>
      <w:r>
        <w:rPr>
          <w:iCs/>
          <w:szCs w:val="24"/>
        </w:rPr>
        <w:t xml:space="preserve"> EU and PPL</w:t>
      </w:r>
      <w:r w:rsidRPr="00F43C34">
        <w:rPr>
          <w:iCs/>
          <w:szCs w:val="24"/>
        </w:rPr>
        <w:t xml:space="preserve">Solutions </w:t>
      </w:r>
      <w:r>
        <w:rPr>
          <w:iCs/>
          <w:szCs w:val="24"/>
        </w:rPr>
        <w:t>until April 2015</w:t>
      </w:r>
      <w:r w:rsidRPr="00F43C34">
        <w:rPr>
          <w:iCs/>
          <w:szCs w:val="24"/>
        </w:rPr>
        <w:t>.</w:t>
      </w:r>
      <w:r>
        <w:rPr>
          <w:iCs/>
          <w:szCs w:val="24"/>
        </w:rPr>
        <w:t xml:space="preserve"> </w:t>
      </w:r>
      <w:r w:rsidRPr="00F43C34">
        <w:rPr>
          <w:iCs/>
          <w:szCs w:val="24"/>
        </w:rPr>
        <w:t xml:space="preserve"> Standard Offer transfers are included in 2015 but not in 2014 data.</w:t>
      </w:r>
      <w:r>
        <w:rPr>
          <w:iCs/>
          <w:szCs w:val="24"/>
        </w:rPr>
        <w:t>)</w:t>
      </w:r>
    </w:p>
    <w:p w:rsidR="00AC40FC" w:rsidRDefault="00AC40FC" w:rsidP="00BB665B">
      <w:pPr>
        <w:pStyle w:val="Bullet"/>
        <w:spacing w:after="120"/>
      </w:pPr>
      <w:r w:rsidRPr="00EB2767">
        <w:t>Call Monitoring</w:t>
      </w:r>
      <w:r>
        <w:t xml:space="preserve"> (Call Assessments) is the overall measure of</w:t>
      </w:r>
      <w:r w:rsidRPr="00EB2767">
        <w:t xml:space="preserve"> </w:t>
      </w:r>
      <w:r>
        <w:t>CSRs</w:t>
      </w:r>
      <w:r w:rsidRPr="00EB2767">
        <w:t xml:space="preserve">.  The specific measures are:  </w:t>
      </w:r>
      <w:r>
        <w:t>Percentage of</w:t>
      </w:r>
      <w:r w:rsidRPr="00EB2767">
        <w:t xml:space="preserve"> </w:t>
      </w:r>
      <w:r>
        <w:t xml:space="preserve">CSRs </w:t>
      </w:r>
      <w:r w:rsidRPr="00EB2767">
        <w:t>Not Meet</w:t>
      </w:r>
      <w:r>
        <w:t>ing</w:t>
      </w:r>
      <w:r w:rsidRPr="00EB2767">
        <w:t xml:space="preserve"> Expectations, </w:t>
      </w:r>
      <w:r>
        <w:t xml:space="preserve">Percentage of CSRs </w:t>
      </w:r>
      <w:r w:rsidRPr="00EB2767">
        <w:t>Need</w:t>
      </w:r>
      <w:r>
        <w:t>ing</w:t>
      </w:r>
      <w:r w:rsidRPr="00EB2767">
        <w:t xml:space="preserve"> Improvement, </w:t>
      </w:r>
      <w:r>
        <w:t>Percentage of CSRs</w:t>
      </w:r>
      <w:r w:rsidRPr="00EB2767">
        <w:t xml:space="preserve"> Meeting Expectations, </w:t>
      </w:r>
      <w:r>
        <w:t>Percentage of</w:t>
      </w:r>
      <w:r w:rsidRPr="00EB2767">
        <w:t xml:space="preserve"> </w:t>
      </w:r>
      <w:r>
        <w:t>CSRs</w:t>
      </w:r>
      <w:r w:rsidRPr="00EB2767">
        <w:t xml:space="preserve"> Scoring Very Good, </w:t>
      </w:r>
      <w:r>
        <w:t>Percentage of</w:t>
      </w:r>
      <w:r w:rsidRPr="00EB2767">
        <w:t xml:space="preserve"> </w:t>
      </w:r>
      <w:r>
        <w:t>CSRs</w:t>
      </w:r>
      <w:r w:rsidRPr="00EB2767">
        <w:t xml:space="preserve"> Scoring Excellent, and number of Calls Monitored. PPL </w:t>
      </w:r>
      <w:r>
        <w:t xml:space="preserve">EU </w:t>
      </w:r>
      <w:r w:rsidRPr="00EB2767">
        <w:t xml:space="preserve">noted that it was using </w:t>
      </w:r>
      <w:r>
        <w:t xml:space="preserve">the </w:t>
      </w:r>
      <w:r w:rsidRPr="00EB2767">
        <w:t>first six months of 2015 to establish a baseline.  By July 1</w:t>
      </w:r>
      <w:r>
        <w:t>, 2015</w:t>
      </w:r>
      <w:r w:rsidRPr="00EB2767">
        <w:t>, it planned to identify an improvement target to meet by end of 2015.</w:t>
      </w:r>
    </w:p>
    <w:p w:rsidR="00AC40FC" w:rsidRDefault="00AC40FC" w:rsidP="00701DCF">
      <w:r>
        <w:t>The Service Level metric has not shown any trending but has improved in 2015.  Service Levels is the percent of time that a customer’s call is answered within 30 seconds.  PPL EU had previously referred to the metric as Grade of Service.  The 30-second standard is widely used by utility companies.  The metric includes IVR transaction time.  The annual data starting in 2006 is shown below.</w:t>
      </w:r>
    </w:p>
    <w:p w:rsidR="00AC40FC" w:rsidRPr="00B91946" w:rsidRDefault="00AC40FC" w:rsidP="00ED6D61">
      <w:pPr>
        <w:pStyle w:val="Caption"/>
      </w:pPr>
      <w:bookmarkStart w:id="36" w:name="_Toc462648401"/>
      <w:bookmarkStart w:id="37" w:name="_Toc464553023"/>
      <w:r>
        <w:t xml:space="preserve">Exhibit </w:t>
      </w:r>
      <w:fldSimple w:instr=" STYLEREF 1 \s ">
        <w:r w:rsidR="00A24205">
          <w:rPr>
            <w:noProof/>
          </w:rPr>
          <w:t>IX</w:t>
        </w:r>
      </w:fldSimple>
      <w:r w:rsidR="00264A1B">
        <w:noBreakHyphen/>
      </w:r>
      <w:fldSimple w:instr=" SEQ Exhibit \* ARABIC \s 1 ">
        <w:r w:rsidR="00A24205">
          <w:rPr>
            <w:noProof/>
          </w:rPr>
          <w:t>8</w:t>
        </w:r>
      </w:fldSimple>
      <w:r>
        <w:br/>
        <w:t>Service Levels (with IVR)</w:t>
      </w:r>
      <w:bookmarkEnd w:id="36"/>
      <w:bookmarkEnd w:id="37"/>
    </w:p>
    <w:p w:rsidR="00AC40FC" w:rsidRDefault="00AC40FC" w:rsidP="00ED6D61">
      <w:pPr>
        <w:pStyle w:val="Findings"/>
        <w:numPr>
          <w:ilvl w:val="0"/>
          <w:numId w:val="0"/>
        </w:numPr>
        <w:jc w:val="center"/>
      </w:pPr>
      <w:r>
        <w:rPr>
          <w:noProof/>
        </w:rPr>
        <w:drawing>
          <wp:inline distT="0" distB="0" distL="0" distR="0">
            <wp:extent cx="3665903" cy="2258972"/>
            <wp:effectExtent l="0" t="0" r="10795" b="825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bl>
      <w:tblPr>
        <w:tblW w:w="8729" w:type="dxa"/>
        <w:jc w:val="center"/>
        <w:tblLayout w:type="fixed"/>
        <w:tblCellMar>
          <w:left w:w="72" w:type="dxa"/>
          <w:right w:w="72" w:type="dxa"/>
        </w:tblCellMar>
        <w:tblLook w:val="04A0"/>
      </w:tblPr>
      <w:tblGrid>
        <w:gridCol w:w="1529"/>
        <w:gridCol w:w="720"/>
        <w:gridCol w:w="720"/>
        <w:gridCol w:w="720"/>
        <w:gridCol w:w="720"/>
        <w:gridCol w:w="720"/>
        <w:gridCol w:w="720"/>
        <w:gridCol w:w="720"/>
        <w:gridCol w:w="720"/>
        <w:gridCol w:w="720"/>
        <w:gridCol w:w="720"/>
      </w:tblGrid>
      <w:tr w:rsidR="00AC40FC" w:rsidRPr="007370C9" w:rsidTr="007370C9">
        <w:trPr>
          <w:cantSplit/>
          <w:trHeight w:val="320"/>
          <w:tblHeader/>
          <w:jc w:val="center"/>
        </w:trPr>
        <w:tc>
          <w:tcPr>
            <w:tcW w:w="1529" w:type="dxa"/>
            <w:tcBorders>
              <w:top w:val="single" w:sz="4" w:space="0" w:color="auto"/>
              <w:left w:val="single" w:sz="4" w:space="0" w:color="auto"/>
              <w:bottom w:val="single" w:sz="4" w:space="0" w:color="auto"/>
              <w:right w:val="single" w:sz="4" w:space="0" w:color="auto"/>
            </w:tcBorders>
            <w:shd w:val="clear" w:color="auto" w:fill="A5CD7E"/>
            <w:noWrap/>
            <w:vAlign w:val="center"/>
            <w:hideMark/>
          </w:tcPr>
          <w:p w:rsidR="00AC40FC" w:rsidRPr="007370C9" w:rsidRDefault="00AC40FC" w:rsidP="007370C9">
            <w:pPr>
              <w:spacing w:before="120"/>
              <w:jc w:val="center"/>
              <w:rPr>
                <w:rFonts w:cs="Arial"/>
                <w:b/>
                <w:color w:val="000000"/>
                <w:sz w:val="20"/>
                <w:szCs w:val="20"/>
              </w:rPr>
            </w:pPr>
            <w:r w:rsidRPr="007370C9">
              <w:rPr>
                <w:rFonts w:cs="Arial"/>
                <w:b/>
                <w:color w:val="000000"/>
                <w:sz w:val="20"/>
                <w:szCs w:val="20"/>
              </w:rPr>
              <w:t>Service Levels</w:t>
            </w:r>
          </w:p>
        </w:tc>
        <w:tc>
          <w:tcPr>
            <w:tcW w:w="72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7370C9" w:rsidRDefault="00AC40FC" w:rsidP="007370C9">
            <w:pPr>
              <w:spacing w:before="120"/>
              <w:jc w:val="center"/>
              <w:rPr>
                <w:rFonts w:cs="Arial"/>
                <w:b/>
                <w:color w:val="000000"/>
                <w:sz w:val="20"/>
                <w:szCs w:val="20"/>
              </w:rPr>
            </w:pPr>
            <w:r w:rsidRPr="007370C9">
              <w:rPr>
                <w:rFonts w:cs="Arial"/>
                <w:b/>
                <w:color w:val="000000"/>
                <w:sz w:val="20"/>
                <w:szCs w:val="20"/>
              </w:rPr>
              <w:t>2006</w:t>
            </w:r>
          </w:p>
        </w:tc>
        <w:tc>
          <w:tcPr>
            <w:tcW w:w="72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7370C9" w:rsidRDefault="00AC40FC" w:rsidP="007370C9">
            <w:pPr>
              <w:spacing w:before="120"/>
              <w:jc w:val="center"/>
              <w:rPr>
                <w:rFonts w:cs="Arial"/>
                <w:b/>
                <w:color w:val="000000"/>
                <w:sz w:val="20"/>
                <w:szCs w:val="20"/>
              </w:rPr>
            </w:pPr>
            <w:r w:rsidRPr="007370C9">
              <w:rPr>
                <w:rFonts w:cs="Arial"/>
                <w:b/>
                <w:color w:val="000000"/>
                <w:sz w:val="20"/>
                <w:szCs w:val="20"/>
              </w:rPr>
              <w:t>2007</w:t>
            </w:r>
          </w:p>
        </w:tc>
        <w:tc>
          <w:tcPr>
            <w:tcW w:w="72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7370C9" w:rsidRDefault="00AC40FC" w:rsidP="007370C9">
            <w:pPr>
              <w:spacing w:before="120"/>
              <w:jc w:val="center"/>
              <w:rPr>
                <w:rFonts w:cs="Arial"/>
                <w:b/>
                <w:color w:val="000000"/>
                <w:sz w:val="20"/>
                <w:szCs w:val="20"/>
              </w:rPr>
            </w:pPr>
            <w:r w:rsidRPr="007370C9">
              <w:rPr>
                <w:rFonts w:cs="Arial"/>
                <w:b/>
                <w:color w:val="000000"/>
                <w:sz w:val="20"/>
                <w:szCs w:val="20"/>
              </w:rPr>
              <w:t>2008</w:t>
            </w:r>
          </w:p>
        </w:tc>
        <w:tc>
          <w:tcPr>
            <w:tcW w:w="72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7370C9" w:rsidRDefault="00AC40FC" w:rsidP="007370C9">
            <w:pPr>
              <w:spacing w:before="120"/>
              <w:jc w:val="center"/>
              <w:rPr>
                <w:rFonts w:cs="Arial"/>
                <w:b/>
                <w:color w:val="000000"/>
                <w:sz w:val="20"/>
                <w:szCs w:val="20"/>
              </w:rPr>
            </w:pPr>
            <w:r w:rsidRPr="007370C9">
              <w:rPr>
                <w:rFonts w:cs="Arial"/>
                <w:b/>
                <w:color w:val="000000"/>
                <w:sz w:val="20"/>
                <w:szCs w:val="20"/>
              </w:rPr>
              <w:t>2009</w:t>
            </w:r>
          </w:p>
        </w:tc>
        <w:tc>
          <w:tcPr>
            <w:tcW w:w="72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7370C9" w:rsidRDefault="00AC40FC" w:rsidP="007370C9">
            <w:pPr>
              <w:spacing w:before="120"/>
              <w:jc w:val="center"/>
              <w:rPr>
                <w:rFonts w:cs="Arial"/>
                <w:b/>
                <w:color w:val="000000"/>
                <w:sz w:val="20"/>
                <w:szCs w:val="20"/>
              </w:rPr>
            </w:pPr>
            <w:r w:rsidRPr="007370C9">
              <w:rPr>
                <w:rFonts w:cs="Arial"/>
                <w:b/>
                <w:color w:val="000000"/>
                <w:sz w:val="20"/>
                <w:szCs w:val="20"/>
              </w:rPr>
              <w:t>2010</w:t>
            </w:r>
          </w:p>
        </w:tc>
        <w:tc>
          <w:tcPr>
            <w:tcW w:w="72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7370C9" w:rsidRDefault="00AC40FC" w:rsidP="007370C9">
            <w:pPr>
              <w:spacing w:before="120"/>
              <w:jc w:val="center"/>
              <w:rPr>
                <w:rFonts w:cs="Arial"/>
                <w:b/>
                <w:color w:val="000000"/>
                <w:sz w:val="20"/>
                <w:szCs w:val="20"/>
              </w:rPr>
            </w:pPr>
            <w:r w:rsidRPr="007370C9">
              <w:rPr>
                <w:rFonts w:cs="Arial"/>
                <w:b/>
                <w:color w:val="000000"/>
                <w:sz w:val="20"/>
                <w:szCs w:val="20"/>
              </w:rPr>
              <w:t>2011</w:t>
            </w:r>
          </w:p>
        </w:tc>
        <w:tc>
          <w:tcPr>
            <w:tcW w:w="72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7370C9" w:rsidRDefault="00AC40FC" w:rsidP="007370C9">
            <w:pPr>
              <w:spacing w:before="120"/>
              <w:jc w:val="center"/>
              <w:rPr>
                <w:rFonts w:cs="Arial"/>
                <w:b/>
                <w:color w:val="000000"/>
                <w:sz w:val="20"/>
                <w:szCs w:val="20"/>
              </w:rPr>
            </w:pPr>
            <w:r w:rsidRPr="007370C9">
              <w:rPr>
                <w:rFonts w:cs="Arial"/>
                <w:b/>
                <w:color w:val="000000"/>
                <w:sz w:val="20"/>
                <w:szCs w:val="20"/>
              </w:rPr>
              <w:t>2012</w:t>
            </w:r>
          </w:p>
        </w:tc>
        <w:tc>
          <w:tcPr>
            <w:tcW w:w="72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7370C9" w:rsidRDefault="00AC40FC" w:rsidP="007370C9">
            <w:pPr>
              <w:spacing w:before="120"/>
              <w:jc w:val="center"/>
              <w:rPr>
                <w:rFonts w:cs="Arial"/>
                <w:b/>
                <w:color w:val="000000"/>
                <w:sz w:val="20"/>
                <w:szCs w:val="20"/>
              </w:rPr>
            </w:pPr>
            <w:r w:rsidRPr="007370C9">
              <w:rPr>
                <w:rFonts w:cs="Arial"/>
                <w:b/>
                <w:color w:val="000000"/>
                <w:sz w:val="20"/>
                <w:szCs w:val="20"/>
              </w:rPr>
              <w:t>2013</w:t>
            </w:r>
          </w:p>
        </w:tc>
        <w:tc>
          <w:tcPr>
            <w:tcW w:w="72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7370C9" w:rsidRDefault="00AC40FC" w:rsidP="007370C9">
            <w:pPr>
              <w:spacing w:before="120"/>
              <w:jc w:val="center"/>
              <w:rPr>
                <w:rFonts w:cs="Arial"/>
                <w:b/>
                <w:color w:val="000000"/>
                <w:sz w:val="20"/>
                <w:szCs w:val="20"/>
              </w:rPr>
            </w:pPr>
            <w:r w:rsidRPr="007370C9">
              <w:rPr>
                <w:rFonts w:cs="Arial"/>
                <w:b/>
                <w:color w:val="000000"/>
                <w:sz w:val="20"/>
                <w:szCs w:val="20"/>
              </w:rPr>
              <w:t>2014</w:t>
            </w:r>
          </w:p>
        </w:tc>
        <w:tc>
          <w:tcPr>
            <w:tcW w:w="72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7370C9" w:rsidRDefault="00AC40FC" w:rsidP="007370C9">
            <w:pPr>
              <w:spacing w:before="120"/>
              <w:jc w:val="center"/>
              <w:rPr>
                <w:rFonts w:cs="Arial"/>
                <w:b/>
                <w:color w:val="000000"/>
                <w:sz w:val="20"/>
                <w:szCs w:val="20"/>
              </w:rPr>
            </w:pPr>
            <w:r w:rsidRPr="007370C9">
              <w:rPr>
                <w:rFonts w:cs="Arial"/>
                <w:b/>
                <w:color w:val="000000"/>
                <w:sz w:val="20"/>
                <w:szCs w:val="20"/>
              </w:rPr>
              <w:t>2015</w:t>
            </w:r>
          </w:p>
        </w:tc>
      </w:tr>
      <w:tr w:rsidR="00AC40FC" w:rsidRPr="00014B1D" w:rsidTr="007370C9">
        <w:trPr>
          <w:trHeight w:val="320"/>
          <w:jc w:val="center"/>
        </w:trPr>
        <w:tc>
          <w:tcPr>
            <w:tcW w:w="1529" w:type="dxa"/>
            <w:tcBorders>
              <w:top w:val="nil"/>
              <w:left w:val="single" w:sz="4" w:space="0" w:color="auto"/>
              <w:bottom w:val="single" w:sz="4" w:space="0" w:color="auto"/>
              <w:right w:val="single" w:sz="4" w:space="0" w:color="auto"/>
            </w:tcBorders>
            <w:shd w:val="clear" w:color="auto" w:fill="auto"/>
            <w:noWrap/>
            <w:vAlign w:val="center"/>
            <w:hideMark/>
          </w:tcPr>
          <w:p w:rsidR="00AC40FC" w:rsidRPr="00014B1D" w:rsidRDefault="00AC40FC" w:rsidP="00701DCF">
            <w:pPr>
              <w:spacing w:after="0"/>
              <w:jc w:val="center"/>
              <w:rPr>
                <w:rFonts w:cs="Arial"/>
                <w:color w:val="000000"/>
                <w:sz w:val="20"/>
                <w:szCs w:val="20"/>
              </w:rPr>
            </w:pPr>
            <w:r w:rsidRPr="00014B1D">
              <w:rPr>
                <w:rFonts w:cs="Arial"/>
                <w:color w:val="000000"/>
                <w:sz w:val="20"/>
                <w:szCs w:val="20"/>
              </w:rPr>
              <w:t>Service Levels (with IVR)</w:t>
            </w:r>
          </w:p>
        </w:tc>
        <w:tc>
          <w:tcPr>
            <w:tcW w:w="720" w:type="dxa"/>
            <w:tcBorders>
              <w:top w:val="nil"/>
              <w:left w:val="nil"/>
              <w:bottom w:val="single" w:sz="4" w:space="0" w:color="auto"/>
              <w:right w:val="single" w:sz="4" w:space="0" w:color="auto"/>
            </w:tcBorders>
            <w:shd w:val="clear" w:color="auto" w:fill="auto"/>
            <w:noWrap/>
            <w:vAlign w:val="center"/>
            <w:hideMark/>
          </w:tcPr>
          <w:p w:rsidR="00AC40FC" w:rsidRPr="00014B1D" w:rsidRDefault="00AC40FC" w:rsidP="00701DCF">
            <w:pPr>
              <w:jc w:val="center"/>
              <w:rPr>
                <w:rFonts w:cs="Arial"/>
                <w:color w:val="000000"/>
                <w:sz w:val="20"/>
                <w:szCs w:val="20"/>
              </w:rPr>
            </w:pPr>
            <w:r w:rsidRPr="00014B1D">
              <w:rPr>
                <w:rFonts w:cs="Arial"/>
                <w:color w:val="000000"/>
                <w:sz w:val="20"/>
                <w:szCs w:val="20"/>
              </w:rPr>
              <w:t>79%</w:t>
            </w:r>
          </w:p>
        </w:tc>
        <w:tc>
          <w:tcPr>
            <w:tcW w:w="720" w:type="dxa"/>
            <w:tcBorders>
              <w:top w:val="nil"/>
              <w:left w:val="nil"/>
              <w:bottom w:val="single" w:sz="4" w:space="0" w:color="auto"/>
              <w:right w:val="single" w:sz="4" w:space="0" w:color="auto"/>
            </w:tcBorders>
            <w:shd w:val="clear" w:color="auto" w:fill="auto"/>
            <w:noWrap/>
            <w:vAlign w:val="center"/>
            <w:hideMark/>
          </w:tcPr>
          <w:p w:rsidR="00AC40FC" w:rsidRPr="00014B1D" w:rsidRDefault="00AC40FC" w:rsidP="00701DCF">
            <w:pPr>
              <w:jc w:val="center"/>
              <w:rPr>
                <w:rFonts w:cs="Arial"/>
                <w:color w:val="000000"/>
                <w:sz w:val="20"/>
                <w:szCs w:val="20"/>
              </w:rPr>
            </w:pPr>
            <w:r w:rsidRPr="00014B1D">
              <w:rPr>
                <w:rFonts w:cs="Arial"/>
                <w:color w:val="000000"/>
                <w:sz w:val="20"/>
                <w:szCs w:val="20"/>
              </w:rPr>
              <w:t>83%</w:t>
            </w:r>
          </w:p>
        </w:tc>
        <w:tc>
          <w:tcPr>
            <w:tcW w:w="720" w:type="dxa"/>
            <w:tcBorders>
              <w:top w:val="nil"/>
              <w:left w:val="nil"/>
              <w:bottom w:val="single" w:sz="4" w:space="0" w:color="auto"/>
              <w:right w:val="single" w:sz="4" w:space="0" w:color="auto"/>
            </w:tcBorders>
            <w:shd w:val="clear" w:color="auto" w:fill="auto"/>
            <w:noWrap/>
            <w:vAlign w:val="center"/>
            <w:hideMark/>
          </w:tcPr>
          <w:p w:rsidR="00AC40FC" w:rsidRPr="00014B1D" w:rsidRDefault="00AC40FC" w:rsidP="00701DCF">
            <w:pPr>
              <w:jc w:val="center"/>
              <w:rPr>
                <w:rFonts w:cs="Arial"/>
                <w:color w:val="000000"/>
                <w:sz w:val="20"/>
                <w:szCs w:val="20"/>
              </w:rPr>
            </w:pPr>
            <w:r w:rsidRPr="00014B1D">
              <w:rPr>
                <w:rFonts w:cs="Arial"/>
                <w:color w:val="000000"/>
                <w:sz w:val="20"/>
                <w:szCs w:val="20"/>
              </w:rPr>
              <w:t>76%</w:t>
            </w:r>
          </w:p>
        </w:tc>
        <w:tc>
          <w:tcPr>
            <w:tcW w:w="720" w:type="dxa"/>
            <w:tcBorders>
              <w:top w:val="nil"/>
              <w:left w:val="nil"/>
              <w:bottom w:val="single" w:sz="4" w:space="0" w:color="auto"/>
              <w:right w:val="single" w:sz="4" w:space="0" w:color="auto"/>
            </w:tcBorders>
            <w:shd w:val="clear" w:color="auto" w:fill="auto"/>
            <w:noWrap/>
            <w:vAlign w:val="center"/>
            <w:hideMark/>
          </w:tcPr>
          <w:p w:rsidR="00AC40FC" w:rsidRPr="00014B1D" w:rsidRDefault="00AC40FC" w:rsidP="00701DCF">
            <w:pPr>
              <w:jc w:val="center"/>
              <w:rPr>
                <w:rFonts w:cs="Arial"/>
                <w:color w:val="000000"/>
                <w:sz w:val="20"/>
                <w:szCs w:val="20"/>
              </w:rPr>
            </w:pPr>
            <w:r w:rsidRPr="00014B1D">
              <w:rPr>
                <w:rFonts w:cs="Arial"/>
                <w:color w:val="000000"/>
                <w:sz w:val="20"/>
                <w:szCs w:val="20"/>
              </w:rPr>
              <w:t>81%</w:t>
            </w:r>
          </w:p>
        </w:tc>
        <w:tc>
          <w:tcPr>
            <w:tcW w:w="720" w:type="dxa"/>
            <w:tcBorders>
              <w:top w:val="nil"/>
              <w:left w:val="nil"/>
              <w:bottom w:val="single" w:sz="4" w:space="0" w:color="auto"/>
              <w:right w:val="single" w:sz="4" w:space="0" w:color="auto"/>
            </w:tcBorders>
            <w:shd w:val="clear" w:color="auto" w:fill="auto"/>
            <w:noWrap/>
            <w:vAlign w:val="center"/>
            <w:hideMark/>
          </w:tcPr>
          <w:p w:rsidR="00AC40FC" w:rsidRPr="00014B1D" w:rsidRDefault="00AC40FC" w:rsidP="00701DCF">
            <w:pPr>
              <w:jc w:val="center"/>
              <w:rPr>
                <w:rFonts w:cs="Arial"/>
                <w:color w:val="000000"/>
                <w:sz w:val="20"/>
                <w:szCs w:val="20"/>
              </w:rPr>
            </w:pPr>
            <w:r w:rsidRPr="00014B1D">
              <w:rPr>
                <w:rFonts w:cs="Arial"/>
                <w:color w:val="000000"/>
                <w:sz w:val="20"/>
                <w:szCs w:val="20"/>
              </w:rPr>
              <w:t>79%</w:t>
            </w:r>
          </w:p>
        </w:tc>
        <w:tc>
          <w:tcPr>
            <w:tcW w:w="720" w:type="dxa"/>
            <w:tcBorders>
              <w:top w:val="nil"/>
              <w:left w:val="nil"/>
              <w:bottom w:val="single" w:sz="4" w:space="0" w:color="auto"/>
              <w:right w:val="single" w:sz="4" w:space="0" w:color="auto"/>
            </w:tcBorders>
            <w:shd w:val="clear" w:color="auto" w:fill="auto"/>
            <w:noWrap/>
            <w:vAlign w:val="center"/>
            <w:hideMark/>
          </w:tcPr>
          <w:p w:rsidR="00AC40FC" w:rsidRPr="00014B1D" w:rsidRDefault="00AC40FC" w:rsidP="00701DCF">
            <w:pPr>
              <w:jc w:val="center"/>
              <w:rPr>
                <w:rFonts w:cs="Arial"/>
                <w:color w:val="000000"/>
                <w:sz w:val="20"/>
                <w:szCs w:val="20"/>
              </w:rPr>
            </w:pPr>
            <w:r w:rsidRPr="00014B1D">
              <w:rPr>
                <w:rFonts w:cs="Arial"/>
                <w:color w:val="000000"/>
                <w:sz w:val="20"/>
                <w:szCs w:val="20"/>
              </w:rPr>
              <w:t>82%</w:t>
            </w:r>
          </w:p>
        </w:tc>
        <w:tc>
          <w:tcPr>
            <w:tcW w:w="720" w:type="dxa"/>
            <w:tcBorders>
              <w:top w:val="nil"/>
              <w:left w:val="nil"/>
              <w:bottom w:val="single" w:sz="4" w:space="0" w:color="auto"/>
              <w:right w:val="single" w:sz="4" w:space="0" w:color="auto"/>
            </w:tcBorders>
            <w:shd w:val="clear" w:color="auto" w:fill="auto"/>
            <w:noWrap/>
            <w:vAlign w:val="center"/>
            <w:hideMark/>
          </w:tcPr>
          <w:p w:rsidR="00AC40FC" w:rsidRPr="00014B1D" w:rsidRDefault="00AC40FC" w:rsidP="00701DCF">
            <w:pPr>
              <w:jc w:val="center"/>
              <w:rPr>
                <w:rFonts w:cs="Arial"/>
                <w:color w:val="000000"/>
                <w:sz w:val="20"/>
                <w:szCs w:val="20"/>
              </w:rPr>
            </w:pPr>
            <w:r w:rsidRPr="00014B1D">
              <w:rPr>
                <w:rFonts w:cs="Arial"/>
                <w:color w:val="000000"/>
                <w:sz w:val="20"/>
                <w:szCs w:val="20"/>
              </w:rPr>
              <w:t>83%</w:t>
            </w:r>
          </w:p>
        </w:tc>
        <w:tc>
          <w:tcPr>
            <w:tcW w:w="720" w:type="dxa"/>
            <w:tcBorders>
              <w:top w:val="nil"/>
              <w:left w:val="nil"/>
              <w:bottom w:val="single" w:sz="4" w:space="0" w:color="auto"/>
              <w:right w:val="single" w:sz="4" w:space="0" w:color="auto"/>
            </w:tcBorders>
            <w:shd w:val="clear" w:color="auto" w:fill="auto"/>
            <w:noWrap/>
            <w:vAlign w:val="center"/>
            <w:hideMark/>
          </w:tcPr>
          <w:p w:rsidR="00AC40FC" w:rsidRPr="00014B1D" w:rsidRDefault="00AC40FC" w:rsidP="00701DCF">
            <w:pPr>
              <w:jc w:val="center"/>
              <w:rPr>
                <w:rFonts w:cs="Arial"/>
                <w:color w:val="000000"/>
                <w:sz w:val="20"/>
                <w:szCs w:val="20"/>
              </w:rPr>
            </w:pPr>
            <w:r w:rsidRPr="00014B1D">
              <w:rPr>
                <w:rFonts w:cs="Arial"/>
                <w:color w:val="000000"/>
                <w:sz w:val="20"/>
                <w:szCs w:val="20"/>
              </w:rPr>
              <w:t>75%</w:t>
            </w:r>
          </w:p>
        </w:tc>
        <w:tc>
          <w:tcPr>
            <w:tcW w:w="720" w:type="dxa"/>
            <w:tcBorders>
              <w:top w:val="nil"/>
              <w:left w:val="nil"/>
              <w:bottom w:val="nil"/>
              <w:right w:val="nil"/>
            </w:tcBorders>
            <w:shd w:val="clear" w:color="auto" w:fill="auto"/>
            <w:noWrap/>
            <w:vAlign w:val="center"/>
            <w:hideMark/>
          </w:tcPr>
          <w:p w:rsidR="00AC40FC" w:rsidRPr="00014B1D" w:rsidRDefault="00AC40FC" w:rsidP="00701DCF">
            <w:pPr>
              <w:jc w:val="center"/>
              <w:rPr>
                <w:rFonts w:cs="Arial"/>
                <w:color w:val="000000"/>
                <w:sz w:val="20"/>
                <w:szCs w:val="20"/>
              </w:rPr>
            </w:pPr>
            <w:r w:rsidRPr="00014B1D">
              <w:rPr>
                <w:rFonts w:cs="Arial"/>
                <w:color w:val="000000"/>
                <w:sz w:val="20"/>
                <w:szCs w:val="20"/>
              </w:rPr>
              <w:t>74%</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AC40FC" w:rsidRPr="00014B1D" w:rsidRDefault="00AC40FC" w:rsidP="00701DCF">
            <w:pPr>
              <w:jc w:val="center"/>
              <w:rPr>
                <w:rFonts w:cs="Arial"/>
                <w:color w:val="000000"/>
                <w:sz w:val="20"/>
                <w:szCs w:val="20"/>
              </w:rPr>
            </w:pPr>
            <w:r w:rsidRPr="00014B1D">
              <w:rPr>
                <w:rFonts w:cs="Arial"/>
                <w:color w:val="000000"/>
                <w:sz w:val="20"/>
                <w:szCs w:val="20"/>
              </w:rPr>
              <w:t>8</w:t>
            </w:r>
            <w:r>
              <w:rPr>
                <w:rFonts w:cs="Arial"/>
                <w:color w:val="000000"/>
                <w:sz w:val="20"/>
                <w:szCs w:val="20"/>
              </w:rPr>
              <w:t>6</w:t>
            </w:r>
            <w:r w:rsidRPr="00014B1D">
              <w:rPr>
                <w:rFonts w:cs="Arial"/>
                <w:color w:val="000000"/>
                <w:sz w:val="20"/>
                <w:szCs w:val="20"/>
              </w:rPr>
              <w:t>%</w:t>
            </w:r>
          </w:p>
        </w:tc>
      </w:tr>
      <w:tr w:rsidR="00AC40FC" w:rsidRPr="00014B1D" w:rsidTr="007370C9">
        <w:trPr>
          <w:trHeight w:val="320"/>
          <w:jc w:val="center"/>
        </w:trPr>
        <w:tc>
          <w:tcPr>
            <w:tcW w:w="8729" w:type="dxa"/>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C40FC" w:rsidRPr="00AC34BD" w:rsidRDefault="00AC40FC" w:rsidP="00701DCF">
            <w:pPr>
              <w:spacing w:after="0"/>
              <w:rPr>
                <w:rFonts w:cs="Arial"/>
                <w:color w:val="000000"/>
                <w:sz w:val="20"/>
                <w:szCs w:val="20"/>
              </w:rPr>
            </w:pPr>
            <w:r w:rsidRPr="00AC34BD">
              <w:rPr>
                <w:rFonts w:cs="Arial"/>
                <w:color w:val="000000"/>
                <w:sz w:val="20"/>
                <w:szCs w:val="20"/>
              </w:rPr>
              <w:t>Source</w:t>
            </w:r>
            <w:r>
              <w:rPr>
                <w:rFonts w:cs="Arial"/>
                <w:color w:val="000000"/>
                <w:sz w:val="20"/>
                <w:szCs w:val="20"/>
              </w:rPr>
              <w:t>s:</w:t>
            </w:r>
            <w:r w:rsidRPr="00AC34BD">
              <w:rPr>
                <w:rFonts w:cs="Arial"/>
                <w:color w:val="000000"/>
                <w:sz w:val="20"/>
                <w:szCs w:val="20"/>
              </w:rPr>
              <w:t xml:space="preserve"> DN 04-177; </w:t>
            </w:r>
            <w:r>
              <w:rPr>
                <w:sz w:val="20"/>
                <w:szCs w:val="20"/>
              </w:rPr>
              <w:t>PPL EU edits</w:t>
            </w:r>
          </w:p>
        </w:tc>
      </w:tr>
    </w:tbl>
    <w:p w:rsidR="00AC40FC" w:rsidRDefault="00AC40FC" w:rsidP="00701DCF">
      <w:pPr>
        <w:pStyle w:val="Normal-aftertable"/>
      </w:pPr>
      <w:r>
        <w:lastRenderedPageBreak/>
        <w:t xml:space="preserve">The metric has been inconsistent over the years and has shown improvement in 2015.  Customer Services is reassessing the value of the metric. </w:t>
      </w:r>
    </w:p>
    <w:p w:rsidR="00AC40FC" w:rsidRDefault="00AC40FC" w:rsidP="00701DCF">
      <w:r>
        <w:t>The First Call Resolution metric was trending down but started to improve in 2015.  The First Call Resolution (FCR) is a measure of the customer’s perception based on surveys of whether the issue was resolved during the call.  The CS Ops FCR rates for 2011 through 2015 are show below.</w:t>
      </w:r>
    </w:p>
    <w:p w:rsidR="00AC40FC" w:rsidRDefault="00AC40FC" w:rsidP="00ED6D61">
      <w:pPr>
        <w:pStyle w:val="Caption"/>
      </w:pPr>
      <w:bookmarkStart w:id="38" w:name="_Toc462648402"/>
      <w:bookmarkStart w:id="39" w:name="_Toc464553024"/>
      <w:r>
        <w:t xml:space="preserve">Exhibit </w:t>
      </w:r>
      <w:fldSimple w:instr=" STYLEREF 1 \s ">
        <w:r w:rsidR="00A24205">
          <w:rPr>
            <w:noProof/>
          </w:rPr>
          <w:t>IX</w:t>
        </w:r>
      </w:fldSimple>
      <w:r w:rsidR="00264A1B">
        <w:noBreakHyphen/>
      </w:r>
      <w:fldSimple w:instr=" SEQ Exhibit \* ARABIC \s 1 ">
        <w:r w:rsidR="00A24205">
          <w:rPr>
            <w:noProof/>
          </w:rPr>
          <w:t>9</w:t>
        </w:r>
      </w:fldSimple>
      <w:r>
        <w:br/>
        <w:t>First Call Resolution</w:t>
      </w:r>
      <w:bookmarkEnd w:id="38"/>
      <w:bookmarkEnd w:id="39"/>
    </w:p>
    <w:p w:rsidR="00AC40FC" w:rsidRDefault="00AC40FC" w:rsidP="00701DCF">
      <w:pPr>
        <w:jc w:val="center"/>
      </w:pPr>
      <w:r>
        <w:rPr>
          <w:noProof/>
        </w:rPr>
        <w:drawing>
          <wp:inline distT="0" distB="0" distL="0" distR="0">
            <wp:extent cx="3915438" cy="1897822"/>
            <wp:effectExtent l="0" t="0" r="8890" b="762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bl>
      <w:tblPr>
        <w:tblW w:w="0" w:type="auto"/>
        <w:jc w:val="center"/>
        <w:tblLook w:val="04A0"/>
      </w:tblPr>
      <w:tblGrid>
        <w:gridCol w:w="2006"/>
        <w:gridCol w:w="661"/>
        <w:gridCol w:w="661"/>
        <w:gridCol w:w="661"/>
        <w:gridCol w:w="661"/>
        <w:gridCol w:w="661"/>
      </w:tblGrid>
      <w:tr w:rsidR="00AC40FC" w:rsidRPr="007370C9" w:rsidTr="00701DCF">
        <w:trPr>
          <w:cantSplit/>
          <w:trHeight w:val="32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5CD7E"/>
            <w:vAlign w:val="center"/>
          </w:tcPr>
          <w:p w:rsidR="00AC40FC" w:rsidRPr="007370C9" w:rsidRDefault="00AC40FC" w:rsidP="007370C9">
            <w:pPr>
              <w:spacing w:before="120"/>
              <w:jc w:val="center"/>
              <w:rPr>
                <w:rFonts w:cs="Arial"/>
                <w:b/>
                <w:color w:val="000000"/>
                <w:sz w:val="20"/>
                <w:szCs w:val="20"/>
              </w:rPr>
            </w:pPr>
            <w:r w:rsidRPr="007370C9">
              <w:rPr>
                <w:rFonts w:cs="Arial"/>
                <w:b/>
                <w:color w:val="000000"/>
                <w:sz w:val="20"/>
                <w:szCs w:val="20"/>
              </w:rPr>
              <w:t>Metric</w:t>
            </w:r>
          </w:p>
        </w:tc>
        <w:tc>
          <w:tcPr>
            <w:tcW w:w="0" w:type="auto"/>
            <w:tcBorders>
              <w:top w:val="single" w:sz="4" w:space="0" w:color="auto"/>
              <w:left w:val="nil"/>
              <w:bottom w:val="single" w:sz="4" w:space="0" w:color="auto"/>
              <w:right w:val="single" w:sz="4" w:space="0" w:color="auto"/>
            </w:tcBorders>
            <w:shd w:val="clear" w:color="auto" w:fill="A5CD7E"/>
            <w:noWrap/>
            <w:vAlign w:val="center"/>
            <w:hideMark/>
          </w:tcPr>
          <w:p w:rsidR="00AC40FC" w:rsidRPr="007370C9" w:rsidRDefault="00AC40FC" w:rsidP="007370C9">
            <w:pPr>
              <w:spacing w:before="120"/>
              <w:jc w:val="center"/>
              <w:rPr>
                <w:rFonts w:cs="Arial"/>
                <w:b/>
                <w:color w:val="000000"/>
                <w:sz w:val="20"/>
                <w:szCs w:val="20"/>
              </w:rPr>
            </w:pPr>
            <w:r w:rsidRPr="007370C9">
              <w:rPr>
                <w:rFonts w:cs="Arial"/>
                <w:b/>
                <w:color w:val="000000"/>
                <w:sz w:val="20"/>
                <w:szCs w:val="20"/>
              </w:rPr>
              <w:t>2011</w:t>
            </w:r>
          </w:p>
        </w:tc>
        <w:tc>
          <w:tcPr>
            <w:tcW w:w="0" w:type="auto"/>
            <w:tcBorders>
              <w:top w:val="single" w:sz="4" w:space="0" w:color="auto"/>
              <w:left w:val="nil"/>
              <w:bottom w:val="single" w:sz="4" w:space="0" w:color="auto"/>
              <w:right w:val="single" w:sz="4" w:space="0" w:color="auto"/>
            </w:tcBorders>
            <w:shd w:val="clear" w:color="auto" w:fill="A5CD7E"/>
            <w:noWrap/>
            <w:vAlign w:val="center"/>
            <w:hideMark/>
          </w:tcPr>
          <w:p w:rsidR="00AC40FC" w:rsidRPr="007370C9" w:rsidRDefault="00AC40FC" w:rsidP="007370C9">
            <w:pPr>
              <w:spacing w:before="120"/>
              <w:jc w:val="center"/>
              <w:rPr>
                <w:rFonts w:cs="Arial"/>
                <w:b/>
                <w:color w:val="000000"/>
                <w:sz w:val="20"/>
                <w:szCs w:val="20"/>
              </w:rPr>
            </w:pPr>
            <w:r w:rsidRPr="007370C9">
              <w:rPr>
                <w:rFonts w:cs="Arial"/>
                <w:b/>
                <w:color w:val="000000"/>
                <w:sz w:val="20"/>
                <w:szCs w:val="20"/>
              </w:rPr>
              <w:t>2012</w:t>
            </w:r>
          </w:p>
        </w:tc>
        <w:tc>
          <w:tcPr>
            <w:tcW w:w="0" w:type="auto"/>
            <w:tcBorders>
              <w:top w:val="single" w:sz="4" w:space="0" w:color="auto"/>
              <w:left w:val="nil"/>
              <w:bottom w:val="single" w:sz="4" w:space="0" w:color="auto"/>
              <w:right w:val="single" w:sz="4" w:space="0" w:color="auto"/>
            </w:tcBorders>
            <w:shd w:val="clear" w:color="auto" w:fill="A5CD7E"/>
            <w:noWrap/>
            <w:vAlign w:val="center"/>
            <w:hideMark/>
          </w:tcPr>
          <w:p w:rsidR="00AC40FC" w:rsidRPr="007370C9" w:rsidRDefault="00AC40FC" w:rsidP="007370C9">
            <w:pPr>
              <w:spacing w:before="120"/>
              <w:jc w:val="center"/>
              <w:rPr>
                <w:rFonts w:cs="Arial"/>
                <w:b/>
                <w:color w:val="000000"/>
                <w:sz w:val="20"/>
                <w:szCs w:val="20"/>
              </w:rPr>
            </w:pPr>
            <w:r w:rsidRPr="007370C9">
              <w:rPr>
                <w:rFonts w:cs="Arial"/>
                <w:b/>
                <w:color w:val="000000"/>
                <w:sz w:val="20"/>
                <w:szCs w:val="20"/>
              </w:rPr>
              <w:t>2013</w:t>
            </w:r>
          </w:p>
        </w:tc>
        <w:tc>
          <w:tcPr>
            <w:tcW w:w="0" w:type="auto"/>
            <w:tcBorders>
              <w:top w:val="single" w:sz="4" w:space="0" w:color="auto"/>
              <w:left w:val="nil"/>
              <w:bottom w:val="single" w:sz="4" w:space="0" w:color="auto"/>
              <w:right w:val="single" w:sz="4" w:space="0" w:color="auto"/>
            </w:tcBorders>
            <w:shd w:val="clear" w:color="auto" w:fill="A5CD7E"/>
            <w:noWrap/>
            <w:vAlign w:val="center"/>
            <w:hideMark/>
          </w:tcPr>
          <w:p w:rsidR="00AC40FC" w:rsidRPr="007370C9" w:rsidRDefault="00AC40FC" w:rsidP="007370C9">
            <w:pPr>
              <w:spacing w:before="120"/>
              <w:jc w:val="center"/>
              <w:rPr>
                <w:rFonts w:cs="Arial"/>
                <w:b/>
                <w:color w:val="000000"/>
                <w:sz w:val="20"/>
                <w:szCs w:val="20"/>
              </w:rPr>
            </w:pPr>
            <w:r w:rsidRPr="007370C9">
              <w:rPr>
                <w:rFonts w:cs="Arial"/>
                <w:b/>
                <w:color w:val="000000"/>
                <w:sz w:val="20"/>
                <w:szCs w:val="20"/>
              </w:rPr>
              <w:t>2014</w:t>
            </w:r>
          </w:p>
        </w:tc>
        <w:tc>
          <w:tcPr>
            <w:tcW w:w="0" w:type="auto"/>
            <w:tcBorders>
              <w:top w:val="single" w:sz="4" w:space="0" w:color="auto"/>
              <w:left w:val="nil"/>
              <w:bottom w:val="single" w:sz="4" w:space="0" w:color="auto"/>
              <w:right w:val="single" w:sz="4" w:space="0" w:color="auto"/>
            </w:tcBorders>
            <w:shd w:val="clear" w:color="auto" w:fill="A5CD7E"/>
            <w:noWrap/>
            <w:vAlign w:val="center"/>
            <w:hideMark/>
          </w:tcPr>
          <w:p w:rsidR="00AC40FC" w:rsidRPr="007370C9" w:rsidRDefault="00AC40FC" w:rsidP="007370C9">
            <w:pPr>
              <w:spacing w:before="120"/>
              <w:jc w:val="center"/>
              <w:rPr>
                <w:rFonts w:cs="Arial"/>
                <w:b/>
                <w:color w:val="000000"/>
                <w:sz w:val="20"/>
                <w:szCs w:val="20"/>
              </w:rPr>
            </w:pPr>
            <w:r w:rsidRPr="007370C9">
              <w:rPr>
                <w:rFonts w:cs="Arial"/>
                <w:b/>
                <w:color w:val="000000"/>
                <w:sz w:val="20"/>
                <w:szCs w:val="20"/>
              </w:rPr>
              <w:t>2015</w:t>
            </w:r>
          </w:p>
        </w:tc>
      </w:tr>
      <w:tr w:rsidR="00AC40FC" w:rsidRPr="00E8050B" w:rsidTr="00701DCF">
        <w:trPr>
          <w:trHeight w:val="320"/>
          <w:jc w:val="center"/>
        </w:trPr>
        <w:tc>
          <w:tcPr>
            <w:tcW w:w="0" w:type="auto"/>
            <w:tcBorders>
              <w:top w:val="single" w:sz="4" w:space="0" w:color="auto"/>
              <w:left w:val="single" w:sz="4" w:space="0" w:color="auto"/>
              <w:bottom w:val="single" w:sz="4" w:space="0" w:color="auto"/>
              <w:right w:val="single" w:sz="4" w:space="0" w:color="auto"/>
            </w:tcBorders>
            <w:vAlign w:val="center"/>
          </w:tcPr>
          <w:p w:rsidR="00AC40FC" w:rsidRPr="00E8050B" w:rsidRDefault="00AC40FC" w:rsidP="00701DCF">
            <w:pPr>
              <w:spacing w:after="0"/>
              <w:jc w:val="center"/>
              <w:rPr>
                <w:rFonts w:cs="Arial"/>
                <w:color w:val="000000"/>
                <w:sz w:val="20"/>
                <w:szCs w:val="20"/>
              </w:rPr>
            </w:pPr>
            <w:r>
              <w:rPr>
                <w:rFonts w:cs="Arial"/>
                <w:color w:val="000000"/>
                <w:sz w:val="20"/>
                <w:szCs w:val="20"/>
              </w:rPr>
              <w:t>First Call Resolution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C40FC" w:rsidRPr="00E8050B" w:rsidRDefault="00AC40FC" w:rsidP="00701DCF">
            <w:pPr>
              <w:spacing w:after="0"/>
              <w:jc w:val="center"/>
              <w:rPr>
                <w:rFonts w:cs="Arial"/>
                <w:color w:val="000000"/>
                <w:sz w:val="20"/>
                <w:szCs w:val="20"/>
              </w:rPr>
            </w:pPr>
            <w:r w:rsidRPr="00E8050B">
              <w:rPr>
                <w:rFonts w:cs="Arial"/>
                <w:color w:val="000000"/>
                <w:sz w:val="20"/>
                <w:szCs w:val="20"/>
              </w:rPr>
              <w:t>84%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C40FC" w:rsidRPr="00E8050B" w:rsidRDefault="00AC40FC" w:rsidP="00701DCF">
            <w:pPr>
              <w:spacing w:after="0"/>
              <w:jc w:val="center"/>
              <w:rPr>
                <w:rFonts w:cs="Arial"/>
                <w:color w:val="000000"/>
                <w:sz w:val="20"/>
                <w:szCs w:val="20"/>
              </w:rPr>
            </w:pPr>
            <w:r w:rsidRPr="00E8050B">
              <w:rPr>
                <w:rFonts w:cs="Arial"/>
                <w:color w:val="000000"/>
                <w:sz w:val="20"/>
                <w:szCs w:val="20"/>
              </w:rPr>
              <w:t>90%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C40FC" w:rsidRPr="00E8050B" w:rsidRDefault="00AC40FC" w:rsidP="00701DCF">
            <w:pPr>
              <w:spacing w:after="0"/>
              <w:jc w:val="center"/>
              <w:rPr>
                <w:rFonts w:cs="Arial"/>
                <w:color w:val="000000"/>
                <w:sz w:val="20"/>
                <w:szCs w:val="20"/>
              </w:rPr>
            </w:pPr>
            <w:r w:rsidRPr="00E8050B">
              <w:rPr>
                <w:rFonts w:cs="Arial"/>
                <w:color w:val="000000"/>
                <w:sz w:val="20"/>
                <w:szCs w:val="20"/>
              </w:rPr>
              <w:t>85%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C40FC" w:rsidRPr="00E8050B" w:rsidRDefault="00AC40FC" w:rsidP="00701DCF">
            <w:pPr>
              <w:spacing w:after="0"/>
              <w:jc w:val="center"/>
              <w:rPr>
                <w:rFonts w:cs="Arial"/>
                <w:color w:val="000000"/>
                <w:sz w:val="20"/>
                <w:szCs w:val="20"/>
              </w:rPr>
            </w:pPr>
            <w:r w:rsidRPr="00E8050B">
              <w:rPr>
                <w:rFonts w:cs="Arial"/>
                <w:color w:val="000000"/>
                <w:sz w:val="20"/>
                <w:szCs w:val="20"/>
              </w:rPr>
              <w:t>75%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C40FC" w:rsidRPr="00E8050B" w:rsidRDefault="00AC40FC" w:rsidP="00701DCF">
            <w:pPr>
              <w:spacing w:after="0"/>
              <w:jc w:val="center"/>
              <w:rPr>
                <w:rFonts w:cs="Arial"/>
                <w:color w:val="000000"/>
                <w:sz w:val="20"/>
                <w:szCs w:val="20"/>
              </w:rPr>
            </w:pPr>
            <w:r w:rsidRPr="00E8050B">
              <w:rPr>
                <w:rFonts w:cs="Arial"/>
                <w:color w:val="000000"/>
                <w:sz w:val="20"/>
                <w:szCs w:val="20"/>
              </w:rPr>
              <w:t>83%</w:t>
            </w:r>
          </w:p>
        </w:tc>
      </w:tr>
      <w:tr w:rsidR="00AC40FC" w:rsidRPr="00E8050B" w:rsidTr="00701DCF">
        <w:trPr>
          <w:trHeight w:val="320"/>
          <w:jc w:val="center"/>
        </w:trPr>
        <w:tc>
          <w:tcPr>
            <w:tcW w:w="0" w:type="auto"/>
            <w:gridSpan w:val="6"/>
            <w:tcBorders>
              <w:top w:val="single" w:sz="4" w:space="0" w:color="auto"/>
              <w:left w:val="single" w:sz="4" w:space="0" w:color="auto"/>
              <w:bottom w:val="single" w:sz="4" w:space="0" w:color="auto"/>
              <w:right w:val="single" w:sz="4" w:space="0" w:color="auto"/>
            </w:tcBorders>
            <w:vAlign w:val="center"/>
          </w:tcPr>
          <w:p w:rsidR="00AC40FC" w:rsidRPr="00E8050B" w:rsidRDefault="00AC40FC" w:rsidP="00701DCF">
            <w:pPr>
              <w:spacing w:after="0"/>
              <w:rPr>
                <w:rFonts w:cs="Arial"/>
                <w:color w:val="000000"/>
                <w:sz w:val="20"/>
                <w:szCs w:val="20"/>
              </w:rPr>
            </w:pPr>
            <w:r w:rsidRPr="00E8050B">
              <w:rPr>
                <w:rFonts w:cs="Arial"/>
                <w:color w:val="000000"/>
                <w:sz w:val="20"/>
                <w:szCs w:val="20"/>
              </w:rPr>
              <w:t>Source</w:t>
            </w:r>
            <w:r>
              <w:rPr>
                <w:rFonts w:cs="Arial"/>
                <w:color w:val="000000"/>
                <w:sz w:val="20"/>
                <w:szCs w:val="20"/>
              </w:rPr>
              <w:t>s</w:t>
            </w:r>
            <w:r w:rsidRPr="00E8050B">
              <w:rPr>
                <w:rFonts w:cs="Arial"/>
                <w:color w:val="000000"/>
                <w:sz w:val="20"/>
                <w:szCs w:val="20"/>
              </w:rPr>
              <w:t>:  DN 04-177/197</w:t>
            </w:r>
            <w:r>
              <w:rPr>
                <w:rFonts w:cs="Arial"/>
                <w:color w:val="000000"/>
                <w:sz w:val="20"/>
                <w:szCs w:val="20"/>
              </w:rPr>
              <w:t xml:space="preserve">; </w:t>
            </w:r>
            <w:r>
              <w:rPr>
                <w:sz w:val="20"/>
                <w:szCs w:val="20"/>
              </w:rPr>
              <w:t>PPL EU edits</w:t>
            </w:r>
          </w:p>
        </w:tc>
      </w:tr>
    </w:tbl>
    <w:p w:rsidR="00AC40FC" w:rsidRDefault="00AC40FC" w:rsidP="00701DCF">
      <w:pPr>
        <w:pStyle w:val="Normal-aftertable"/>
      </w:pPr>
      <w:r>
        <w:t>The YTD 2015 data suggest that performance is improving.</w:t>
      </w:r>
    </w:p>
    <w:p w:rsidR="00AC40FC" w:rsidRDefault="00AC40FC" w:rsidP="00701DCF">
      <w:r>
        <w:t>CS Operations has planned an overall reduction in CSR FTE resources and a significant reduction in the use of PPLSolutions for 2016 due to call volume history and business, technology changes, and productivity improvements.</w:t>
      </w:r>
    </w:p>
    <w:p w:rsidR="00AC40FC" w:rsidRDefault="00AC40FC" w:rsidP="00701DCF">
      <w:pPr>
        <w:pStyle w:val="Normal-aftertable"/>
      </w:pPr>
      <w:r>
        <w:t>The forecast of FTE st</w:t>
      </w:r>
      <w:r w:rsidRPr="00C344C5">
        <w:t xml:space="preserve">affing </w:t>
      </w:r>
      <w:r>
        <w:t xml:space="preserve">is </w:t>
      </w:r>
      <w:r w:rsidRPr="00C344C5">
        <w:t xml:space="preserve">built on a five-year history of call volume </w:t>
      </w:r>
      <w:r>
        <w:t xml:space="preserve">by </w:t>
      </w:r>
      <w:r w:rsidRPr="00C344C5">
        <w:t>season</w:t>
      </w:r>
      <w:r>
        <w:t>,</w:t>
      </w:r>
      <w:r w:rsidRPr="00C344C5">
        <w:t xml:space="preserve"> coupled with the assumption that subcontractor support would not grow and call volume and </w:t>
      </w:r>
      <w:r>
        <w:t xml:space="preserve">the </w:t>
      </w:r>
      <w:r w:rsidRPr="00C344C5">
        <w:t xml:space="preserve">contact rate would remain flat.  With changes to the business and technology, </w:t>
      </w:r>
      <w:r>
        <w:t xml:space="preserve">Customer Services believes that </w:t>
      </w:r>
      <w:r w:rsidRPr="00C344C5">
        <w:t>it is impractical to present a reliable five-year forecast of staffing.</w:t>
      </w:r>
    </w:p>
    <w:p w:rsidR="00AC40FC" w:rsidRDefault="00AC40FC" w:rsidP="00BB665B">
      <w:pPr>
        <w:pStyle w:val="Heading-forToC"/>
      </w:pPr>
      <w:bookmarkStart w:id="40" w:name="_Toc462647837"/>
      <w:bookmarkStart w:id="41" w:name="_Toc464552076"/>
      <w:r>
        <w:t>findings</w:t>
      </w:r>
      <w:bookmarkEnd w:id="40"/>
      <w:bookmarkEnd w:id="41"/>
    </w:p>
    <w:p w:rsidR="00AC40FC" w:rsidRDefault="00AC40FC" w:rsidP="004F00E5">
      <w:pPr>
        <w:pStyle w:val="Findings"/>
        <w:numPr>
          <w:ilvl w:val="0"/>
          <w:numId w:val="45"/>
        </w:numPr>
      </w:pPr>
      <w:r>
        <w:t>The contracting process with PPLSolutions has not been consistently applied nor uniform with regard to contract content.</w:t>
      </w:r>
    </w:p>
    <w:p w:rsidR="00AC40FC" w:rsidRDefault="00AC40FC" w:rsidP="00701DCF">
      <w:r>
        <w:t xml:space="preserve">PPL EU has contracted extensively with PPLSolutions, an unregulated affiliate, for call center services including CSR call time, back office work, QA, and training.  </w:t>
      </w:r>
      <w:r w:rsidRPr="002256CD">
        <w:t xml:space="preserve">Direct charges to </w:t>
      </w:r>
      <w:r>
        <w:t xml:space="preserve">PPL EU </w:t>
      </w:r>
      <w:r w:rsidRPr="002256CD">
        <w:t>are based on contractual rates for specific services rendered.</w:t>
      </w:r>
      <w:r>
        <w:t xml:space="preserve"> </w:t>
      </w:r>
    </w:p>
    <w:p w:rsidR="00AC40FC" w:rsidRDefault="00AC40FC" w:rsidP="00701DCF">
      <w:r>
        <w:t xml:space="preserve">The Management Audit reviewed previous PPL EU contracts with </w:t>
      </w:r>
      <w:r w:rsidRPr="002D0BA8">
        <w:t>PPL</w:t>
      </w:r>
      <w:r>
        <w:t xml:space="preserve">Solutions, some of which were in effect during the audit.  Customer Services has been using PPLSolutions for ongoing call center functions, temporary back fill replacements of </w:t>
      </w:r>
      <w:r>
        <w:lastRenderedPageBreak/>
        <w:t>employees on sick leave, special projects with limited duration, and special occasion and seasonal staff augmentation.</w:t>
      </w:r>
    </w:p>
    <w:p w:rsidR="00AC40FC" w:rsidRDefault="00AC40FC" w:rsidP="00701DCF">
      <w:r>
        <w:t xml:space="preserve">A review of prior contracts dating to 2008 showed that: </w:t>
      </w:r>
    </w:p>
    <w:p w:rsidR="00AC40FC" w:rsidRDefault="00AC40FC" w:rsidP="00701DCF">
      <w:pPr>
        <w:pStyle w:val="Bullet"/>
      </w:pPr>
      <w:r>
        <w:t>The contracts did not have adequate or any service level commitments.</w:t>
      </w:r>
    </w:p>
    <w:p w:rsidR="00AC40FC" w:rsidRPr="005367FE" w:rsidRDefault="00AC40FC" w:rsidP="00701DCF">
      <w:pPr>
        <w:pStyle w:val="Bullet"/>
      </w:pPr>
      <w:r w:rsidRPr="00450FD9">
        <w:rPr>
          <w:rFonts w:cs="Arial"/>
        </w:rPr>
        <w:t>PPL EU had no requirements in its previous contracts with PPLSolutions for annual performance reports.</w:t>
      </w:r>
    </w:p>
    <w:p w:rsidR="00AC40FC" w:rsidRDefault="00AC40FC" w:rsidP="00701DCF">
      <w:pPr>
        <w:pStyle w:val="Bullet"/>
      </w:pPr>
      <w:r>
        <w:t>PPLSolutions signed a number of contracts, but only a few had PPL EU signatures.</w:t>
      </w:r>
    </w:p>
    <w:p w:rsidR="00AC40FC" w:rsidRDefault="00AC40FC" w:rsidP="00701DCF">
      <w:pPr>
        <w:pStyle w:val="Bullet"/>
      </w:pPr>
      <w:r>
        <w:t>A number of contracts were amended, sometimes more than once, but the amendment language was not clearly identified and explained.</w:t>
      </w:r>
    </w:p>
    <w:p w:rsidR="00AC40FC" w:rsidRDefault="00AC40FC" w:rsidP="00701DCF">
      <w:pPr>
        <w:pStyle w:val="Bullet"/>
      </w:pPr>
      <w:r>
        <w:t>Some contracts lacked cover pages that ordinarily provide summary information.</w:t>
      </w:r>
    </w:p>
    <w:p w:rsidR="00AC40FC" w:rsidRDefault="00AC40FC" w:rsidP="00701DCF">
      <w:pPr>
        <w:pStyle w:val="Bullet"/>
      </w:pPr>
      <w:r>
        <w:t>Most contracts contained hourly rates or costs for CSRs, supervisors, etc. but did not have SLAs or requirements that PPLSolutions report units of work performed by CSRs to determine cost-effectiveness or value received.</w:t>
      </w:r>
    </w:p>
    <w:p w:rsidR="00AC40FC" w:rsidRDefault="00AC40FC" w:rsidP="00701DCF">
      <w:pPr>
        <w:pStyle w:val="Bullet"/>
      </w:pPr>
      <w:r>
        <w:t>A number of contracts specified that monthly billings would be determined by PPLSolutions, but there were no requirements for PPL EU sampling or auditing to verify billed amounts.</w:t>
      </w:r>
    </w:p>
    <w:p w:rsidR="00AC40FC" w:rsidRDefault="00AC40FC" w:rsidP="00701DCF">
      <w:r>
        <w:t>For example, the PPLSolutions Standard Offer Program (SOP) contract expired on May 31, 2015 and was extended by amendment through May 31, 2017.  Although the contract specifies the CSRs’ responsibilities, availability, and a performance requirement that at least 80% of the calls must be responded to within 30 seconds,   it did not include a service level agreement with annual performance metrics.</w:t>
      </w:r>
    </w:p>
    <w:p w:rsidR="00AC40FC" w:rsidRDefault="00AC40FC" w:rsidP="004F00E5">
      <w:pPr>
        <w:pStyle w:val="Findings"/>
        <w:numPr>
          <w:ilvl w:val="0"/>
          <w:numId w:val="45"/>
        </w:numPr>
      </w:pPr>
      <w:r>
        <w:t>The recently signed contract with PPLSolutions for call center services resolves a number of problems with the previous contracts, but not all.</w:t>
      </w:r>
    </w:p>
    <w:p w:rsidR="00AC40FC" w:rsidRDefault="00AC40FC" w:rsidP="00701DCF">
      <w:pPr>
        <w:rPr>
          <w:rFonts w:cs="Arial"/>
        </w:rPr>
      </w:pPr>
      <w:r>
        <w:rPr>
          <w:rFonts w:cs="Arial"/>
        </w:rPr>
        <w:t>The contract signed on October 14, 2015 and effective October 1, 2015 does not have many of the deficiencies of previous contracts:</w:t>
      </w:r>
    </w:p>
    <w:p w:rsidR="00AC40FC" w:rsidRDefault="00AC40FC" w:rsidP="00701DCF">
      <w:pPr>
        <w:pStyle w:val="Bullet"/>
      </w:pPr>
      <w:r>
        <w:t>The scope of work is detailed and comprehensive, including inbound calls, outbound calls, back-office (work orders), WRAP call handling and processing, OnTrack special referral project, OnTrack Enrollment Pilot, Low Income Heating Assistance Program application process, removal of accounts from external collection agencies, Electric Choice information process, and call coverage for Major Accounts during training sessions and meetings.  (The OnTrack Enrollment Pilot is an outbound calling campaign based on lists of customers likely to be eligible, prepared by Regulatory Programs.  Please see the Customer Assistance Program chapter for further discussion.)</w:t>
      </w:r>
    </w:p>
    <w:p w:rsidR="00AC40FC" w:rsidRDefault="00AC40FC" w:rsidP="00701DCF">
      <w:pPr>
        <w:pStyle w:val="Bullet"/>
      </w:pPr>
      <w:r>
        <w:t>This new contract was signed by the responsible officers, namely PPL EU’s VP of Customer Services and the President of PPLSolutions.</w:t>
      </w:r>
    </w:p>
    <w:p w:rsidR="00AC40FC" w:rsidRPr="00410036" w:rsidRDefault="00AC40FC" w:rsidP="00701DCF">
      <w:pPr>
        <w:pStyle w:val="Bullet"/>
        <w:rPr>
          <w:rFonts w:cs="Arial"/>
        </w:rPr>
      </w:pPr>
      <w:r>
        <w:t>There are four defined service levels for inbound calls, each tied to at-risk performance measures.  The service levels are First Call Resolution, Reducing Transfers, Customer Satisfaction Survey Results, and Adherence to Schedule.</w:t>
      </w:r>
    </w:p>
    <w:p w:rsidR="00AC40FC" w:rsidRPr="007C13D9" w:rsidRDefault="00AC40FC" w:rsidP="00701DCF">
      <w:pPr>
        <w:pStyle w:val="Bullet"/>
        <w:rPr>
          <w:rFonts w:cs="Arial"/>
        </w:rPr>
      </w:pPr>
      <w:r>
        <w:t>The at-risk monetary impact is 10% of total (previous month’s) bill for each service level based on the service level performance criteria.</w:t>
      </w:r>
    </w:p>
    <w:p w:rsidR="00AC40FC" w:rsidRDefault="00AC40FC" w:rsidP="00701DCF">
      <w:pPr>
        <w:pStyle w:val="Normal-aftertable"/>
      </w:pPr>
      <w:r>
        <w:lastRenderedPageBreak/>
        <w:t>Only the routine inbound functions have service levels, as noted above.  The remaining scope of work does not have service levels or other metrics.</w:t>
      </w:r>
    </w:p>
    <w:p w:rsidR="00AC40FC" w:rsidRDefault="00AC40FC" w:rsidP="004F00E5">
      <w:pPr>
        <w:pStyle w:val="Findings"/>
        <w:numPr>
          <w:ilvl w:val="0"/>
          <w:numId w:val="45"/>
        </w:numPr>
      </w:pPr>
      <w:r>
        <w:t xml:space="preserve">The recently signed contract with an unaffiliated vendor has a number of deficiencies. </w:t>
      </w:r>
    </w:p>
    <w:p w:rsidR="00AC40FC" w:rsidRDefault="00AC40FC" w:rsidP="00701DCF">
      <w:r w:rsidRPr="00136476">
        <w:t xml:space="preserve">PPL </w:t>
      </w:r>
      <w:r>
        <w:t>EU</w:t>
      </w:r>
      <w:r w:rsidRPr="00136476">
        <w:t xml:space="preserve"> </w:t>
      </w:r>
      <w:r>
        <w:t xml:space="preserve">signed a new </w:t>
      </w:r>
      <w:r w:rsidRPr="00136476">
        <w:t xml:space="preserve">contract with </w:t>
      </w:r>
      <w:r>
        <w:t>an unaffiliated vendor</w:t>
      </w:r>
      <w:r w:rsidRPr="00136476">
        <w:t xml:space="preserve"> dated September </w:t>
      </w:r>
      <w:r>
        <w:t>10, 2015.  This vendor replaced a previous contractor and is supplying call center services.  This contract has several necessary components but also has some of the same deficiencies that existed with the previous PPLSolutions’ contracts.</w:t>
      </w:r>
    </w:p>
    <w:p w:rsidR="00AC40FC" w:rsidRDefault="00AC40FC" w:rsidP="00701DCF">
      <w:r>
        <w:t>Appropriate and necessary components included in the contract are:</w:t>
      </w:r>
    </w:p>
    <w:p w:rsidR="00AC40FC" w:rsidRDefault="00AC40FC" w:rsidP="00701DCF">
      <w:pPr>
        <w:pStyle w:val="Bullet"/>
      </w:pPr>
      <w:r>
        <w:t>Detailed statement of work, including types of customers to be supported, hours of support, channels of support, types of interactions within channels, back office work, collection work, and emergency preparedness response (in the event of a PPL EU labor dispute)</w:t>
      </w:r>
    </w:p>
    <w:p w:rsidR="00AC40FC" w:rsidRDefault="00AC40FC" w:rsidP="00701DCF">
      <w:pPr>
        <w:pStyle w:val="Bullet"/>
      </w:pPr>
      <w:r>
        <w:t>Explicit pricing and hourly rates</w:t>
      </w:r>
    </w:p>
    <w:p w:rsidR="00AC40FC" w:rsidRDefault="00AC40FC" w:rsidP="00701DCF">
      <w:pPr>
        <w:pStyle w:val="Bullet"/>
      </w:pPr>
      <w:r>
        <w:t>Overtime definition</w:t>
      </w:r>
    </w:p>
    <w:p w:rsidR="00AC40FC" w:rsidRDefault="00AC40FC" w:rsidP="00701DCF">
      <w:pPr>
        <w:pStyle w:val="Bullet"/>
      </w:pPr>
      <w:r>
        <w:t>Key performance indicators:  First Call Resolution, Minimize Transfers, and Customer Satisfaction Results</w:t>
      </w:r>
    </w:p>
    <w:p w:rsidR="00AC40FC" w:rsidRDefault="00AC40FC" w:rsidP="00701DCF">
      <w:pPr>
        <w:pStyle w:val="Bullet"/>
      </w:pPr>
      <w:r>
        <w:t>At-risk fee rates (10%) off billable charges for each of the performance indicators (similar to the at-risk component in the PPLSolutions contract)</w:t>
      </w:r>
    </w:p>
    <w:p w:rsidR="00AC40FC" w:rsidRDefault="00AC40FC" w:rsidP="00701DCF">
      <w:pPr>
        <w:pStyle w:val="Bullet"/>
      </w:pPr>
      <w:r>
        <w:t>Total compensation estimated at $9 million during the (unspecified) term of the contract</w:t>
      </w:r>
    </w:p>
    <w:p w:rsidR="00AC40FC" w:rsidRDefault="00AC40FC" w:rsidP="00701DCF">
      <w:pPr>
        <w:pStyle w:val="Normal-aftertable"/>
      </w:pPr>
      <w:r>
        <w:t>Deficiencies include:</w:t>
      </w:r>
    </w:p>
    <w:p w:rsidR="00AC40FC" w:rsidRDefault="00AC40FC" w:rsidP="00701DCF">
      <w:pPr>
        <w:pStyle w:val="Bullet"/>
      </w:pPr>
      <w:r>
        <w:t>A directly responsible PPL EU officer has not signed the contract.</w:t>
      </w:r>
    </w:p>
    <w:p w:rsidR="00AC40FC" w:rsidRDefault="00AC40FC" w:rsidP="00701DCF">
      <w:pPr>
        <w:pStyle w:val="Bullet"/>
      </w:pPr>
      <w:r>
        <w:t>Performance indicators for work other than inbound calls (no service levels or metrics for non-call work, such as back office)</w:t>
      </w:r>
    </w:p>
    <w:p w:rsidR="00AC40FC" w:rsidRDefault="00AC40FC" w:rsidP="00701DCF">
      <w:pPr>
        <w:pStyle w:val="Bullet"/>
      </w:pPr>
      <w:r>
        <w:t>“Exhibit E – Metric Measurements” is missing from the contract.</w:t>
      </w:r>
    </w:p>
    <w:p w:rsidR="00AC40FC" w:rsidRDefault="00AC40FC" w:rsidP="00701DCF">
      <w:pPr>
        <w:pStyle w:val="Bullet"/>
      </w:pPr>
      <w:r>
        <w:t>The term of the contract is not identified.</w:t>
      </w:r>
    </w:p>
    <w:p w:rsidR="00AC40FC" w:rsidRDefault="00AC40FC" w:rsidP="004F00E5">
      <w:pPr>
        <w:pStyle w:val="Findings"/>
        <w:numPr>
          <w:ilvl w:val="0"/>
          <w:numId w:val="45"/>
        </w:numPr>
        <w:spacing w:before="120"/>
      </w:pPr>
      <w:r>
        <w:t>Customer Services has established disaster recovery services for its call center functions.</w:t>
      </w:r>
    </w:p>
    <w:p w:rsidR="00AC40FC" w:rsidRDefault="00AC40FC" w:rsidP="00701DCF">
      <w:r>
        <w:t>Customer Services has contracted with a non-affiliated vendor to provide two call centers</w:t>
      </w:r>
      <w:r w:rsidRPr="00E945CA">
        <w:t xml:space="preserve"> </w:t>
      </w:r>
      <w:r>
        <w:t xml:space="preserve">to </w:t>
      </w:r>
      <w:r w:rsidRPr="00E945CA">
        <w:t>support expanded hour</w:t>
      </w:r>
      <w:r>
        <w:t>s</w:t>
      </w:r>
      <w:r w:rsidRPr="00E945CA">
        <w:t xml:space="preserve"> and </w:t>
      </w:r>
      <w:r>
        <w:t xml:space="preserve">to establish a disaster recovery plan for the two PPL EU call centers and the PPLSolutions call center, all three of which are located in Pennsylvania.  One of the vendor centers is located in Pennsylvania and the other in Florida, providing sufficient geographic separation to minimize or eliminate the impacts of weather-related or other disaster events. </w:t>
      </w:r>
    </w:p>
    <w:p w:rsidR="00AC40FC" w:rsidRDefault="00AC40FC" w:rsidP="004F00E5">
      <w:pPr>
        <w:pStyle w:val="Findings"/>
        <w:numPr>
          <w:ilvl w:val="0"/>
          <w:numId w:val="45"/>
        </w:numPr>
      </w:pPr>
      <w:r>
        <w:t>The 2016 LIHEAP Portal project will yield significant customer benefits and reduced costs.</w:t>
      </w:r>
    </w:p>
    <w:p w:rsidR="00AC40FC" w:rsidRDefault="00AC40FC" w:rsidP="00701DCF">
      <w:r>
        <w:t xml:space="preserve">Pennsylvania’s Low Income Home Energy Assistance Program (LIHEAP) helps low-income families pay their heating bills.  LIHEAP offers assistance in the form of a cash </w:t>
      </w:r>
      <w:r>
        <w:lastRenderedPageBreak/>
        <w:t>grant, sent directly to the utility company or a crisis grant for households in immediate danger of being without heat</w:t>
      </w:r>
      <w:r w:rsidRPr="00D23F74">
        <w:rPr>
          <w:bCs/>
        </w:rPr>
        <w:t>.</w:t>
      </w:r>
    </w:p>
    <w:p w:rsidR="00AC40FC" w:rsidRDefault="00AC40FC" w:rsidP="00701DCF">
      <w:r>
        <w:t>The LIHEAP Portal project will establish a web portal to PPL EU for use by the Pennsylvania Department of Human Services (DHS) and regional and local community assistance agencies.  It will allow LIHEAP caseworkers to self-serve in order to obtain PPL EU customer information to approve LIHEAP grants.  PPL EU planned to launch the web portal by February 1, 2016.</w:t>
      </w:r>
    </w:p>
    <w:p w:rsidR="00AC40FC" w:rsidRDefault="00AC40FC" w:rsidP="00701DCF">
      <w:r>
        <w:t xml:space="preserve">PPL EU describes the benefits of the project as:  </w:t>
      </w:r>
    </w:p>
    <w:p w:rsidR="00AC40FC" w:rsidRPr="006C66DB" w:rsidRDefault="00AC40FC" w:rsidP="00701DCF">
      <w:pPr>
        <w:pStyle w:val="Bullet"/>
      </w:pPr>
      <w:r>
        <w:t xml:space="preserve">Reduce approximately 30,000 phone calls handled by PPL EU CCC staff and contractors regarding LIHEAP applications and </w:t>
      </w:r>
      <w:r w:rsidRPr="006C66DB">
        <w:t>to verify various customer data.</w:t>
      </w:r>
    </w:p>
    <w:p w:rsidR="00AC40FC" w:rsidRDefault="00AC40FC" w:rsidP="00701DCF">
      <w:pPr>
        <w:pStyle w:val="Bullet"/>
      </w:pPr>
      <w:r>
        <w:t>Improve internal processes</w:t>
      </w:r>
      <w:r w:rsidRPr="001D7B91">
        <w:t>.</w:t>
      </w:r>
    </w:p>
    <w:p w:rsidR="00AC40FC" w:rsidRDefault="00AC40FC" w:rsidP="00701DCF">
      <w:pPr>
        <w:pStyle w:val="Bullet"/>
      </w:pPr>
      <w:r>
        <w:t>Enhance the customer experience by more timely approval of LIHEAP applications</w:t>
      </w:r>
      <w:r w:rsidRPr="001D7B91">
        <w:t>.</w:t>
      </w:r>
    </w:p>
    <w:p w:rsidR="00AC40FC" w:rsidRDefault="00AC40FC" w:rsidP="00701DCF">
      <w:pPr>
        <w:pStyle w:val="Bullet"/>
      </w:pPr>
      <w:r>
        <w:t>Avoid unnecessary terminations of service and associated collection costs</w:t>
      </w:r>
      <w:r w:rsidRPr="001D7B91">
        <w:t>.</w:t>
      </w:r>
    </w:p>
    <w:p w:rsidR="00AC40FC" w:rsidRDefault="00AC40FC" w:rsidP="00701DCF">
      <w:pPr>
        <w:pStyle w:val="Bullet"/>
      </w:pPr>
      <w:r>
        <w:t>Strengthen working relationships with DHS staff.</w:t>
      </w:r>
    </w:p>
    <w:p w:rsidR="00AC40FC" w:rsidRDefault="00AC40FC" w:rsidP="00701DCF">
      <w:pPr>
        <w:pStyle w:val="Normal-aftertable"/>
      </w:pPr>
      <w:r>
        <w:t>PPL EU noted in its business case of the web portal project that, as of YTD August 31, 2015, the average cost per phone call was $10.41.  If PPL EU achieves a call reduction of 30,000 per year, the project will deliver the two goals of improved customer satisfaction and reduced costs.</w:t>
      </w:r>
    </w:p>
    <w:p w:rsidR="00AC40FC" w:rsidRDefault="00AC40FC" w:rsidP="00701DCF">
      <w:r>
        <w:t xml:space="preserve">The business case for this web portal project also demonstrates the value of tracking unit costs as a measure of cost performance in conjunction with improving customer satisfaction and related measures.  </w:t>
      </w:r>
    </w:p>
    <w:p w:rsidR="00AC40FC" w:rsidRDefault="00AC40FC" w:rsidP="00BB665B">
      <w:pPr>
        <w:pStyle w:val="Heading-forToC"/>
      </w:pPr>
      <w:bookmarkStart w:id="42" w:name="_Toc462647838"/>
      <w:bookmarkStart w:id="43" w:name="_Toc464552077"/>
      <w:r>
        <w:t>recommendation</w:t>
      </w:r>
      <w:bookmarkEnd w:id="42"/>
      <w:bookmarkEnd w:id="43"/>
    </w:p>
    <w:p w:rsidR="00AC40FC" w:rsidRDefault="00AC40FC" w:rsidP="004F00E5">
      <w:pPr>
        <w:pStyle w:val="Findings"/>
        <w:numPr>
          <w:ilvl w:val="0"/>
          <w:numId w:val="46"/>
        </w:numPr>
      </w:pPr>
      <w:r>
        <w:t>Correct contracting deficiencies and e</w:t>
      </w:r>
      <w:r w:rsidRPr="00D746E3">
        <w:t>stablish a contract management function with</w:t>
      </w:r>
      <w:r>
        <w:t>in</w:t>
      </w:r>
      <w:r w:rsidRPr="00D746E3">
        <w:t xml:space="preserve"> Customer Services</w:t>
      </w:r>
      <w:r>
        <w:t xml:space="preserve">.  </w:t>
      </w:r>
      <w:r w:rsidRPr="00724E1C">
        <w:t>(</w:t>
      </w:r>
      <w:r>
        <w:t xml:space="preserve">See </w:t>
      </w:r>
      <w:r w:rsidRPr="00724E1C">
        <w:t xml:space="preserve">Findings </w:t>
      </w:r>
      <w:r>
        <w:t>1, 2, and 3)</w:t>
      </w:r>
    </w:p>
    <w:p w:rsidR="00AC40FC" w:rsidRDefault="00AC40FC" w:rsidP="00701DCF">
      <w:r>
        <w:t xml:space="preserve">Customer services should correct the following contract deficiencies:  (1) No evidence that terminating </w:t>
      </w:r>
      <w:r w:rsidRPr="00777FD5">
        <w:t>contracts were</w:t>
      </w:r>
      <w:r>
        <w:t xml:space="preserve"> renegotiated on the basis of </w:t>
      </w:r>
      <w:r w:rsidRPr="00777FD5">
        <w:t xml:space="preserve">alternative call center providers </w:t>
      </w:r>
      <w:r>
        <w:t xml:space="preserve">and comparable unit cost analysis, (2) Day-to-day contract performance management was not well defined or coordinated, and (3) No evidence that the </w:t>
      </w:r>
      <w:r w:rsidRPr="005D39B0">
        <w:t xml:space="preserve">contracts </w:t>
      </w:r>
      <w:r>
        <w:t xml:space="preserve">were in </w:t>
      </w:r>
      <w:r w:rsidRPr="005D39B0">
        <w:t>compliance with PUC or FERC requirements, with respect to affiliate relationships</w:t>
      </w:r>
      <w:r>
        <w:t xml:space="preserve"> or codes of conduct.</w:t>
      </w:r>
    </w:p>
    <w:p w:rsidR="00AC40FC" w:rsidRDefault="00AC40FC" w:rsidP="00701DCF">
      <w:r>
        <w:t>The recent reorganization of Customer Services Operations resulted in the appointment of a Vendor Support Specialist to oversee</w:t>
      </w:r>
      <w:r w:rsidRPr="005758A5">
        <w:t xml:space="preserve"> the </w:t>
      </w:r>
      <w:r>
        <w:t xml:space="preserve">call center </w:t>
      </w:r>
      <w:r w:rsidRPr="005758A5">
        <w:t>contract</w:t>
      </w:r>
      <w:r>
        <w:t xml:space="preserve"> performance with respect to performance indicators and SLAs </w:t>
      </w:r>
      <w:r w:rsidRPr="005758A5">
        <w:t xml:space="preserve">for </w:t>
      </w:r>
      <w:r>
        <w:t>both PPL</w:t>
      </w:r>
      <w:r w:rsidRPr="005758A5">
        <w:t xml:space="preserve">Solutions and </w:t>
      </w:r>
      <w:r>
        <w:t>the non-affiliated vendor.  The Vendor Support Specialist had no role in the contracting process and negotiations or in identifying improvements to contracting practices.  The new contract with PPLSolutions identifies the PPL EU contact as either the “Director-Customer Services Operations” or “Vendor Management;” however, the contact responsibilities are not defined.</w:t>
      </w:r>
    </w:p>
    <w:p w:rsidR="00AC40FC" w:rsidRDefault="00AC40FC" w:rsidP="00701DCF">
      <w:r>
        <w:t xml:space="preserve">Customer Services should create a contract management function for call center services and other contractor services used throughout the Department. The </w:t>
      </w:r>
      <w:r>
        <w:lastRenderedPageBreak/>
        <w:t>responsibility for effective contracting and contract management should remain with Customer Services, the user of the services.  The Supply Chain function should provide assistance.</w:t>
      </w:r>
    </w:p>
    <w:p w:rsidR="00AC40FC" w:rsidRPr="00D746E3" w:rsidRDefault="00AC40FC" w:rsidP="00701DCF">
      <w:r>
        <w:t>The Customer Services contracting and contract management function should:</w:t>
      </w:r>
    </w:p>
    <w:p w:rsidR="00AC40FC" w:rsidRDefault="00AC40FC" w:rsidP="00701DCF">
      <w:pPr>
        <w:pStyle w:val="Bullet"/>
      </w:pPr>
      <w:r>
        <w:t xml:space="preserve">Explore best practices for </w:t>
      </w:r>
      <w:r w:rsidRPr="00D746E3">
        <w:t xml:space="preserve">contracting </w:t>
      </w:r>
      <w:r>
        <w:t>processes and contract design, including regulatory compliance.</w:t>
      </w:r>
    </w:p>
    <w:p w:rsidR="00AC40FC" w:rsidRDefault="00AC40FC" w:rsidP="00701DCF">
      <w:pPr>
        <w:pStyle w:val="Bullet"/>
      </w:pPr>
      <w:r>
        <w:t>Develop</w:t>
      </w:r>
      <w:r w:rsidRPr="00D746E3">
        <w:t xml:space="preserve"> a competitive bidding process</w:t>
      </w:r>
      <w:r>
        <w:t>.</w:t>
      </w:r>
    </w:p>
    <w:p w:rsidR="00AC40FC" w:rsidRDefault="00AC40FC" w:rsidP="00701DCF">
      <w:pPr>
        <w:pStyle w:val="Bullet"/>
      </w:pPr>
      <w:r>
        <w:t>Establish</w:t>
      </w:r>
      <w:r w:rsidRPr="00D746E3">
        <w:t xml:space="preserve"> </w:t>
      </w:r>
      <w:r>
        <w:t xml:space="preserve">contract </w:t>
      </w:r>
      <w:r w:rsidRPr="00D746E3">
        <w:t>work definiti</w:t>
      </w:r>
      <w:r>
        <w:t>ons tied to performance metrics.</w:t>
      </w:r>
    </w:p>
    <w:p w:rsidR="00AC40FC" w:rsidRDefault="00AC40FC" w:rsidP="00701DCF">
      <w:pPr>
        <w:pStyle w:val="Bullet"/>
      </w:pPr>
      <w:r>
        <w:t>Coordinate</w:t>
      </w:r>
      <w:r w:rsidRPr="00D746E3">
        <w:t xml:space="preserve"> the day-to</w:t>
      </w:r>
      <w:r>
        <w:t>-</w:t>
      </w:r>
      <w:r w:rsidRPr="00D746E3">
        <w:t>day contractor performance</w:t>
      </w:r>
      <w:r>
        <w:t xml:space="preserve"> with respect to contract compliance.</w:t>
      </w:r>
    </w:p>
    <w:p w:rsidR="00AC40FC" w:rsidRDefault="00AC40FC" w:rsidP="00701DCF">
      <w:pPr>
        <w:pStyle w:val="Bullet"/>
      </w:pPr>
      <w:r>
        <w:t xml:space="preserve">Initiate </w:t>
      </w:r>
      <w:r w:rsidRPr="00D746E3">
        <w:t>monthly and annual contractor performance</w:t>
      </w:r>
      <w:r>
        <w:t xml:space="preserve"> reporting, including work volumes, q</w:t>
      </w:r>
      <w:r w:rsidRPr="00D746E3">
        <w:t>uality</w:t>
      </w:r>
      <w:r>
        <w:t xml:space="preserve">, and </w:t>
      </w:r>
      <w:r w:rsidRPr="00D746E3">
        <w:t>unit cost performance</w:t>
      </w:r>
      <w:r>
        <w:t>.</w:t>
      </w:r>
    </w:p>
    <w:p w:rsidR="00AC40FC" w:rsidRDefault="00AC40FC" w:rsidP="00701DCF">
      <w:pPr>
        <w:pStyle w:val="Bullet"/>
      </w:pPr>
      <w:r>
        <w:t>Explicitly include call center contractor performance in the Customer Services Monthly Performance Indicators Report.</w:t>
      </w:r>
    </w:p>
    <w:p w:rsidR="00AC40FC" w:rsidRDefault="00AC40FC" w:rsidP="00701DCF">
      <w:pPr>
        <w:pStyle w:val="Bullet"/>
      </w:pPr>
      <w:r>
        <w:t>Manage expired or soon-to-expire contracts for a seamless transition, either for a cost-effective re-negotiated contract extension or a competitive RFP process.</w:t>
      </w:r>
    </w:p>
    <w:p w:rsidR="00AC40FC" w:rsidRDefault="00AC40FC" w:rsidP="00BB665B">
      <w:pPr>
        <w:spacing w:before="120"/>
      </w:pPr>
      <w:r>
        <w:t xml:space="preserve">Additional information related to performance metrics and contract management is presented in Section F: Revenue Operations Recommendation 4 of this chapter. </w:t>
      </w:r>
    </w:p>
    <w:p w:rsidR="00AC40FC" w:rsidRDefault="00AC40FC" w:rsidP="004F00E5">
      <w:pPr>
        <w:pStyle w:val="Heading2"/>
        <w:numPr>
          <w:ilvl w:val="0"/>
          <w:numId w:val="101"/>
        </w:numPr>
      </w:pPr>
      <w:bookmarkStart w:id="44" w:name="_Toc462647839"/>
      <w:bookmarkStart w:id="45" w:name="_Toc464552078"/>
      <w:r>
        <w:t>regulatory programs and BUsiness Services</w:t>
      </w:r>
      <w:bookmarkEnd w:id="44"/>
      <w:bookmarkEnd w:id="45"/>
    </w:p>
    <w:p w:rsidR="00AC40FC" w:rsidRDefault="00AC40FC" w:rsidP="00BB665B">
      <w:pPr>
        <w:pStyle w:val="Heading-forToC"/>
      </w:pPr>
      <w:bookmarkStart w:id="46" w:name="_Toc462647840"/>
      <w:bookmarkStart w:id="47" w:name="_Toc464552079"/>
      <w:r>
        <w:t>background</w:t>
      </w:r>
      <w:bookmarkEnd w:id="46"/>
      <w:bookmarkEnd w:id="47"/>
    </w:p>
    <w:p w:rsidR="00AC40FC" w:rsidRDefault="00AC40FC" w:rsidP="00701DCF">
      <w:r>
        <w:t xml:space="preserve">The </w:t>
      </w:r>
      <w:r w:rsidRPr="00C30FB2">
        <w:t>Regulatory Programs</w:t>
      </w:r>
      <w:r>
        <w:t xml:space="preserve"> and Business Services </w:t>
      </w:r>
      <w:r w:rsidRPr="00C30FB2">
        <w:t>organization</w:t>
      </w:r>
      <w:r>
        <w:t xml:space="preserve"> structure</w:t>
      </w:r>
      <w:r w:rsidRPr="00C30FB2">
        <w:t xml:space="preserve"> is shown below</w:t>
      </w:r>
      <w:r>
        <w:t>.</w:t>
      </w:r>
    </w:p>
    <w:p w:rsidR="00AC40FC" w:rsidRDefault="00AC40FC" w:rsidP="00ED6D61">
      <w:pPr>
        <w:pStyle w:val="Caption"/>
      </w:pPr>
      <w:bookmarkStart w:id="48" w:name="_Toc462648403"/>
      <w:bookmarkStart w:id="49" w:name="_Toc464553025"/>
      <w:r>
        <w:t xml:space="preserve">Exhibit </w:t>
      </w:r>
      <w:fldSimple w:instr=" STYLEREF 1 \s ">
        <w:r w:rsidR="00A24205">
          <w:rPr>
            <w:noProof/>
          </w:rPr>
          <w:t>IX</w:t>
        </w:r>
      </w:fldSimple>
      <w:r w:rsidR="00264A1B">
        <w:noBreakHyphen/>
      </w:r>
      <w:fldSimple w:instr=" SEQ Exhibit \* ARABIC \s 1 ">
        <w:r w:rsidR="00A24205">
          <w:rPr>
            <w:noProof/>
          </w:rPr>
          <w:t>10</w:t>
        </w:r>
      </w:fldSimple>
      <w:r>
        <w:br/>
        <w:t>Regulatory Programs Organization</w:t>
      </w:r>
      <w:bookmarkEnd w:id="48"/>
      <w:bookmarkEnd w:id="49"/>
    </w:p>
    <w:p w:rsidR="00AC40FC" w:rsidRDefault="00AC40FC" w:rsidP="00701DCF">
      <w:r>
        <w:rPr>
          <w:noProof/>
        </w:rPr>
        <w:drawing>
          <wp:inline distT="0" distB="0" distL="0" distR="0">
            <wp:extent cx="5943600" cy="256286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PL-EU_01071-Reg-Pgm-Bus-Svc_page117_v2.jpg"/>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2562860"/>
                    </a:xfrm>
                    <a:prstGeom prst="rect">
                      <a:avLst/>
                    </a:prstGeom>
                  </pic:spPr>
                </pic:pic>
              </a:graphicData>
            </a:graphic>
          </wp:inline>
        </w:drawing>
      </w:r>
    </w:p>
    <w:p w:rsidR="00AC40FC" w:rsidRPr="00F57A56" w:rsidRDefault="00AC40FC" w:rsidP="00701DCF">
      <w:r>
        <w:t>Source: DN 01-071</w:t>
      </w:r>
    </w:p>
    <w:p w:rsidR="00AC40FC" w:rsidRDefault="00AC40FC" w:rsidP="00701DCF">
      <w:pPr>
        <w:pStyle w:val="Normal-aftertable"/>
      </w:pPr>
      <w:r>
        <w:lastRenderedPageBreak/>
        <w:t>In addition to the ten staff and Manager shown above, there are ten Universal Service Representatives reporting through these groups who provide support, for a total of 21 employees.   The O&amp;M budget is less than $3 million per year, mostly for employee costs.</w:t>
      </w:r>
    </w:p>
    <w:p w:rsidR="00AC40FC" w:rsidRDefault="00AC40FC" w:rsidP="00701DCF">
      <w:r>
        <w:t xml:space="preserve">The </w:t>
      </w:r>
      <w:r w:rsidRPr="00F87165">
        <w:t>core work processes</w:t>
      </w:r>
      <w:r>
        <w:t xml:space="preserve"> are</w:t>
      </w:r>
      <w:r w:rsidRPr="00F87165">
        <w:t>:</w:t>
      </w:r>
      <w:r>
        <w:t xml:space="preserve"> </w:t>
      </w:r>
      <w:r w:rsidRPr="00F87165">
        <w:t xml:space="preserve"> </w:t>
      </w:r>
      <w:r>
        <w:t>(</w:t>
      </w:r>
      <w:r w:rsidRPr="00F87165">
        <w:t xml:space="preserve">1) </w:t>
      </w:r>
      <w:r>
        <w:t>managing</w:t>
      </w:r>
      <w:r w:rsidRPr="00F87165">
        <w:t xml:space="preserve"> a variety of programs that assis</w:t>
      </w:r>
      <w:r>
        <w:t>t eligible low-income customers,</w:t>
      </w:r>
      <w:r w:rsidRPr="00F87165">
        <w:t xml:space="preserve"> </w:t>
      </w:r>
      <w:r>
        <w:t>(</w:t>
      </w:r>
      <w:r w:rsidRPr="00F87165">
        <w:t>2) responding to customer, agency</w:t>
      </w:r>
      <w:r>
        <w:t>,</w:t>
      </w:r>
      <w:r w:rsidRPr="00F87165">
        <w:t xml:space="preserve"> and contractor needs rel</w:t>
      </w:r>
      <w:r>
        <w:t>ated to the low-income programs,</w:t>
      </w:r>
      <w:r w:rsidRPr="00F87165">
        <w:t xml:space="preserve"> </w:t>
      </w:r>
      <w:r>
        <w:t>(</w:t>
      </w:r>
      <w:r w:rsidRPr="00F87165">
        <w:t>3) meeting PUC reporting requirements associat</w:t>
      </w:r>
      <w:r>
        <w:t>ed with the low-income programs,</w:t>
      </w:r>
      <w:r w:rsidRPr="00F87165">
        <w:t xml:space="preserve"> </w:t>
      </w:r>
      <w:r>
        <w:t>(</w:t>
      </w:r>
      <w:r w:rsidRPr="00F87165">
        <w:t xml:space="preserve">4) answering </w:t>
      </w:r>
      <w:r>
        <w:t xml:space="preserve">“informal” </w:t>
      </w:r>
      <w:r w:rsidRPr="00F87165">
        <w:t xml:space="preserve">complaints filed by </w:t>
      </w:r>
      <w:r>
        <w:t xml:space="preserve"> customers with the PUC,</w:t>
      </w:r>
      <w:r w:rsidRPr="00F87165">
        <w:t xml:space="preserve"> </w:t>
      </w:r>
      <w:r>
        <w:t>(</w:t>
      </w:r>
      <w:r w:rsidRPr="00F87165">
        <w:t>5) working with PUC investigators</w:t>
      </w:r>
      <w:r>
        <w:t xml:space="preserve"> to address informal complaints,</w:t>
      </w:r>
      <w:r w:rsidRPr="00F87165">
        <w:t xml:space="preserve"> and </w:t>
      </w:r>
      <w:r>
        <w:t>(</w:t>
      </w:r>
      <w:r w:rsidRPr="00F87165">
        <w:t>6) providing compliance-related training and information to internal audiences.</w:t>
      </w:r>
    </w:p>
    <w:p w:rsidR="00AC40FC" w:rsidRPr="00F031FC" w:rsidRDefault="00AC40FC" w:rsidP="00701DCF">
      <w:pPr>
        <w:rPr>
          <w:highlight w:val="yellow"/>
        </w:rPr>
      </w:pPr>
      <w:r>
        <w:t>Most of the staff have multi-program responsibilities and the team can be viewed as a matrix-type organization.  One of the two Customer Relations Specialists coordinates the two Winter Relief Assistance Programs (WRAP) (Universal Service and Act 129 programs), and the other coordinates the OnTrack program.</w:t>
      </w:r>
    </w:p>
    <w:p w:rsidR="00AC40FC" w:rsidRDefault="00AC40FC" w:rsidP="00701DCF">
      <w:r>
        <w:t xml:space="preserve">In 1988, the PUC required utilities to implement the Low-Income Usage Reduction Program (LIURP) for qualified customers.  PPL EU had an existing WRAP that it modified to satisfy the LIURP requirements.  In 1998, as part of industry restructuring, PPL EU implemented the </w:t>
      </w:r>
      <w:r w:rsidRPr="00663E34">
        <w:t>Universal</w:t>
      </w:r>
      <w:r>
        <w:t xml:space="preserve"> Service Programs (USP), defined as “a collective name applied to the policies, protections, and services that help low income customers maintain utility service and includes payment assistance programs, termination of service protections, energy reduction programs, and customer education.”  There are four USP programs:</w:t>
      </w:r>
    </w:p>
    <w:p w:rsidR="00AC40FC" w:rsidRDefault="00AC40FC" w:rsidP="00701DCF">
      <w:pPr>
        <w:pStyle w:val="Bullet"/>
      </w:pPr>
      <w:r>
        <w:t>WRAP (LIURP) – Qualifying households receive an energy audit, free installation of conservation and efficiency measures, and energy education.</w:t>
      </w:r>
    </w:p>
    <w:p w:rsidR="00AC40FC" w:rsidRDefault="00AC40FC" w:rsidP="00701DCF">
      <w:pPr>
        <w:pStyle w:val="Bullet"/>
      </w:pPr>
      <w:r>
        <w:t>CAP/OnTrack – Qualifying households receive payment assistance and debt forgiveness.</w:t>
      </w:r>
    </w:p>
    <w:p w:rsidR="00AC40FC" w:rsidRDefault="00AC40FC" w:rsidP="00701DCF">
      <w:pPr>
        <w:pStyle w:val="Bullet"/>
      </w:pPr>
      <w:r>
        <w:t>Customer Assistance and Referral Evaluation Service (CARES) – Qualifying households may receive a credit applied to their electric bill and/or other referrals to community resources that can assist in energy payment during an emergency or extenuating circumstances.</w:t>
      </w:r>
    </w:p>
    <w:p w:rsidR="00AC40FC" w:rsidRPr="00B85BE5" w:rsidRDefault="00AC40FC" w:rsidP="00701DCF">
      <w:pPr>
        <w:pStyle w:val="Bullet"/>
      </w:pPr>
      <w:r>
        <w:t xml:space="preserve">Operation HELP – A hardship fund supported by donations from PPL Corporation, its employees, retirees, and customers.  This fuel fund assistance program targets </w:t>
      </w:r>
      <w:r w:rsidRPr="00DD5D70">
        <w:t>low-income customers who have overdue balances and an inability to pay the full amount of their energy bills</w:t>
      </w:r>
      <w:r>
        <w:t>.</w:t>
      </w:r>
    </w:p>
    <w:p w:rsidR="00AC40FC" w:rsidRDefault="00AC40FC" w:rsidP="00701DCF">
      <w:pPr>
        <w:pStyle w:val="Normal-aftertable"/>
      </w:pPr>
      <w:r>
        <w:t xml:space="preserve">Regulatory Programs manages another WRAP that was implemented as part of PPL EU’s Act 129 Phase I Energy Efficiency and Conservation Plan and a subsequent Phase II, through May 2016.  This program is referred to as Act 129 WRAP Phase 2. </w:t>
      </w:r>
    </w:p>
    <w:p w:rsidR="00AC40FC" w:rsidRDefault="00AC40FC" w:rsidP="00701DCF">
      <w:r w:rsidRPr="00B47E14">
        <w:t>PPL</w:t>
      </w:r>
      <w:r>
        <w:t xml:space="preserve"> EU uses contractors to install weatherization measures and conduct audits, inspections, and energy education sessions.  Regulatory Programs selects contractors from qualified weatherization agencies and local private contractors.  Weatherization contractors may use sub-contractors for specialized work (e.g. electrical, plumbing, and heating equipment repair).</w:t>
      </w:r>
    </w:p>
    <w:p w:rsidR="00AC40FC" w:rsidRDefault="00AC40FC" w:rsidP="00701DCF">
      <w:pPr>
        <w:rPr>
          <w:highlight w:val="yellow"/>
        </w:rPr>
      </w:pPr>
      <w:r>
        <w:lastRenderedPageBreak/>
        <w:t>PPL EU issues contracts on a three-year basis with the opportunity for annual adjustments. PPL EU staff will select the contractors through a request for proposal process, in accordance with the procurement guidelines and policies.</w:t>
      </w:r>
    </w:p>
    <w:p w:rsidR="00AC40FC" w:rsidRDefault="00AC40FC" w:rsidP="00701DCF">
      <w:pPr>
        <w:rPr>
          <w:highlight w:val="yellow"/>
        </w:rPr>
      </w:pPr>
      <w:r>
        <w:t>PPL EU conducts a performance review with individual WRAP contractors at least once per year and evaluates contractors on their ability to complete assigned work on time, quality of their work, cost-effectiveness, and customer satisfaction. The performance review gives contractors the opportunity to express any problems or concerns and to make suggestions for improvement.</w:t>
      </w:r>
    </w:p>
    <w:p w:rsidR="00AC40FC" w:rsidRDefault="00AC40FC" w:rsidP="00701DCF">
      <w:r>
        <w:t xml:space="preserve">PPL EU encourages customers with high usage to enroll in WRAP, with specific focus on OnTrack program customers.  Following is the outreach and enrollment process:  </w:t>
      </w:r>
    </w:p>
    <w:p w:rsidR="00AC40FC" w:rsidRPr="0043253C" w:rsidRDefault="00AC40FC" w:rsidP="00701DCF">
      <w:pPr>
        <w:pStyle w:val="Bullet"/>
        <w:rPr>
          <w:rFonts w:cs="Cambria"/>
        </w:rPr>
      </w:pPr>
      <w:r>
        <w:t>CSRs use all call transactions to offer WRAP to high usage customers.</w:t>
      </w:r>
    </w:p>
    <w:p w:rsidR="00AC40FC" w:rsidRDefault="00AC40FC" w:rsidP="00701DCF">
      <w:pPr>
        <w:pStyle w:val="Bullet"/>
        <w:rPr>
          <w:rFonts w:cs="Cambria"/>
        </w:rPr>
      </w:pPr>
      <w:r w:rsidRPr="0043253C">
        <w:rPr>
          <w:rFonts w:cs="Cambria"/>
        </w:rPr>
        <w:t>PPL EU pr</w:t>
      </w:r>
      <w:r>
        <w:rPr>
          <w:rFonts w:cs="Cambria"/>
        </w:rPr>
        <w:t xml:space="preserve">ovides monthly lists of newly </w:t>
      </w:r>
      <w:r w:rsidRPr="0043253C">
        <w:rPr>
          <w:rFonts w:cs="Cambria"/>
        </w:rPr>
        <w:t>enrolled OnTrack customers to PPL</w:t>
      </w:r>
      <w:r>
        <w:rPr>
          <w:rFonts w:cs="Cambria"/>
        </w:rPr>
        <w:t>Solutions.</w:t>
      </w:r>
    </w:p>
    <w:p w:rsidR="00AC40FC" w:rsidRDefault="00AC40FC" w:rsidP="00701DCF">
      <w:pPr>
        <w:pStyle w:val="Bullet"/>
        <w:rPr>
          <w:rFonts w:cs="Cambria"/>
        </w:rPr>
      </w:pPr>
      <w:r w:rsidRPr="0043253C">
        <w:rPr>
          <w:rFonts w:cs="Cambria"/>
        </w:rPr>
        <w:t>PPLSolutions screens participants on the list using the following criteria:  (a) Premise has not received WRAP withi</w:t>
      </w:r>
      <w:r>
        <w:rPr>
          <w:rFonts w:cs="Cambria"/>
        </w:rPr>
        <w:t xml:space="preserve">n 7 years (the last </w:t>
      </w:r>
      <w:r>
        <w:t>USECP allowed for 5 years if usage was still high)</w:t>
      </w:r>
      <w:r>
        <w:rPr>
          <w:rFonts w:cs="Cambria"/>
        </w:rPr>
        <w:t>, (b) No pending WRAP c</w:t>
      </w:r>
      <w:r w:rsidRPr="0043253C">
        <w:rPr>
          <w:rFonts w:cs="Cambria"/>
        </w:rPr>
        <w:t xml:space="preserve">ase, </w:t>
      </w:r>
      <w:r>
        <w:rPr>
          <w:rFonts w:cs="Cambria"/>
        </w:rPr>
        <w:t xml:space="preserve">and </w:t>
      </w:r>
      <w:r w:rsidRPr="0043253C">
        <w:rPr>
          <w:rFonts w:cs="Cambria"/>
        </w:rPr>
        <w:t>(c) Budget bill of $150 or greater with the option to ch</w:t>
      </w:r>
      <w:r>
        <w:rPr>
          <w:rFonts w:cs="Cambria"/>
        </w:rPr>
        <w:t>ange based on volume.</w:t>
      </w:r>
    </w:p>
    <w:p w:rsidR="00AC40FC" w:rsidRDefault="00AC40FC" w:rsidP="00701DCF">
      <w:pPr>
        <w:pStyle w:val="Bullet"/>
        <w:rPr>
          <w:rFonts w:cs="Cambria"/>
        </w:rPr>
      </w:pPr>
      <w:r>
        <w:rPr>
          <w:rFonts w:cs="Cambria"/>
        </w:rPr>
        <w:t>PPLSolutions sends a WRAP referral letter to the c</w:t>
      </w:r>
      <w:r w:rsidRPr="0043253C">
        <w:rPr>
          <w:rFonts w:cs="Cambria"/>
        </w:rPr>
        <w:t>ustomer.  The customer can mail the letter back to PPL EU in a postage-paid envelope, apply on-line, or call PPLSolutions who will take the applicati</w:t>
      </w:r>
      <w:r>
        <w:rPr>
          <w:rFonts w:cs="Cambria"/>
        </w:rPr>
        <w:t>on over the phone.</w:t>
      </w:r>
    </w:p>
    <w:p w:rsidR="00AC40FC" w:rsidRDefault="00AC40FC" w:rsidP="00701DCF">
      <w:pPr>
        <w:pStyle w:val="Bullet"/>
        <w:rPr>
          <w:rFonts w:cs="Cambria"/>
        </w:rPr>
      </w:pPr>
      <w:r w:rsidRPr="0043253C">
        <w:rPr>
          <w:rFonts w:cs="Cambria"/>
        </w:rPr>
        <w:t xml:space="preserve">If the customer does not complete the application in 30 days, </w:t>
      </w:r>
      <w:r>
        <w:rPr>
          <w:rFonts w:cs="Cambria"/>
        </w:rPr>
        <w:t>PPL</w:t>
      </w:r>
      <w:r w:rsidRPr="0043253C">
        <w:rPr>
          <w:rFonts w:cs="Cambria"/>
        </w:rPr>
        <w:t>Solutions calls the customer (3 attempts, different days and times).  Customers can return the phone call between 7:00 am – 6</w:t>
      </w:r>
      <w:r>
        <w:rPr>
          <w:rFonts w:cs="Cambria"/>
        </w:rPr>
        <w:t>:00 pm Monday through Friday.</w:t>
      </w:r>
    </w:p>
    <w:p w:rsidR="00AC40FC" w:rsidRDefault="00AC40FC" w:rsidP="00701DCF">
      <w:pPr>
        <w:pStyle w:val="Bullet"/>
        <w:rPr>
          <w:rFonts w:cs="Cambria"/>
        </w:rPr>
      </w:pPr>
      <w:r w:rsidRPr="0043253C">
        <w:rPr>
          <w:rFonts w:cs="Cambria"/>
        </w:rPr>
        <w:t xml:space="preserve">If PPLSolutions takes the application over the phone, the </w:t>
      </w:r>
      <w:r>
        <w:rPr>
          <w:rFonts w:cs="Cambria"/>
        </w:rPr>
        <w:t>CSR</w:t>
      </w:r>
      <w:r w:rsidRPr="0043253C">
        <w:rPr>
          <w:rFonts w:cs="Cambria"/>
        </w:rPr>
        <w:t xml:space="preserve"> enters the information into </w:t>
      </w:r>
      <w:r>
        <w:rPr>
          <w:rFonts w:cs="Cambria"/>
        </w:rPr>
        <w:t xml:space="preserve">the recently developed </w:t>
      </w:r>
      <w:r>
        <w:t>Low-Income Energy Assistance Programs system</w:t>
      </w:r>
      <w:r w:rsidRPr="0043253C">
        <w:rPr>
          <w:rFonts w:cs="Cambria"/>
        </w:rPr>
        <w:t xml:space="preserve"> </w:t>
      </w:r>
      <w:r>
        <w:rPr>
          <w:rFonts w:cs="Cambria"/>
        </w:rPr>
        <w:t>(</w:t>
      </w:r>
      <w:r w:rsidRPr="0043253C">
        <w:rPr>
          <w:rFonts w:cs="Cambria"/>
        </w:rPr>
        <w:t>LEAP</w:t>
      </w:r>
      <w:r>
        <w:rPr>
          <w:rFonts w:cs="Cambria"/>
        </w:rPr>
        <w:t xml:space="preserve"> - </w:t>
      </w:r>
      <w:r w:rsidRPr="0043253C">
        <w:rPr>
          <w:rFonts w:cs="Cambria"/>
        </w:rPr>
        <w:t>PPL EU’s WRAP system) and sends a Landlord Consent L</w:t>
      </w:r>
      <w:r>
        <w:rPr>
          <w:rFonts w:cs="Cambria"/>
        </w:rPr>
        <w:t>etter, when applicable.</w:t>
      </w:r>
    </w:p>
    <w:p w:rsidR="00AC40FC" w:rsidRPr="00AC29DE" w:rsidRDefault="00AC40FC" w:rsidP="00701DCF">
      <w:pPr>
        <w:pStyle w:val="Bullet"/>
        <w:rPr>
          <w:rFonts w:cs="Cambria"/>
        </w:rPr>
      </w:pPr>
      <w:r>
        <w:t xml:space="preserve">Applying for WRAP is not a requirement for being eligible for OnTrack.  Under the PPL EU's current USECP, </w:t>
      </w:r>
      <w:r w:rsidRPr="00ED45FF">
        <w:t>OnTrack customers are encouraged to comply with the WRAP process.  Failure to comply may result in removal from OnTrack</w:t>
      </w:r>
      <w:r w:rsidRPr="00AC29DE">
        <w:rPr>
          <w:rFonts w:cs="Cambria"/>
        </w:rPr>
        <w:t>.</w:t>
      </w:r>
    </w:p>
    <w:p w:rsidR="00AC40FC" w:rsidRDefault="00AC40FC" w:rsidP="00701DCF">
      <w:pPr>
        <w:pStyle w:val="Normal-aftertable"/>
      </w:pPr>
      <w:r>
        <w:t xml:space="preserve">Customer Services deployed the Low-Income Energy Assistance Programs system (LEAP), in March 2015 (Release 1).  LEAP is a new database and reporting system for both LIURP WRAP and Act 129 WRAP.  LEAP features include:  </w:t>
      </w:r>
    </w:p>
    <w:p w:rsidR="00AC40FC" w:rsidRDefault="00AC40FC" w:rsidP="00701DCF">
      <w:pPr>
        <w:pStyle w:val="Bullet"/>
      </w:pPr>
      <w:r>
        <w:t xml:space="preserve">Automatic enrollment of qualified applicants into LIURP or Act 129 WRAP, or sending the application for internal review.  </w:t>
      </w:r>
    </w:p>
    <w:p w:rsidR="00AC40FC" w:rsidRDefault="00AC40FC" w:rsidP="00701DCF">
      <w:pPr>
        <w:pStyle w:val="Bullet"/>
      </w:pPr>
      <w:r>
        <w:t>Customers also have the option to apply online</w:t>
      </w:r>
    </w:p>
    <w:p w:rsidR="00AC40FC" w:rsidRDefault="00AC40FC" w:rsidP="00701DCF">
      <w:pPr>
        <w:pStyle w:val="Bullet"/>
      </w:pPr>
      <w:r>
        <w:t>Enabling PPL EU WRAP staff and contractors to track the status of WRAP cases and budget</w:t>
      </w:r>
    </w:p>
    <w:p w:rsidR="00AC40FC" w:rsidRDefault="00AC40FC" w:rsidP="00701DCF">
      <w:pPr>
        <w:pStyle w:val="Bullet"/>
      </w:pPr>
      <w:r>
        <w:t>Provides real-time customer and consumption data for PPL EU WRAP staff and contractors</w:t>
      </w:r>
    </w:p>
    <w:p w:rsidR="00AC40FC" w:rsidRDefault="00AC40FC" w:rsidP="00701DCF">
      <w:pPr>
        <w:pStyle w:val="Bullet"/>
      </w:pPr>
      <w:r>
        <w:t>Data validation and ensures regulatory compliance (for example, a contractor can only install the allowed measures for the assigned Job Type).</w:t>
      </w:r>
    </w:p>
    <w:p w:rsidR="00AC40FC" w:rsidRDefault="00AC40FC" w:rsidP="00701DCF">
      <w:pPr>
        <w:pStyle w:val="Bullet"/>
      </w:pPr>
      <w:r>
        <w:lastRenderedPageBreak/>
        <w:t>The Company released Release 2, Version 1 of LEAP on May 18, 2016 which featured improved invoicing and metrics for tracking completed and pending work, the ability to capture data for new LIURP reporting requirements, and the functionality to coordinate LIURP work with the Act 129 Phase 3 CSP.  Work is ongoing on two subsequent releases for 2016 deployment.  Future enhancements include improved field communications between the customer, contractor and PPL EU, the ability to monitor changes in post-weatherization consumption, and the functionality to generate the annual LIURP Report within LEAP.</w:t>
      </w:r>
    </w:p>
    <w:p w:rsidR="00AC40FC" w:rsidRDefault="00AC40FC" w:rsidP="00BB665B">
      <w:pPr>
        <w:pStyle w:val="Heading-forToC"/>
      </w:pPr>
      <w:bookmarkStart w:id="50" w:name="_Toc462647841"/>
      <w:bookmarkStart w:id="51" w:name="_Toc464552080"/>
      <w:r>
        <w:t>findings</w:t>
      </w:r>
      <w:bookmarkEnd w:id="50"/>
      <w:bookmarkEnd w:id="51"/>
    </w:p>
    <w:p w:rsidR="00AC40FC" w:rsidRDefault="00AC40FC" w:rsidP="004F00E5">
      <w:pPr>
        <w:pStyle w:val="Findings"/>
        <w:numPr>
          <w:ilvl w:val="0"/>
          <w:numId w:val="47"/>
        </w:numPr>
      </w:pPr>
      <w:r>
        <w:t>A cost comparison measuring the effectiveness of services offered between the Universal Service WRAP program and the Act 129 WRAP program has not been made.</w:t>
      </w:r>
    </w:p>
    <w:p w:rsidR="00AC40FC" w:rsidRDefault="00AC40FC" w:rsidP="00701DCF">
      <w:r w:rsidRPr="00A91ED4">
        <w:t xml:space="preserve">The Universal Service WRAP and the Act 129 WRAP programs have separate budgets but </w:t>
      </w:r>
      <w:r>
        <w:t>have</w:t>
      </w:r>
      <w:r w:rsidRPr="00A91ED4">
        <w:t xml:space="preserve"> common contractors and are managed </w:t>
      </w:r>
      <w:r>
        <w:t xml:space="preserve">and </w:t>
      </w:r>
      <w:r w:rsidRPr="00A91ED4">
        <w:t xml:space="preserve">designed to provide the same weatherization services.  </w:t>
      </w:r>
      <w:r>
        <w:t>Comparing the dollars spent per WRAP job between the two programs reveals the following:</w:t>
      </w:r>
    </w:p>
    <w:p w:rsidR="00AC40FC" w:rsidRDefault="00AC40FC" w:rsidP="00ED6D61">
      <w:pPr>
        <w:pStyle w:val="Caption"/>
      </w:pPr>
      <w:bookmarkStart w:id="52" w:name="_Toc462648404"/>
      <w:bookmarkStart w:id="53" w:name="_Toc464553026"/>
      <w:r>
        <w:t xml:space="preserve">Exhibit </w:t>
      </w:r>
      <w:fldSimple w:instr=" STYLEREF 1 \s ">
        <w:r w:rsidR="00A24205">
          <w:rPr>
            <w:noProof/>
          </w:rPr>
          <w:t>IX</w:t>
        </w:r>
      </w:fldSimple>
      <w:r w:rsidR="00264A1B">
        <w:noBreakHyphen/>
      </w:r>
      <w:fldSimple w:instr=" SEQ Exhibit \* ARABIC \s 1 ">
        <w:r w:rsidR="00A24205">
          <w:rPr>
            <w:noProof/>
          </w:rPr>
          <w:t>11</w:t>
        </w:r>
      </w:fldSimple>
      <w:r>
        <w:rPr>
          <w:noProof/>
        </w:rPr>
        <w:br/>
      </w:r>
      <w:r>
        <w:t>Comparison of Dollars Spent per Job</w:t>
      </w:r>
      <w:r>
        <w:br/>
        <w:t>for Universal Service WRAP and Act 129 WRAP</w:t>
      </w:r>
      <w:bookmarkEnd w:id="52"/>
      <w:bookmarkEnd w:id="53"/>
    </w:p>
    <w:p w:rsidR="00AC40FC" w:rsidRDefault="00AC40FC" w:rsidP="00701DCF">
      <w:pPr>
        <w:jc w:val="center"/>
      </w:pPr>
      <w:r>
        <w:rPr>
          <w:noProof/>
        </w:rPr>
        <w:drawing>
          <wp:inline distT="0" distB="0" distL="0" distR="0">
            <wp:extent cx="4216400" cy="2245360"/>
            <wp:effectExtent l="0" t="0" r="12700" b="254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bl>
      <w:tblPr>
        <w:tblW w:w="8455" w:type="dxa"/>
        <w:jc w:val="center"/>
        <w:tblLayout w:type="fixed"/>
        <w:tblLook w:val="04A0"/>
      </w:tblPr>
      <w:tblGrid>
        <w:gridCol w:w="4405"/>
        <w:gridCol w:w="810"/>
        <w:gridCol w:w="810"/>
        <w:gridCol w:w="810"/>
        <w:gridCol w:w="810"/>
        <w:gridCol w:w="810"/>
      </w:tblGrid>
      <w:tr w:rsidR="00AC40FC" w:rsidRPr="00F07D64" w:rsidTr="00701DCF">
        <w:trPr>
          <w:cantSplit/>
          <w:trHeight w:val="305"/>
          <w:tblHeader/>
          <w:jc w:val="center"/>
        </w:trPr>
        <w:tc>
          <w:tcPr>
            <w:tcW w:w="4405" w:type="dxa"/>
            <w:tcBorders>
              <w:top w:val="single" w:sz="4" w:space="0" w:color="auto"/>
              <w:left w:val="single" w:sz="4" w:space="0" w:color="auto"/>
              <w:bottom w:val="single" w:sz="4" w:space="0" w:color="auto"/>
              <w:right w:val="single" w:sz="4" w:space="0" w:color="auto"/>
            </w:tcBorders>
            <w:shd w:val="clear" w:color="auto" w:fill="A5CD7E"/>
            <w:noWrap/>
            <w:vAlign w:val="center"/>
            <w:hideMark/>
          </w:tcPr>
          <w:p w:rsidR="00AC40FC" w:rsidRPr="00F07D64" w:rsidRDefault="00AC40FC" w:rsidP="007370C9">
            <w:pPr>
              <w:spacing w:before="120"/>
              <w:jc w:val="center"/>
              <w:rPr>
                <w:rFonts w:cs="Arial"/>
                <w:b/>
                <w:bCs/>
                <w:color w:val="000000"/>
                <w:sz w:val="20"/>
                <w:szCs w:val="20"/>
              </w:rPr>
            </w:pPr>
            <w:r w:rsidRPr="00F07D64">
              <w:rPr>
                <w:rFonts w:cs="Arial"/>
                <w:b/>
                <w:bCs/>
                <w:color w:val="000000"/>
                <w:sz w:val="20"/>
                <w:szCs w:val="20"/>
              </w:rPr>
              <w:t>Program</w:t>
            </w:r>
          </w:p>
        </w:tc>
        <w:tc>
          <w:tcPr>
            <w:tcW w:w="81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F07D64" w:rsidRDefault="00AC40FC" w:rsidP="007370C9">
            <w:pPr>
              <w:spacing w:before="120"/>
              <w:jc w:val="center"/>
              <w:rPr>
                <w:rFonts w:cs="Arial"/>
                <w:b/>
                <w:bCs/>
                <w:color w:val="000000"/>
                <w:sz w:val="20"/>
                <w:szCs w:val="20"/>
              </w:rPr>
            </w:pPr>
            <w:r w:rsidRPr="00F07D64">
              <w:rPr>
                <w:rFonts w:cs="Arial"/>
                <w:b/>
                <w:bCs/>
                <w:color w:val="000000"/>
                <w:sz w:val="20"/>
                <w:szCs w:val="20"/>
              </w:rPr>
              <w:t>2011</w:t>
            </w:r>
          </w:p>
        </w:tc>
        <w:tc>
          <w:tcPr>
            <w:tcW w:w="81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F07D64" w:rsidRDefault="00AC40FC" w:rsidP="007370C9">
            <w:pPr>
              <w:spacing w:before="120"/>
              <w:jc w:val="center"/>
              <w:rPr>
                <w:rFonts w:cs="Arial"/>
                <w:b/>
                <w:bCs/>
                <w:color w:val="000000"/>
                <w:sz w:val="20"/>
                <w:szCs w:val="20"/>
              </w:rPr>
            </w:pPr>
            <w:r w:rsidRPr="00F07D64">
              <w:rPr>
                <w:rFonts w:cs="Arial"/>
                <w:b/>
                <w:bCs/>
                <w:color w:val="000000"/>
                <w:sz w:val="20"/>
                <w:szCs w:val="20"/>
              </w:rPr>
              <w:t>2012</w:t>
            </w:r>
          </w:p>
        </w:tc>
        <w:tc>
          <w:tcPr>
            <w:tcW w:w="81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F07D64" w:rsidRDefault="00AC40FC" w:rsidP="007370C9">
            <w:pPr>
              <w:spacing w:before="120"/>
              <w:jc w:val="center"/>
              <w:rPr>
                <w:rFonts w:cs="Arial"/>
                <w:b/>
                <w:bCs/>
                <w:color w:val="000000"/>
                <w:sz w:val="20"/>
                <w:szCs w:val="20"/>
              </w:rPr>
            </w:pPr>
            <w:r w:rsidRPr="00F07D64">
              <w:rPr>
                <w:rFonts w:cs="Arial"/>
                <w:b/>
                <w:bCs/>
                <w:color w:val="000000"/>
                <w:sz w:val="20"/>
                <w:szCs w:val="20"/>
              </w:rPr>
              <w:t>2013</w:t>
            </w:r>
          </w:p>
        </w:tc>
        <w:tc>
          <w:tcPr>
            <w:tcW w:w="81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F07D64" w:rsidRDefault="00AC40FC" w:rsidP="007370C9">
            <w:pPr>
              <w:spacing w:before="120"/>
              <w:jc w:val="center"/>
              <w:rPr>
                <w:rFonts w:cs="Arial"/>
                <w:b/>
                <w:bCs/>
                <w:color w:val="000000"/>
                <w:sz w:val="20"/>
                <w:szCs w:val="20"/>
              </w:rPr>
            </w:pPr>
            <w:r w:rsidRPr="00F07D64">
              <w:rPr>
                <w:rFonts w:cs="Arial"/>
                <w:b/>
                <w:bCs/>
                <w:color w:val="000000"/>
                <w:sz w:val="20"/>
                <w:szCs w:val="20"/>
              </w:rPr>
              <w:t>2014</w:t>
            </w:r>
          </w:p>
        </w:tc>
        <w:tc>
          <w:tcPr>
            <w:tcW w:w="810" w:type="dxa"/>
            <w:tcBorders>
              <w:top w:val="single" w:sz="4" w:space="0" w:color="auto"/>
              <w:left w:val="nil"/>
              <w:bottom w:val="single" w:sz="4" w:space="0" w:color="auto"/>
              <w:right w:val="single" w:sz="4" w:space="0" w:color="auto"/>
            </w:tcBorders>
            <w:shd w:val="clear" w:color="auto" w:fill="A5CD7E"/>
            <w:vAlign w:val="center"/>
            <w:hideMark/>
          </w:tcPr>
          <w:p w:rsidR="00AC40FC" w:rsidRPr="00F07D64" w:rsidRDefault="00AC40FC" w:rsidP="007370C9">
            <w:pPr>
              <w:spacing w:before="120"/>
              <w:jc w:val="center"/>
              <w:rPr>
                <w:rFonts w:cs="Arial"/>
                <w:b/>
                <w:bCs/>
                <w:color w:val="000000"/>
                <w:sz w:val="20"/>
                <w:szCs w:val="20"/>
              </w:rPr>
            </w:pPr>
            <w:r w:rsidRPr="00F07D64">
              <w:rPr>
                <w:rFonts w:cs="Arial"/>
                <w:b/>
                <w:bCs/>
                <w:color w:val="000000"/>
                <w:sz w:val="20"/>
                <w:szCs w:val="20"/>
              </w:rPr>
              <w:t>2015</w:t>
            </w:r>
          </w:p>
        </w:tc>
      </w:tr>
      <w:tr w:rsidR="00AC40FC" w:rsidRPr="00F07D64" w:rsidTr="00701DCF">
        <w:trPr>
          <w:trHeight w:val="215"/>
          <w:jc w:val="center"/>
        </w:trPr>
        <w:tc>
          <w:tcPr>
            <w:tcW w:w="4405" w:type="dxa"/>
            <w:tcBorders>
              <w:top w:val="nil"/>
              <w:left w:val="single" w:sz="4" w:space="0" w:color="auto"/>
              <w:bottom w:val="single" w:sz="4" w:space="0" w:color="auto"/>
              <w:right w:val="single" w:sz="4" w:space="0" w:color="auto"/>
            </w:tcBorders>
            <w:shd w:val="clear" w:color="auto" w:fill="auto"/>
            <w:noWrap/>
            <w:vAlign w:val="center"/>
            <w:hideMark/>
          </w:tcPr>
          <w:p w:rsidR="00AC40FC" w:rsidRPr="00F07D64" w:rsidRDefault="00AC40FC" w:rsidP="00701DCF">
            <w:pPr>
              <w:spacing w:after="0"/>
              <w:jc w:val="center"/>
              <w:rPr>
                <w:rFonts w:cs="Arial"/>
                <w:color w:val="000000"/>
                <w:sz w:val="20"/>
                <w:szCs w:val="20"/>
              </w:rPr>
            </w:pPr>
            <w:r w:rsidRPr="00F07D64">
              <w:rPr>
                <w:rFonts w:cs="Arial"/>
                <w:color w:val="000000"/>
                <w:sz w:val="20"/>
                <w:szCs w:val="20"/>
              </w:rPr>
              <w:t>Act 129 WRAP Dollars per Job</w:t>
            </w:r>
          </w:p>
        </w:tc>
        <w:tc>
          <w:tcPr>
            <w:tcW w:w="810" w:type="dxa"/>
            <w:tcBorders>
              <w:top w:val="nil"/>
              <w:left w:val="nil"/>
              <w:bottom w:val="single" w:sz="4" w:space="0" w:color="auto"/>
              <w:right w:val="single" w:sz="4" w:space="0" w:color="auto"/>
            </w:tcBorders>
            <w:shd w:val="clear" w:color="auto" w:fill="auto"/>
            <w:noWrap/>
            <w:vAlign w:val="center"/>
            <w:hideMark/>
          </w:tcPr>
          <w:p w:rsidR="00AC40FC" w:rsidRPr="00F07D64" w:rsidRDefault="00AC40FC" w:rsidP="00701DCF">
            <w:pPr>
              <w:spacing w:after="0"/>
              <w:jc w:val="center"/>
              <w:rPr>
                <w:rFonts w:cs="Arial"/>
                <w:color w:val="000000"/>
                <w:sz w:val="20"/>
                <w:szCs w:val="20"/>
              </w:rPr>
            </w:pPr>
            <w:r w:rsidRPr="00F07D64">
              <w:rPr>
                <w:rFonts w:cs="Arial"/>
                <w:color w:val="000000"/>
                <w:sz w:val="20"/>
                <w:szCs w:val="20"/>
              </w:rPr>
              <w:t>2219</w:t>
            </w:r>
          </w:p>
        </w:tc>
        <w:tc>
          <w:tcPr>
            <w:tcW w:w="810" w:type="dxa"/>
            <w:tcBorders>
              <w:top w:val="nil"/>
              <w:left w:val="nil"/>
              <w:bottom w:val="single" w:sz="4" w:space="0" w:color="auto"/>
              <w:right w:val="single" w:sz="4" w:space="0" w:color="auto"/>
            </w:tcBorders>
            <w:shd w:val="clear" w:color="auto" w:fill="auto"/>
            <w:noWrap/>
            <w:vAlign w:val="center"/>
            <w:hideMark/>
          </w:tcPr>
          <w:p w:rsidR="00AC40FC" w:rsidRPr="00F07D64" w:rsidRDefault="00AC40FC" w:rsidP="00701DCF">
            <w:pPr>
              <w:spacing w:after="0"/>
              <w:jc w:val="center"/>
              <w:rPr>
                <w:rFonts w:cs="Arial"/>
                <w:color w:val="000000"/>
                <w:sz w:val="20"/>
                <w:szCs w:val="20"/>
              </w:rPr>
            </w:pPr>
            <w:r w:rsidRPr="00F07D64">
              <w:rPr>
                <w:rFonts w:cs="Arial"/>
                <w:color w:val="000000"/>
                <w:sz w:val="20"/>
                <w:szCs w:val="20"/>
              </w:rPr>
              <w:t>2362</w:t>
            </w:r>
          </w:p>
        </w:tc>
        <w:tc>
          <w:tcPr>
            <w:tcW w:w="810" w:type="dxa"/>
            <w:tcBorders>
              <w:top w:val="nil"/>
              <w:left w:val="nil"/>
              <w:bottom w:val="single" w:sz="4" w:space="0" w:color="auto"/>
              <w:right w:val="single" w:sz="4" w:space="0" w:color="auto"/>
            </w:tcBorders>
            <w:shd w:val="clear" w:color="auto" w:fill="auto"/>
            <w:noWrap/>
            <w:vAlign w:val="center"/>
            <w:hideMark/>
          </w:tcPr>
          <w:p w:rsidR="00AC40FC" w:rsidRPr="00F07D64" w:rsidRDefault="00AC40FC" w:rsidP="00701DCF">
            <w:pPr>
              <w:spacing w:after="0"/>
              <w:jc w:val="center"/>
              <w:rPr>
                <w:rFonts w:cs="Arial"/>
                <w:color w:val="000000"/>
                <w:sz w:val="20"/>
                <w:szCs w:val="20"/>
              </w:rPr>
            </w:pPr>
            <w:r w:rsidRPr="00F07D64">
              <w:rPr>
                <w:rFonts w:cs="Arial"/>
                <w:color w:val="000000"/>
                <w:sz w:val="20"/>
                <w:szCs w:val="20"/>
              </w:rPr>
              <w:t>1249</w:t>
            </w:r>
          </w:p>
        </w:tc>
        <w:tc>
          <w:tcPr>
            <w:tcW w:w="810" w:type="dxa"/>
            <w:tcBorders>
              <w:top w:val="nil"/>
              <w:left w:val="nil"/>
              <w:bottom w:val="single" w:sz="4" w:space="0" w:color="auto"/>
              <w:right w:val="single" w:sz="4" w:space="0" w:color="auto"/>
            </w:tcBorders>
            <w:shd w:val="clear" w:color="auto" w:fill="auto"/>
            <w:noWrap/>
            <w:vAlign w:val="center"/>
            <w:hideMark/>
          </w:tcPr>
          <w:p w:rsidR="00AC40FC" w:rsidRPr="00F07D64" w:rsidRDefault="00AC40FC" w:rsidP="00701DCF">
            <w:pPr>
              <w:spacing w:after="0"/>
              <w:jc w:val="center"/>
              <w:rPr>
                <w:rFonts w:cs="Arial"/>
                <w:color w:val="000000"/>
                <w:sz w:val="20"/>
                <w:szCs w:val="20"/>
              </w:rPr>
            </w:pPr>
            <w:r w:rsidRPr="00F07D64">
              <w:rPr>
                <w:rFonts w:cs="Arial"/>
                <w:color w:val="000000"/>
                <w:sz w:val="20"/>
                <w:szCs w:val="20"/>
              </w:rPr>
              <w:t>1430</w:t>
            </w:r>
          </w:p>
        </w:tc>
        <w:tc>
          <w:tcPr>
            <w:tcW w:w="810" w:type="dxa"/>
            <w:tcBorders>
              <w:top w:val="nil"/>
              <w:left w:val="nil"/>
              <w:bottom w:val="single" w:sz="4" w:space="0" w:color="auto"/>
              <w:right w:val="single" w:sz="4" w:space="0" w:color="auto"/>
            </w:tcBorders>
            <w:shd w:val="clear" w:color="auto" w:fill="auto"/>
            <w:noWrap/>
            <w:vAlign w:val="center"/>
            <w:hideMark/>
          </w:tcPr>
          <w:p w:rsidR="00AC40FC" w:rsidRPr="00F07D64" w:rsidRDefault="00AC40FC" w:rsidP="00701DCF">
            <w:pPr>
              <w:spacing w:after="0"/>
              <w:jc w:val="center"/>
              <w:rPr>
                <w:rFonts w:cs="Arial"/>
                <w:color w:val="000000"/>
                <w:sz w:val="20"/>
                <w:szCs w:val="20"/>
              </w:rPr>
            </w:pPr>
            <w:r w:rsidRPr="00F07D64">
              <w:rPr>
                <w:rFonts w:cs="Arial"/>
                <w:color w:val="000000"/>
                <w:sz w:val="20"/>
                <w:szCs w:val="20"/>
              </w:rPr>
              <w:t>1907</w:t>
            </w:r>
          </w:p>
        </w:tc>
      </w:tr>
      <w:tr w:rsidR="00AC40FC" w:rsidRPr="00F07D64" w:rsidTr="00701DCF">
        <w:trPr>
          <w:trHeight w:val="242"/>
          <w:jc w:val="center"/>
        </w:trPr>
        <w:tc>
          <w:tcPr>
            <w:tcW w:w="4405" w:type="dxa"/>
            <w:tcBorders>
              <w:top w:val="nil"/>
              <w:left w:val="single" w:sz="4" w:space="0" w:color="auto"/>
              <w:bottom w:val="single" w:sz="4" w:space="0" w:color="auto"/>
              <w:right w:val="single" w:sz="4" w:space="0" w:color="auto"/>
            </w:tcBorders>
            <w:shd w:val="clear" w:color="auto" w:fill="auto"/>
            <w:noWrap/>
            <w:vAlign w:val="center"/>
            <w:hideMark/>
          </w:tcPr>
          <w:p w:rsidR="00AC40FC" w:rsidRPr="00F07D64" w:rsidRDefault="00AC40FC" w:rsidP="00701DCF">
            <w:pPr>
              <w:spacing w:after="0"/>
              <w:jc w:val="center"/>
              <w:rPr>
                <w:rFonts w:cs="Arial"/>
                <w:color w:val="000000"/>
                <w:sz w:val="20"/>
                <w:szCs w:val="20"/>
              </w:rPr>
            </w:pPr>
            <w:r w:rsidRPr="00F07D64">
              <w:rPr>
                <w:rFonts w:cs="Arial"/>
                <w:color w:val="000000"/>
                <w:sz w:val="20"/>
                <w:szCs w:val="20"/>
              </w:rPr>
              <w:t>Universal Service WRAP Dollars per Job</w:t>
            </w:r>
          </w:p>
        </w:tc>
        <w:tc>
          <w:tcPr>
            <w:tcW w:w="810" w:type="dxa"/>
            <w:tcBorders>
              <w:top w:val="nil"/>
              <w:left w:val="nil"/>
              <w:bottom w:val="single" w:sz="4" w:space="0" w:color="auto"/>
              <w:right w:val="single" w:sz="4" w:space="0" w:color="auto"/>
            </w:tcBorders>
            <w:shd w:val="clear" w:color="auto" w:fill="auto"/>
            <w:noWrap/>
            <w:vAlign w:val="center"/>
            <w:hideMark/>
          </w:tcPr>
          <w:p w:rsidR="00AC40FC" w:rsidRPr="00F07D64" w:rsidRDefault="00AC40FC" w:rsidP="00701DCF">
            <w:pPr>
              <w:spacing w:after="0"/>
              <w:jc w:val="center"/>
              <w:rPr>
                <w:rFonts w:cs="Arial"/>
                <w:color w:val="000000"/>
                <w:sz w:val="20"/>
                <w:szCs w:val="20"/>
              </w:rPr>
            </w:pPr>
            <w:r w:rsidRPr="00F07D64">
              <w:rPr>
                <w:rFonts w:cs="Arial"/>
                <w:color w:val="000000"/>
                <w:sz w:val="20"/>
                <w:szCs w:val="20"/>
              </w:rPr>
              <w:t>2347</w:t>
            </w:r>
          </w:p>
        </w:tc>
        <w:tc>
          <w:tcPr>
            <w:tcW w:w="810" w:type="dxa"/>
            <w:tcBorders>
              <w:top w:val="nil"/>
              <w:left w:val="nil"/>
              <w:bottom w:val="single" w:sz="4" w:space="0" w:color="auto"/>
              <w:right w:val="single" w:sz="4" w:space="0" w:color="auto"/>
            </w:tcBorders>
            <w:shd w:val="clear" w:color="auto" w:fill="auto"/>
            <w:noWrap/>
            <w:vAlign w:val="center"/>
            <w:hideMark/>
          </w:tcPr>
          <w:p w:rsidR="00AC40FC" w:rsidRPr="00F07D64" w:rsidRDefault="00AC40FC" w:rsidP="00701DCF">
            <w:pPr>
              <w:spacing w:after="0"/>
              <w:jc w:val="center"/>
              <w:rPr>
                <w:rFonts w:cs="Arial"/>
                <w:color w:val="000000"/>
                <w:sz w:val="20"/>
                <w:szCs w:val="20"/>
              </w:rPr>
            </w:pPr>
            <w:r w:rsidRPr="00F07D64">
              <w:rPr>
                <w:rFonts w:cs="Arial"/>
                <w:color w:val="000000"/>
                <w:sz w:val="20"/>
                <w:szCs w:val="20"/>
              </w:rPr>
              <w:t>2615</w:t>
            </w:r>
          </w:p>
        </w:tc>
        <w:tc>
          <w:tcPr>
            <w:tcW w:w="810" w:type="dxa"/>
            <w:tcBorders>
              <w:top w:val="nil"/>
              <w:left w:val="nil"/>
              <w:bottom w:val="single" w:sz="4" w:space="0" w:color="auto"/>
              <w:right w:val="single" w:sz="4" w:space="0" w:color="auto"/>
            </w:tcBorders>
            <w:shd w:val="clear" w:color="auto" w:fill="auto"/>
            <w:noWrap/>
            <w:vAlign w:val="center"/>
            <w:hideMark/>
          </w:tcPr>
          <w:p w:rsidR="00AC40FC" w:rsidRPr="00F07D64" w:rsidRDefault="00AC40FC" w:rsidP="00701DCF">
            <w:pPr>
              <w:spacing w:after="0"/>
              <w:jc w:val="center"/>
              <w:rPr>
                <w:rFonts w:cs="Arial"/>
                <w:color w:val="000000"/>
                <w:sz w:val="20"/>
                <w:szCs w:val="20"/>
              </w:rPr>
            </w:pPr>
            <w:r w:rsidRPr="00F07D64">
              <w:rPr>
                <w:rFonts w:cs="Arial"/>
                <w:color w:val="000000"/>
                <w:sz w:val="20"/>
                <w:szCs w:val="20"/>
              </w:rPr>
              <w:t>2499</w:t>
            </w:r>
          </w:p>
        </w:tc>
        <w:tc>
          <w:tcPr>
            <w:tcW w:w="810" w:type="dxa"/>
            <w:tcBorders>
              <w:top w:val="nil"/>
              <w:left w:val="nil"/>
              <w:bottom w:val="single" w:sz="4" w:space="0" w:color="auto"/>
              <w:right w:val="single" w:sz="4" w:space="0" w:color="auto"/>
            </w:tcBorders>
            <w:shd w:val="clear" w:color="auto" w:fill="auto"/>
            <w:noWrap/>
            <w:vAlign w:val="center"/>
            <w:hideMark/>
          </w:tcPr>
          <w:p w:rsidR="00AC40FC" w:rsidRPr="00F07D64" w:rsidRDefault="00AC40FC" w:rsidP="00701DCF">
            <w:pPr>
              <w:spacing w:after="0"/>
              <w:jc w:val="center"/>
              <w:rPr>
                <w:rFonts w:cs="Arial"/>
                <w:color w:val="000000"/>
                <w:sz w:val="20"/>
                <w:szCs w:val="20"/>
              </w:rPr>
            </w:pPr>
            <w:r w:rsidRPr="00F07D64">
              <w:rPr>
                <w:rFonts w:cs="Arial"/>
                <w:color w:val="000000"/>
                <w:sz w:val="20"/>
                <w:szCs w:val="20"/>
              </w:rPr>
              <w:t>3479</w:t>
            </w:r>
          </w:p>
        </w:tc>
        <w:tc>
          <w:tcPr>
            <w:tcW w:w="810" w:type="dxa"/>
            <w:tcBorders>
              <w:top w:val="nil"/>
              <w:left w:val="nil"/>
              <w:bottom w:val="single" w:sz="4" w:space="0" w:color="auto"/>
              <w:right w:val="single" w:sz="4" w:space="0" w:color="auto"/>
            </w:tcBorders>
            <w:shd w:val="clear" w:color="auto" w:fill="auto"/>
            <w:noWrap/>
            <w:vAlign w:val="center"/>
            <w:hideMark/>
          </w:tcPr>
          <w:p w:rsidR="00AC40FC" w:rsidRPr="00F07D64" w:rsidRDefault="00AC40FC" w:rsidP="00701DCF">
            <w:pPr>
              <w:spacing w:after="0"/>
              <w:jc w:val="center"/>
              <w:rPr>
                <w:rFonts w:cs="Arial"/>
                <w:color w:val="000000"/>
                <w:sz w:val="20"/>
                <w:szCs w:val="20"/>
              </w:rPr>
            </w:pPr>
            <w:r w:rsidRPr="00F07D64">
              <w:rPr>
                <w:rFonts w:cs="Arial"/>
                <w:color w:val="000000"/>
                <w:sz w:val="20"/>
                <w:szCs w:val="20"/>
              </w:rPr>
              <w:t>3236</w:t>
            </w:r>
          </w:p>
        </w:tc>
      </w:tr>
      <w:tr w:rsidR="00AC40FC" w:rsidRPr="00F07D64" w:rsidTr="00701DCF">
        <w:trPr>
          <w:trHeight w:val="278"/>
          <w:jc w:val="center"/>
        </w:trPr>
        <w:tc>
          <w:tcPr>
            <w:tcW w:w="4405" w:type="dxa"/>
            <w:tcBorders>
              <w:top w:val="nil"/>
              <w:left w:val="single" w:sz="4" w:space="0" w:color="auto"/>
              <w:bottom w:val="single" w:sz="4" w:space="0" w:color="auto"/>
              <w:right w:val="single" w:sz="4" w:space="0" w:color="auto"/>
            </w:tcBorders>
            <w:shd w:val="clear" w:color="auto" w:fill="auto"/>
            <w:noWrap/>
            <w:vAlign w:val="center"/>
            <w:hideMark/>
          </w:tcPr>
          <w:p w:rsidR="00AC40FC" w:rsidRPr="00F07D64" w:rsidRDefault="00AC40FC" w:rsidP="00BB665B">
            <w:pPr>
              <w:spacing w:after="0"/>
              <w:jc w:val="center"/>
              <w:rPr>
                <w:rFonts w:cs="Arial"/>
                <w:color w:val="000000"/>
                <w:sz w:val="20"/>
                <w:szCs w:val="20"/>
              </w:rPr>
            </w:pPr>
            <w:r w:rsidRPr="00F07D64">
              <w:rPr>
                <w:rFonts w:cs="Arial"/>
                <w:color w:val="000000"/>
                <w:sz w:val="20"/>
                <w:szCs w:val="20"/>
              </w:rPr>
              <w:t>Act 129 WRAP Dollars (millions)</w:t>
            </w:r>
          </w:p>
        </w:tc>
        <w:tc>
          <w:tcPr>
            <w:tcW w:w="810" w:type="dxa"/>
            <w:tcBorders>
              <w:top w:val="nil"/>
              <w:left w:val="nil"/>
              <w:bottom w:val="single" w:sz="4" w:space="0" w:color="auto"/>
              <w:right w:val="single" w:sz="4" w:space="0" w:color="auto"/>
            </w:tcBorders>
            <w:shd w:val="clear" w:color="auto" w:fill="auto"/>
            <w:noWrap/>
            <w:vAlign w:val="center"/>
            <w:hideMark/>
          </w:tcPr>
          <w:p w:rsidR="00AC40FC" w:rsidRPr="00F07D64" w:rsidRDefault="00AC40FC" w:rsidP="00701DCF">
            <w:pPr>
              <w:spacing w:after="0"/>
              <w:jc w:val="center"/>
              <w:rPr>
                <w:rFonts w:cs="Arial"/>
                <w:color w:val="000000"/>
                <w:sz w:val="20"/>
                <w:szCs w:val="20"/>
              </w:rPr>
            </w:pPr>
            <w:r>
              <w:rPr>
                <w:rFonts w:cs="Arial"/>
                <w:color w:val="000000"/>
                <w:sz w:val="20"/>
                <w:szCs w:val="20"/>
              </w:rPr>
              <w:t>$</w:t>
            </w:r>
            <w:r w:rsidRPr="00F07D64">
              <w:rPr>
                <w:rFonts w:cs="Arial"/>
                <w:color w:val="000000"/>
                <w:sz w:val="20"/>
                <w:szCs w:val="20"/>
              </w:rPr>
              <w:t>9.8</w:t>
            </w:r>
          </w:p>
        </w:tc>
        <w:tc>
          <w:tcPr>
            <w:tcW w:w="810" w:type="dxa"/>
            <w:tcBorders>
              <w:top w:val="nil"/>
              <w:left w:val="nil"/>
              <w:bottom w:val="single" w:sz="4" w:space="0" w:color="auto"/>
              <w:right w:val="single" w:sz="4" w:space="0" w:color="auto"/>
            </w:tcBorders>
            <w:shd w:val="clear" w:color="auto" w:fill="auto"/>
            <w:noWrap/>
            <w:vAlign w:val="center"/>
            <w:hideMark/>
          </w:tcPr>
          <w:p w:rsidR="00AC40FC" w:rsidRPr="00F07D64" w:rsidRDefault="00AC40FC" w:rsidP="00701DCF">
            <w:pPr>
              <w:spacing w:after="0"/>
              <w:jc w:val="center"/>
              <w:rPr>
                <w:rFonts w:cs="Arial"/>
                <w:color w:val="000000"/>
                <w:sz w:val="20"/>
                <w:szCs w:val="20"/>
              </w:rPr>
            </w:pPr>
            <w:r>
              <w:rPr>
                <w:rFonts w:cs="Arial"/>
                <w:color w:val="000000"/>
                <w:sz w:val="20"/>
                <w:szCs w:val="20"/>
              </w:rPr>
              <w:t>$</w:t>
            </w:r>
            <w:r w:rsidRPr="00F07D64">
              <w:rPr>
                <w:rFonts w:cs="Arial"/>
                <w:color w:val="000000"/>
                <w:sz w:val="20"/>
                <w:szCs w:val="20"/>
              </w:rPr>
              <w:t>9.3</w:t>
            </w:r>
          </w:p>
        </w:tc>
        <w:tc>
          <w:tcPr>
            <w:tcW w:w="810" w:type="dxa"/>
            <w:tcBorders>
              <w:top w:val="nil"/>
              <w:left w:val="nil"/>
              <w:bottom w:val="single" w:sz="4" w:space="0" w:color="auto"/>
              <w:right w:val="single" w:sz="4" w:space="0" w:color="auto"/>
            </w:tcBorders>
            <w:shd w:val="clear" w:color="auto" w:fill="auto"/>
            <w:noWrap/>
            <w:vAlign w:val="center"/>
            <w:hideMark/>
          </w:tcPr>
          <w:p w:rsidR="00AC40FC" w:rsidRPr="00F07D64" w:rsidRDefault="00AC40FC" w:rsidP="00701DCF">
            <w:pPr>
              <w:spacing w:after="0"/>
              <w:jc w:val="center"/>
              <w:rPr>
                <w:rFonts w:cs="Arial"/>
                <w:color w:val="000000"/>
                <w:sz w:val="20"/>
                <w:szCs w:val="20"/>
              </w:rPr>
            </w:pPr>
            <w:r>
              <w:rPr>
                <w:rFonts w:cs="Arial"/>
                <w:color w:val="000000"/>
                <w:sz w:val="20"/>
                <w:szCs w:val="20"/>
              </w:rPr>
              <w:t>$</w:t>
            </w:r>
            <w:r w:rsidRPr="00F07D64">
              <w:rPr>
                <w:rFonts w:cs="Arial"/>
                <w:color w:val="000000"/>
                <w:sz w:val="20"/>
                <w:szCs w:val="20"/>
              </w:rPr>
              <w:t>3.1</w:t>
            </w:r>
          </w:p>
        </w:tc>
        <w:tc>
          <w:tcPr>
            <w:tcW w:w="810" w:type="dxa"/>
            <w:tcBorders>
              <w:top w:val="nil"/>
              <w:left w:val="nil"/>
              <w:bottom w:val="single" w:sz="4" w:space="0" w:color="auto"/>
              <w:right w:val="single" w:sz="4" w:space="0" w:color="auto"/>
            </w:tcBorders>
            <w:shd w:val="clear" w:color="auto" w:fill="auto"/>
            <w:noWrap/>
            <w:vAlign w:val="center"/>
            <w:hideMark/>
          </w:tcPr>
          <w:p w:rsidR="00AC40FC" w:rsidRPr="00F07D64" w:rsidRDefault="00AC40FC" w:rsidP="00701DCF">
            <w:pPr>
              <w:spacing w:after="0"/>
              <w:jc w:val="center"/>
              <w:rPr>
                <w:rFonts w:cs="Arial"/>
                <w:color w:val="000000"/>
                <w:sz w:val="20"/>
                <w:szCs w:val="20"/>
              </w:rPr>
            </w:pPr>
            <w:r>
              <w:rPr>
                <w:rFonts w:cs="Arial"/>
                <w:color w:val="000000"/>
                <w:sz w:val="20"/>
                <w:szCs w:val="20"/>
              </w:rPr>
              <w:t>$</w:t>
            </w:r>
            <w:r w:rsidRPr="00F07D64">
              <w:rPr>
                <w:rFonts w:cs="Arial"/>
                <w:color w:val="000000"/>
                <w:sz w:val="20"/>
                <w:szCs w:val="20"/>
              </w:rPr>
              <w:t>5.8</w:t>
            </w:r>
          </w:p>
        </w:tc>
        <w:tc>
          <w:tcPr>
            <w:tcW w:w="810" w:type="dxa"/>
            <w:tcBorders>
              <w:top w:val="nil"/>
              <w:left w:val="nil"/>
              <w:bottom w:val="single" w:sz="4" w:space="0" w:color="auto"/>
              <w:right w:val="single" w:sz="4" w:space="0" w:color="auto"/>
            </w:tcBorders>
            <w:shd w:val="clear" w:color="auto" w:fill="auto"/>
            <w:noWrap/>
            <w:vAlign w:val="center"/>
            <w:hideMark/>
          </w:tcPr>
          <w:p w:rsidR="00AC40FC" w:rsidRPr="00F07D64" w:rsidRDefault="00AC40FC" w:rsidP="00701DCF">
            <w:pPr>
              <w:spacing w:after="0"/>
              <w:jc w:val="center"/>
              <w:rPr>
                <w:rFonts w:cs="Arial"/>
                <w:color w:val="000000"/>
                <w:sz w:val="20"/>
                <w:szCs w:val="20"/>
              </w:rPr>
            </w:pPr>
            <w:r>
              <w:rPr>
                <w:rFonts w:cs="Arial"/>
                <w:color w:val="000000"/>
                <w:sz w:val="20"/>
                <w:szCs w:val="20"/>
              </w:rPr>
              <w:t>$</w:t>
            </w:r>
            <w:r w:rsidRPr="00F07D64">
              <w:rPr>
                <w:rFonts w:cs="Arial"/>
                <w:color w:val="000000"/>
                <w:sz w:val="20"/>
                <w:szCs w:val="20"/>
              </w:rPr>
              <w:t>7.5</w:t>
            </w:r>
          </w:p>
        </w:tc>
      </w:tr>
      <w:tr w:rsidR="00AC40FC" w:rsidRPr="00F07D64" w:rsidTr="00701DCF">
        <w:trPr>
          <w:trHeight w:val="215"/>
          <w:jc w:val="center"/>
        </w:trPr>
        <w:tc>
          <w:tcPr>
            <w:tcW w:w="4405" w:type="dxa"/>
            <w:tcBorders>
              <w:top w:val="nil"/>
              <w:left w:val="single" w:sz="4" w:space="0" w:color="auto"/>
              <w:bottom w:val="single" w:sz="4" w:space="0" w:color="auto"/>
              <w:right w:val="single" w:sz="4" w:space="0" w:color="auto"/>
            </w:tcBorders>
            <w:shd w:val="clear" w:color="auto" w:fill="auto"/>
            <w:noWrap/>
            <w:vAlign w:val="center"/>
            <w:hideMark/>
          </w:tcPr>
          <w:p w:rsidR="00AC40FC" w:rsidRPr="00F07D64" w:rsidRDefault="00AC40FC" w:rsidP="00701DCF">
            <w:pPr>
              <w:spacing w:after="0"/>
              <w:jc w:val="center"/>
              <w:rPr>
                <w:rFonts w:cs="Arial"/>
                <w:color w:val="000000"/>
                <w:sz w:val="20"/>
                <w:szCs w:val="20"/>
              </w:rPr>
            </w:pPr>
            <w:r w:rsidRPr="00F07D64">
              <w:rPr>
                <w:rFonts w:cs="Arial"/>
                <w:color w:val="000000"/>
                <w:sz w:val="20"/>
                <w:szCs w:val="20"/>
              </w:rPr>
              <w:t>Act 129 WRAP Jobs</w:t>
            </w:r>
          </w:p>
        </w:tc>
        <w:tc>
          <w:tcPr>
            <w:tcW w:w="810" w:type="dxa"/>
            <w:tcBorders>
              <w:top w:val="nil"/>
              <w:left w:val="nil"/>
              <w:bottom w:val="single" w:sz="4" w:space="0" w:color="auto"/>
              <w:right w:val="single" w:sz="4" w:space="0" w:color="auto"/>
            </w:tcBorders>
            <w:shd w:val="clear" w:color="auto" w:fill="auto"/>
            <w:noWrap/>
            <w:vAlign w:val="center"/>
            <w:hideMark/>
          </w:tcPr>
          <w:p w:rsidR="00AC40FC" w:rsidRPr="00F07D64" w:rsidRDefault="00AC40FC" w:rsidP="00701DCF">
            <w:pPr>
              <w:spacing w:after="0"/>
              <w:jc w:val="center"/>
              <w:rPr>
                <w:rFonts w:cs="Arial"/>
                <w:color w:val="000000"/>
                <w:sz w:val="20"/>
                <w:szCs w:val="20"/>
              </w:rPr>
            </w:pPr>
            <w:r w:rsidRPr="00F07D64">
              <w:rPr>
                <w:rFonts w:cs="Arial"/>
                <w:color w:val="000000"/>
                <w:sz w:val="20"/>
                <w:szCs w:val="20"/>
              </w:rPr>
              <w:t>4416</w:t>
            </w:r>
          </w:p>
        </w:tc>
        <w:tc>
          <w:tcPr>
            <w:tcW w:w="810" w:type="dxa"/>
            <w:tcBorders>
              <w:top w:val="nil"/>
              <w:left w:val="nil"/>
              <w:bottom w:val="single" w:sz="4" w:space="0" w:color="auto"/>
              <w:right w:val="single" w:sz="4" w:space="0" w:color="auto"/>
            </w:tcBorders>
            <w:shd w:val="clear" w:color="auto" w:fill="auto"/>
            <w:noWrap/>
            <w:vAlign w:val="center"/>
            <w:hideMark/>
          </w:tcPr>
          <w:p w:rsidR="00AC40FC" w:rsidRPr="00F07D64" w:rsidRDefault="00AC40FC" w:rsidP="00701DCF">
            <w:pPr>
              <w:spacing w:after="0"/>
              <w:jc w:val="center"/>
              <w:rPr>
                <w:rFonts w:cs="Arial"/>
                <w:color w:val="000000"/>
                <w:sz w:val="20"/>
                <w:szCs w:val="20"/>
              </w:rPr>
            </w:pPr>
            <w:r w:rsidRPr="00F07D64">
              <w:rPr>
                <w:rFonts w:cs="Arial"/>
                <w:color w:val="000000"/>
                <w:sz w:val="20"/>
                <w:szCs w:val="20"/>
              </w:rPr>
              <w:t>3937</w:t>
            </w:r>
          </w:p>
        </w:tc>
        <w:tc>
          <w:tcPr>
            <w:tcW w:w="810" w:type="dxa"/>
            <w:tcBorders>
              <w:top w:val="nil"/>
              <w:left w:val="nil"/>
              <w:bottom w:val="single" w:sz="4" w:space="0" w:color="auto"/>
              <w:right w:val="single" w:sz="4" w:space="0" w:color="auto"/>
            </w:tcBorders>
            <w:shd w:val="clear" w:color="auto" w:fill="auto"/>
            <w:noWrap/>
            <w:vAlign w:val="center"/>
            <w:hideMark/>
          </w:tcPr>
          <w:p w:rsidR="00AC40FC" w:rsidRPr="00F07D64" w:rsidRDefault="00AC40FC" w:rsidP="00701DCF">
            <w:pPr>
              <w:spacing w:after="0"/>
              <w:jc w:val="center"/>
              <w:rPr>
                <w:rFonts w:cs="Arial"/>
                <w:color w:val="000000"/>
                <w:sz w:val="20"/>
                <w:szCs w:val="20"/>
              </w:rPr>
            </w:pPr>
            <w:r w:rsidRPr="00F07D64">
              <w:rPr>
                <w:rFonts w:cs="Arial"/>
                <w:color w:val="000000"/>
                <w:sz w:val="20"/>
                <w:szCs w:val="20"/>
              </w:rPr>
              <w:t>2474</w:t>
            </w:r>
          </w:p>
        </w:tc>
        <w:tc>
          <w:tcPr>
            <w:tcW w:w="810" w:type="dxa"/>
            <w:tcBorders>
              <w:top w:val="nil"/>
              <w:left w:val="nil"/>
              <w:bottom w:val="single" w:sz="4" w:space="0" w:color="auto"/>
              <w:right w:val="single" w:sz="4" w:space="0" w:color="auto"/>
            </w:tcBorders>
            <w:shd w:val="clear" w:color="auto" w:fill="auto"/>
            <w:noWrap/>
            <w:vAlign w:val="center"/>
            <w:hideMark/>
          </w:tcPr>
          <w:p w:rsidR="00AC40FC" w:rsidRPr="00F07D64" w:rsidRDefault="00AC40FC" w:rsidP="00701DCF">
            <w:pPr>
              <w:spacing w:after="0"/>
              <w:jc w:val="center"/>
              <w:rPr>
                <w:rFonts w:cs="Arial"/>
                <w:color w:val="000000"/>
                <w:sz w:val="20"/>
                <w:szCs w:val="20"/>
              </w:rPr>
            </w:pPr>
            <w:r w:rsidRPr="00F07D64">
              <w:rPr>
                <w:rFonts w:cs="Arial"/>
                <w:color w:val="000000"/>
                <w:sz w:val="20"/>
                <w:szCs w:val="20"/>
              </w:rPr>
              <w:t>4057</w:t>
            </w:r>
          </w:p>
        </w:tc>
        <w:tc>
          <w:tcPr>
            <w:tcW w:w="810" w:type="dxa"/>
            <w:tcBorders>
              <w:top w:val="nil"/>
              <w:left w:val="nil"/>
              <w:bottom w:val="single" w:sz="4" w:space="0" w:color="auto"/>
              <w:right w:val="single" w:sz="4" w:space="0" w:color="auto"/>
            </w:tcBorders>
            <w:shd w:val="clear" w:color="auto" w:fill="auto"/>
            <w:noWrap/>
            <w:vAlign w:val="center"/>
            <w:hideMark/>
          </w:tcPr>
          <w:p w:rsidR="00AC40FC" w:rsidRPr="00F07D64" w:rsidRDefault="00AC40FC" w:rsidP="00701DCF">
            <w:pPr>
              <w:spacing w:after="0"/>
              <w:jc w:val="center"/>
              <w:rPr>
                <w:rFonts w:cs="Arial"/>
                <w:color w:val="000000"/>
                <w:sz w:val="20"/>
                <w:szCs w:val="20"/>
              </w:rPr>
            </w:pPr>
            <w:r w:rsidRPr="00F07D64">
              <w:rPr>
                <w:rFonts w:cs="Arial"/>
                <w:color w:val="000000"/>
                <w:sz w:val="20"/>
                <w:szCs w:val="20"/>
              </w:rPr>
              <w:t>3933</w:t>
            </w:r>
          </w:p>
        </w:tc>
      </w:tr>
      <w:tr w:rsidR="00AC40FC" w:rsidRPr="00F07D64" w:rsidTr="00701DCF">
        <w:trPr>
          <w:trHeight w:val="242"/>
          <w:jc w:val="center"/>
        </w:trPr>
        <w:tc>
          <w:tcPr>
            <w:tcW w:w="4405" w:type="dxa"/>
            <w:tcBorders>
              <w:top w:val="nil"/>
              <w:left w:val="single" w:sz="4" w:space="0" w:color="auto"/>
              <w:bottom w:val="single" w:sz="4" w:space="0" w:color="auto"/>
              <w:right w:val="single" w:sz="4" w:space="0" w:color="auto"/>
            </w:tcBorders>
            <w:shd w:val="clear" w:color="auto" w:fill="auto"/>
            <w:noWrap/>
            <w:vAlign w:val="center"/>
            <w:hideMark/>
          </w:tcPr>
          <w:p w:rsidR="00AC40FC" w:rsidRPr="00F07D64" w:rsidRDefault="00AC40FC" w:rsidP="00701DCF">
            <w:pPr>
              <w:spacing w:after="0"/>
              <w:jc w:val="center"/>
              <w:rPr>
                <w:rFonts w:cs="Arial"/>
                <w:color w:val="000000"/>
                <w:sz w:val="20"/>
                <w:szCs w:val="20"/>
              </w:rPr>
            </w:pPr>
            <w:r w:rsidRPr="00F07D64">
              <w:rPr>
                <w:rFonts w:cs="Arial"/>
                <w:color w:val="000000"/>
                <w:sz w:val="20"/>
                <w:szCs w:val="20"/>
              </w:rPr>
              <w:t>U</w:t>
            </w:r>
            <w:r>
              <w:rPr>
                <w:rFonts w:cs="Arial"/>
                <w:color w:val="000000"/>
                <w:sz w:val="20"/>
                <w:szCs w:val="20"/>
              </w:rPr>
              <w:t>niversal Service WRAP Dollars (</w:t>
            </w:r>
            <w:r w:rsidRPr="00F07D64">
              <w:rPr>
                <w:rFonts w:cs="Arial"/>
                <w:color w:val="000000"/>
                <w:sz w:val="20"/>
                <w:szCs w:val="20"/>
              </w:rPr>
              <w:t>millions)</w:t>
            </w:r>
          </w:p>
        </w:tc>
        <w:tc>
          <w:tcPr>
            <w:tcW w:w="810" w:type="dxa"/>
            <w:tcBorders>
              <w:top w:val="nil"/>
              <w:left w:val="nil"/>
              <w:bottom w:val="single" w:sz="4" w:space="0" w:color="auto"/>
              <w:right w:val="single" w:sz="4" w:space="0" w:color="auto"/>
            </w:tcBorders>
            <w:shd w:val="clear" w:color="auto" w:fill="auto"/>
            <w:noWrap/>
            <w:vAlign w:val="center"/>
            <w:hideMark/>
          </w:tcPr>
          <w:p w:rsidR="00AC40FC" w:rsidRPr="00F07D64" w:rsidRDefault="00AC40FC" w:rsidP="00701DCF">
            <w:pPr>
              <w:spacing w:after="0"/>
              <w:jc w:val="center"/>
              <w:rPr>
                <w:rFonts w:cs="Arial"/>
                <w:color w:val="000000"/>
                <w:sz w:val="20"/>
                <w:szCs w:val="20"/>
              </w:rPr>
            </w:pPr>
            <w:r>
              <w:rPr>
                <w:rFonts w:cs="Arial"/>
                <w:color w:val="000000"/>
                <w:sz w:val="20"/>
                <w:szCs w:val="20"/>
              </w:rPr>
              <w:t>$</w:t>
            </w:r>
            <w:r w:rsidRPr="00F07D64">
              <w:rPr>
                <w:rFonts w:cs="Arial"/>
                <w:color w:val="000000"/>
                <w:sz w:val="20"/>
                <w:szCs w:val="20"/>
              </w:rPr>
              <w:t>7.8</w:t>
            </w:r>
          </w:p>
        </w:tc>
        <w:tc>
          <w:tcPr>
            <w:tcW w:w="810" w:type="dxa"/>
            <w:tcBorders>
              <w:top w:val="nil"/>
              <w:left w:val="nil"/>
              <w:bottom w:val="single" w:sz="4" w:space="0" w:color="auto"/>
              <w:right w:val="single" w:sz="4" w:space="0" w:color="auto"/>
            </w:tcBorders>
            <w:shd w:val="clear" w:color="auto" w:fill="auto"/>
            <w:noWrap/>
            <w:vAlign w:val="center"/>
            <w:hideMark/>
          </w:tcPr>
          <w:p w:rsidR="00AC40FC" w:rsidRPr="00F07D64" w:rsidRDefault="00AC40FC" w:rsidP="00701DCF">
            <w:pPr>
              <w:spacing w:after="0"/>
              <w:jc w:val="center"/>
              <w:rPr>
                <w:rFonts w:cs="Arial"/>
                <w:color w:val="000000"/>
                <w:sz w:val="20"/>
                <w:szCs w:val="20"/>
              </w:rPr>
            </w:pPr>
            <w:r>
              <w:rPr>
                <w:rFonts w:cs="Arial"/>
                <w:color w:val="000000"/>
                <w:sz w:val="20"/>
                <w:szCs w:val="20"/>
              </w:rPr>
              <w:t>$</w:t>
            </w:r>
            <w:r w:rsidRPr="00F07D64">
              <w:rPr>
                <w:rFonts w:cs="Arial"/>
                <w:color w:val="000000"/>
                <w:sz w:val="20"/>
                <w:szCs w:val="20"/>
              </w:rPr>
              <w:t>8.0</w:t>
            </w:r>
          </w:p>
        </w:tc>
        <w:tc>
          <w:tcPr>
            <w:tcW w:w="810" w:type="dxa"/>
            <w:tcBorders>
              <w:top w:val="nil"/>
              <w:left w:val="nil"/>
              <w:bottom w:val="single" w:sz="4" w:space="0" w:color="auto"/>
              <w:right w:val="single" w:sz="4" w:space="0" w:color="auto"/>
            </w:tcBorders>
            <w:shd w:val="clear" w:color="auto" w:fill="auto"/>
            <w:noWrap/>
            <w:vAlign w:val="center"/>
            <w:hideMark/>
          </w:tcPr>
          <w:p w:rsidR="00AC40FC" w:rsidRPr="00F07D64" w:rsidRDefault="00AC40FC" w:rsidP="00701DCF">
            <w:pPr>
              <w:spacing w:after="0"/>
              <w:jc w:val="center"/>
              <w:rPr>
                <w:rFonts w:cs="Arial"/>
                <w:color w:val="000000"/>
                <w:sz w:val="20"/>
                <w:szCs w:val="20"/>
              </w:rPr>
            </w:pPr>
            <w:r>
              <w:rPr>
                <w:rFonts w:cs="Arial"/>
                <w:color w:val="000000"/>
                <w:sz w:val="20"/>
                <w:szCs w:val="20"/>
              </w:rPr>
              <w:t>$</w:t>
            </w:r>
            <w:r w:rsidRPr="00F07D64">
              <w:rPr>
                <w:rFonts w:cs="Arial"/>
                <w:color w:val="000000"/>
                <w:sz w:val="20"/>
                <w:szCs w:val="20"/>
              </w:rPr>
              <w:t>8.2</w:t>
            </w:r>
          </w:p>
        </w:tc>
        <w:tc>
          <w:tcPr>
            <w:tcW w:w="810" w:type="dxa"/>
            <w:tcBorders>
              <w:top w:val="nil"/>
              <w:left w:val="nil"/>
              <w:bottom w:val="single" w:sz="4" w:space="0" w:color="auto"/>
              <w:right w:val="single" w:sz="4" w:space="0" w:color="auto"/>
            </w:tcBorders>
            <w:shd w:val="clear" w:color="auto" w:fill="auto"/>
            <w:noWrap/>
            <w:vAlign w:val="center"/>
            <w:hideMark/>
          </w:tcPr>
          <w:p w:rsidR="00AC40FC" w:rsidRPr="00F07D64" w:rsidRDefault="00AC40FC" w:rsidP="00701DCF">
            <w:pPr>
              <w:spacing w:after="0"/>
              <w:jc w:val="center"/>
              <w:rPr>
                <w:rFonts w:cs="Arial"/>
                <w:color w:val="000000"/>
                <w:sz w:val="20"/>
                <w:szCs w:val="20"/>
              </w:rPr>
            </w:pPr>
            <w:r>
              <w:rPr>
                <w:rFonts w:cs="Arial"/>
                <w:color w:val="000000"/>
                <w:sz w:val="20"/>
                <w:szCs w:val="20"/>
              </w:rPr>
              <w:t>$</w:t>
            </w:r>
            <w:r w:rsidRPr="00F07D64">
              <w:rPr>
                <w:rFonts w:cs="Arial"/>
                <w:color w:val="000000"/>
                <w:sz w:val="20"/>
                <w:szCs w:val="20"/>
              </w:rPr>
              <w:t>9.7</w:t>
            </w:r>
          </w:p>
        </w:tc>
        <w:tc>
          <w:tcPr>
            <w:tcW w:w="810" w:type="dxa"/>
            <w:tcBorders>
              <w:top w:val="nil"/>
              <w:left w:val="nil"/>
              <w:bottom w:val="single" w:sz="4" w:space="0" w:color="auto"/>
              <w:right w:val="single" w:sz="4" w:space="0" w:color="auto"/>
            </w:tcBorders>
            <w:shd w:val="clear" w:color="auto" w:fill="auto"/>
            <w:noWrap/>
            <w:vAlign w:val="center"/>
            <w:hideMark/>
          </w:tcPr>
          <w:p w:rsidR="00AC40FC" w:rsidRPr="00F07D64" w:rsidRDefault="00AC40FC" w:rsidP="00701DCF">
            <w:pPr>
              <w:spacing w:after="0"/>
              <w:jc w:val="center"/>
              <w:rPr>
                <w:rFonts w:cs="Arial"/>
                <w:color w:val="000000"/>
                <w:sz w:val="20"/>
                <w:szCs w:val="20"/>
              </w:rPr>
            </w:pPr>
            <w:r>
              <w:rPr>
                <w:rFonts w:cs="Arial"/>
                <w:color w:val="000000"/>
                <w:sz w:val="20"/>
                <w:szCs w:val="20"/>
              </w:rPr>
              <w:t>$</w:t>
            </w:r>
            <w:r w:rsidRPr="00F07D64">
              <w:rPr>
                <w:rFonts w:cs="Arial"/>
                <w:color w:val="000000"/>
                <w:sz w:val="20"/>
                <w:szCs w:val="20"/>
              </w:rPr>
              <w:t>9.4</w:t>
            </w:r>
          </w:p>
        </w:tc>
      </w:tr>
      <w:tr w:rsidR="00AC40FC" w:rsidRPr="00F07D64" w:rsidTr="00701DCF">
        <w:trPr>
          <w:trHeight w:val="278"/>
          <w:jc w:val="center"/>
        </w:trPr>
        <w:tc>
          <w:tcPr>
            <w:tcW w:w="4405" w:type="dxa"/>
            <w:tcBorders>
              <w:top w:val="nil"/>
              <w:left w:val="single" w:sz="4" w:space="0" w:color="auto"/>
              <w:bottom w:val="single" w:sz="4" w:space="0" w:color="auto"/>
              <w:right w:val="single" w:sz="4" w:space="0" w:color="auto"/>
            </w:tcBorders>
            <w:shd w:val="clear" w:color="auto" w:fill="auto"/>
            <w:noWrap/>
            <w:vAlign w:val="center"/>
            <w:hideMark/>
          </w:tcPr>
          <w:p w:rsidR="00AC40FC" w:rsidRPr="00F07D64" w:rsidRDefault="00AC40FC" w:rsidP="00701DCF">
            <w:pPr>
              <w:spacing w:after="0"/>
              <w:jc w:val="center"/>
              <w:rPr>
                <w:rFonts w:cs="Arial"/>
                <w:color w:val="000000"/>
                <w:sz w:val="20"/>
                <w:szCs w:val="20"/>
              </w:rPr>
            </w:pPr>
            <w:r w:rsidRPr="00F07D64">
              <w:rPr>
                <w:rFonts w:cs="Arial"/>
                <w:color w:val="000000"/>
                <w:sz w:val="20"/>
                <w:szCs w:val="20"/>
              </w:rPr>
              <w:t>Universal Service WRAP Jobs</w:t>
            </w:r>
          </w:p>
        </w:tc>
        <w:tc>
          <w:tcPr>
            <w:tcW w:w="810" w:type="dxa"/>
            <w:tcBorders>
              <w:top w:val="nil"/>
              <w:left w:val="nil"/>
              <w:bottom w:val="single" w:sz="4" w:space="0" w:color="auto"/>
              <w:right w:val="single" w:sz="4" w:space="0" w:color="auto"/>
            </w:tcBorders>
            <w:shd w:val="clear" w:color="auto" w:fill="auto"/>
            <w:noWrap/>
            <w:vAlign w:val="center"/>
            <w:hideMark/>
          </w:tcPr>
          <w:p w:rsidR="00AC40FC" w:rsidRPr="00F07D64" w:rsidRDefault="00AC40FC" w:rsidP="00701DCF">
            <w:pPr>
              <w:spacing w:after="0"/>
              <w:jc w:val="center"/>
              <w:rPr>
                <w:rFonts w:cs="Arial"/>
                <w:color w:val="000000"/>
                <w:sz w:val="20"/>
                <w:szCs w:val="20"/>
              </w:rPr>
            </w:pPr>
            <w:r w:rsidRPr="00F07D64">
              <w:rPr>
                <w:rFonts w:cs="Arial"/>
                <w:color w:val="000000"/>
                <w:sz w:val="20"/>
                <w:szCs w:val="20"/>
              </w:rPr>
              <w:t>3323</w:t>
            </w:r>
          </w:p>
        </w:tc>
        <w:tc>
          <w:tcPr>
            <w:tcW w:w="810" w:type="dxa"/>
            <w:tcBorders>
              <w:top w:val="nil"/>
              <w:left w:val="nil"/>
              <w:bottom w:val="single" w:sz="4" w:space="0" w:color="auto"/>
              <w:right w:val="single" w:sz="4" w:space="0" w:color="auto"/>
            </w:tcBorders>
            <w:shd w:val="clear" w:color="auto" w:fill="auto"/>
            <w:noWrap/>
            <w:vAlign w:val="center"/>
            <w:hideMark/>
          </w:tcPr>
          <w:p w:rsidR="00AC40FC" w:rsidRPr="00F07D64" w:rsidRDefault="00AC40FC" w:rsidP="00701DCF">
            <w:pPr>
              <w:spacing w:after="0"/>
              <w:jc w:val="center"/>
              <w:rPr>
                <w:rFonts w:cs="Arial"/>
                <w:color w:val="000000"/>
                <w:sz w:val="20"/>
                <w:szCs w:val="20"/>
              </w:rPr>
            </w:pPr>
            <w:r w:rsidRPr="00F07D64">
              <w:rPr>
                <w:rFonts w:cs="Arial"/>
                <w:color w:val="000000"/>
                <w:sz w:val="20"/>
                <w:szCs w:val="20"/>
              </w:rPr>
              <w:t>3059</w:t>
            </w:r>
          </w:p>
        </w:tc>
        <w:tc>
          <w:tcPr>
            <w:tcW w:w="810" w:type="dxa"/>
            <w:tcBorders>
              <w:top w:val="nil"/>
              <w:left w:val="nil"/>
              <w:bottom w:val="single" w:sz="4" w:space="0" w:color="auto"/>
              <w:right w:val="single" w:sz="4" w:space="0" w:color="auto"/>
            </w:tcBorders>
            <w:shd w:val="clear" w:color="auto" w:fill="auto"/>
            <w:noWrap/>
            <w:vAlign w:val="center"/>
            <w:hideMark/>
          </w:tcPr>
          <w:p w:rsidR="00AC40FC" w:rsidRPr="00F07D64" w:rsidRDefault="00AC40FC" w:rsidP="00701DCF">
            <w:pPr>
              <w:spacing w:after="0"/>
              <w:jc w:val="center"/>
              <w:rPr>
                <w:rFonts w:cs="Arial"/>
                <w:color w:val="000000"/>
                <w:sz w:val="20"/>
                <w:szCs w:val="20"/>
              </w:rPr>
            </w:pPr>
            <w:r w:rsidRPr="00F07D64">
              <w:rPr>
                <w:rFonts w:cs="Arial"/>
                <w:color w:val="000000"/>
                <w:sz w:val="20"/>
                <w:szCs w:val="20"/>
              </w:rPr>
              <w:t>3281</w:t>
            </w:r>
          </w:p>
        </w:tc>
        <w:tc>
          <w:tcPr>
            <w:tcW w:w="810" w:type="dxa"/>
            <w:tcBorders>
              <w:top w:val="nil"/>
              <w:left w:val="nil"/>
              <w:bottom w:val="single" w:sz="4" w:space="0" w:color="auto"/>
              <w:right w:val="single" w:sz="4" w:space="0" w:color="auto"/>
            </w:tcBorders>
            <w:shd w:val="clear" w:color="auto" w:fill="auto"/>
            <w:noWrap/>
            <w:vAlign w:val="center"/>
            <w:hideMark/>
          </w:tcPr>
          <w:p w:rsidR="00AC40FC" w:rsidRPr="00F07D64" w:rsidRDefault="00AC40FC" w:rsidP="00701DCF">
            <w:pPr>
              <w:spacing w:after="0"/>
              <w:jc w:val="center"/>
              <w:rPr>
                <w:rFonts w:cs="Arial"/>
                <w:color w:val="000000"/>
                <w:sz w:val="20"/>
                <w:szCs w:val="20"/>
              </w:rPr>
            </w:pPr>
            <w:r w:rsidRPr="00F07D64">
              <w:rPr>
                <w:rFonts w:cs="Arial"/>
                <w:color w:val="000000"/>
                <w:sz w:val="20"/>
                <w:szCs w:val="20"/>
              </w:rPr>
              <w:t>2788</w:t>
            </w:r>
          </w:p>
        </w:tc>
        <w:tc>
          <w:tcPr>
            <w:tcW w:w="810" w:type="dxa"/>
            <w:tcBorders>
              <w:top w:val="nil"/>
              <w:left w:val="nil"/>
              <w:bottom w:val="single" w:sz="4" w:space="0" w:color="auto"/>
              <w:right w:val="single" w:sz="4" w:space="0" w:color="auto"/>
            </w:tcBorders>
            <w:shd w:val="clear" w:color="auto" w:fill="auto"/>
            <w:noWrap/>
            <w:vAlign w:val="center"/>
            <w:hideMark/>
          </w:tcPr>
          <w:p w:rsidR="00AC40FC" w:rsidRPr="00F07D64" w:rsidRDefault="00AC40FC" w:rsidP="00701DCF">
            <w:pPr>
              <w:spacing w:after="0"/>
              <w:jc w:val="center"/>
              <w:rPr>
                <w:rFonts w:cs="Arial"/>
                <w:color w:val="000000"/>
                <w:sz w:val="20"/>
                <w:szCs w:val="20"/>
              </w:rPr>
            </w:pPr>
            <w:r w:rsidRPr="00F07D64">
              <w:rPr>
                <w:rFonts w:cs="Arial"/>
                <w:color w:val="000000"/>
                <w:sz w:val="20"/>
                <w:szCs w:val="20"/>
              </w:rPr>
              <w:t>2905</w:t>
            </w:r>
          </w:p>
        </w:tc>
      </w:tr>
      <w:tr w:rsidR="00AC40FC" w:rsidRPr="00F07D64" w:rsidTr="00701DCF">
        <w:trPr>
          <w:trHeight w:val="215"/>
          <w:jc w:val="center"/>
        </w:trPr>
        <w:tc>
          <w:tcPr>
            <w:tcW w:w="8455"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40FC" w:rsidRPr="00F07D64" w:rsidRDefault="00AC40FC" w:rsidP="00701DCF">
            <w:pPr>
              <w:spacing w:after="0"/>
              <w:rPr>
                <w:rFonts w:cs="Arial"/>
                <w:color w:val="000000"/>
                <w:sz w:val="20"/>
                <w:szCs w:val="20"/>
              </w:rPr>
            </w:pPr>
            <w:r w:rsidRPr="00F07D64">
              <w:rPr>
                <w:rFonts w:cs="Arial"/>
                <w:color w:val="000000"/>
                <w:sz w:val="20"/>
                <w:szCs w:val="20"/>
              </w:rPr>
              <w:t>Source</w:t>
            </w:r>
            <w:r>
              <w:rPr>
                <w:rFonts w:cs="Arial"/>
                <w:color w:val="000000"/>
                <w:sz w:val="20"/>
                <w:szCs w:val="20"/>
              </w:rPr>
              <w:t>s</w:t>
            </w:r>
            <w:r w:rsidRPr="00F07D64">
              <w:rPr>
                <w:rFonts w:cs="Arial"/>
                <w:color w:val="000000"/>
                <w:sz w:val="20"/>
                <w:szCs w:val="20"/>
              </w:rPr>
              <w:t xml:space="preserve">:  DN 04 -177/197; </w:t>
            </w:r>
            <w:bookmarkStart w:id="54" w:name="OLE_LINK4"/>
            <w:r w:rsidRPr="00F07D64">
              <w:rPr>
                <w:rFonts w:cs="Arial"/>
                <w:color w:val="000000"/>
                <w:sz w:val="20"/>
                <w:szCs w:val="20"/>
              </w:rPr>
              <w:t xml:space="preserve">PPL EU </w:t>
            </w:r>
            <w:bookmarkEnd w:id="54"/>
            <w:r>
              <w:rPr>
                <w:rFonts w:cs="Arial"/>
                <w:color w:val="000000"/>
                <w:sz w:val="20"/>
                <w:szCs w:val="20"/>
              </w:rPr>
              <w:t>edits</w:t>
            </w:r>
          </w:p>
        </w:tc>
      </w:tr>
    </w:tbl>
    <w:p w:rsidR="00AC40FC" w:rsidRDefault="00AC40FC" w:rsidP="00701DCF">
      <w:pPr>
        <w:pStyle w:val="Normal-aftertable"/>
      </w:pPr>
      <w:r w:rsidRPr="00B30427">
        <w:t>The dol</w:t>
      </w:r>
      <w:r>
        <w:t>lars per job comparison suggest</w:t>
      </w:r>
      <w:r w:rsidRPr="00B30427">
        <w:t xml:space="preserve">s that </w:t>
      </w:r>
      <w:r>
        <w:t xml:space="preserve">the Act 129 WRAP program produces lower costs per job.  In 2015 for example, the Universal Service WRAP unit costs were </w:t>
      </w:r>
      <w:r>
        <w:lastRenderedPageBreak/>
        <w:t>70% greater than Act 129 WRAP unit costs.  This cost disparity may partially be caused by more costly, full-heating jobs that were pushed off to Universal Service WRAP (Low-Income Usage Reduction Program (LIURP)) due to Act 129 WRAP budget restrictions.  Although there may be acceptable reasons for the disparity, an ongoing unit cost comparison will bring attention and analysis to the different unit costs.  Unit cost comparisons may also illuminate differences in contractor performance.</w:t>
      </w:r>
    </w:p>
    <w:p w:rsidR="00AC40FC" w:rsidRDefault="00AC40FC" w:rsidP="00701DCF">
      <w:pPr>
        <w:pStyle w:val="Normal-aftertable"/>
      </w:pPr>
      <w:r>
        <w:t>The PUC Bureau of Consumer Services (BCS) has proposed a project that will compare contractor performance between Act 129, LIURP and eventually, the Department of Community and Economic Development's Weatherization Assistance Program.  The project has been approved and BCS will be working directly with the Statewide Evaluator in Phase III of Act 129 to gather the data necessary to implement this comparison.  The data analysis will be done through the LIURP third-party evaluator.</w:t>
      </w:r>
    </w:p>
    <w:p w:rsidR="00AC40FC" w:rsidRDefault="00AC40FC" w:rsidP="004F00E5">
      <w:pPr>
        <w:pStyle w:val="Findings"/>
        <w:numPr>
          <w:ilvl w:val="0"/>
          <w:numId w:val="47"/>
        </w:numPr>
      </w:pPr>
      <w:r>
        <w:t>The costs per customer for the Universal Service WRAP have increased significantly in 2014 and 2015.</w:t>
      </w:r>
    </w:p>
    <w:p w:rsidR="00AC40FC" w:rsidRDefault="00AC40FC" w:rsidP="00701DCF">
      <w:r>
        <w:t>The graph below shows the costs per customer for five years and YTD November 2015:</w:t>
      </w:r>
    </w:p>
    <w:p w:rsidR="00AC40FC" w:rsidRDefault="00AC40FC" w:rsidP="00ED6D61">
      <w:pPr>
        <w:pStyle w:val="Caption"/>
      </w:pPr>
      <w:bookmarkStart w:id="55" w:name="_Toc462648405"/>
      <w:bookmarkStart w:id="56" w:name="_Toc464553027"/>
      <w:r>
        <w:t xml:space="preserve">Exhibit </w:t>
      </w:r>
      <w:fldSimple w:instr=" STYLEREF 1 \s ">
        <w:r w:rsidR="00A24205">
          <w:rPr>
            <w:noProof/>
          </w:rPr>
          <w:t>IX</w:t>
        </w:r>
      </w:fldSimple>
      <w:r w:rsidR="00264A1B">
        <w:noBreakHyphen/>
      </w:r>
      <w:fldSimple w:instr=" SEQ Exhibit \* ARABIC \s 1 ">
        <w:r w:rsidR="00A24205">
          <w:rPr>
            <w:noProof/>
          </w:rPr>
          <w:t>12</w:t>
        </w:r>
      </w:fldSimple>
      <w:r>
        <w:br/>
        <w:t>Universal Service WRAP Cost per Customer</w:t>
      </w:r>
      <w:bookmarkEnd w:id="55"/>
      <w:bookmarkEnd w:id="56"/>
    </w:p>
    <w:p w:rsidR="00AC40FC" w:rsidRDefault="00AC40FC" w:rsidP="00701DCF">
      <w:pPr>
        <w:jc w:val="center"/>
      </w:pPr>
      <w:r>
        <w:rPr>
          <w:noProof/>
        </w:rPr>
        <w:drawing>
          <wp:inline distT="0" distB="0" distL="0" distR="0">
            <wp:extent cx="4959350" cy="2108200"/>
            <wp:effectExtent l="0" t="0" r="12700" b="635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bl>
      <w:tblPr>
        <w:tblW w:w="8731" w:type="dxa"/>
        <w:jc w:val="center"/>
        <w:tblLayout w:type="fixed"/>
        <w:tblLook w:val="04A0"/>
      </w:tblPr>
      <w:tblGrid>
        <w:gridCol w:w="2566"/>
        <w:gridCol w:w="1026"/>
        <w:gridCol w:w="1026"/>
        <w:gridCol w:w="1026"/>
        <w:gridCol w:w="1026"/>
        <w:gridCol w:w="1026"/>
        <w:gridCol w:w="1035"/>
      </w:tblGrid>
      <w:tr w:rsidR="00AC40FC" w:rsidRPr="00C771FD" w:rsidTr="00701DCF">
        <w:trPr>
          <w:cantSplit/>
          <w:trHeight w:val="300"/>
          <w:tblHeader/>
          <w:jc w:val="center"/>
        </w:trPr>
        <w:tc>
          <w:tcPr>
            <w:tcW w:w="2566" w:type="dxa"/>
            <w:tcBorders>
              <w:top w:val="nil"/>
              <w:left w:val="nil"/>
              <w:bottom w:val="nil"/>
              <w:right w:val="nil"/>
            </w:tcBorders>
            <w:shd w:val="clear" w:color="auto" w:fill="A5CD7E"/>
            <w:noWrap/>
            <w:vAlign w:val="center"/>
            <w:hideMark/>
          </w:tcPr>
          <w:p w:rsidR="00AC40FC" w:rsidRPr="00252ED2" w:rsidRDefault="00AC40FC" w:rsidP="007370C9">
            <w:pPr>
              <w:spacing w:before="120"/>
              <w:jc w:val="center"/>
              <w:rPr>
                <w:rFonts w:cs="Arial"/>
                <w:b/>
                <w:color w:val="000000"/>
                <w:sz w:val="22"/>
              </w:rPr>
            </w:pPr>
            <w:r w:rsidRPr="00252ED2">
              <w:rPr>
                <w:rFonts w:cs="Arial"/>
                <w:b/>
                <w:color w:val="000000"/>
                <w:sz w:val="22"/>
              </w:rPr>
              <w:t>Factor</w:t>
            </w:r>
          </w:p>
        </w:tc>
        <w:tc>
          <w:tcPr>
            <w:tcW w:w="1026" w:type="dxa"/>
            <w:tcBorders>
              <w:top w:val="single" w:sz="4" w:space="0" w:color="auto"/>
              <w:left w:val="single" w:sz="4" w:space="0" w:color="auto"/>
              <w:bottom w:val="single" w:sz="4" w:space="0" w:color="auto"/>
              <w:right w:val="single" w:sz="4" w:space="0" w:color="auto"/>
            </w:tcBorders>
            <w:shd w:val="clear" w:color="auto" w:fill="A5CD7E"/>
            <w:noWrap/>
            <w:vAlign w:val="center"/>
            <w:hideMark/>
          </w:tcPr>
          <w:p w:rsidR="00AC40FC" w:rsidRPr="00252ED2" w:rsidRDefault="00AC40FC" w:rsidP="007370C9">
            <w:pPr>
              <w:spacing w:before="120"/>
              <w:jc w:val="center"/>
              <w:rPr>
                <w:rFonts w:cs="Arial"/>
                <w:b/>
                <w:color w:val="000000"/>
                <w:sz w:val="22"/>
              </w:rPr>
            </w:pPr>
            <w:r w:rsidRPr="00252ED2">
              <w:rPr>
                <w:rFonts w:cs="Arial"/>
                <w:b/>
                <w:color w:val="000000"/>
                <w:sz w:val="22"/>
              </w:rPr>
              <w:t>2010</w:t>
            </w:r>
          </w:p>
        </w:tc>
        <w:tc>
          <w:tcPr>
            <w:tcW w:w="1026"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252ED2" w:rsidRDefault="00AC40FC" w:rsidP="007370C9">
            <w:pPr>
              <w:spacing w:before="120"/>
              <w:jc w:val="center"/>
              <w:rPr>
                <w:rFonts w:cs="Arial"/>
                <w:b/>
                <w:color w:val="000000"/>
                <w:sz w:val="22"/>
              </w:rPr>
            </w:pPr>
            <w:r w:rsidRPr="00252ED2">
              <w:rPr>
                <w:rFonts w:cs="Arial"/>
                <w:b/>
                <w:color w:val="000000"/>
                <w:sz w:val="22"/>
              </w:rPr>
              <w:t>2011</w:t>
            </w:r>
          </w:p>
        </w:tc>
        <w:tc>
          <w:tcPr>
            <w:tcW w:w="1026"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252ED2" w:rsidRDefault="00AC40FC" w:rsidP="007370C9">
            <w:pPr>
              <w:spacing w:before="120"/>
              <w:jc w:val="center"/>
              <w:rPr>
                <w:rFonts w:cs="Arial"/>
                <w:b/>
                <w:color w:val="000000"/>
                <w:sz w:val="22"/>
              </w:rPr>
            </w:pPr>
            <w:r w:rsidRPr="00252ED2">
              <w:rPr>
                <w:rFonts w:cs="Arial"/>
                <w:b/>
                <w:color w:val="000000"/>
                <w:sz w:val="22"/>
              </w:rPr>
              <w:t>2012</w:t>
            </w:r>
          </w:p>
        </w:tc>
        <w:tc>
          <w:tcPr>
            <w:tcW w:w="1026"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252ED2" w:rsidRDefault="00AC40FC" w:rsidP="007370C9">
            <w:pPr>
              <w:spacing w:before="120"/>
              <w:jc w:val="center"/>
              <w:rPr>
                <w:rFonts w:cs="Arial"/>
                <w:b/>
                <w:color w:val="000000"/>
                <w:sz w:val="22"/>
              </w:rPr>
            </w:pPr>
            <w:r w:rsidRPr="00252ED2">
              <w:rPr>
                <w:rFonts w:cs="Arial"/>
                <w:b/>
                <w:color w:val="000000"/>
                <w:sz w:val="22"/>
              </w:rPr>
              <w:t>2013</w:t>
            </w:r>
          </w:p>
        </w:tc>
        <w:tc>
          <w:tcPr>
            <w:tcW w:w="1026"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252ED2" w:rsidRDefault="00AC40FC" w:rsidP="007370C9">
            <w:pPr>
              <w:spacing w:before="120"/>
              <w:jc w:val="center"/>
              <w:rPr>
                <w:rFonts w:cs="Arial"/>
                <w:b/>
                <w:color w:val="000000"/>
                <w:sz w:val="22"/>
              </w:rPr>
            </w:pPr>
            <w:r w:rsidRPr="00252ED2">
              <w:rPr>
                <w:rFonts w:cs="Arial"/>
                <w:b/>
                <w:color w:val="000000"/>
                <w:sz w:val="22"/>
              </w:rPr>
              <w:t>2014</w:t>
            </w:r>
          </w:p>
        </w:tc>
        <w:tc>
          <w:tcPr>
            <w:tcW w:w="1035"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252ED2" w:rsidRDefault="00AC40FC" w:rsidP="007370C9">
            <w:pPr>
              <w:spacing w:before="120"/>
              <w:jc w:val="center"/>
              <w:rPr>
                <w:rFonts w:cs="Arial"/>
                <w:b/>
                <w:color w:val="000000"/>
                <w:sz w:val="22"/>
              </w:rPr>
            </w:pPr>
            <w:r w:rsidRPr="00252ED2">
              <w:rPr>
                <w:rFonts w:cs="Arial"/>
                <w:b/>
                <w:color w:val="000000"/>
                <w:sz w:val="22"/>
              </w:rPr>
              <w:t>2015</w:t>
            </w:r>
          </w:p>
        </w:tc>
      </w:tr>
      <w:tr w:rsidR="00AC40FC" w:rsidRPr="00C771FD" w:rsidTr="00701DCF">
        <w:trPr>
          <w:trHeight w:val="300"/>
          <w:jc w:val="center"/>
        </w:trPr>
        <w:tc>
          <w:tcPr>
            <w:tcW w:w="2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40FC" w:rsidRPr="00252ED2" w:rsidRDefault="00AC40FC" w:rsidP="00701DCF">
            <w:pPr>
              <w:spacing w:after="0"/>
              <w:jc w:val="center"/>
              <w:rPr>
                <w:rFonts w:cs="Arial"/>
                <w:color w:val="000000"/>
                <w:sz w:val="22"/>
              </w:rPr>
            </w:pPr>
            <w:r w:rsidRPr="00252ED2">
              <w:rPr>
                <w:rFonts w:cs="Arial"/>
                <w:color w:val="000000"/>
                <w:sz w:val="22"/>
              </w:rPr>
              <w:t>WRAP Monthly Cost per Customer</w:t>
            </w:r>
          </w:p>
        </w:tc>
        <w:tc>
          <w:tcPr>
            <w:tcW w:w="1026" w:type="dxa"/>
            <w:tcBorders>
              <w:top w:val="nil"/>
              <w:left w:val="nil"/>
              <w:bottom w:val="nil"/>
              <w:right w:val="single" w:sz="4" w:space="0" w:color="auto"/>
            </w:tcBorders>
            <w:shd w:val="clear" w:color="auto" w:fill="auto"/>
            <w:noWrap/>
            <w:vAlign w:val="center"/>
            <w:hideMark/>
          </w:tcPr>
          <w:p w:rsidR="00AC40FC" w:rsidRPr="00252ED2" w:rsidRDefault="00AC40FC" w:rsidP="00701DCF">
            <w:pPr>
              <w:spacing w:after="0"/>
              <w:jc w:val="center"/>
              <w:rPr>
                <w:rFonts w:cs="Arial"/>
                <w:color w:val="000000"/>
                <w:sz w:val="22"/>
              </w:rPr>
            </w:pPr>
            <w:r w:rsidRPr="00252ED2">
              <w:rPr>
                <w:rFonts w:cs="Arial"/>
                <w:color w:val="000000"/>
                <w:sz w:val="22"/>
              </w:rPr>
              <w:t>$0.49</w:t>
            </w:r>
          </w:p>
        </w:tc>
        <w:tc>
          <w:tcPr>
            <w:tcW w:w="1026" w:type="dxa"/>
            <w:tcBorders>
              <w:top w:val="nil"/>
              <w:left w:val="nil"/>
              <w:bottom w:val="nil"/>
              <w:right w:val="single" w:sz="4" w:space="0" w:color="auto"/>
            </w:tcBorders>
            <w:shd w:val="clear" w:color="auto" w:fill="auto"/>
            <w:noWrap/>
            <w:vAlign w:val="center"/>
            <w:hideMark/>
          </w:tcPr>
          <w:p w:rsidR="00AC40FC" w:rsidRPr="00252ED2" w:rsidRDefault="00AC40FC" w:rsidP="00701DCF">
            <w:pPr>
              <w:spacing w:after="0"/>
              <w:jc w:val="center"/>
              <w:rPr>
                <w:rFonts w:cs="Arial"/>
                <w:color w:val="000000"/>
                <w:sz w:val="22"/>
              </w:rPr>
            </w:pPr>
            <w:r w:rsidRPr="00252ED2">
              <w:rPr>
                <w:rFonts w:cs="Arial"/>
                <w:color w:val="000000"/>
                <w:sz w:val="22"/>
              </w:rPr>
              <w:t>$0.48</w:t>
            </w:r>
          </w:p>
        </w:tc>
        <w:tc>
          <w:tcPr>
            <w:tcW w:w="1026" w:type="dxa"/>
            <w:tcBorders>
              <w:top w:val="nil"/>
              <w:left w:val="nil"/>
              <w:bottom w:val="nil"/>
              <w:right w:val="single" w:sz="4" w:space="0" w:color="auto"/>
            </w:tcBorders>
            <w:shd w:val="clear" w:color="auto" w:fill="auto"/>
            <w:noWrap/>
            <w:vAlign w:val="center"/>
            <w:hideMark/>
          </w:tcPr>
          <w:p w:rsidR="00AC40FC" w:rsidRPr="00252ED2" w:rsidRDefault="00AC40FC" w:rsidP="00701DCF">
            <w:pPr>
              <w:spacing w:after="0"/>
              <w:jc w:val="center"/>
              <w:rPr>
                <w:rFonts w:cs="Arial"/>
                <w:color w:val="000000"/>
                <w:sz w:val="22"/>
              </w:rPr>
            </w:pPr>
            <w:r w:rsidRPr="00252ED2">
              <w:rPr>
                <w:rFonts w:cs="Arial"/>
                <w:color w:val="000000"/>
                <w:sz w:val="22"/>
              </w:rPr>
              <w:t>$0.49</w:t>
            </w:r>
          </w:p>
        </w:tc>
        <w:tc>
          <w:tcPr>
            <w:tcW w:w="1026" w:type="dxa"/>
            <w:tcBorders>
              <w:top w:val="nil"/>
              <w:left w:val="nil"/>
              <w:bottom w:val="nil"/>
              <w:right w:val="single" w:sz="4" w:space="0" w:color="auto"/>
            </w:tcBorders>
            <w:shd w:val="clear" w:color="auto" w:fill="auto"/>
            <w:noWrap/>
            <w:vAlign w:val="center"/>
            <w:hideMark/>
          </w:tcPr>
          <w:p w:rsidR="00AC40FC" w:rsidRPr="00252ED2" w:rsidRDefault="00AC40FC" w:rsidP="00701DCF">
            <w:pPr>
              <w:spacing w:after="0"/>
              <w:jc w:val="center"/>
              <w:rPr>
                <w:rFonts w:cs="Arial"/>
                <w:color w:val="000000"/>
                <w:sz w:val="22"/>
              </w:rPr>
            </w:pPr>
            <w:r w:rsidRPr="00252ED2">
              <w:rPr>
                <w:rFonts w:cs="Arial"/>
                <w:color w:val="000000"/>
                <w:sz w:val="22"/>
              </w:rPr>
              <w:t>$0.49</w:t>
            </w:r>
          </w:p>
        </w:tc>
        <w:tc>
          <w:tcPr>
            <w:tcW w:w="1026" w:type="dxa"/>
            <w:tcBorders>
              <w:top w:val="nil"/>
              <w:left w:val="nil"/>
              <w:bottom w:val="nil"/>
              <w:right w:val="single" w:sz="4" w:space="0" w:color="auto"/>
            </w:tcBorders>
            <w:shd w:val="clear" w:color="auto" w:fill="auto"/>
            <w:noWrap/>
            <w:vAlign w:val="center"/>
            <w:hideMark/>
          </w:tcPr>
          <w:p w:rsidR="00AC40FC" w:rsidRPr="00252ED2" w:rsidRDefault="00AC40FC" w:rsidP="00701DCF">
            <w:pPr>
              <w:spacing w:after="0"/>
              <w:jc w:val="center"/>
              <w:rPr>
                <w:rFonts w:cs="Arial"/>
                <w:color w:val="000000"/>
                <w:sz w:val="22"/>
              </w:rPr>
            </w:pPr>
            <w:r w:rsidRPr="00252ED2">
              <w:rPr>
                <w:rFonts w:cs="Arial"/>
                <w:color w:val="000000"/>
                <w:sz w:val="22"/>
              </w:rPr>
              <w:t>$0.59</w:t>
            </w:r>
          </w:p>
        </w:tc>
        <w:tc>
          <w:tcPr>
            <w:tcW w:w="1035" w:type="dxa"/>
            <w:tcBorders>
              <w:top w:val="nil"/>
              <w:left w:val="nil"/>
              <w:bottom w:val="nil"/>
              <w:right w:val="single" w:sz="4" w:space="0" w:color="auto"/>
            </w:tcBorders>
            <w:shd w:val="clear" w:color="auto" w:fill="auto"/>
            <w:noWrap/>
            <w:vAlign w:val="center"/>
            <w:hideMark/>
          </w:tcPr>
          <w:p w:rsidR="00AC40FC" w:rsidRPr="00252ED2" w:rsidRDefault="00AC40FC" w:rsidP="00701DCF">
            <w:pPr>
              <w:spacing w:after="0"/>
              <w:jc w:val="center"/>
              <w:rPr>
                <w:rFonts w:cs="Arial"/>
                <w:color w:val="000000"/>
                <w:sz w:val="22"/>
              </w:rPr>
            </w:pPr>
            <w:r>
              <w:rPr>
                <w:rFonts w:cs="Arial"/>
                <w:color w:val="000000"/>
                <w:sz w:val="22"/>
              </w:rPr>
              <w:t>$0.57</w:t>
            </w:r>
          </w:p>
        </w:tc>
      </w:tr>
      <w:tr w:rsidR="00AC40FC" w:rsidRPr="00C771FD" w:rsidTr="00701DCF">
        <w:trPr>
          <w:trHeight w:val="278"/>
          <w:jc w:val="center"/>
        </w:trPr>
        <w:tc>
          <w:tcPr>
            <w:tcW w:w="8731"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AC40FC" w:rsidRPr="00A37F93" w:rsidRDefault="00AC40FC" w:rsidP="00701DCF">
            <w:pPr>
              <w:spacing w:after="0"/>
              <w:rPr>
                <w:rFonts w:cs="Arial"/>
                <w:color w:val="000000"/>
                <w:sz w:val="22"/>
              </w:rPr>
            </w:pPr>
            <w:r w:rsidRPr="00A37F93">
              <w:rPr>
                <w:rFonts w:cs="Arial"/>
                <w:color w:val="000000"/>
                <w:sz w:val="22"/>
              </w:rPr>
              <w:t>Source</w:t>
            </w:r>
            <w:r>
              <w:rPr>
                <w:rFonts w:cs="Arial"/>
                <w:color w:val="000000"/>
                <w:sz w:val="22"/>
              </w:rPr>
              <w:t>s</w:t>
            </w:r>
            <w:r w:rsidRPr="00A37F93">
              <w:rPr>
                <w:rFonts w:cs="Arial"/>
                <w:color w:val="000000"/>
                <w:sz w:val="22"/>
              </w:rPr>
              <w:t xml:space="preserve">:  DN 14-175; </w:t>
            </w:r>
            <w:bookmarkStart w:id="57" w:name="OLE_LINK5"/>
            <w:r w:rsidRPr="00F07D64">
              <w:rPr>
                <w:rFonts w:cs="Arial"/>
                <w:color w:val="000000"/>
                <w:sz w:val="22"/>
              </w:rPr>
              <w:t xml:space="preserve">PPL EU </w:t>
            </w:r>
            <w:bookmarkEnd w:id="57"/>
            <w:r>
              <w:rPr>
                <w:rFonts w:cs="Arial"/>
                <w:color w:val="000000"/>
                <w:sz w:val="22"/>
              </w:rPr>
              <w:t>edits</w:t>
            </w:r>
          </w:p>
        </w:tc>
      </w:tr>
    </w:tbl>
    <w:p w:rsidR="00AC40FC" w:rsidRDefault="00AC40FC" w:rsidP="00701DCF">
      <w:pPr>
        <w:pStyle w:val="Normal-aftertable"/>
      </w:pPr>
      <w:r>
        <w:t>The cost per customer spiked in 2014 and was higher in 2015 compared to stable unit costs from 2010 through 2013. The average of 2014 and 2015 ($0.58) is about 18% higher than the previous three years.</w:t>
      </w:r>
    </w:p>
    <w:p w:rsidR="00AC40FC" w:rsidRDefault="00AC40FC" w:rsidP="00701DCF">
      <w:r w:rsidRPr="00765446">
        <w:t>The recent upward trend in Universal Service (LIURP) WRAP Cost per Customer was explained as: (1) The number of completed Full Cost (heating) jobs increased from 1,284 in 2013 to 1,614 in 2014, with a mi</w:t>
      </w:r>
      <w:r w:rsidR="00E32117">
        <w:t xml:space="preserve">ld decrease to 1,579 in 2015.  </w:t>
      </w:r>
      <w:r w:rsidRPr="00765446">
        <w:t xml:space="preserve">PPL EU channeled the majority of non-heating jobs for customers below 150% of the federal poverty level guidelines to Act 129 WRAP from June 2013 through 2015, (2) PPL EU’s health and safety allowance for Full Cost jobs increased from $250 to $650 in </w:t>
      </w:r>
      <w:r w:rsidRPr="00765446">
        <w:lastRenderedPageBreak/>
        <w:t>accordance with its approved 2014-2016 Three-Year Plan, (3) The price for standard electric water heaters increased in 2015 as a result of changes in federal standards, (4) In 2014, a number of municipalities introduced new permits and/or regulations in conjunction with water heater replacement or weatherization work, (5) In June 2014, PPL EU implemented the installation of Light-Emitting Diode bulbs (LEDs) as opposed to Compact Fluorescent Bulbs (CFLs) as a standard WRAP measure.  At that time, LEDs had a significantly higher material price than CFLs, and (6) Funding for the Pennsylvania Weatherization Assistance Program (</w:t>
      </w:r>
      <w:r w:rsidRPr="00765446">
        <w:rPr>
          <w:rFonts w:cs="Arial"/>
        </w:rPr>
        <w:t xml:space="preserve">American Recovery and Reinvestment Act) </w:t>
      </w:r>
      <w:r w:rsidRPr="00765446">
        <w:t>decreased after 2012; therefore, there were fewer opportunities for inter-utility coordination.</w:t>
      </w:r>
    </w:p>
    <w:p w:rsidR="00AC40FC" w:rsidRDefault="00AC40FC" w:rsidP="00701DCF">
      <w:pPr>
        <w:pStyle w:val="Normal-aftertable"/>
      </w:pPr>
      <w:r>
        <w:t>Reasons for these increased unit costs may be understood and actions may be underway to control the increases, nevertheless, tracking the unit costs will help Customer Services compare year-to-year internal changes and provide comparability with other utilities for benchmarking purposes.  PPL EU recovers expenses only for WRAP and OnTrack through the Universal Service Rider.  Any reductions in the costs per customer will directly translate to a reduction in the Rider and resulting bill impact.</w:t>
      </w:r>
    </w:p>
    <w:p w:rsidR="00AC40FC" w:rsidRDefault="00AC40FC" w:rsidP="004F00E5">
      <w:pPr>
        <w:pStyle w:val="Findings"/>
        <w:numPr>
          <w:ilvl w:val="0"/>
          <w:numId w:val="47"/>
        </w:numPr>
      </w:pPr>
      <w:r>
        <w:t xml:space="preserve">Additional metrics have not been employed to measure or gauge the spending strategies of the PPL EU WRAP programs. </w:t>
      </w:r>
    </w:p>
    <w:p w:rsidR="00AC40FC" w:rsidRDefault="00AC40FC" w:rsidP="00701DCF">
      <w:r>
        <w:t xml:space="preserve">Neither of the two WRAP programs explicitly track and report the estimated KWh saved on either a per job or per administrative cost basis.  </w:t>
      </w:r>
    </w:p>
    <w:p w:rsidR="00AC40FC" w:rsidRDefault="00AC40FC" w:rsidP="00701DCF">
      <w:r>
        <w:t>The PUC uses a single contractor to analyze and report annually on Pennsylvania's Act 129 programs at each electric distribution company (EDC).  With respect to Act 129 WRAP, the "Process Evaluation Report on PPL EU EE&amp;C Plan, Program Five," dated November 13, 2014, compared Average EDC Cost Per Participant.  PPL EU's unit cost was $1.92, 116% higher than the next highest EDC.</w:t>
      </w:r>
    </w:p>
    <w:p w:rsidR="00AC40FC" w:rsidRDefault="00AC40FC" w:rsidP="00701DCF">
      <w:r>
        <w:t>The contractor noted that PPL EU had the second highest total Total Resource Cost (TRC) benefits of all Pennsylvania EDCs, it also had the highest total TRC costs.  PPL EU reported aggregate costs into two categories—management and EDC incentives to participants.  Other EDCs break costs out by additional categories, so it was not clear to the contractor what was driving PPL EU’s higher costs.  Regardless, PPL EU's total TRC costs were higher than other EDCs in PY4 and in Phase I.  Although PPL EU’s WRAP had the third-highest MWh savings per participant and the second-highest total TRC benefits of all seven EDCs, the program also had the highest total TRC costs.</w:t>
      </w:r>
    </w:p>
    <w:p w:rsidR="00AC40FC" w:rsidRDefault="00AC40FC" w:rsidP="00701DCF">
      <w:r>
        <w:t>The contractor also determined the acquisition costs (cost per KWh saved) for PPL EU's 2013 and 2014 LIURP (WRAP), although these costs were not included as part of the required regulatory reporting.</w:t>
      </w:r>
    </w:p>
    <w:p w:rsidR="00AC40FC" w:rsidRDefault="00AC40FC" w:rsidP="00701DCF">
      <w:r>
        <w:t>More granular metrics and unit costs illuminate the relationship of controllable administrative dollars spent and jobs completed compared to estimated Watt-hour savings.  Additional metrics may address the contractor's observation that PPL EU lacked certain reporting categories and explain what was driving PPL EU's higher costs.  Such information may suggest alternative program spending strategies and improved administrative cost-effectiveness.</w:t>
      </w:r>
    </w:p>
    <w:p w:rsidR="00AC40FC" w:rsidRDefault="00AC40FC" w:rsidP="004F00E5">
      <w:pPr>
        <w:pStyle w:val="Findings"/>
        <w:numPr>
          <w:ilvl w:val="0"/>
          <w:numId w:val="47"/>
        </w:numPr>
      </w:pPr>
      <w:r>
        <w:lastRenderedPageBreak/>
        <w:t>Customer Services h</w:t>
      </w:r>
      <w:r w:rsidRPr="00B641ED">
        <w:t xml:space="preserve">as been </w:t>
      </w:r>
      <w:r>
        <w:t xml:space="preserve">failing to meet its 2015 target of </w:t>
      </w:r>
      <w:r w:rsidRPr="00B641ED">
        <w:t xml:space="preserve">maintaining the </w:t>
      </w:r>
      <w:r>
        <w:t>Justified</w:t>
      </w:r>
      <w:r w:rsidRPr="00B641ED">
        <w:t xml:space="preserve"> Informal Complaint</w:t>
      </w:r>
      <w:r>
        <w:t xml:space="preserve"> Rate</w:t>
      </w:r>
      <w:r w:rsidRPr="00B641ED">
        <w:t xml:space="preserve"> below </w:t>
      </w:r>
      <w:r>
        <w:t>five percent</w:t>
      </w:r>
      <w:r w:rsidRPr="00B641ED">
        <w:t>.</w:t>
      </w:r>
    </w:p>
    <w:p w:rsidR="00AC40FC" w:rsidRDefault="00AC40FC" w:rsidP="00701DCF">
      <w:r w:rsidRPr="00F84724">
        <w:t xml:space="preserve">A justified informal consumer complaint is a complaint </w:t>
      </w:r>
      <w:r>
        <w:t>in which</w:t>
      </w:r>
      <w:r w:rsidRPr="00F84724">
        <w:t xml:space="preserve"> the PUC has determined that the utility did not follow Commission procedures, orders</w:t>
      </w:r>
      <w:r>
        <w:t>,</w:t>
      </w:r>
      <w:r w:rsidRPr="00F84724">
        <w:t xml:space="preserve"> or regulations.  Once a customer contacts the PUC with an informal complaint, the utility is notified that a complaint was filed.  The utility </w:t>
      </w:r>
      <w:r>
        <w:t xml:space="preserve">must reply to </w:t>
      </w:r>
      <w:r w:rsidRPr="00F84724">
        <w:t xml:space="preserve">the PUC </w:t>
      </w:r>
      <w:r>
        <w:t xml:space="preserve">with </w:t>
      </w:r>
      <w:r w:rsidRPr="00F84724">
        <w:t>all records concerning the complaint, including any specific contacts with the customer about the complaint</w:t>
      </w:r>
      <w:r>
        <w:t>, within 30 days.</w:t>
      </w:r>
      <w:r w:rsidRPr="00F84724">
        <w:t xml:space="preserve"> </w:t>
      </w:r>
      <w:r>
        <w:t xml:space="preserve"> </w:t>
      </w:r>
      <w:r w:rsidRPr="00F84724">
        <w:t>The PUC reviews the information, interacts with both the complainant and utility, as necessary, and renders a decision.</w:t>
      </w:r>
    </w:p>
    <w:p w:rsidR="00AC40FC" w:rsidRPr="00B641ED" w:rsidRDefault="00AC40FC" w:rsidP="00701DCF">
      <w:r>
        <w:t xml:space="preserve">The data below depicts the 2015 informal complaints received and managed by Regulatory Programs:  </w:t>
      </w:r>
    </w:p>
    <w:p w:rsidR="00AC40FC" w:rsidRPr="00D8135A" w:rsidRDefault="00AC40FC" w:rsidP="00ED6D61">
      <w:pPr>
        <w:pStyle w:val="Caption"/>
      </w:pPr>
      <w:bookmarkStart w:id="58" w:name="_Toc462648406"/>
      <w:bookmarkStart w:id="59" w:name="_Toc464553028"/>
      <w:r>
        <w:t xml:space="preserve">Exhibit </w:t>
      </w:r>
      <w:fldSimple w:instr=" STYLEREF 1 \s ">
        <w:r w:rsidR="00A24205">
          <w:rPr>
            <w:noProof/>
          </w:rPr>
          <w:t>IX</w:t>
        </w:r>
      </w:fldSimple>
      <w:r w:rsidR="00264A1B">
        <w:noBreakHyphen/>
      </w:r>
      <w:fldSimple w:instr=" SEQ Exhibit \* ARABIC \s 1 ">
        <w:r w:rsidR="00A24205">
          <w:rPr>
            <w:noProof/>
          </w:rPr>
          <w:t>13</w:t>
        </w:r>
      </w:fldSimple>
      <w:r>
        <w:br/>
        <w:t xml:space="preserve">2015 </w:t>
      </w:r>
      <w:r w:rsidRPr="00D8135A">
        <w:t>Percent PUC Informal Complaints Determined as “Justified”</w:t>
      </w:r>
      <w:bookmarkEnd w:id="58"/>
      <w:bookmarkEnd w:id="59"/>
    </w:p>
    <w:p w:rsidR="00AC40FC" w:rsidRDefault="00AC40FC" w:rsidP="00701DCF">
      <w:pPr>
        <w:jc w:val="center"/>
        <w:rPr>
          <w:highlight w:val="yellow"/>
        </w:rPr>
      </w:pPr>
      <w:r>
        <w:rPr>
          <w:noProof/>
        </w:rPr>
        <w:drawing>
          <wp:inline distT="0" distB="0" distL="0" distR="0">
            <wp:extent cx="4843261" cy="3067050"/>
            <wp:effectExtent l="0" t="0" r="14605"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bl>
      <w:tblPr>
        <w:tblW w:w="0" w:type="auto"/>
        <w:jc w:val="center"/>
        <w:tblLayout w:type="fixed"/>
        <w:tblLook w:val="04A0"/>
      </w:tblPr>
      <w:tblGrid>
        <w:gridCol w:w="2724"/>
        <w:gridCol w:w="2237"/>
        <w:gridCol w:w="1892"/>
        <w:gridCol w:w="1535"/>
      </w:tblGrid>
      <w:tr w:rsidR="00AC40FC" w:rsidRPr="004A01B2" w:rsidTr="00701DCF">
        <w:trPr>
          <w:cantSplit/>
          <w:trHeight w:val="600"/>
          <w:tblHeader/>
          <w:jc w:val="center"/>
        </w:trPr>
        <w:tc>
          <w:tcPr>
            <w:tcW w:w="2724" w:type="dxa"/>
            <w:tcBorders>
              <w:top w:val="single" w:sz="4" w:space="0" w:color="auto"/>
              <w:left w:val="single" w:sz="4" w:space="0" w:color="auto"/>
              <w:bottom w:val="single" w:sz="4" w:space="0" w:color="auto"/>
              <w:right w:val="single" w:sz="4" w:space="0" w:color="auto"/>
            </w:tcBorders>
            <w:shd w:val="clear" w:color="auto" w:fill="A5CD7E"/>
            <w:noWrap/>
            <w:vAlign w:val="center"/>
            <w:hideMark/>
          </w:tcPr>
          <w:p w:rsidR="00AC40FC" w:rsidRPr="00157774" w:rsidRDefault="00AC40FC" w:rsidP="007370C9">
            <w:pPr>
              <w:spacing w:before="120"/>
              <w:jc w:val="center"/>
              <w:rPr>
                <w:rFonts w:cs="Arial"/>
                <w:b/>
                <w:color w:val="000000"/>
                <w:sz w:val="22"/>
              </w:rPr>
            </w:pPr>
            <w:r w:rsidRPr="00157774">
              <w:rPr>
                <w:rFonts w:cs="Arial"/>
                <w:b/>
                <w:color w:val="000000"/>
                <w:sz w:val="22"/>
              </w:rPr>
              <w:t>Complaint Types</w:t>
            </w:r>
          </w:p>
        </w:tc>
        <w:tc>
          <w:tcPr>
            <w:tcW w:w="2237" w:type="dxa"/>
            <w:tcBorders>
              <w:top w:val="single" w:sz="4" w:space="0" w:color="auto"/>
              <w:left w:val="nil"/>
              <w:bottom w:val="single" w:sz="4" w:space="0" w:color="auto"/>
              <w:right w:val="single" w:sz="4" w:space="0" w:color="auto"/>
            </w:tcBorders>
            <w:shd w:val="clear" w:color="auto" w:fill="A5CD7E"/>
            <w:vAlign w:val="center"/>
            <w:hideMark/>
          </w:tcPr>
          <w:p w:rsidR="00AC40FC" w:rsidRPr="00157774" w:rsidRDefault="00AC40FC" w:rsidP="007370C9">
            <w:pPr>
              <w:spacing w:before="120"/>
              <w:jc w:val="center"/>
              <w:rPr>
                <w:rFonts w:cs="Arial"/>
                <w:b/>
                <w:color w:val="000000"/>
                <w:sz w:val="22"/>
              </w:rPr>
            </w:pPr>
            <w:r w:rsidRPr="00157774">
              <w:rPr>
                <w:rFonts w:cs="Arial"/>
                <w:b/>
                <w:color w:val="000000"/>
                <w:sz w:val="22"/>
              </w:rPr>
              <w:t>Complaints Received by PUC</w:t>
            </w:r>
          </w:p>
        </w:tc>
        <w:tc>
          <w:tcPr>
            <w:tcW w:w="1892" w:type="dxa"/>
            <w:tcBorders>
              <w:top w:val="single" w:sz="4" w:space="0" w:color="auto"/>
              <w:left w:val="nil"/>
              <w:bottom w:val="single" w:sz="4" w:space="0" w:color="auto"/>
              <w:right w:val="single" w:sz="4" w:space="0" w:color="auto"/>
            </w:tcBorders>
            <w:shd w:val="clear" w:color="auto" w:fill="A5CD7E"/>
            <w:vAlign w:val="center"/>
            <w:hideMark/>
          </w:tcPr>
          <w:p w:rsidR="00AC40FC" w:rsidRPr="00157774" w:rsidRDefault="00AC40FC" w:rsidP="007370C9">
            <w:pPr>
              <w:spacing w:before="120"/>
              <w:jc w:val="center"/>
              <w:rPr>
                <w:rFonts w:cs="Arial"/>
                <w:b/>
                <w:color w:val="000000"/>
                <w:sz w:val="22"/>
              </w:rPr>
            </w:pPr>
            <w:r w:rsidRPr="00157774">
              <w:rPr>
                <w:rFonts w:cs="Arial"/>
                <w:b/>
                <w:color w:val="000000"/>
                <w:sz w:val="22"/>
              </w:rPr>
              <w:t>Complaints Justified</w:t>
            </w:r>
          </w:p>
        </w:tc>
        <w:tc>
          <w:tcPr>
            <w:tcW w:w="1535" w:type="dxa"/>
            <w:tcBorders>
              <w:top w:val="single" w:sz="4" w:space="0" w:color="auto"/>
              <w:left w:val="nil"/>
              <w:bottom w:val="single" w:sz="4" w:space="0" w:color="auto"/>
              <w:right w:val="single" w:sz="4" w:space="0" w:color="auto"/>
            </w:tcBorders>
            <w:shd w:val="clear" w:color="auto" w:fill="A5CD7E"/>
            <w:vAlign w:val="center"/>
            <w:hideMark/>
          </w:tcPr>
          <w:p w:rsidR="00AC40FC" w:rsidRPr="00157774" w:rsidRDefault="00AC40FC" w:rsidP="007370C9">
            <w:pPr>
              <w:spacing w:before="120"/>
              <w:jc w:val="center"/>
              <w:rPr>
                <w:rFonts w:cs="Arial"/>
                <w:b/>
                <w:color w:val="000000"/>
                <w:sz w:val="22"/>
              </w:rPr>
            </w:pPr>
            <w:r w:rsidRPr="00157774">
              <w:rPr>
                <w:rFonts w:cs="Arial"/>
                <w:b/>
                <w:color w:val="000000"/>
                <w:sz w:val="22"/>
              </w:rPr>
              <w:t>Percent of Total Justified</w:t>
            </w:r>
          </w:p>
        </w:tc>
      </w:tr>
      <w:tr w:rsidR="00AC40FC" w:rsidRPr="004A01B2" w:rsidTr="00701DCF">
        <w:trPr>
          <w:trHeight w:val="300"/>
          <w:jc w:val="center"/>
        </w:trPr>
        <w:tc>
          <w:tcPr>
            <w:tcW w:w="2724" w:type="dxa"/>
            <w:tcBorders>
              <w:top w:val="nil"/>
              <w:left w:val="single" w:sz="4" w:space="0" w:color="auto"/>
              <w:bottom w:val="single" w:sz="4" w:space="0" w:color="auto"/>
              <w:right w:val="single" w:sz="4" w:space="0" w:color="auto"/>
            </w:tcBorders>
            <w:shd w:val="clear" w:color="auto" w:fill="auto"/>
            <w:noWrap/>
            <w:vAlign w:val="center"/>
            <w:hideMark/>
          </w:tcPr>
          <w:p w:rsidR="00AC40FC" w:rsidRPr="00157774" w:rsidRDefault="00AC40FC" w:rsidP="00701DCF">
            <w:pPr>
              <w:spacing w:after="0"/>
              <w:jc w:val="center"/>
              <w:rPr>
                <w:rFonts w:cs="Arial"/>
                <w:sz w:val="22"/>
              </w:rPr>
            </w:pPr>
            <w:r w:rsidRPr="00157774">
              <w:rPr>
                <w:rFonts w:cs="Arial"/>
                <w:sz w:val="22"/>
              </w:rPr>
              <w:t>Application for Service</w:t>
            </w:r>
          </w:p>
        </w:tc>
        <w:tc>
          <w:tcPr>
            <w:tcW w:w="2237" w:type="dxa"/>
            <w:tcBorders>
              <w:top w:val="nil"/>
              <w:left w:val="nil"/>
              <w:bottom w:val="single" w:sz="4" w:space="0" w:color="auto"/>
              <w:right w:val="single" w:sz="4" w:space="0" w:color="auto"/>
            </w:tcBorders>
            <w:shd w:val="clear" w:color="auto" w:fill="auto"/>
            <w:noWrap/>
            <w:vAlign w:val="bottom"/>
            <w:hideMark/>
          </w:tcPr>
          <w:p w:rsidR="00AC40FC" w:rsidRPr="00157774" w:rsidRDefault="00AC40FC" w:rsidP="00701DCF">
            <w:pPr>
              <w:spacing w:after="0"/>
              <w:jc w:val="center"/>
              <w:rPr>
                <w:rFonts w:cs="Arial"/>
                <w:color w:val="000000"/>
                <w:sz w:val="22"/>
              </w:rPr>
            </w:pPr>
            <w:r w:rsidRPr="00157774">
              <w:rPr>
                <w:rFonts w:cs="Arial"/>
                <w:color w:val="000000"/>
                <w:sz w:val="22"/>
              </w:rPr>
              <w:t>404</w:t>
            </w:r>
          </w:p>
        </w:tc>
        <w:tc>
          <w:tcPr>
            <w:tcW w:w="1892" w:type="dxa"/>
            <w:tcBorders>
              <w:top w:val="nil"/>
              <w:left w:val="nil"/>
              <w:bottom w:val="single" w:sz="4" w:space="0" w:color="auto"/>
              <w:right w:val="single" w:sz="4" w:space="0" w:color="auto"/>
            </w:tcBorders>
            <w:shd w:val="clear" w:color="auto" w:fill="auto"/>
            <w:noWrap/>
            <w:vAlign w:val="bottom"/>
            <w:hideMark/>
          </w:tcPr>
          <w:p w:rsidR="00AC40FC" w:rsidRPr="00157774" w:rsidRDefault="00AC40FC" w:rsidP="00701DCF">
            <w:pPr>
              <w:spacing w:after="0"/>
              <w:jc w:val="center"/>
              <w:rPr>
                <w:rFonts w:cs="Arial"/>
                <w:color w:val="000000"/>
                <w:sz w:val="22"/>
              </w:rPr>
            </w:pPr>
            <w:r w:rsidRPr="00157774">
              <w:rPr>
                <w:rFonts w:cs="Arial"/>
                <w:color w:val="000000"/>
                <w:sz w:val="22"/>
              </w:rPr>
              <w:t>9</w:t>
            </w:r>
          </w:p>
        </w:tc>
        <w:tc>
          <w:tcPr>
            <w:tcW w:w="1535" w:type="dxa"/>
            <w:tcBorders>
              <w:top w:val="nil"/>
              <w:left w:val="nil"/>
              <w:bottom w:val="single" w:sz="4" w:space="0" w:color="auto"/>
              <w:right w:val="single" w:sz="4" w:space="0" w:color="auto"/>
            </w:tcBorders>
            <w:shd w:val="clear" w:color="auto" w:fill="auto"/>
            <w:noWrap/>
            <w:vAlign w:val="center"/>
            <w:hideMark/>
          </w:tcPr>
          <w:p w:rsidR="00AC40FC" w:rsidRPr="00157774" w:rsidRDefault="00AC40FC" w:rsidP="00701DCF">
            <w:pPr>
              <w:spacing w:after="0"/>
              <w:jc w:val="right"/>
              <w:rPr>
                <w:rFonts w:cs="Arial"/>
                <w:color w:val="000000"/>
                <w:sz w:val="22"/>
              </w:rPr>
            </w:pPr>
            <w:r w:rsidRPr="00157774">
              <w:rPr>
                <w:rFonts w:cs="Arial"/>
                <w:color w:val="000000"/>
                <w:sz w:val="22"/>
              </w:rPr>
              <w:t>5.7%</w:t>
            </w:r>
          </w:p>
        </w:tc>
      </w:tr>
      <w:tr w:rsidR="00AC40FC" w:rsidRPr="004A01B2" w:rsidTr="00701DCF">
        <w:trPr>
          <w:trHeight w:val="300"/>
          <w:jc w:val="center"/>
        </w:trPr>
        <w:tc>
          <w:tcPr>
            <w:tcW w:w="2724" w:type="dxa"/>
            <w:tcBorders>
              <w:top w:val="nil"/>
              <w:left w:val="single" w:sz="4" w:space="0" w:color="auto"/>
              <w:bottom w:val="single" w:sz="4" w:space="0" w:color="auto"/>
              <w:right w:val="single" w:sz="4" w:space="0" w:color="auto"/>
            </w:tcBorders>
            <w:shd w:val="clear" w:color="auto" w:fill="auto"/>
            <w:noWrap/>
            <w:vAlign w:val="center"/>
            <w:hideMark/>
          </w:tcPr>
          <w:p w:rsidR="00AC40FC" w:rsidRPr="00157774" w:rsidRDefault="00AC40FC" w:rsidP="00701DCF">
            <w:pPr>
              <w:spacing w:after="0"/>
              <w:jc w:val="center"/>
              <w:rPr>
                <w:rFonts w:cs="Arial"/>
                <w:sz w:val="22"/>
              </w:rPr>
            </w:pPr>
            <w:r w:rsidRPr="00157774">
              <w:rPr>
                <w:rFonts w:cs="Arial"/>
                <w:sz w:val="22"/>
              </w:rPr>
              <w:t>Billing</w:t>
            </w:r>
          </w:p>
        </w:tc>
        <w:tc>
          <w:tcPr>
            <w:tcW w:w="2237" w:type="dxa"/>
            <w:tcBorders>
              <w:top w:val="nil"/>
              <w:left w:val="nil"/>
              <w:bottom w:val="single" w:sz="4" w:space="0" w:color="auto"/>
              <w:right w:val="single" w:sz="4" w:space="0" w:color="auto"/>
            </w:tcBorders>
            <w:shd w:val="clear" w:color="auto" w:fill="auto"/>
            <w:noWrap/>
            <w:vAlign w:val="bottom"/>
            <w:hideMark/>
          </w:tcPr>
          <w:p w:rsidR="00AC40FC" w:rsidRPr="00157774" w:rsidRDefault="00AC40FC" w:rsidP="00701DCF">
            <w:pPr>
              <w:spacing w:after="0"/>
              <w:jc w:val="center"/>
              <w:rPr>
                <w:rFonts w:cs="Arial"/>
                <w:color w:val="000000"/>
                <w:sz w:val="22"/>
              </w:rPr>
            </w:pPr>
            <w:r w:rsidRPr="00157774">
              <w:rPr>
                <w:rFonts w:cs="Arial"/>
                <w:color w:val="000000"/>
                <w:sz w:val="22"/>
              </w:rPr>
              <w:t>628</w:t>
            </w:r>
          </w:p>
        </w:tc>
        <w:tc>
          <w:tcPr>
            <w:tcW w:w="1892" w:type="dxa"/>
            <w:tcBorders>
              <w:top w:val="nil"/>
              <w:left w:val="nil"/>
              <w:bottom w:val="single" w:sz="4" w:space="0" w:color="auto"/>
              <w:right w:val="single" w:sz="4" w:space="0" w:color="auto"/>
            </w:tcBorders>
            <w:shd w:val="clear" w:color="auto" w:fill="auto"/>
            <w:noWrap/>
            <w:vAlign w:val="bottom"/>
            <w:hideMark/>
          </w:tcPr>
          <w:p w:rsidR="00AC40FC" w:rsidRPr="00157774" w:rsidRDefault="00AC40FC" w:rsidP="00701DCF">
            <w:pPr>
              <w:spacing w:after="0"/>
              <w:jc w:val="center"/>
              <w:rPr>
                <w:rFonts w:cs="Arial"/>
                <w:color w:val="000000"/>
                <w:sz w:val="22"/>
              </w:rPr>
            </w:pPr>
            <w:r w:rsidRPr="00157774">
              <w:rPr>
                <w:rFonts w:cs="Arial"/>
                <w:color w:val="000000"/>
                <w:sz w:val="22"/>
              </w:rPr>
              <w:t>90</w:t>
            </w:r>
          </w:p>
        </w:tc>
        <w:tc>
          <w:tcPr>
            <w:tcW w:w="1535" w:type="dxa"/>
            <w:tcBorders>
              <w:top w:val="nil"/>
              <w:left w:val="nil"/>
              <w:bottom w:val="single" w:sz="4" w:space="0" w:color="auto"/>
              <w:right w:val="single" w:sz="4" w:space="0" w:color="auto"/>
            </w:tcBorders>
            <w:shd w:val="clear" w:color="auto" w:fill="auto"/>
            <w:noWrap/>
            <w:vAlign w:val="center"/>
            <w:hideMark/>
          </w:tcPr>
          <w:p w:rsidR="00AC40FC" w:rsidRPr="00157774" w:rsidRDefault="00AC40FC" w:rsidP="00701DCF">
            <w:pPr>
              <w:spacing w:after="0"/>
              <w:jc w:val="right"/>
              <w:rPr>
                <w:rFonts w:cs="Arial"/>
                <w:color w:val="000000"/>
                <w:sz w:val="22"/>
              </w:rPr>
            </w:pPr>
            <w:r w:rsidRPr="00157774">
              <w:rPr>
                <w:rFonts w:cs="Arial"/>
                <w:color w:val="000000"/>
                <w:sz w:val="22"/>
              </w:rPr>
              <w:t>57.3%</w:t>
            </w:r>
          </w:p>
        </w:tc>
      </w:tr>
      <w:tr w:rsidR="00AC40FC" w:rsidRPr="004A01B2" w:rsidTr="00701DCF">
        <w:trPr>
          <w:trHeight w:val="300"/>
          <w:jc w:val="center"/>
        </w:trPr>
        <w:tc>
          <w:tcPr>
            <w:tcW w:w="2724" w:type="dxa"/>
            <w:tcBorders>
              <w:top w:val="nil"/>
              <w:left w:val="single" w:sz="4" w:space="0" w:color="auto"/>
              <w:bottom w:val="single" w:sz="4" w:space="0" w:color="auto"/>
              <w:right w:val="single" w:sz="4" w:space="0" w:color="auto"/>
            </w:tcBorders>
            <w:shd w:val="clear" w:color="auto" w:fill="auto"/>
            <w:noWrap/>
            <w:vAlign w:val="center"/>
            <w:hideMark/>
          </w:tcPr>
          <w:p w:rsidR="00AC40FC" w:rsidRPr="00157774" w:rsidRDefault="00AC40FC" w:rsidP="00701DCF">
            <w:pPr>
              <w:spacing w:after="0"/>
              <w:jc w:val="center"/>
              <w:rPr>
                <w:rFonts w:cs="Arial"/>
                <w:sz w:val="22"/>
              </w:rPr>
            </w:pPr>
            <w:r w:rsidRPr="00157774">
              <w:rPr>
                <w:rFonts w:cs="Arial"/>
                <w:sz w:val="22"/>
              </w:rPr>
              <w:t>Collections</w:t>
            </w:r>
          </w:p>
        </w:tc>
        <w:tc>
          <w:tcPr>
            <w:tcW w:w="2237" w:type="dxa"/>
            <w:tcBorders>
              <w:top w:val="nil"/>
              <w:left w:val="nil"/>
              <w:bottom w:val="single" w:sz="4" w:space="0" w:color="auto"/>
              <w:right w:val="single" w:sz="4" w:space="0" w:color="auto"/>
            </w:tcBorders>
            <w:shd w:val="clear" w:color="auto" w:fill="auto"/>
            <w:noWrap/>
            <w:vAlign w:val="bottom"/>
            <w:hideMark/>
          </w:tcPr>
          <w:p w:rsidR="00AC40FC" w:rsidRPr="00157774" w:rsidRDefault="00AC40FC" w:rsidP="00701DCF">
            <w:pPr>
              <w:spacing w:after="0"/>
              <w:jc w:val="center"/>
              <w:rPr>
                <w:rFonts w:cs="Arial"/>
                <w:color w:val="000000"/>
                <w:sz w:val="22"/>
              </w:rPr>
            </w:pPr>
            <w:r w:rsidRPr="00157774">
              <w:rPr>
                <w:rFonts w:cs="Arial"/>
                <w:color w:val="000000"/>
                <w:sz w:val="22"/>
              </w:rPr>
              <w:t>533</w:t>
            </w:r>
          </w:p>
        </w:tc>
        <w:tc>
          <w:tcPr>
            <w:tcW w:w="1892" w:type="dxa"/>
            <w:tcBorders>
              <w:top w:val="nil"/>
              <w:left w:val="nil"/>
              <w:bottom w:val="single" w:sz="4" w:space="0" w:color="auto"/>
              <w:right w:val="single" w:sz="4" w:space="0" w:color="auto"/>
            </w:tcBorders>
            <w:shd w:val="clear" w:color="auto" w:fill="auto"/>
            <w:noWrap/>
            <w:vAlign w:val="bottom"/>
            <w:hideMark/>
          </w:tcPr>
          <w:p w:rsidR="00AC40FC" w:rsidRPr="00157774" w:rsidRDefault="00AC40FC" w:rsidP="00701DCF">
            <w:pPr>
              <w:spacing w:after="0"/>
              <w:jc w:val="center"/>
              <w:rPr>
                <w:rFonts w:cs="Arial"/>
                <w:color w:val="000000"/>
                <w:sz w:val="22"/>
              </w:rPr>
            </w:pPr>
            <w:r w:rsidRPr="00157774">
              <w:rPr>
                <w:rFonts w:cs="Arial"/>
                <w:color w:val="000000"/>
                <w:sz w:val="22"/>
              </w:rPr>
              <w:t>24</w:t>
            </w:r>
          </w:p>
        </w:tc>
        <w:tc>
          <w:tcPr>
            <w:tcW w:w="1535" w:type="dxa"/>
            <w:tcBorders>
              <w:top w:val="nil"/>
              <w:left w:val="nil"/>
              <w:bottom w:val="single" w:sz="4" w:space="0" w:color="auto"/>
              <w:right w:val="single" w:sz="4" w:space="0" w:color="auto"/>
            </w:tcBorders>
            <w:shd w:val="clear" w:color="auto" w:fill="auto"/>
            <w:noWrap/>
            <w:vAlign w:val="center"/>
            <w:hideMark/>
          </w:tcPr>
          <w:p w:rsidR="00AC40FC" w:rsidRPr="00157774" w:rsidRDefault="00AC40FC" w:rsidP="00701DCF">
            <w:pPr>
              <w:spacing w:after="0"/>
              <w:jc w:val="right"/>
              <w:rPr>
                <w:rFonts w:cs="Arial"/>
                <w:color w:val="000000"/>
                <w:sz w:val="22"/>
              </w:rPr>
            </w:pPr>
            <w:r w:rsidRPr="00157774">
              <w:rPr>
                <w:rFonts w:cs="Arial"/>
                <w:color w:val="000000"/>
                <w:sz w:val="22"/>
              </w:rPr>
              <w:t>15.3%</w:t>
            </w:r>
          </w:p>
        </w:tc>
      </w:tr>
      <w:tr w:rsidR="00AC40FC" w:rsidRPr="004A01B2" w:rsidTr="00701DCF">
        <w:trPr>
          <w:trHeight w:val="300"/>
          <w:jc w:val="center"/>
        </w:trPr>
        <w:tc>
          <w:tcPr>
            <w:tcW w:w="2724" w:type="dxa"/>
            <w:tcBorders>
              <w:top w:val="nil"/>
              <w:left w:val="single" w:sz="4" w:space="0" w:color="auto"/>
              <w:bottom w:val="single" w:sz="4" w:space="0" w:color="auto"/>
              <w:right w:val="single" w:sz="4" w:space="0" w:color="auto"/>
            </w:tcBorders>
            <w:shd w:val="clear" w:color="auto" w:fill="auto"/>
            <w:noWrap/>
            <w:vAlign w:val="center"/>
            <w:hideMark/>
          </w:tcPr>
          <w:p w:rsidR="00AC40FC" w:rsidRPr="00157774" w:rsidRDefault="00AC40FC" w:rsidP="00701DCF">
            <w:pPr>
              <w:spacing w:after="0"/>
              <w:jc w:val="center"/>
              <w:rPr>
                <w:rFonts w:cs="Arial"/>
                <w:sz w:val="22"/>
              </w:rPr>
            </w:pPr>
            <w:r w:rsidRPr="00157774">
              <w:rPr>
                <w:rFonts w:cs="Arial"/>
                <w:sz w:val="22"/>
              </w:rPr>
              <w:t>Customer Choice</w:t>
            </w:r>
          </w:p>
        </w:tc>
        <w:tc>
          <w:tcPr>
            <w:tcW w:w="2237" w:type="dxa"/>
            <w:tcBorders>
              <w:top w:val="nil"/>
              <w:left w:val="nil"/>
              <w:bottom w:val="single" w:sz="4" w:space="0" w:color="auto"/>
              <w:right w:val="single" w:sz="4" w:space="0" w:color="auto"/>
            </w:tcBorders>
            <w:shd w:val="clear" w:color="auto" w:fill="auto"/>
            <w:noWrap/>
            <w:vAlign w:val="bottom"/>
            <w:hideMark/>
          </w:tcPr>
          <w:p w:rsidR="00AC40FC" w:rsidRPr="00157774" w:rsidRDefault="00AC40FC" w:rsidP="00701DCF">
            <w:pPr>
              <w:spacing w:after="0"/>
              <w:jc w:val="center"/>
              <w:rPr>
                <w:rFonts w:cs="Arial"/>
                <w:color w:val="000000"/>
                <w:sz w:val="22"/>
              </w:rPr>
            </w:pPr>
            <w:r w:rsidRPr="00157774">
              <w:rPr>
                <w:rFonts w:cs="Arial"/>
                <w:color w:val="000000"/>
                <w:sz w:val="22"/>
              </w:rPr>
              <w:t>471</w:t>
            </w:r>
          </w:p>
        </w:tc>
        <w:tc>
          <w:tcPr>
            <w:tcW w:w="1892" w:type="dxa"/>
            <w:tcBorders>
              <w:top w:val="nil"/>
              <w:left w:val="nil"/>
              <w:bottom w:val="single" w:sz="4" w:space="0" w:color="auto"/>
              <w:right w:val="single" w:sz="4" w:space="0" w:color="auto"/>
            </w:tcBorders>
            <w:shd w:val="clear" w:color="auto" w:fill="auto"/>
            <w:noWrap/>
            <w:vAlign w:val="bottom"/>
            <w:hideMark/>
          </w:tcPr>
          <w:p w:rsidR="00AC40FC" w:rsidRPr="00157774" w:rsidRDefault="00AC40FC" w:rsidP="00701DCF">
            <w:pPr>
              <w:spacing w:after="0"/>
              <w:jc w:val="center"/>
              <w:rPr>
                <w:rFonts w:cs="Arial"/>
                <w:color w:val="000000"/>
                <w:sz w:val="22"/>
              </w:rPr>
            </w:pPr>
            <w:r w:rsidRPr="00157774">
              <w:rPr>
                <w:rFonts w:cs="Arial"/>
                <w:color w:val="000000"/>
                <w:sz w:val="22"/>
              </w:rPr>
              <w:t>16</w:t>
            </w:r>
          </w:p>
        </w:tc>
        <w:tc>
          <w:tcPr>
            <w:tcW w:w="1535" w:type="dxa"/>
            <w:tcBorders>
              <w:top w:val="nil"/>
              <w:left w:val="nil"/>
              <w:bottom w:val="single" w:sz="4" w:space="0" w:color="auto"/>
              <w:right w:val="single" w:sz="4" w:space="0" w:color="auto"/>
            </w:tcBorders>
            <w:shd w:val="clear" w:color="auto" w:fill="auto"/>
            <w:noWrap/>
            <w:vAlign w:val="center"/>
            <w:hideMark/>
          </w:tcPr>
          <w:p w:rsidR="00AC40FC" w:rsidRPr="00157774" w:rsidRDefault="00AC40FC" w:rsidP="00701DCF">
            <w:pPr>
              <w:spacing w:after="0"/>
              <w:jc w:val="right"/>
              <w:rPr>
                <w:rFonts w:cs="Arial"/>
                <w:color w:val="000000"/>
                <w:sz w:val="22"/>
              </w:rPr>
            </w:pPr>
            <w:r w:rsidRPr="00157774">
              <w:rPr>
                <w:rFonts w:cs="Arial"/>
                <w:color w:val="000000"/>
                <w:sz w:val="22"/>
              </w:rPr>
              <w:t>10.2%</w:t>
            </w:r>
          </w:p>
        </w:tc>
      </w:tr>
      <w:tr w:rsidR="00AC40FC" w:rsidRPr="004A01B2" w:rsidTr="00701DCF">
        <w:trPr>
          <w:trHeight w:val="300"/>
          <w:jc w:val="center"/>
        </w:trPr>
        <w:tc>
          <w:tcPr>
            <w:tcW w:w="2724" w:type="dxa"/>
            <w:tcBorders>
              <w:top w:val="nil"/>
              <w:left w:val="single" w:sz="4" w:space="0" w:color="auto"/>
              <w:bottom w:val="single" w:sz="4" w:space="0" w:color="auto"/>
              <w:right w:val="single" w:sz="4" w:space="0" w:color="auto"/>
            </w:tcBorders>
            <w:shd w:val="clear" w:color="auto" w:fill="auto"/>
            <w:noWrap/>
            <w:vAlign w:val="center"/>
            <w:hideMark/>
          </w:tcPr>
          <w:p w:rsidR="00AC40FC" w:rsidRPr="00157774" w:rsidRDefault="00AC40FC" w:rsidP="00701DCF">
            <w:pPr>
              <w:spacing w:after="0"/>
              <w:jc w:val="center"/>
              <w:rPr>
                <w:rFonts w:cs="Arial"/>
                <w:sz w:val="22"/>
              </w:rPr>
            </w:pPr>
            <w:r w:rsidRPr="00157774">
              <w:rPr>
                <w:rFonts w:cs="Arial"/>
                <w:sz w:val="22"/>
              </w:rPr>
              <w:t>Equipment Issues</w:t>
            </w:r>
          </w:p>
        </w:tc>
        <w:tc>
          <w:tcPr>
            <w:tcW w:w="2237" w:type="dxa"/>
            <w:tcBorders>
              <w:top w:val="nil"/>
              <w:left w:val="nil"/>
              <w:bottom w:val="single" w:sz="4" w:space="0" w:color="auto"/>
              <w:right w:val="single" w:sz="4" w:space="0" w:color="auto"/>
            </w:tcBorders>
            <w:shd w:val="clear" w:color="auto" w:fill="auto"/>
            <w:noWrap/>
            <w:vAlign w:val="bottom"/>
            <w:hideMark/>
          </w:tcPr>
          <w:p w:rsidR="00AC40FC" w:rsidRPr="00157774" w:rsidRDefault="00AC40FC" w:rsidP="00701DCF">
            <w:pPr>
              <w:spacing w:after="0"/>
              <w:jc w:val="center"/>
              <w:rPr>
                <w:rFonts w:cs="Arial"/>
                <w:color w:val="000000"/>
                <w:sz w:val="22"/>
              </w:rPr>
            </w:pPr>
            <w:r w:rsidRPr="00157774">
              <w:rPr>
                <w:rFonts w:cs="Arial"/>
                <w:color w:val="000000"/>
                <w:sz w:val="22"/>
              </w:rPr>
              <w:t>23</w:t>
            </w:r>
          </w:p>
        </w:tc>
        <w:tc>
          <w:tcPr>
            <w:tcW w:w="1892" w:type="dxa"/>
            <w:tcBorders>
              <w:top w:val="nil"/>
              <w:left w:val="nil"/>
              <w:bottom w:val="single" w:sz="4" w:space="0" w:color="auto"/>
              <w:right w:val="single" w:sz="4" w:space="0" w:color="auto"/>
            </w:tcBorders>
            <w:shd w:val="clear" w:color="auto" w:fill="auto"/>
            <w:noWrap/>
            <w:vAlign w:val="bottom"/>
            <w:hideMark/>
          </w:tcPr>
          <w:p w:rsidR="00AC40FC" w:rsidRPr="00157774" w:rsidRDefault="00AC40FC" w:rsidP="00701DCF">
            <w:pPr>
              <w:spacing w:after="0"/>
              <w:jc w:val="center"/>
              <w:rPr>
                <w:rFonts w:cs="Arial"/>
                <w:color w:val="000000"/>
                <w:sz w:val="22"/>
              </w:rPr>
            </w:pPr>
            <w:r w:rsidRPr="00157774">
              <w:rPr>
                <w:rFonts w:cs="Arial"/>
                <w:color w:val="000000"/>
                <w:sz w:val="22"/>
              </w:rPr>
              <w:t>7</w:t>
            </w:r>
          </w:p>
        </w:tc>
        <w:tc>
          <w:tcPr>
            <w:tcW w:w="1535" w:type="dxa"/>
            <w:tcBorders>
              <w:top w:val="nil"/>
              <w:left w:val="nil"/>
              <w:bottom w:val="single" w:sz="4" w:space="0" w:color="auto"/>
              <w:right w:val="single" w:sz="4" w:space="0" w:color="auto"/>
            </w:tcBorders>
            <w:shd w:val="clear" w:color="auto" w:fill="auto"/>
            <w:noWrap/>
            <w:vAlign w:val="center"/>
            <w:hideMark/>
          </w:tcPr>
          <w:p w:rsidR="00AC40FC" w:rsidRPr="00157774" w:rsidRDefault="00AC40FC" w:rsidP="00701DCF">
            <w:pPr>
              <w:spacing w:after="0"/>
              <w:jc w:val="right"/>
              <w:rPr>
                <w:rFonts w:cs="Arial"/>
                <w:color w:val="000000"/>
                <w:sz w:val="22"/>
              </w:rPr>
            </w:pPr>
            <w:r w:rsidRPr="00157774">
              <w:rPr>
                <w:rFonts w:cs="Arial"/>
                <w:color w:val="000000"/>
                <w:sz w:val="22"/>
              </w:rPr>
              <w:t>4.5%</w:t>
            </w:r>
          </w:p>
        </w:tc>
      </w:tr>
      <w:tr w:rsidR="00AC40FC" w:rsidRPr="004A01B2" w:rsidTr="00701DCF">
        <w:trPr>
          <w:trHeight w:val="300"/>
          <w:jc w:val="center"/>
        </w:trPr>
        <w:tc>
          <w:tcPr>
            <w:tcW w:w="2724" w:type="dxa"/>
            <w:tcBorders>
              <w:top w:val="nil"/>
              <w:left w:val="single" w:sz="4" w:space="0" w:color="auto"/>
              <w:bottom w:val="single" w:sz="4" w:space="0" w:color="auto"/>
              <w:right w:val="single" w:sz="4" w:space="0" w:color="auto"/>
            </w:tcBorders>
            <w:shd w:val="clear" w:color="auto" w:fill="auto"/>
            <w:noWrap/>
            <w:vAlign w:val="center"/>
            <w:hideMark/>
          </w:tcPr>
          <w:p w:rsidR="00AC40FC" w:rsidRPr="00157774" w:rsidRDefault="00AC40FC" w:rsidP="00701DCF">
            <w:pPr>
              <w:spacing w:after="0"/>
              <w:jc w:val="center"/>
              <w:rPr>
                <w:rFonts w:cs="Arial"/>
                <w:sz w:val="22"/>
              </w:rPr>
            </w:pPr>
            <w:r w:rsidRPr="00157774">
              <w:rPr>
                <w:rFonts w:cs="Arial"/>
                <w:sz w:val="22"/>
              </w:rPr>
              <w:t>Financial Accountability</w:t>
            </w:r>
          </w:p>
        </w:tc>
        <w:tc>
          <w:tcPr>
            <w:tcW w:w="2237" w:type="dxa"/>
            <w:tcBorders>
              <w:top w:val="nil"/>
              <w:left w:val="nil"/>
              <w:bottom w:val="single" w:sz="4" w:space="0" w:color="auto"/>
              <w:right w:val="single" w:sz="4" w:space="0" w:color="auto"/>
            </w:tcBorders>
            <w:shd w:val="clear" w:color="auto" w:fill="auto"/>
            <w:noWrap/>
            <w:vAlign w:val="bottom"/>
            <w:hideMark/>
          </w:tcPr>
          <w:p w:rsidR="00AC40FC" w:rsidRPr="00157774" w:rsidRDefault="00AC40FC" w:rsidP="00701DCF">
            <w:pPr>
              <w:spacing w:after="0"/>
              <w:jc w:val="center"/>
              <w:rPr>
                <w:rFonts w:cs="Arial"/>
                <w:color w:val="000000"/>
                <w:sz w:val="22"/>
              </w:rPr>
            </w:pPr>
            <w:r w:rsidRPr="00157774">
              <w:rPr>
                <w:rFonts w:cs="Arial"/>
                <w:color w:val="000000"/>
                <w:sz w:val="22"/>
              </w:rPr>
              <w:t>82</w:t>
            </w:r>
          </w:p>
        </w:tc>
        <w:tc>
          <w:tcPr>
            <w:tcW w:w="1892" w:type="dxa"/>
            <w:tcBorders>
              <w:top w:val="nil"/>
              <w:left w:val="nil"/>
              <w:bottom w:val="single" w:sz="4" w:space="0" w:color="auto"/>
              <w:right w:val="single" w:sz="4" w:space="0" w:color="auto"/>
            </w:tcBorders>
            <w:shd w:val="clear" w:color="auto" w:fill="auto"/>
            <w:noWrap/>
            <w:vAlign w:val="bottom"/>
            <w:hideMark/>
          </w:tcPr>
          <w:p w:rsidR="00AC40FC" w:rsidRPr="00157774" w:rsidRDefault="00AC40FC" w:rsidP="00701DCF">
            <w:pPr>
              <w:spacing w:after="0"/>
              <w:jc w:val="center"/>
              <w:rPr>
                <w:rFonts w:cs="Arial"/>
                <w:color w:val="000000"/>
                <w:sz w:val="22"/>
              </w:rPr>
            </w:pPr>
            <w:r w:rsidRPr="00157774">
              <w:rPr>
                <w:rFonts w:cs="Arial"/>
                <w:color w:val="000000"/>
                <w:sz w:val="22"/>
              </w:rPr>
              <w:t>8</w:t>
            </w:r>
          </w:p>
        </w:tc>
        <w:tc>
          <w:tcPr>
            <w:tcW w:w="1535" w:type="dxa"/>
            <w:tcBorders>
              <w:top w:val="nil"/>
              <w:left w:val="nil"/>
              <w:bottom w:val="single" w:sz="4" w:space="0" w:color="auto"/>
              <w:right w:val="single" w:sz="4" w:space="0" w:color="auto"/>
            </w:tcBorders>
            <w:shd w:val="clear" w:color="auto" w:fill="auto"/>
            <w:noWrap/>
            <w:vAlign w:val="center"/>
            <w:hideMark/>
          </w:tcPr>
          <w:p w:rsidR="00AC40FC" w:rsidRPr="00157774" w:rsidRDefault="00AC40FC" w:rsidP="00701DCF">
            <w:pPr>
              <w:spacing w:after="0"/>
              <w:jc w:val="right"/>
              <w:rPr>
                <w:rFonts w:cs="Arial"/>
                <w:color w:val="000000"/>
                <w:sz w:val="22"/>
              </w:rPr>
            </w:pPr>
            <w:r w:rsidRPr="00157774">
              <w:rPr>
                <w:rFonts w:cs="Arial"/>
                <w:color w:val="000000"/>
                <w:sz w:val="22"/>
              </w:rPr>
              <w:t>5.1%</w:t>
            </w:r>
          </w:p>
        </w:tc>
      </w:tr>
      <w:tr w:rsidR="00AC40FC" w:rsidRPr="004A01B2" w:rsidTr="00701DCF">
        <w:trPr>
          <w:trHeight w:val="332"/>
          <w:jc w:val="center"/>
        </w:trPr>
        <w:tc>
          <w:tcPr>
            <w:tcW w:w="2724" w:type="dxa"/>
            <w:tcBorders>
              <w:top w:val="nil"/>
              <w:left w:val="single" w:sz="4" w:space="0" w:color="auto"/>
              <w:bottom w:val="single" w:sz="4" w:space="0" w:color="auto"/>
              <w:right w:val="single" w:sz="4" w:space="0" w:color="auto"/>
            </w:tcBorders>
            <w:shd w:val="clear" w:color="auto" w:fill="auto"/>
            <w:noWrap/>
            <w:vAlign w:val="center"/>
            <w:hideMark/>
          </w:tcPr>
          <w:p w:rsidR="00AC40FC" w:rsidRPr="00157774" w:rsidRDefault="00AC40FC" w:rsidP="00701DCF">
            <w:pPr>
              <w:spacing w:after="0"/>
              <w:jc w:val="center"/>
              <w:rPr>
                <w:rFonts w:cs="Arial"/>
                <w:sz w:val="22"/>
              </w:rPr>
            </w:pPr>
            <w:r w:rsidRPr="00157774">
              <w:rPr>
                <w:rFonts w:cs="Arial"/>
                <w:sz w:val="22"/>
              </w:rPr>
              <w:t>Other</w:t>
            </w:r>
          </w:p>
        </w:tc>
        <w:tc>
          <w:tcPr>
            <w:tcW w:w="2237" w:type="dxa"/>
            <w:tcBorders>
              <w:top w:val="nil"/>
              <w:left w:val="nil"/>
              <w:bottom w:val="single" w:sz="4" w:space="0" w:color="auto"/>
              <w:right w:val="single" w:sz="4" w:space="0" w:color="auto"/>
            </w:tcBorders>
            <w:shd w:val="clear" w:color="auto" w:fill="auto"/>
            <w:noWrap/>
            <w:vAlign w:val="bottom"/>
            <w:hideMark/>
          </w:tcPr>
          <w:p w:rsidR="00AC40FC" w:rsidRPr="00157774" w:rsidRDefault="00AC40FC" w:rsidP="00701DCF">
            <w:pPr>
              <w:spacing w:after="0"/>
              <w:jc w:val="center"/>
              <w:rPr>
                <w:rFonts w:cs="Arial"/>
                <w:color w:val="000000"/>
                <w:sz w:val="22"/>
              </w:rPr>
            </w:pPr>
            <w:r w:rsidRPr="00157774">
              <w:rPr>
                <w:rFonts w:cs="Arial"/>
                <w:color w:val="000000"/>
                <w:sz w:val="22"/>
              </w:rPr>
              <w:t>68</w:t>
            </w:r>
          </w:p>
        </w:tc>
        <w:tc>
          <w:tcPr>
            <w:tcW w:w="1892" w:type="dxa"/>
            <w:tcBorders>
              <w:top w:val="nil"/>
              <w:left w:val="nil"/>
              <w:bottom w:val="single" w:sz="4" w:space="0" w:color="auto"/>
              <w:right w:val="single" w:sz="4" w:space="0" w:color="auto"/>
            </w:tcBorders>
            <w:shd w:val="clear" w:color="auto" w:fill="auto"/>
            <w:noWrap/>
            <w:vAlign w:val="bottom"/>
            <w:hideMark/>
          </w:tcPr>
          <w:p w:rsidR="00AC40FC" w:rsidRPr="00157774" w:rsidRDefault="00AC40FC" w:rsidP="00701DCF">
            <w:pPr>
              <w:spacing w:after="0"/>
              <w:jc w:val="center"/>
              <w:rPr>
                <w:rFonts w:cs="Arial"/>
                <w:color w:val="000000"/>
                <w:sz w:val="22"/>
              </w:rPr>
            </w:pPr>
            <w:r w:rsidRPr="00157774">
              <w:rPr>
                <w:rFonts w:cs="Arial"/>
                <w:color w:val="000000"/>
                <w:sz w:val="22"/>
              </w:rPr>
              <w:t>3</w:t>
            </w:r>
          </w:p>
        </w:tc>
        <w:tc>
          <w:tcPr>
            <w:tcW w:w="1535" w:type="dxa"/>
            <w:tcBorders>
              <w:top w:val="nil"/>
              <w:left w:val="nil"/>
              <w:bottom w:val="single" w:sz="4" w:space="0" w:color="auto"/>
              <w:right w:val="single" w:sz="4" w:space="0" w:color="auto"/>
            </w:tcBorders>
            <w:shd w:val="clear" w:color="auto" w:fill="auto"/>
            <w:noWrap/>
            <w:vAlign w:val="center"/>
            <w:hideMark/>
          </w:tcPr>
          <w:p w:rsidR="00AC40FC" w:rsidRPr="00157774" w:rsidRDefault="00AC40FC" w:rsidP="00701DCF">
            <w:pPr>
              <w:spacing w:after="0"/>
              <w:jc w:val="right"/>
              <w:rPr>
                <w:rFonts w:cs="Arial"/>
                <w:color w:val="000000"/>
                <w:sz w:val="22"/>
              </w:rPr>
            </w:pPr>
            <w:r w:rsidRPr="00157774">
              <w:rPr>
                <w:rFonts w:cs="Arial"/>
                <w:color w:val="000000"/>
                <w:sz w:val="22"/>
              </w:rPr>
              <w:t>1.9%</w:t>
            </w:r>
          </w:p>
        </w:tc>
      </w:tr>
      <w:tr w:rsidR="00AC40FC" w:rsidRPr="004A01B2" w:rsidTr="00701DCF">
        <w:trPr>
          <w:trHeight w:val="332"/>
          <w:jc w:val="center"/>
        </w:trPr>
        <w:tc>
          <w:tcPr>
            <w:tcW w:w="2724" w:type="dxa"/>
            <w:tcBorders>
              <w:top w:val="nil"/>
              <w:left w:val="single" w:sz="4" w:space="0" w:color="auto"/>
              <w:bottom w:val="single" w:sz="4" w:space="0" w:color="auto"/>
              <w:right w:val="single" w:sz="4" w:space="0" w:color="auto"/>
            </w:tcBorders>
            <w:shd w:val="clear" w:color="auto" w:fill="auto"/>
            <w:noWrap/>
            <w:vAlign w:val="center"/>
            <w:hideMark/>
          </w:tcPr>
          <w:p w:rsidR="00AC40FC" w:rsidRPr="00157774" w:rsidRDefault="00AC40FC" w:rsidP="00701DCF">
            <w:pPr>
              <w:spacing w:after="0"/>
              <w:jc w:val="center"/>
              <w:rPr>
                <w:rFonts w:cs="Arial"/>
                <w:sz w:val="22"/>
              </w:rPr>
            </w:pPr>
            <w:r w:rsidRPr="00157774">
              <w:rPr>
                <w:rFonts w:cs="Arial"/>
                <w:sz w:val="22"/>
              </w:rPr>
              <w:t>Total</w:t>
            </w:r>
          </w:p>
        </w:tc>
        <w:tc>
          <w:tcPr>
            <w:tcW w:w="2237" w:type="dxa"/>
            <w:tcBorders>
              <w:top w:val="nil"/>
              <w:left w:val="nil"/>
              <w:bottom w:val="single" w:sz="4" w:space="0" w:color="auto"/>
              <w:right w:val="single" w:sz="4" w:space="0" w:color="auto"/>
            </w:tcBorders>
            <w:shd w:val="clear" w:color="auto" w:fill="auto"/>
            <w:noWrap/>
            <w:vAlign w:val="bottom"/>
            <w:hideMark/>
          </w:tcPr>
          <w:p w:rsidR="00AC40FC" w:rsidRPr="00157774" w:rsidRDefault="00AC40FC" w:rsidP="00701DCF">
            <w:pPr>
              <w:spacing w:after="0"/>
              <w:jc w:val="center"/>
              <w:rPr>
                <w:rFonts w:cs="Arial"/>
                <w:color w:val="000000"/>
                <w:sz w:val="22"/>
              </w:rPr>
            </w:pPr>
            <w:r w:rsidRPr="00157774">
              <w:rPr>
                <w:rFonts w:cs="Arial"/>
                <w:color w:val="000000"/>
                <w:sz w:val="22"/>
              </w:rPr>
              <w:t>2209</w:t>
            </w:r>
          </w:p>
        </w:tc>
        <w:tc>
          <w:tcPr>
            <w:tcW w:w="1892" w:type="dxa"/>
            <w:tcBorders>
              <w:top w:val="nil"/>
              <w:left w:val="nil"/>
              <w:bottom w:val="single" w:sz="4" w:space="0" w:color="auto"/>
              <w:right w:val="single" w:sz="4" w:space="0" w:color="auto"/>
            </w:tcBorders>
            <w:shd w:val="clear" w:color="auto" w:fill="auto"/>
            <w:noWrap/>
            <w:vAlign w:val="bottom"/>
            <w:hideMark/>
          </w:tcPr>
          <w:p w:rsidR="00AC40FC" w:rsidRPr="00157774" w:rsidRDefault="00AC40FC" w:rsidP="00701DCF">
            <w:pPr>
              <w:spacing w:after="0"/>
              <w:jc w:val="center"/>
              <w:rPr>
                <w:rFonts w:cs="Arial"/>
                <w:color w:val="000000"/>
                <w:sz w:val="22"/>
              </w:rPr>
            </w:pPr>
            <w:r w:rsidRPr="00157774">
              <w:rPr>
                <w:rFonts w:cs="Arial"/>
                <w:color w:val="000000"/>
                <w:sz w:val="22"/>
              </w:rPr>
              <w:t>157</w:t>
            </w:r>
          </w:p>
        </w:tc>
        <w:tc>
          <w:tcPr>
            <w:tcW w:w="1535" w:type="dxa"/>
            <w:tcBorders>
              <w:top w:val="nil"/>
              <w:left w:val="nil"/>
              <w:bottom w:val="single" w:sz="4" w:space="0" w:color="auto"/>
              <w:right w:val="single" w:sz="4" w:space="0" w:color="auto"/>
            </w:tcBorders>
            <w:shd w:val="clear" w:color="auto" w:fill="auto"/>
            <w:noWrap/>
            <w:vAlign w:val="center"/>
            <w:hideMark/>
          </w:tcPr>
          <w:p w:rsidR="00AC40FC" w:rsidRPr="00157774" w:rsidRDefault="00AC40FC" w:rsidP="00701DCF">
            <w:pPr>
              <w:spacing w:after="0"/>
              <w:jc w:val="right"/>
              <w:rPr>
                <w:rFonts w:cs="Arial"/>
                <w:color w:val="000000"/>
                <w:sz w:val="22"/>
              </w:rPr>
            </w:pPr>
            <w:r w:rsidRPr="00157774">
              <w:rPr>
                <w:rFonts w:cs="Arial"/>
                <w:color w:val="000000"/>
                <w:sz w:val="22"/>
              </w:rPr>
              <w:t>100.0%</w:t>
            </w:r>
          </w:p>
        </w:tc>
      </w:tr>
      <w:tr w:rsidR="00AC40FC" w:rsidRPr="004A01B2" w:rsidTr="00701DCF">
        <w:trPr>
          <w:trHeight w:val="300"/>
          <w:jc w:val="center"/>
        </w:trPr>
        <w:tc>
          <w:tcPr>
            <w:tcW w:w="838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C40FC" w:rsidRPr="00157774" w:rsidRDefault="00AC40FC" w:rsidP="00701DCF">
            <w:pPr>
              <w:spacing w:after="0"/>
              <w:rPr>
                <w:rFonts w:cs="Arial"/>
                <w:color w:val="000000"/>
                <w:sz w:val="22"/>
              </w:rPr>
            </w:pPr>
            <w:r>
              <w:rPr>
                <w:rFonts w:cs="Arial"/>
                <w:color w:val="000000"/>
                <w:sz w:val="22"/>
              </w:rPr>
              <w:t>Source:  PPL EU edits</w:t>
            </w:r>
          </w:p>
        </w:tc>
      </w:tr>
    </w:tbl>
    <w:p w:rsidR="00AC40FC" w:rsidRDefault="00AC40FC" w:rsidP="00701DCF">
      <w:pPr>
        <w:pStyle w:val="Normal-aftertable"/>
      </w:pPr>
      <w:r w:rsidRPr="00E65379">
        <w:lastRenderedPageBreak/>
        <w:t>In 2015, about 7% of the complaints were justified, as determined by the PUC.</w:t>
      </w:r>
      <w:r>
        <w:t xml:space="preserve">  The most frequent justified complaint types in 2015 were Billing (57.3%) and Collections (15.3%).</w:t>
      </w:r>
    </w:p>
    <w:p w:rsidR="00AC40FC" w:rsidRPr="00157774" w:rsidRDefault="00AC40FC" w:rsidP="00701DCF">
      <w:pPr>
        <w:rPr>
          <w:rFonts w:cs="Arial"/>
        </w:rPr>
      </w:pPr>
      <w:r w:rsidRPr="00157774">
        <w:rPr>
          <w:rFonts w:cs="Arial"/>
        </w:rPr>
        <w:t>Regulatory Programs analyzed the reasons for the justified complaints and reported that f</w:t>
      </w:r>
      <w:r>
        <w:rPr>
          <w:rFonts w:cs="Arial"/>
        </w:rPr>
        <w:t>our</w:t>
      </w:r>
      <w:r w:rsidRPr="00157774">
        <w:rPr>
          <w:rFonts w:cs="Arial"/>
        </w:rPr>
        <w:t xml:space="preserve"> general reasons accounted for most of the complaints, as shown below:</w:t>
      </w:r>
    </w:p>
    <w:p w:rsidR="00AC40FC" w:rsidRDefault="00AC40FC" w:rsidP="00ED6D61">
      <w:pPr>
        <w:pStyle w:val="Caption"/>
      </w:pPr>
      <w:bookmarkStart w:id="60" w:name="_Toc462648407"/>
      <w:bookmarkStart w:id="61" w:name="_Toc464553029"/>
      <w:r>
        <w:t xml:space="preserve">Exhibit </w:t>
      </w:r>
      <w:fldSimple w:instr=" STYLEREF 1 \s ">
        <w:r w:rsidR="00A24205">
          <w:rPr>
            <w:noProof/>
          </w:rPr>
          <w:t>IX</w:t>
        </w:r>
      </w:fldSimple>
      <w:r w:rsidR="00264A1B">
        <w:noBreakHyphen/>
      </w:r>
      <w:fldSimple w:instr=" SEQ Exhibit \* ARABIC \s 1 ">
        <w:r w:rsidR="00A24205">
          <w:rPr>
            <w:noProof/>
          </w:rPr>
          <w:t>14</w:t>
        </w:r>
      </w:fldSimple>
      <w:r>
        <w:br/>
        <w:t>Reasons for Justified Complaints</w:t>
      </w:r>
      <w:bookmarkEnd w:id="60"/>
      <w:bookmarkEnd w:id="61"/>
    </w:p>
    <w:bookmarkStart w:id="62" w:name="_MON_1527502613"/>
    <w:bookmarkEnd w:id="62"/>
    <w:p w:rsidR="00AC40FC" w:rsidRDefault="00AC40FC" w:rsidP="00701DCF">
      <w:pPr>
        <w:pStyle w:val="Normal-aftertable"/>
        <w:jc w:val="center"/>
      </w:pPr>
      <w:r>
        <w:rPr>
          <w:noProof/>
        </w:rPr>
        <w:object w:dxaOrig="8293" w:dyaOrig="8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25pt;height:276pt" o:ole="">
            <v:imagedata r:id="rId30" o:title=""/>
          </v:shape>
          <o:OLEObject Type="Embed" ProgID="Excel.Sheet.12" ShapeID="_x0000_i1025" DrawAspect="Content" ObjectID="_1538895138" r:id="rId31"/>
        </w:object>
      </w:r>
    </w:p>
    <w:tbl>
      <w:tblPr>
        <w:tblW w:w="7080" w:type="dxa"/>
        <w:jc w:val="center"/>
        <w:tblLook w:val="04A0"/>
      </w:tblPr>
      <w:tblGrid>
        <w:gridCol w:w="4560"/>
        <w:gridCol w:w="1024"/>
        <w:gridCol w:w="1496"/>
      </w:tblGrid>
      <w:tr w:rsidR="00AC40FC" w:rsidRPr="007370C9" w:rsidTr="00701DCF">
        <w:trPr>
          <w:cantSplit/>
          <w:trHeight w:val="560"/>
          <w:tblHeader/>
          <w:jc w:val="center"/>
        </w:trPr>
        <w:tc>
          <w:tcPr>
            <w:tcW w:w="4560" w:type="dxa"/>
            <w:tcBorders>
              <w:top w:val="single" w:sz="4" w:space="0" w:color="auto"/>
              <w:left w:val="single" w:sz="4" w:space="0" w:color="auto"/>
              <w:bottom w:val="single" w:sz="4" w:space="0" w:color="auto"/>
              <w:right w:val="single" w:sz="4" w:space="0" w:color="auto"/>
            </w:tcBorders>
            <w:shd w:val="clear" w:color="auto" w:fill="A5CD7E"/>
            <w:vAlign w:val="center"/>
            <w:hideMark/>
          </w:tcPr>
          <w:p w:rsidR="00AC40FC" w:rsidRPr="007370C9" w:rsidRDefault="00AC40FC" w:rsidP="007370C9">
            <w:pPr>
              <w:spacing w:before="120"/>
              <w:jc w:val="center"/>
              <w:rPr>
                <w:rFonts w:cs="Arial"/>
                <w:b/>
                <w:color w:val="000000"/>
                <w:sz w:val="22"/>
              </w:rPr>
            </w:pPr>
            <w:r w:rsidRPr="007370C9">
              <w:rPr>
                <w:rFonts w:cs="Arial"/>
                <w:b/>
                <w:color w:val="000000"/>
                <w:sz w:val="22"/>
              </w:rPr>
              <w:t>Reason</w:t>
            </w:r>
          </w:p>
        </w:tc>
        <w:tc>
          <w:tcPr>
            <w:tcW w:w="1020" w:type="dxa"/>
            <w:tcBorders>
              <w:top w:val="single" w:sz="4" w:space="0" w:color="auto"/>
              <w:left w:val="nil"/>
              <w:bottom w:val="single" w:sz="4" w:space="0" w:color="auto"/>
              <w:right w:val="single" w:sz="4" w:space="0" w:color="auto"/>
            </w:tcBorders>
            <w:shd w:val="clear" w:color="auto" w:fill="A5CD7E"/>
            <w:vAlign w:val="center"/>
            <w:hideMark/>
          </w:tcPr>
          <w:p w:rsidR="00AC40FC" w:rsidRPr="007370C9" w:rsidRDefault="00AC40FC" w:rsidP="007370C9">
            <w:pPr>
              <w:spacing w:before="120"/>
              <w:jc w:val="center"/>
              <w:rPr>
                <w:rFonts w:cs="Arial"/>
                <w:b/>
                <w:color w:val="000000"/>
                <w:sz w:val="22"/>
              </w:rPr>
            </w:pPr>
            <w:r w:rsidRPr="007370C9">
              <w:rPr>
                <w:rFonts w:cs="Arial"/>
                <w:b/>
                <w:color w:val="000000"/>
                <w:sz w:val="22"/>
              </w:rPr>
              <w:t>Percent</w:t>
            </w:r>
          </w:p>
        </w:tc>
        <w:tc>
          <w:tcPr>
            <w:tcW w:w="1500" w:type="dxa"/>
            <w:tcBorders>
              <w:top w:val="single" w:sz="4" w:space="0" w:color="auto"/>
              <w:left w:val="nil"/>
              <w:bottom w:val="single" w:sz="4" w:space="0" w:color="auto"/>
              <w:right w:val="single" w:sz="4" w:space="0" w:color="auto"/>
            </w:tcBorders>
            <w:shd w:val="clear" w:color="auto" w:fill="A5CD7E"/>
            <w:vAlign w:val="center"/>
            <w:hideMark/>
          </w:tcPr>
          <w:p w:rsidR="00AC40FC" w:rsidRPr="007370C9" w:rsidRDefault="00AC40FC" w:rsidP="007370C9">
            <w:pPr>
              <w:spacing w:before="120"/>
              <w:jc w:val="center"/>
              <w:rPr>
                <w:rFonts w:cs="Arial"/>
                <w:b/>
                <w:color w:val="000000"/>
                <w:sz w:val="22"/>
              </w:rPr>
            </w:pPr>
            <w:r w:rsidRPr="007370C9">
              <w:rPr>
                <w:rFonts w:cs="Arial"/>
                <w:b/>
                <w:color w:val="000000"/>
                <w:sz w:val="22"/>
              </w:rPr>
              <w:t>Number of Complaints</w:t>
            </w:r>
          </w:p>
        </w:tc>
      </w:tr>
      <w:tr w:rsidR="00AC40FC" w:rsidTr="00701DCF">
        <w:trPr>
          <w:trHeight w:val="560"/>
          <w:jc w:val="center"/>
        </w:trPr>
        <w:tc>
          <w:tcPr>
            <w:tcW w:w="4560" w:type="dxa"/>
            <w:tcBorders>
              <w:top w:val="nil"/>
              <w:left w:val="single" w:sz="4" w:space="0" w:color="auto"/>
              <w:bottom w:val="single" w:sz="4" w:space="0" w:color="auto"/>
              <w:right w:val="single" w:sz="4" w:space="0" w:color="auto"/>
            </w:tcBorders>
            <w:shd w:val="clear" w:color="auto" w:fill="auto"/>
            <w:vAlign w:val="center"/>
            <w:hideMark/>
          </w:tcPr>
          <w:p w:rsidR="00AC40FC" w:rsidRDefault="00AC40FC" w:rsidP="00701DCF">
            <w:pPr>
              <w:spacing w:after="0"/>
              <w:jc w:val="center"/>
              <w:rPr>
                <w:rFonts w:cs="Arial"/>
                <w:color w:val="000000"/>
                <w:sz w:val="22"/>
              </w:rPr>
            </w:pPr>
            <w:r>
              <w:rPr>
                <w:rFonts w:cs="Arial"/>
                <w:color w:val="000000"/>
                <w:sz w:val="22"/>
              </w:rPr>
              <w:t>Human Performance - Dispute Process Errors</w:t>
            </w:r>
          </w:p>
        </w:tc>
        <w:tc>
          <w:tcPr>
            <w:tcW w:w="1020" w:type="dxa"/>
            <w:tcBorders>
              <w:top w:val="nil"/>
              <w:left w:val="nil"/>
              <w:bottom w:val="single" w:sz="4" w:space="0" w:color="auto"/>
              <w:right w:val="single" w:sz="4" w:space="0" w:color="auto"/>
            </w:tcBorders>
            <w:shd w:val="clear" w:color="auto" w:fill="auto"/>
            <w:vAlign w:val="center"/>
            <w:hideMark/>
          </w:tcPr>
          <w:p w:rsidR="00AC40FC" w:rsidRDefault="00AC40FC" w:rsidP="00701DCF">
            <w:pPr>
              <w:spacing w:after="0"/>
              <w:jc w:val="right"/>
              <w:rPr>
                <w:rFonts w:cs="Arial"/>
                <w:color w:val="000000"/>
                <w:sz w:val="22"/>
              </w:rPr>
            </w:pPr>
            <w:r>
              <w:rPr>
                <w:rFonts w:cs="Arial"/>
                <w:color w:val="000000"/>
                <w:sz w:val="22"/>
              </w:rPr>
              <w:t>45.9%</w:t>
            </w:r>
          </w:p>
        </w:tc>
        <w:tc>
          <w:tcPr>
            <w:tcW w:w="1500" w:type="dxa"/>
            <w:tcBorders>
              <w:top w:val="nil"/>
              <w:left w:val="nil"/>
              <w:bottom w:val="single" w:sz="4" w:space="0" w:color="auto"/>
              <w:right w:val="single" w:sz="4" w:space="0" w:color="auto"/>
            </w:tcBorders>
            <w:shd w:val="clear" w:color="auto" w:fill="auto"/>
            <w:vAlign w:val="center"/>
            <w:hideMark/>
          </w:tcPr>
          <w:p w:rsidR="00AC40FC" w:rsidRDefault="00AC40FC" w:rsidP="00701DCF">
            <w:pPr>
              <w:spacing w:after="0"/>
              <w:jc w:val="center"/>
              <w:rPr>
                <w:rFonts w:cs="Arial"/>
                <w:color w:val="000000"/>
                <w:sz w:val="22"/>
              </w:rPr>
            </w:pPr>
            <w:r>
              <w:rPr>
                <w:rFonts w:cs="Arial"/>
                <w:color w:val="000000"/>
                <w:sz w:val="22"/>
              </w:rPr>
              <w:t>72</w:t>
            </w:r>
          </w:p>
        </w:tc>
      </w:tr>
      <w:tr w:rsidR="00AC40FC" w:rsidTr="00701DCF">
        <w:trPr>
          <w:trHeight w:val="320"/>
          <w:jc w:val="center"/>
        </w:trPr>
        <w:tc>
          <w:tcPr>
            <w:tcW w:w="4560" w:type="dxa"/>
            <w:tcBorders>
              <w:top w:val="nil"/>
              <w:left w:val="single" w:sz="4" w:space="0" w:color="auto"/>
              <w:bottom w:val="single" w:sz="4" w:space="0" w:color="auto"/>
              <w:right w:val="single" w:sz="4" w:space="0" w:color="auto"/>
            </w:tcBorders>
            <w:shd w:val="clear" w:color="auto" w:fill="auto"/>
            <w:vAlign w:val="center"/>
            <w:hideMark/>
          </w:tcPr>
          <w:p w:rsidR="00AC40FC" w:rsidRDefault="00AC40FC" w:rsidP="00701DCF">
            <w:pPr>
              <w:spacing w:after="0"/>
              <w:jc w:val="center"/>
              <w:rPr>
                <w:rFonts w:cs="Arial"/>
                <w:color w:val="000000"/>
                <w:sz w:val="22"/>
              </w:rPr>
            </w:pPr>
            <w:r>
              <w:rPr>
                <w:rFonts w:cs="Arial"/>
                <w:color w:val="000000"/>
                <w:sz w:val="22"/>
              </w:rPr>
              <w:t>No Bills</w:t>
            </w:r>
          </w:p>
        </w:tc>
        <w:tc>
          <w:tcPr>
            <w:tcW w:w="1020" w:type="dxa"/>
            <w:tcBorders>
              <w:top w:val="nil"/>
              <w:left w:val="nil"/>
              <w:bottom w:val="single" w:sz="4" w:space="0" w:color="auto"/>
              <w:right w:val="single" w:sz="4" w:space="0" w:color="auto"/>
            </w:tcBorders>
            <w:shd w:val="clear" w:color="auto" w:fill="auto"/>
            <w:vAlign w:val="center"/>
            <w:hideMark/>
          </w:tcPr>
          <w:p w:rsidR="00AC40FC" w:rsidRDefault="00AC40FC" w:rsidP="00701DCF">
            <w:pPr>
              <w:spacing w:after="0"/>
              <w:jc w:val="right"/>
              <w:rPr>
                <w:rFonts w:cs="Arial"/>
                <w:color w:val="000000"/>
                <w:sz w:val="22"/>
              </w:rPr>
            </w:pPr>
            <w:r>
              <w:rPr>
                <w:rFonts w:cs="Arial"/>
                <w:color w:val="000000"/>
                <w:sz w:val="22"/>
              </w:rPr>
              <w:t>29.3%</w:t>
            </w:r>
          </w:p>
        </w:tc>
        <w:tc>
          <w:tcPr>
            <w:tcW w:w="1500" w:type="dxa"/>
            <w:tcBorders>
              <w:top w:val="nil"/>
              <w:left w:val="nil"/>
              <w:bottom w:val="single" w:sz="4" w:space="0" w:color="auto"/>
              <w:right w:val="single" w:sz="4" w:space="0" w:color="auto"/>
            </w:tcBorders>
            <w:shd w:val="clear" w:color="auto" w:fill="auto"/>
            <w:vAlign w:val="center"/>
            <w:hideMark/>
          </w:tcPr>
          <w:p w:rsidR="00AC40FC" w:rsidRDefault="00AC40FC" w:rsidP="00701DCF">
            <w:pPr>
              <w:spacing w:after="0"/>
              <w:jc w:val="center"/>
              <w:rPr>
                <w:rFonts w:cs="Arial"/>
                <w:color w:val="000000"/>
                <w:sz w:val="22"/>
              </w:rPr>
            </w:pPr>
            <w:r>
              <w:rPr>
                <w:rFonts w:cs="Arial"/>
                <w:color w:val="000000"/>
                <w:sz w:val="22"/>
              </w:rPr>
              <w:t>46</w:t>
            </w:r>
          </w:p>
        </w:tc>
      </w:tr>
      <w:tr w:rsidR="00AC40FC" w:rsidTr="00701DCF">
        <w:trPr>
          <w:trHeight w:val="320"/>
          <w:jc w:val="center"/>
        </w:trPr>
        <w:tc>
          <w:tcPr>
            <w:tcW w:w="4560" w:type="dxa"/>
            <w:tcBorders>
              <w:top w:val="nil"/>
              <w:left w:val="single" w:sz="4" w:space="0" w:color="auto"/>
              <w:bottom w:val="single" w:sz="4" w:space="0" w:color="auto"/>
              <w:right w:val="single" w:sz="4" w:space="0" w:color="auto"/>
            </w:tcBorders>
            <w:shd w:val="clear" w:color="auto" w:fill="auto"/>
            <w:vAlign w:val="center"/>
            <w:hideMark/>
          </w:tcPr>
          <w:p w:rsidR="00AC40FC" w:rsidRDefault="00AC40FC" w:rsidP="00701DCF">
            <w:pPr>
              <w:spacing w:after="0"/>
              <w:jc w:val="center"/>
              <w:rPr>
                <w:rFonts w:cs="Arial"/>
                <w:color w:val="000000"/>
                <w:sz w:val="22"/>
              </w:rPr>
            </w:pPr>
            <w:r>
              <w:rPr>
                <w:rFonts w:cs="Arial"/>
                <w:color w:val="000000"/>
                <w:sz w:val="22"/>
              </w:rPr>
              <w:t>Human Performance - Other</w:t>
            </w:r>
          </w:p>
        </w:tc>
        <w:tc>
          <w:tcPr>
            <w:tcW w:w="1020" w:type="dxa"/>
            <w:tcBorders>
              <w:top w:val="nil"/>
              <w:left w:val="nil"/>
              <w:bottom w:val="single" w:sz="4" w:space="0" w:color="auto"/>
              <w:right w:val="single" w:sz="4" w:space="0" w:color="auto"/>
            </w:tcBorders>
            <w:shd w:val="clear" w:color="auto" w:fill="auto"/>
            <w:vAlign w:val="center"/>
            <w:hideMark/>
          </w:tcPr>
          <w:p w:rsidR="00AC40FC" w:rsidRDefault="00AC40FC" w:rsidP="00701DCF">
            <w:pPr>
              <w:spacing w:after="0"/>
              <w:jc w:val="right"/>
              <w:rPr>
                <w:rFonts w:cs="Arial"/>
                <w:color w:val="000000"/>
                <w:sz w:val="22"/>
              </w:rPr>
            </w:pPr>
            <w:r>
              <w:rPr>
                <w:rFonts w:cs="Arial"/>
                <w:color w:val="000000"/>
                <w:sz w:val="22"/>
              </w:rPr>
              <w:t>13.4%</w:t>
            </w:r>
          </w:p>
        </w:tc>
        <w:tc>
          <w:tcPr>
            <w:tcW w:w="1500" w:type="dxa"/>
            <w:tcBorders>
              <w:top w:val="nil"/>
              <w:left w:val="nil"/>
              <w:bottom w:val="single" w:sz="4" w:space="0" w:color="auto"/>
              <w:right w:val="single" w:sz="4" w:space="0" w:color="auto"/>
            </w:tcBorders>
            <w:shd w:val="clear" w:color="auto" w:fill="auto"/>
            <w:vAlign w:val="center"/>
            <w:hideMark/>
          </w:tcPr>
          <w:p w:rsidR="00AC40FC" w:rsidRDefault="00AC40FC" w:rsidP="00701DCF">
            <w:pPr>
              <w:spacing w:after="0"/>
              <w:jc w:val="center"/>
              <w:rPr>
                <w:rFonts w:cs="Arial"/>
                <w:color w:val="000000"/>
                <w:sz w:val="22"/>
              </w:rPr>
            </w:pPr>
            <w:r>
              <w:rPr>
                <w:rFonts w:cs="Arial"/>
                <w:color w:val="000000"/>
                <w:sz w:val="22"/>
              </w:rPr>
              <w:t>21</w:t>
            </w:r>
          </w:p>
        </w:tc>
      </w:tr>
      <w:tr w:rsidR="00AC40FC" w:rsidTr="00701DCF">
        <w:trPr>
          <w:trHeight w:val="320"/>
          <w:jc w:val="center"/>
        </w:trPr>
        <w:tc>
          <w:tcPr>
            <w:tcW w:w="4560" w:type="dxa"/>
            <w:tcBorders>
              <w:top w:val="nil"/>
              <w:left w:val="single" w:sz="4" w:space="0" w:color="auto"/>
              <w:bottom w:val="single" w:sz="4" w:space="0" w:color="auto"/>
              <w:right w:val="single" w:sz="4" w:space="0" w:color="auto"/>
            </w:tcBorders>
            <w:shd w:val="clear" w:color="auto" w:fill="auto"/>
            <w:vAlign w:val="center"/>
            <w:hideMark/>
          </w:tcPr>
          <w:p w:rsidR="00AC40FC" w:rsidRDefault="00AC40FC" w:rsidP="00701DCF">
            <w:pPr>
              <w:spacing w:after="0"/>
              <w:jc w:val="center"/>
              <w:rPr>
                <w:rFonts w:cs="Arial"/>
                <w:color w:val="000000"/>
                <w:sz w:val="22"/>
              </w:rPr>
            </w:pPr>
            <w:r>
              <w:rPr>
                <w:rFonts w:cs="Arial"/>
                <w:color w:val="000000"/>
                <w:sz w:val="22"/>
              </w:rPr>
              <w:t>Programming</w:t>
            </w:r>
          </w:p>
        </w:tc>
        <w:tc>
          <w:tcPr>
            <w:tcW w:w="1020" w:type="dxa"/>
            <w:tcBorders>
              <w:top w:val="nil"/>
              <w:left w:val="nil"/>
              <w:bottom w:val="single" w:sz="4" w:space="0" w:color="auto"/>
              <w:right w:val="single" w:sz="4" w:space="0" w:color="auto"/>
            </w:tcBorders>
            <w:shd w:val="clear" w:color="auto" w:fill="auto"/>
            <w:vAlign w:val="center"/>
            <w:hideMark/>
          </w:tcPr>
          <w:p w:rsidR="00AC40FC" w:rsidRDefault="00AC40FC" w:rsidP="00701DCF">
            <w:pPr>
              <w:spacing w:after="0"/>
              <w:jc w:val="right"/>
              <w:rPr>
                <w:rFonts w:cs="Arial"/>
                <w:color w:val="000000"/>
                <w:sz w:val="22"/>
              </w:rPr>
            </w:pPr>
            <w:r>
              <w:rPr>
                <w:rFonts w:cs="Arial"/>
                <w:color w:val="000000"/>
                <w:sz w:val="22"/>
              </w:rPr>
              <w:t>11.5%</w:t>
            </w:r>
          </w:p>
        </w:tc>
        <w:tc>
          <w:tcPr>
            <w:tcW w:w="1500" w:type="dxa"/>
            <w:tcBorders>
              <w:top w:val="nil"/>
              <w:left w:val="nil"/>
              <w:bottom w:val="single" w:sz="4" w:space="0" w:color="auto"/>
              <w:right w:val="single" w:sz="4" w:space="0" w:color="auto"/>
            </w:tcBorders>
            <w:shd w:val="clear" w:color="auto" w:fill="auto"/>
            <w:vAlign w:val="center"/>
            <w:hideMark/>
          </w:tcPr>
          <w:p w:rsidR="00AC40FC" w:rsidRDefault="00AC40FC" w:rsidP="00701DCF">
            <w:pPr>
              <w:spacing w:after="0"/>
              <w:jc w:val="center"/>
              <w:rPr>
                <w:rFonts w:cs="Arial"/>
                <w:color w:val="000000"/>
                <w:sz w:val="22"/>
              </w:rPr>
            </w:pPr>
            <w:r>
              <w:rPr>
                <w:rFonts w:cs="Arial"/>
                <w:color w:val="000000"/>
                <w:sz w:val="22"/>
              </w:rPr>
              <w:t>18</w:t>
            </w:r>
          </w:p>
        </w:tc>
      </w:tr>
      <w:tr w:rsidR="00AC40FC" w:rsidTr="00701DCF">
        <w:trPr>
          <w:trHeight w:val="320"/>
          <w:jc w:val="center"/>
        </w:trPr>
        <w:tc>
          <w:tcPr>
            <w:tcW w:w="4560" w:type="dxa"/>
            <w:tcBorders>
              <w:top w:val="nil"/>
              <w:left w:val="single" w:sz="4" w:space="0" w:color="auto"/>
              <w:bottom w:val="single" w:sz="4" w:space="0" w:color="auto"/>
              <w:right w:val="single" w:sz="4" w:space="0" w:color="auto"/>
            </w:tcBorders>
            <w:shd w:val="clear" w:color="auto" w:fill="auto"/>
            <w:vAlign w:val="center"/>
            <w:hideMark/>
          </w:tcPr>
          <w:p w:rsidR="00AC40FC" w:rsidRDefault="00AC40FC" w:rsidP="00701DCF">
            <w:pPr>
              <w:spacing w:after="0"/>
              <w:jc w:val="center"/>
              <w:rPr>
                <w:rFonts w:cs="Arial"/>
                <w:color w:val="000000"/>
                <w:sz w:val="22"/>
              </w:rPr>
            </w:pPr>
            <w:r>
              <w:rPr>
                <w:rFonts w:cs="Arial"/>
                <w:color w:val="000000"/>
                <w:sz w:val="22"/>
              </w:rPr>
              <w:t>Total</w:t>
            </w:r>
          </w:p>
        </w:tc>
        <w:tc>
          <w:tcPr>
            <w:tcW w:w="1020" w:type="dxa"/>
            <w:tcBorders>
              <w:top w:val="nil"/>
              <w:left w:val="nil"/>
              <w:bottom w:val="single" w:sz="4" w:space="0" w:color="auto"/>
              <w:right w:val="single" w:sz="4" w:space="0" w:color="auto"/>
            </w:tcBorders>
            <w:shd w:val="clear" w:color="auto" w:fill="auto"/>
            <w:vAlign w:val="center"/>
            <w:hideMark/>
          </w:tcPr>
          <w:p w:rsidR="00AC40FC" w:rsidRDefault="00AC40FC" w:rsidP="00701DCF">
            <w:pPr>
              <w:spacing w:after="0"/>
              <w:jc w:val="right"/>
              <w:rPr>
                <w:rFonts w:cs="Arial"/>
                <w:color w:val="000000"/>
                <w:sz w:val="22"/>
              </w:rPr>
            </w:pPr>
            <w:r>
              <w:rPr>
                <w:rFonts w:cs="Arial"/>
                <w:color w:val="000000"/>
                <w:sz w:val="22"/>
              </w:rPr>
              <w:t>100.0%</w:t>
            </w:r>
          </w:p>
        </w:tc>
        <w:tc>
          <w:tcPr>
            <w:tcW w:w="1500" w:type="dxa"/>
            <w:tcBorders>
              <w:top w:val="nil"/>
              <w:left w:val="nil"/>
              <w:bottom w:val="single" w:sz="4" w:space="0" w:color="auto"/>
              <w:right w:val="single" w:sz="4" w:space="0" w:color="auto"/>
            </w:tcBorders>
            <w:shd w:val="clear" w:color="auto" w:fill="auto"/>
            <w:vAlign w:val="center"/>
            <w:hideMark/>
          </w:tcPr>
          <w:p w:rsidR="00AC40FC" w:rsidRDefault="00AC40FC" w:rsidP="00701DCF">
            <w:pPr>
              <w:spacing w:after="0"/>
              <w:jc w:val="center"/>
              <w:rPr>
                <w:rFonts w:cs="Arial"/>
                <w:color w:val="000000"/>
                <w:sz w:val="22"/>
              </w:rPr>
            </w:pPr>
            <w:r>
              <w:rPr>
                <w:rFonts w:cs="Arial"/>
                <w:color w:val="000000"/>
                <w:sz w:val="22"/>
              </w:rPr>
              <w:t>157</w:t>
            </w:r>
          </w:p>
        </w:tc>
      </w:tr>
      <w:tr w:rsidR="00AC40FC" w:rsidTr="00701DCF">
        <w:trPr>
          <w:trHeight w:val="320"/>
          <w:jc w:val="center"/>
        </w:trPr>
        <w:tc>
          <w:tcPr>
            <w:tcW w:w="708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C40FC" w:rsidRDefault="00AC40FC" w:rsidP="00701DCF">
            <w:pPr>
              <w:spacing w:after="0"/>
              <w:rPr>
                <w:rFonts w:cs="Arial"/>
                <w:color w:val="000000"/>
                <w:sz w:val="22"/>
              </w:rPr>
            </w:pPr>
            <w:r>
              <w:rPr>
                <w:rFonts w:cs="Arial"/>
                <w:color w:val="000000"/>
                <w:sz w:val="22"/>
              </w:rPr>
              <w:t>Source:  PPL EU edits</w:t>
            </w:r>
          </w:p>
        </w:tc>
      </w:tr>
    </w:tbl>
    <w:p w:rsidR="00AC40FC" w:rsidRDefault="00AC40FC" w:rsidP="00701DCF">
      <w:pPr>
        <w:pStyle w:val="Normal-aftertable"/>
      </w:pPr>
      <w:r>
        <w:t>The above data shows that Dispute Process Errors accounted for 45.9%.  Further analysis by Regulatory Programs of the Dispute Process Errors category showed a breakdown of the errors, as shown in the below table:</w:t>
      </w:r>
    </w:p>
    <w:p w:rsidR="00AC40FC" w:rsidRDefault="00AC40FC">
      <w:pPr>
        <w:spacing w:after="0"/>
        <w:jc w:val="left"/>
        <w:rPr>
          <w:b/>
          <w:bCs/>
          <w:szCs w:val="18"/>
        </w:rPr>
      </w:pPr>
      <w:r>
        <w:br w:type="page"/>
      </w:r>
    </w:p>
    <w:p w:rsidR="00AC40FC" w:rsidRDefault="00AC40FC" w:rsidP="00ED6D61">
      <w:pPr>
        <w:pStyle w:val="Caption"/>
      </w:pPr>
      <w:bookmarkStart w:id="63" w:name="_Toc462648408"/>
      <w:bookmarkStart w:id="64" w:name="_Toc464553030"/>
      <w:r>
        <w:lastRenderedPageBreak/>
        <w:t xml:space="preserve">Exhibit </w:t>
      </w:r>
      <w:fldSimple w:instr=" STYLEREF 1 \s ">
        <w:r w:rsidR="00A24205">
          <w:rPr>
            <w:noProof/>
          </w:rPr>
          <w:t>IX</w:t>
        </w:r>
      </w:fldSimple>
      <w:r w:rsidR="00264A1B">
        <w:noBreakHyphen/>
      </w:r>
      <w:fldSimple w:instr=" SEQ Exhibit \* ARABIC \s 1 ">
        <w:r w:rsidR="00A24205">
          <w:rPr>
            <w:noProof/>
          </w:rPr>
          <w:t>15</w:t>
        </w:r>
      </w:fldSimple>
      <w:r>
        <w:br/>
        <w:t>Dispute Errors by Type</w:t>
      </w:r>
      <w:bookmarkEnd w:id="63"/>
      <w:bookmarkEnd w:id="64"/>
    </w:p>
    <w:tbl>
      <w:tblPr>
        <w:tblW w:w="5802" w:type="dxa"/>
        <w:jc w:val="center"/>
        <w:tblLook w:val="04A0"/>
      </w:tblPr>
      <w:tblGrid>
        <w:gridCol w:w="4487"/>
        <w:gridCol w:w="1315"/>
      </w:tblGrid>
      <w:tr w:rsidR="00AC40FC" w:rsidRPr="007370C9" w:rsidTr="00BB665B">
        <w:trPr>
          <w:cantSplit/>
          <w:trHeight w:val="600"/>
          <w:tblHeader/>
          <w:jc w:val="center"/>
        </w:trPr>
        <w:tc>
          <w:tcPr>
            <w:tcW w:w="4487" w:type="dxa"/>
            <w:tcBorders>
              <w:top w:val="single" w:sz="4" w:space="0" w:color="auto"/>
              <w:left w:val="single" w:sz="4" w:space="0" w:color="auto"/>
              <w:bottom w:val="single" w:sz="4" w:space="0" w:color="auto"/>
              <w:right w:val="single" w:sz="4" w:space="0" w:color="auto"/>
            </w:tcBorders>
            <w:shd w:val="clear" w:color="auto" w:fill="A5CD7E"/>
            <w:vAlign w:val="center"/>
            <w:hideMark/>
          </w:tcPr>
          <w:p w:rsidR="00AC40FC" w:rsidRPr="007370C9" w:rsidRDefault="00AC40FC" w:rsidP="007370C9">
            <w:pPr>
              <w:spacing w:before="120"/>
              <w:jc w:val="center"/>
              <w:rPr>
                <w:rFonts w:cs="Arial"/>
                <w:b/>
                <w:color w:val="000000"/>
                <w:sz w:val="22"/>
              </w:rPr>
            </w:pPr>
            <w:r w:rsidRPr="007370C9">
              <w:rPr>
                <w:rFonts w:cs="Arial"/>
                <w:b/>
                <w:color w:val="000000"/>
                <w:sz w:val="22"/>
              </w:rPr>
              <w:t>Dispute Process Error Type</w:t>
            </w:r>
          </w:p>
        </w:tc>
        <w:tc>
          <w:tcPr>
            <w:tcW w:w="1315"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7370C9" w:rsidRDefault="00AC40FC" w:rsidP="007370C9">
            <w:pPr>
              <w:spacing w:before="120"/>
              <w:jc w:val="center"/>
              <w:rPr>
                <w:rFonts w:cs="Arial"/>
                <w:b/>
                <w:color w:val="000000"/>
                <w:sz w:val="22"/>
              </w:rPr>
            </w:pPr>
            <w:r w:rsidRPr="007370C9">
              <w:rPr>
                <w:rFonts w:cs="Arial"/>
                <w:b/>
                <w:color w:val="000000"/>
                <w:sz w:val="22"/>
              </w:rPr>
              <w:t>Number of Errors</w:t>
            </w:r>
          </w:p>
        </w:tc>
      </w:tr>
      <w:tr w:rsidR="00AC40FC" w:rsidRPr="00AF279E" w:rsidTr="00BB665B">
        <w:trPr>
          <w:trHeight w:val="300"/>
          <w:jc w:val="center"/>
        </w:trPr>
        <w:tc>
          <w:tcPr>
            <w:tcW w:w="4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40FC" w:rsidRPr="00B333F4" w:rsidRDefault="00AC40FC" w:rsidP="00701DCF">
            <w:pPr>
              <w:spacing w:after="0"/>
              <w:jc w:val="center"/>
              <w:rPr>
                <w:rFonts w:cs="Arial"/>
                <w:color w:val="000000"/>
                <w:sz w:val="22"/>
              </w:rPr>
            </w:pPr>
            <w:r w:rsidRPr="00B333F4">
              <w:rPr>
                <w:rFonts w:cs="Arial"/>
                <w:color w:val="000000"/>
                <w:sz w:val="22"/>
              </w:rPr>
              <w:t>Failure to send utility report within 30 days</w:t>
            </w:r>
          </w:p>
        </w:tc>
        <w:tc>
          <w:tcPr>
            <w:tcW w:w="1315" w:type="dxa"/>
            <w:tcBorders>
              <w:top w:val="nil"/>
              <w:left w:val="nil"/>
              <w:bottom w:val="single" w:sz="4" w:space="0" w:color="auto"/>
              <w:right w:val="single" w:sz="4" w:space="0" w:color="auto"/>
            </w:tcBorders>
            <w:shd w:val="clear" w:color="auto" w:fill="auto"/>
            <w:noWrap/>
            <w:vAlign w:val="center"/>
            <w:hideMark/>
          </w:tcPr>
          <w:p w:rsidR="00AC40FC" w:rsidRPr="00B333F4" w:rsidRDefault="00AC40FC" w:rsidP="00701DCF">
            <w:pPr>
              <w:spacing w:after="0"/>
              <w:jc w:val="center"/>
              <w:rPr>
                <w:rFonts w:cs="Arial"/>
                <w:color w:val="000000"/>
                <w:sz w:val="22"/>
              </w:rPr>
            </w:pPr>
            <w:r w:rsidRPr="00B333F4">
              <w:rPr>
                <w:rFonts w:cs="Arial"/>
                <w:color w:val="000000"/>
                <w:sz w:val="22"/>
              </w:rPr>
              <w:t>20</w:t>
            </w:r>
          </w:p>
        </w:tc>
      </w:tr>
      <w:tr w:rsidR="00AC40FC" w:rsidRPr="00AF279E" w:rsidTr="00BB665B">
        <w:trPr>
          <w:trHeight w:val="300"/>
          <w:jc w:val="center"/>
        </w:trPr>
        <w:tc>
          <w:tcPr>
            <w:tcW w:w="4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40FC" w:rsidRPr="00B333F4" w:rsidRDefault="00AC40FC" w:rsidP="00701DCF">
            <w:pPr>
              <w:spacing w:after="0"/>
              <w:jc w:val="center"/>
              <w:rPr>
                <w:rFonts w:cs="Arial"/>
                <w:color w:val="000000"/>
                <w:sz w:val="22"/>
              </w:rPr>
            </w:pPr>
            <w:r w:rsidRPr="00B333F4">
              <w:rPr>
                <w:rFonts w:cs="Arial"/>
                <w:color w:val="000000"/>
                <w:sz w:val="22"/>
              </w:rPr>
              <w:t>Failure to suspend account during dispute</w:t>
            </w:r>
          </w:p>
        </w:tc>
        <w:tc>
          <w:tcPr>
            <w:tcW w:w="1315" w:type="dxa"/>
            <w:tcBorders>
              <w:top w:val="nil"/>
              <w:left w:val="nil"/>
              <w:bottom w:val="single" w:sz="4" w:space="0" w:color="auto"/>
              <w:right w:val="single" w:sz="4" w:space="0" w:color="auto"/>
            </w:tcBorders>
            <w:shd w:val="clear" w:color="auto" w:fill="auto"/>
            <w:noWrap/>
            <w:vAlign w:val="center"/>
            <w:hideMark/>
          </w:tcPr>
          <w:p w:rsidR="00AC40FC" w:rsidRPr="00B333F4" w:rsidRDefault="00AC40FC" w:rsidP="00701DCF">
            <w:pPr>
              <w:spacing w:after="0"/>
              <w:jc w:val="center"/>
              <w:rPr>
                <w:rFonts w:cs="Arial"/>
                <w:color w:val="000000"/>
                <w:sz w:val="22"/>
              </w:rPr>
            </w:pPr>
            <w:r w:rsidRPr="00B333F4">
              <w:rPr>
                <w:rFonts w:cs="Arial"/>
                <w:color w:val="000000"/>
                <w:sz w:val="22"/>
              </w:rPr>
              <w:t>17</w:t>
            </w:r>
          </w:p>
        </w:tc>
      </w:tr>
      <w:tr w:rsidR="00AC40FC" w:rsidRPr="00AF279E" w:rsidTr="00BB665B">
        <w:trPr>
          <w:trHeight w:val="332"/>
          <w:jc w:val="center"/>
        </w:trPr>
        <w:tc>
          <w:tcPr>
            <w:tcW w:w="4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40FC" w:rsidRPr="00B333F4" w:rsidRDefault="00AC40FC" w:rsidP="00701DCF">
            <w:pPr>
              <w:spacing w:after="0"/>
              <w:jc w:val="center"/>
              <w:rPr>
                <w:rFonts w:cs="Arial"/>
                <w:color w:val="000000"/>
                <w:sz w:val="22"/>
              </w:rPr>
            </w:pPr>
            <w:r w:rsidRPr="00B333F4">
              <w:rPr>
                <w:rFonts w:cs="Arial"/>
                <w:color w:val="000000"/>
                <w:sz w:val="22"/>
              </w:rPr>
              <w:t>Failure to recognize dispute</w:t>
            </w:r>
          </w:p>
        </w:tc>
        <w:tc>
          <w:tcPr>
            <w:tcW w:w="1315" w:type="dxa"/>
            <w:tcBorders>
              <w:top w:val="nil"/>
              <w:left w:val="nil"/>
              <w:bottom w:val="single" w:sz="4" w:space="0" w:color="auto"/>
              <w:right w:val="single" w:sz="4" w:space="0" w:color="auto"/>
            </w:tcBorders>
            <w:shd w:val="clear" w:color="auto" w:fill="auto"/>
            <w:noWrap/>
            <w:vAlign w:val="center"/>
            <w:hideMark/>
          </w:tcPr>
          <w:p w:rsidR="00AC40FC" w:rsidRPr="00B333F4" w:rsidRDefault="00AC40FC" w:rsidP="00701DCF">
            <w:pPr>
              <w:spacing w:after="0"/>
              <w:jc w:val="center"/>
              <w:rPr>
                <w:rFonts w:cs="Arial"/>
                <w:color w:val="000000"/>
                <w:sz w:val="22"/>
              </w:rPr>
            </w:pPr>
            <w:r w:rsidRPr="00B333F4">
              <w:rPr>
                <w:rFonts w:cs="Arial"/>
                <w:color w:val="000000"/>
                <w:sz w:val="22"/>
              </w:rPr>
              <w:t>9</w:t>
            </w:r>
          </w:p>
        </w:tc>
      </w:tr>
      <w:tr w:rsidR="00AC40FC" w:rsidRPr="00AF279E" w:rsidTr="00BB665B">
        <w:trPr>
          <w:trHeight w:val="300"/>
          <w:jc w:val="center"/>
        </w:trPr>
        <w:tc>
          <w:tcPr>
            <w:tcW w:w="4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40FC" w:rsidRPr="00B333F4" w:rsidRDefault="00AC40FC" w:rsidP="00701DCF">
            <w:pPr>
              <w:spacing w:after="0"/>
              <w:jc w:val="center"/>
              <w:rPr>
                <w:rFonts w:cs="Arial"/>
                <w:color w:val="000000"/>
                <w:sz w:val="22"/>
              </w:rPr>
            </w:pPr>
            <w:r w:rsidRPr="00B333F4">
              <w:rPr>
                <w:rFonts w:cs="Arial"/>
                <w:color w:val="000000"/>
                <w:sz w:val="22"/>
              </w:rPr>
              <w:t>Rendered inaccurate utility report</w:t>
            </w:r>
          </w:p>
        </w:tc>
        <w:tc>
          <w:tcPr>
            <w:tcW w:w="1315" w:type="dxa"/>
            <w:tcBorders>
              <w:top w:val="nil"/>
              <w:left w:val="nil"/>
              <w:bottom w:val="single" w:sz="4" w:space="0" w:color="auto"/>
              <w:right w:val="single" w:sz="4" w:space="0" w:color="auto"/>
            </w:tcBorders>
            <w:shd w:val="clear" w:color="auto" w:fill="auto"/>
            <w:noWrap/>
            <w:vAlign w:val="center"/>
            <w:hideMark/>
          </w:tcPr>
          <w:p w:rsidR="00AC40FC" w:rsidRPr="00B333F4" w:rsidRDefault="00AC40FC" w:rsidP="00701DCF">
            <w:pPr>
              <w:spacing w:after="0"/>
              <w:jc w:val="center"/>
              <w:rPr>
                <w:rFonts w:cs="Arial"/>
                <w:color w:val="000000"/>
                <w:sz w:val="22"/>
              </w:rPr>
            </w:pPr>
            <w:r w:rsidRPr="00B333F4">
              <w:rPr>
                <w:rFonts w:cs="Arial"/>
                <w:color w:val="000000"/>
                <w:sz w:val="22"/>
              </w:rPr>
              <w:t>9</w:t>
            </w:r>
          </w:p>
        </w:tc>
      </w:tr>
      <w:tr w:rsidR="00AC40FC" w:rsidRPr="00AF279E" w:rsidTr="00BB665B">
        <w:trPr>
          <w:trHeight w:val="300"/>
          <w:jc w:val="center"/>
        </w:trPr>
        <w:tc>
          <w:tcPr>
            <w:tcW w:w="4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40FC" w:rsidRPr="00B333F4" w:rsidRDefault="00AC40FC" w:rsidP="00701DCF">
            <w:pPr>
              <w:spacing w:after="0"/>
              <w:jc w:val="center"/>
              <w:rPr>
                <w:rFonts w:cs="Arial"/>
                <w:color w:val="000000"/>
                <w:sz w:val="22"/>
              </w:rPr>
            </w:pPr>
            <w:r w:rsidRPr="00B333F4">
              <w:rPr>
                <w:rFonts w:cs="Arial"/>
                <w:color w:val="000000"/>
                <w:sz w:val="22"/>
              </w:rPr>
              <w:t>Failure to investigate</w:t>
            </w:r>
          </w:p>
        </w:tc>
        <w:tc>
          <w:tcPr>
            <w:tcW w:w="1315" w:type="dxa"/>
            <w:tcBorders>
              <w:top w:val="nil"/>
              <w:left w:val="nil"/>
              <w:bottom w:val="single" w:sz="4" w:space="0" w:color="auto"/>
              <w:right w:val="single" w:sz="4" w:space="0" w:color="auto"/>
            </w:tcBorders>
            <w:shd w:val="clear" w:color="auto" w:fill="auto"/>
            <w:noWrap/>
            <w:vAlign w:val="center"/>
            <w:hideMark/>
          </w:tcPr>
          <w:p w:rsidR="00AC40FC" w:rsidRPr="00B333F4" w:rsidRDefault="00AC40FC" w:rsidP="00701DCF">
            <w:pPr>
              <w:spacing w:after="0"/>
              <w:jc w:val="center"/>
              <w:rPr>
                <w:rFonts w:cs="Arial"/>
                <w:color w:val="000000"/>
                <w:sz w:val="22"/>
              </w:rPr>
            </w:pPr>
            <w:r w:rsidRPr="00B333F4">
              <w:rPr>
                <w:rFonts w:cs="Arial"/>
                <w:color w:val="000000"/>
                <w:sz w:val="22"/>
              </w:rPr>
              <w:t>7</w:t>
            </w:r>
          </w:p>
        </w:tc>
      </w:tr>
      <w:tr w:rsidR="00AC40FC" w:rsidRPr="00AF279E" w:rsidTr="00BB665B">
        <w:trPr>
          <w:trHeight w:val="300"/>
          <w:jc w:val="center"/>
        </w:trPr>
        <w:tc>
          <w:tcPr>
            <w:tcW w:w="4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40FC" w:rsidRPr="00B333F4" w:rsidRDefault="00AC40FC" w:rsidP="00701DCF">
            <w:pPr>
              <w:spacing w:after="0"/>
              <w:jc w:val="center"/>
              <w:rPr>
                <w:rFonts w:cs="Arial"/>
                <w:color w:val="000000"/>
                <w:sz w:val="22"/>
              </w:rPr>
            </w:pPr>
            <w:r w:rsidRPr="00B333F4">
              <w:rPr>
                <w:rFonts w:cs="Arial"/>
                <w:color w:val="000000"/>
                <w:sz w:val="22"/>
              </w:rPr>
              <w:t>Failure to treat "slamming" as a dispute</w:t>
            </w:r>
          </w:p>
        </w:tc>
        <w:tc>
          <w:tcPr>
            <w:tcW w:w="1315" w:type="dxa"/>
            <w:tcBorders>
              <w:top w:val="nil"/>
              <w:left w:val="nil"/>
              <w:bottom w:val="single" w:sz="4" w:space="0" w:color="auto"/>
              <w:right w:val="single" w:sz="4" w:space="0" w:color="auto"/>
            </w:tcBorders>
            <w:shd w:val="clear" w:color="auto" w:fill="auto"/>
            <w:noWrap/>
            <w:vAlign w:val="center"/>
            <w:hideMark/>
          </w:tcPr>
          <w:p w:rsidR="00AC40FC" w:rsidRPr="00B333F4" w:rsidRDefault="00AC40FC" w:rsidP="00701DCF">
            <w:pPr>
              <w:spacing w:after="0"/>
              <w:jc w:val="center"/>
              <w:rPr>
                <w:rFonts w:cs="Arial"/>
                <w:color w:val="000000"/>
                <w:sz w:val="22"/>
              </w:rPr>
            </w:pPr>
            <w:r w:rsidRPr="00B333F4">
              <w:rPr>
                <w:rFonts w:cs="Arial"/>
                <w:color w:val="000000"/>
                <w:sz w:val="22"/>
              </w:rPr>
              <w:t>5</w:t>
            </w:r>
          </w:p>
        </w:tc>
      </w:tr>
      <w:tr w:rsidR="00AC40FC" w:rsidRPr="00AF279E" w:rsidTr="00BB665B">
        <w:trPr>
          <w:trHeight w:val="300"/>
          <w:jc w:val="center"/>
        </w:trPr>
        <w:tc>
          <w:tcPr>
            <w:tcW w:w="4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40FC" w:rsidRPr="00B333F4" w:rsidRDefault="00AC40FC" w:rsidP="00701DCF">
            <w:pPr>
              <w:spacing w:after="0"/>
              <w:jc w:val="center"/>
              <w:rPr>
                <w:rFonts w:cs="Arial"/>
                <w:color w:val="000000"/>
                <w:sz w:val="22"/>
              </w:rPr>
            </w:pPr>
            <w:r w:rsidRPr="00B333F4">
              <w:rPr>
                <w:rFonts w:cs="Arial"/>
                <w:color w:val="000000"/>
                <w:sz w:val="22"/>
              </w:rPr>
              <w:t>Failure to provide enough information</w:t>
            </w:r>
          </w:p>
        </w:tc>
        <w:tc>
          <w:tcPr>
            <w:tcW w:w="1315" w:type="dxa"/>
            <w:tcBorders>
              <w:top w:val="nil"/>
              <w:left w:val="nil"/>
              <w:bottom w:val="single" w:sz="4" w:space="0" w:color="auto"/>
              <w:right w:val="single" w:sz="4" w:space="0" w:color="auto"/>
            </w:tcBorders>
            <w:shd w:val="clear" w:color="auto" w:fill="auto"/>
            <w:noWrap/>
            <w:vAlign w:val="center"/>
            <w:hideMark/>
          </w:tcPr>
          <w:p w:rsidR="00AC40FC" w:rsidRPr="00B333F4" w:rsidRDefault="00AC40FC" w:rsidP="00701DCF">
            <w:pPr>
              <w:spacing w:after="0"/>
              <w:jc w:val="center"/>
              <w:rPr>
                <w:rFonts w:cs="Arial"/>
                <w:color w:val="000000"/>
                <w:sz w:val="22"/>
              </w:rPr>
            </w:pPr>
            <w:r w:rsidRPr="00B333F4">
              <w:rPr>
                <w:rFonts w:cs="Arial"/>
                <w:color w:val="000000"/>
                <w:sz w:val="22"/>
              </w:rPr>
              <w:t>4</w:t>
            </w:r>
          </w:p>
        </w:tc>
      </w:tr>
      <w:tr w:rsidR="00AC40FC" w:rsidRPr="00AF279E" w:rsidTr="00BB665B">
        <w:trPr>
          <w:trHeight w:val="300"/>
          <w:jc w:val="center"/>
        </w:trPr>
        <w:tc>
          <w:tcPr>
            <w:tcW w:w="4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40FC" w:rsidRPr="00B333F4" w:rsidRDefault="00AC40FC" w:rsidP="00701DCF">
            <w:pPr>
              <w:spacing w:after="0"/>
              <w:jc w:val="center"/>
              <w:rPr>
                <w:rFonts w:cs="Arial"/>
                <w:color w:val="000000"/>
                <w:sz w:val="22"/>
              </w:rPr>
            </w:pPr>
            <w:r w:rsidRPr="00B333F4">
              <w:rPr>
                <w:rFonts w:cs="Arial"/>
                <w:color w:val="000000"/>
                <w:sz w:val="22"/>
              </w:rPr>
              <w:t>Sent termination letter during open dispute</w:t>
            </w:r>
          </w:p>
        </w:tc>
        <w:tc>
          <w:tcPr>
            <w:tcW w:w="1315" w:type="dxa"/>
            <w:tcBorders>
              <w:top w:val="nil"/>
              <w:left w:val="nil"/>
              <w:bottom w:val="nil"/>
              <w:right w:val="single" w:sz="4" w:space="0" w:color="auto"/>
            </w:tcBorders>
            <w:shd w:val="clear" w:color="auto" w:fill="auto"/>
            <w:noWrap/>
            <w:vAlign w:val="center"/>
            <w:hideMark/>
          </w:tcPr>
          <w:p w:rsidR="00AC40FC" w:rsidRPr="00B333F4" w:rsidRDefault="00AC40FC" w:rsidP="00701DCF">
            <w:pPr>
              <w:spacing w:after="0"/>
              <w:jc w:val="center"/>
              <w:rPr>
                <w:rFonts w:cs="Arial"/>
                <w:color w:val="000000"/>
                <w:sz w:val="22"/>
              </w:rPr>
            </w:pPr>
            <w:r w:rsidRPr="00B333F4">
              <w:rPr>
                <w:rFonts w:cs="Arial"/>
                <w:color w:val="000000"/>
                <w:sz w:val="22"/>
              </w:rPr>
              <w:t>1</w:t>
            </w:r>
          </w:p>
        </w:tc>
      </w:tr>
      <w:tr w:rsidR="00AC40FC" w:rsidRPr="00AF279E" w:rsidTr="00BB665B">
        <w:trPr>
          <w:trHeight w:val="300"/>
          <w:jc w:val="center"/>
        </w:trPr>
        <w:tc>
          <w:tcPr>
            <w:tcW w:w="58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C40FC" w:rsidRPr="00B333F4" w:rsidRDefault="00AC40FC" w:rsidP="00BB665B">
            <w:pPr>
              <w:spacing w:after="0"/>
              <w:jc w:val="left"/>
              <w:rPr>
                <w:rFonts w:cs="Arial"/>
                <w:color w:val="000000"/>
                <w:sz w:val="22"/>
              </w:rPr>
            </w:pPr>
            <w:r>
              <w:rPr>
                <w:rFonts w:cs="Arial"/>
                <w:color w:val="000000"/>
                <w:sz w:val="22"/>
              </w:rPr>
              <w:t>Source:  PPL EU edits</w:t>
            </w:r>
          </w:p>
        </w:tc>
      </w:tr>
    </w:tbl>
    <w:p w:rsidR="00AC40FC" w:rsidRDefault="00AC40FC" w:rsidP="00701DCF">
      <w:pPr>
        <w:pStyle w:val="Normal-aftertable"/>
        <w:rPr>
          <w:color w:val="000000"/>
        </w:rPr>
      </w:pPr>
      <w:r w:rsidRPr="00E519B9">
        <w:t>The most frequent problem was “Failure to send utility report within 30 days.”  The second most frequent problem was “</w:t>
      </w:r>
      <w:r w:rsidRPr="00E519B9">
        <w:rPr>
          <w:color w:val="000000"/>
        </w:rPr>
        <w:t>Failure to suspend account during dispute.”</w:t>
      </w:r>
    </w:p>
    <w:p w:rsidR="00AC40FC" w:rsidRPr="0077254A" w:rsidRDefault="00AC40FC" w:rsidP="00701DCF">
      <w:r w:rsidRPr="0077254A">
        <w:t>Customer Services tracks “Justified Informal Complaints” in its Monthly Performance Indicators Report.  The objective is to improve customer satisfaction and compliance performance by incurring no more than five percent PUC justified informal complaints. The measure is total justified complaints divided by total informal PUC complaints.  The January 2016 Report shows that the PPL EU ended 2015 with a 7.1% justified complaint rate.  The magnitude of total informal complaints decreased from 5,147 in 2014 to 2,209 in 2015.  The Regulatory Programs team determined that there were 143 justified complaints in 2014 compared to 157 in 2015.  However, the total 2014 justified complaints were 2.8% compared to more than twice the rate of 7.1% in 2015.</w:t>
      </w:r>
    </w:p>
    <w:p w:rsidR="00AC40FC" w:rsidRPr="0077254A" w:rsidRDefault="00AC40FC" w:rsidP="00701DCF">
      <w:pPr>
        <w:pStyle w:val="Normal-aftertable"/>
      </w:pPr>
      <w:r w:rsidRPr="005F1B8C">
        <w:t xml:space="preserve">In 2014, </w:t>
      </w:r>
      <w:r>
        <w:t>PPL EU t</w:t>
      </w:r>
      <w:r w:rsidRPr="005F1B8C">
        <w:t>ook in 5</w:t>
      </w:r>
      <w:r>
        <w:t>,</w:t>
      </w:r>
      <w:r w:rsidRPr="005F1B8C">
        <w:t>147 complaints.  Of these, more than 2,000 were complaints specific to supplier prices.  Because the complaint</w:t>
      </w:r>
      <w:r>
        <w:t>s were</w:t>
      </w:r>
      <w:r w:rsidRPr="005F1B8C">
        <w:t xml:space="preserve"> not about PPL</w:t>
      </w:r>
      <w:r>
        <w:t xml:space="preserve"> EU</w:t>
      </w:r>
      <w:r w:rsidRPr="005F1B8C">
        <w:t xml:space="preserve">, </w:t>
      </w:r>
      <w:r>
        <w:t>the complaints were not an</w:t>
      </w:r>
      <w:r w:rsidRPr="005F1B8C">
        <w:t>alyze</w:t>
      </w:r>
      <w:r>
        <w:t>d</w:t>
      </w:r>
      <w:r w:rsidRPr="005F1B8C">
        <w:t xml:space="preserve"> </w:t>
      </w:r>
      <w:r>
        <w:t>fo</w:t>
      </w:r>
      <w:r w:rsidRPr="005F1B8C">
        <w:t xml:space="preserve">r compliance correctness.  </w:t>
      </w:r>
      <w:r>
        <w:t>Adjusting for this, Regulatory Programs</w:t>
      </w:r>
      <w:r w:rsidRPr="005F1B8C">
        <w:t xml:space="preserve"> </w:t>
      </w:r>
      <w:r>
        <w:t xml:space="preserve">actually </w:t>
      </w:r>
      <w:r w:rsidRPr="005F1B8C">
        <w:t xml:space="preserve">analyzed 3,086 informal complaints </w:t>
      </w:r>
      <w:r>
        <w:t>in 2014</w:t>
      </w:r>
      <w:r w:rsidRPr="005F1B8C">
        <w:t xml:space="preserve">.  </w:t>
      </w:r>
      <w:r>
        <w:t xml:space="preserve">The adjustment results in a </w:t>
      </w:r>
      <w:r w:rsidRPr="005F1B8C">
        <w:t>4.6% justified complaint rate.</w:t>
      </w:r>
    </w:p>
    <w:p w:rsidR="00AC40FC" w:rsidRPr="0077254A" w:rsidRDefault="00AC40FC" w:rsidP="00701DCF">
      <w:pPr>
        <w:rPr>
          <w:rFonts w:cs="Arial"/>
        </w:rPr>
      </w:pPr>
      <w:r w:rsidRPr="00E519B9">
        <w:rPr>
          <w:rFonts w:cs="Arial"/>
        </w:rPr>
        <w:t xml:space="preserve">Customer Services has several initiatives underway aimed at improving dispute handling performance, including working with the senior CSRs to improve their dispute handling skills so that they can better assist their teams, developing “dispute-focused” training clips, and improving the dispute information in the training materials. </w:t>
      </w:r>
    </w:p>
    <w:p w:rsidR="00AC40FC" w:rsidRDefault="00AC40FC" w:rsidP="00BB665B">
      <w:pPr>
        <w:pStyle w:val="Heading-forToC"/>
      </w:pPr>
      <w:bookmarkStart w:id="65" w:name="_Toc462647842"/>
      <w:bookmarkStart w:id="66" w:name="_Toc464552081"/>
      <w:r>
        <w:t>recommendations</w:t>
      </w:r>
      <w:bookmarkEnd w:id="65"/>
      <w:bookmarkEnd w:id="66"/>
    </w:p>
    <w:p w:rsidR="00AC40FC" w:rsidRDefault="00AC40FC" w:rsidP="004F00E5">
      <w:pPr>
        <w:pStyle w:val="Findings"/>
        <w:numPr>
          <w:ilvl w:val="0"/>
          <w:numId w:val="48"/>
        </w:numPr>
      </w:pPr>
      <w:r>
        <w:t>Develop unit cost metrics that compare dollars spent per job for both Universal Service WRAP and Act 129 WRAP programs</w:t>
      </w:r>
      <w:r w:rsidRPr="00B46393">
        <w:t>.  (</w:t>
      </w:r>
      <w:r>
        <w:t xml:space="preserve">See </w:t>
      </w:r>
      <w:r w:rsidRPr="00B46393">
        <w:t>Finding</w:t>
      </w:r>
      <w:r>
        <w:t>s</w:t>
      </w:r>
      <w:r w:rsidRPr="00B46393">
        <w:t xml:space="preserve"> </w:t>
      </w:r>
      <w:r>
        <w:t>1 and 2</w:t>
      </w:r>
      <w:r w:rsidRPr="00B46393">
        <w:t>)</w:t>
      </w:r>
    </w:p>
    <w:p w:rsidR="00AC40FC" w:rsidRDefault="00AC40FC" w:rsidP="00701DCF">
      <w:r w:rsidRPr="008C0089">
        <w:t xml:space="preserve">Customer Services neither explicitly tracks dollars spent per WRAP job nor does it compare Universal Service dollars spent per WRAP job with Act 129 dollars spent per WRAP job.  </w:t>
      </w:r>
      <w:r>
        <w:t>V&amp;A analysis indicated that there were</w:t>
      </w:r>
      <w:r w:rsidRPr="008C0089">
        <w:t xml:space="preserve"> significant differences between the </w:t>
      </w:r>
      <w:r>
        <w:t>unit costs</w:t>
      </w:r>
      <w:r w:rsidRPr="008C0089">
        <w:t xml:space="preserve"> of the two funding sources and </w:t>
      </w:r>
      <w:r>
        <w:t xml:space="preserve">on a </w:t>
      </w:r>
      <w:r w:rsidRPr="008C0089">
        <w:t>year-to-year</w:t>
      </w:r>
      <w:r>
        <w:t xml:space="preserve"> basis</w:t>
      </w:r>
      <w:r w:rsidRPr="008C0089">
        <w:t xml:space="preserve">.  </w:t>
      </w:r>
      <w:r>
        <w:t xml:space="preserve">Analysis also </w:t>
      </w:r>
      <w:r>
        <w:lastRenderedPageBreak/>
        <w:t xml:space="preserve">showed that the Universal Service WRAP cost per customer ratio has increased 20% from 2013 to 2014 and continued to be elevated in 2015.  Developing, tracking, and analyzing the trends of these unit costs will lead to the identification of opportunities for improved processes and practices and for cost reductions. </w:t>
      </w:r>
    </w:p>
    <w:p w:rsidR="00AC40FC" w:rsidRDefault="00AC40FC" w:rsidP="004F00E5">
      <w:pPr>
        <w:pStyle w:val="Findings"/>
        <w:keepNext/>
        <w:numPr>
          <w:ilvl w:val="0"/>
          <w:numId w:val="48"/>
        </w:numPr>
      </w:pPr>
      <w:r>
        <w:t xml:space="preserve">Develop metrics that track and report comparable KWh saved per administrative dollars spent and per job completed for the Universal Service WRAP and Act 129 WRAP programs.  </w:t>
      </w:r>
      <w:r w:rsidRPr="00B46393">
        <w:t>(</w:t>
      </w:r>
      <w:r>
        <w:t xml:space="preserve">See </w:t>
      </w:r>
      <w:r w:rsidRPr="00B46393">
        <w:t xml:space="preserve">Finding </w:t>
      </w:r>
      <w:r>
        <w:t>3</w:t>
      </w:r>
      <w:r w:rsidRPr="00B46393">
        <w:t>)</w:t>
      </w:r>
    </w:p>
    <w:p w:rsidR="00AC40FC" w:rsidRDefault="00AC40FC" w:rsidP="00701DCF">
      <w:r>
        <w:t xml:space="preserve">WRAP program performance, as well as Customer Service’s performance in delivering those programs, should be better understood.  Tracking the relationships of administrative dollars spent and jobs completed compared to estimated KWh savings will enhance that understanding.  Such information may suggest alternative program spending strategies and improve administrative cost-effectiveness. </w:t>
      </w:r>
    </w:p>
    <w:p w:rsidR="00AC40FC" w:rsidRDefault="00AC40FC" w:rsidP="004F00E5">
      <w:pPr>
        <w:pStyle w:val="Findings"/>
        <w:numPr>
          <w:ilvl w:val="0"/>
          <w:numId w:val="48"/>
        </w:numPr>
      </w:pPr>
      <w:r>
        <w:t>Revise the Justified Complaints Rate target of “no more than 5%” to 0% and allocate additional resources to analyze and resolve internal controllable errors.  (See Finding 4)</w:t>
      </w:r>
    </w:p>
    <w:p w:rsidR="00AC40FC" w:rsidRDefault="00AC40FC" w:rsidP="00701DCF">
      <w:r>
        <w:t xml:space="preserve">Customer Services should increase management attention and resources to drive down the number of Justified Complaints to approach zero.  The largest reason for Justified Complaints in 2015 were Dispute Process Errors made by Customer Service staff and those errors are controllable and should be corrected. </w:t>
      </w:r>
    </w:p>
    <w:p w:rsidR="00AC40FC" w:rsidRPr="00562562" w:rsidRDefault="00AC40FC" w:rsidP="004F00E5">
      <w:pPr>
        <w:pStyle w:val="Heading2"/>
        <w:numPr>
          <w:ilvl w:val="0"/>
          <w:numId w:val="101"/>
        </w:numPr>
      </w:pPr>
      <w:bookmarkStart w:id="67" w:name="_Toc462647843"/>
      <w:bookmarkStart w:id="68" w:name="_Toc464552082"/>
      <w:r w:rsidRPr="00562562">
        <w:t>advanced metering and data operations</w:t>
      </w:r>
      <w:bookmarkEnd w:id="67"/>
      <w:bookmarkEnd w:id="68"/>
    </w:p>
    <w:p w:rsidR="00AC40FC" w:rsidRDefault="00AC40FC" w:rsidP="00BB665B">
      <w:pPr>
        <w:pStyle w:val="Heading-forToC"/>
      </w:pPr>
      <w:bookmarkStart w:id="69" w:name="_Toc462647844"/>
      <w:bookmarkStart w:id="70" w:name="_Toc464552083"/>
      <w:r>
        <w:t>background</w:t>
      </w:r>
      <w:bookmarkEnd w:id="69"/>
      <w:bookmarkEnd w:id="70"/>
    </w:p>
    <w:p w:rsidR="00AC40FC" w:rsidRDefault="00AC40FC" w:rsidP="00701DCF">
      <w:r>
        <w:t>The Advanced Metering and Data Operations organization structure is shown below:</w:t>
      </w:r>
    </w:p>
    <w:p w:rsidR="00AC40FC" w:rsidRDefault="00AC40FC" w:rsidP="00ED6D61">
      <w:pPr>
        <w:pStyle w:val="Caption"/>
      </w:pPr>
      <w:bookmarkStart w:id="71" w:name="_Toc462648409"/>
      <w:bookmarkStart w:id="72" w:name="_Toc464553031"/>
      <w:r>
        <w:t xml:space="preserve">Exhibit </w:t>
      </w:r>
      <w:fldSimple w:instr=" STYLEREF 1 \s ">
        <w:r w:rsidR="00A24205">
          <w:rPr>
            <w:noProof/>
          </w:rPr>
          <w:t>IX</w:t>
        </w:r>
      </w:fldSimple>
      <w:r w:rsidR="00264A1B">
        <w:noBreakHyphen/>
      </w:r>
      <w:fldSimple w:instr=" SEQ Exhibit \* ARABIC \s 1 ">
        <w:r w:rsidR="00A24205">
          <w:rPr>
            <w:noProof/>
          </w:rPr>
          <w:t>16</w:t>
        </w:r>
      </w:fldSimple>
      <w:r>
        <w:br/>
        <w:t>Advanced Metering and Data Operations Organization</w:t>
      </w:r>
      <w:bookmarkEnd w:id="71"/>
      <w:bookmarkEnd w:id="72"/>
    </w:p>
    <w:p w:rsidR="00AC40FC" w:rsidRDefault="00AC40FC" w:rsidP="00701DCF">
      <w:pPr>
        <w:pStyle w:val="Normal-aftertable"/>
        <w:jc w:val="center"/>
      </w:pPr>
      <w:r>
        <w:rPr>
          <w:noProof/>
        </w:rPr>
        <w:drawing>
          <wp:inline distT="0" distB="0" distL="0" distR="0">
            <wp:extent cx="5943600" cy="1271270"/>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PL-EU_01071-Adv-Meter-Data-Ops_page137_v2.jpg"/>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1271270"/>
                    </a:xfrm>
                    <a:prstGeom prst="rect">
                      <a:avLst/>
                    </a:prstGeom>
                  </pic:spPr>
                </pic:pic>
              </a:graphicData>
            </a:graphic>
          </wp:inline>
        </w:drawing>
      </w:r>
    </w:p>
    <w:p w:rsidR="00AC40FC" w:rsidRDefault="00AC40FC" w:rsidP="00701DCF">
      <w:pPr>
        <w:pStyle w:val="Normal-aftertable"/>
        <w:jc w:val="left"/>
      </w:pPr>
      <w:r>
        <w:t>Source: DN 01-071</w:t>
      </w:r>
    </w:p>
    <w:p w:rsidR="00AC40FC" w:rsidRDefault="00AC40FC" w:rsidP="00701DCF">
      <w:pPr>
        <w:pStyle w:val="Normal-aftertable"/>
      </w:pPr>
      <w:r>
        <w:t>The Metering Engineering Supervisor is responsible for meter installation drawings, designing customer meter panel installations, customizing meter programs for unique service installations, and investigating power quality issues.</w:t>
      </w:r>
    </w:p>
    <w:p w:rsidR="00AC40FC" w:rsidRDefault="00AC40FC" w:rsidP="00701DCF">
      <w:pPr>
        <w:rPr>
          <w:rFonts w:cs="Arial"/>
        </w:rPr>
      </w:pPr>
      <w:r>
        <w:t xml:space="preserve">The Asset Manager-AMI is responsible for </w:t>
      </w:r>
      <w:r>
        <w:rPr>
          <w:rFonts w:cs="Arial"/>
        </w:rPr>
        <w:t xml:space="preserve">the meter testing lab and meter asset management.  </w:t>
      </w:r>
    </w:p>
    <w:p w:rsidR="00AC40FC" w:rsidRDefault="00AC40FC" w:rsidP="00701DCF">
      <w:r>
        <w:t xml:space="preserve">The Advanced Metering – Program Manager is the project manager for the new PUC-approved Smart Meter Plan, referred to as the MeterVision 20/20 Project.  </w:t>
      </w:r>
    </w:p>
    <w:p w:rsidR="00AC40FC" w:rsidRDefault="00AC40FC" w:rsidP="00701DCF">
      <w:r>
        <w:lastRenderedPageBreak/>
        <w:t>The Advanced Metering System Operations Manager is responsible for large power customer MV-90 (software for interval data collection) metering and data communication and analysis, the existing Power Line Carrier (PLC) metering system, the Meter Data Management System (MDMS), and supporting the MeterVision 20/20 Project.</w:t>
      </w:r>
    </w:p>
    <w:p w:rsidR="00AC40FC" w:rsidRPr="0070382C" w:rsidRDefault="00AC40FC" w:rsidP="00701DCF">
      <w:pPr>
        <w:pStyle w:val="Heading40"/>
        <w:rPr>
          <w:highlight w:val="yellow"/>
        </w:rPr>
      </w:pPr>
      <w:r>
        <w:t>Existing Metering System</w:t>
      </w:r>
    </w:p>
    <w:p w:rsidR="00AC40FC" w:rsidRPr="00037B50" w:rsidRDefault="00AC40FC" w:rsidP="00701DCF">
      <w:r>
        <w:t xml:space="preserve">PPL EU’s current automated metering infrastructure (AMI) system utilizes Power Line Carrier (PLC) technology for reading meters.  With PLC technology, data from customers’ meters are transmitted through the power lines to PPL EU’s back office Information Technology (IT) systems where it is validated and then used to determine customers’ bills.  However, as the PUC determined and PPL EU agreed, the current AMI system does not fully meet the requirements of Act 129 and the </w:t>
      </w:r>
      <w:r w:rsidRPr="007A2E5A">
        <w:t>SMP Implementation Order.</w:t>
      </w:r>
      <w:r w:rsidRPr="00033C94">
        <w:t xml:space="preserve">  </w:t>
      </w:r>
      <w:r>
        <w:t xml:space="preserve">PPL EU received approval from the PUC on September 3, 2015 for its Smart Meter Technology Procurement and Installation Plan.  </w:t>
      </w:r>
    </w:p>
    <w:p w:rsidR="00AC40FC" w:rsidRDefault="00AC40FC" w:rsidP="00701DCF">
      <w:r>
        <w:t>The primary deficiency of the PPL EU current system is the inability to provide customers with direct access to price and usage information through a Home Area Network (HAN).  PPL EU also indicated that its PLC system is limited in its ability to provide 15-minute interval data, as well as other near real-time information.  In addition, approximately 1.2 million, or 86%, of its current electro-mechanical meters will need to be replaced with new, solid state electronic meters in order to provide remote disconnect/reconnect functionality, meet industry on-board meter storage standards, have the ability to be upgraded with technology advancements, have the ability to be remotely programmed, and to support net metering.  PPL EU has been experiencing increasingly higher meter failure rates over the past several years and its AMI communications hardware, which is the same age as the meter population, is also approaching the end of its useful life.</w:t>
      </w:r>
    </w:p>
    <w:p w:rsidR="00AC40FC" w:rsidRDefault="00AC40FC" w:rsidP="00701DCF">
      <w:pPr>
        <w:pStyle w:val="Heading40"/>
      </w:pPr>
      <w:r>
        <w:t>Planned Metering System</w:t>
      </w:r>
    </w:p>
    <w:p w:rsidR="00AC40FC" w:rsidRDefault="00AC40FC" w:rsidP="00701DCF">
      <w:r>
        <w:t>PPL EU will replace its existing PLC metering technology with a Radio Frequency (RF) Mesh metering system.  The installation of the RF Mesh system will require the replacement of existing electromechanical and solid state meters, as well as the replacement and/or installation of additional IT systems, including the head-end system which collects data from the meters and field devices and can send out commands to these devices.</w:t>
      </w:r>
    </w:p>
    <w:p w:rsidR="00AC40FC" w:rsidRDefault="00AC40FC" w:rsidP="00701DCF">
      <w:r w:rsidRPr="00852EFC">
        <w:t>Act 129</w:t>
      </w:r>
      <w:r>
        <w:t xml:space="preserve"> requires that smart meter technology include the following six capabilities:  (1) B</w:t>
      </w:r>
      <w:r w:rsidRPr="00350DEA">
        <w:t>i</w:t>
      </w:r>
      <w:r>
        <w:t>directional data communications; (2) Record</w:t>
      </w:r>
      <w:r w:rsidRPr="00350DEA">
        <w:t xml:space="preserve"> usage data on at lea</w:t>
      </w:r>
      <w:r>
        <w:t>st an hourly basis; (3) Provide</w:t>
      </w:r>
      <w:r w:rsidRPr="00350DEA">
        <w:t xml:space="preserve"> customers with direct access to</w:t>
      </w:r>
      <w:r>
        <w:t>,</w:t>
      </w:r>
      <w:r w:rsidRPr="00350DEA">
        <w:t xml:space="preserve"> and use of</w:t>
      </w:r>
      <w:r>
        <w:t>,</w:t>
      </w:r>
      <w:r w:rsidRPr="00350DEA">
        <w:t xml:space="preserve"> price and </w:t>
      </w:r>
      <w:r>
        <w:t>consumption information; (4) Provide</w:t>
      </w:r>
      <w:r w:rsidRPr="00350DEA">
        <w:t xml:space="preserve"> customers with informat</w:t>
      </w:r>
      <w:r>
        <w:t>ion on their hourly consumption; (5) Enable</w:t>
      </w:r>
      <w:r w:rsidRPr="00350DEA">
        <w:t xml:space="preserve"> time</w:t>
      </w:r>
      <w:r w:rsidRPr="00350DEA">
        <w:noBreakHyphen/>
        <w:t>of</w:t>
      </w:r>
      <w:r w:rsidRPr="00350DEA">
        <w:noBreakHyphen/>
        <w:t>use rat</w:t>
      </w:r>
      <w:r>
        <w:t>es and real</w:t>
      </w:r>
      <w:r>
        <w:noBreakHyphen/>
        <w:t>time price programs; and (6) Effectively support</w:t>
      </w:r>
      <w:r w:rsidRPr="00350DEA">
        <w:t xml:space="preserve"> the automatic control of the </w:t>
      </w:r>
      <w:r>
        <w:t>customer’s electric consumption</w:t>
      </w:r>
      <w:r w:rsidRPr="00852EFC">
        <w:t xml:space="preserve"> </w:t>
      </w:r>
      <w:r>
        <w:t>by</w:t>
      </w:r>
      <w:r w:rsidRPr="00852EFC">
        <w:t xml:space="preserve"> the customer, the </w:t>
      </w:r>
      <w:r>
        <w:t>electric distribution company (</w:t>
      </w:r>
      <w:r w:rsidRPr="00852EFC">
        <w:t>EDC</w:t>
      </w:r>
      <w:r>
        <w:t>),</w:t>
      </w:r>
      <w:r w:rsidRPr="00852EFC">
        <w:t xml:space="preserve"> or a third</w:t>
      </w:r>
      <w:r w:rsidRPr="00852EFC">
        <w:noBreakHyphen/>
        <w:t>party, at the customer</w:t>
      </w:r>
      <w:r>
        <w:t>’</w:t>
      </w:r>
      <w:r w:rsidRPr="00852EFC">
        <w:t>s request</w:t>
      </w:r>
      <w:r>
        <w:t>.</w:t>
      </w:r>
    </w:p>
    <w:p w:rsidR="00AC40FC" w:rsidRDefault="00AC40FC" w:rsidP="00701DCF">
      <w:r>
        <w:t>The PUC added additional capability requirements:  (1) R</w:t>
      </w:r>
      <w:r w:rsidRPr="00542EA5">
        <w:t>e</w:t>
      </w:r>
      <w:r>
        <w:t>motely disconnect and reconnect; (2) P</w:t>
      </w:r>
      <w:r w:rsidRPr="00542EA5">
        <w:t>rovide 15</w:t>
      </w:r>
      <w:r w:rsidRPr="00542EA5">
        <w:noBreakHyphen/>
        <w:t>minute or shorter interval data to customers</w:t>
      </w:r>
      <w:r>
        <w:t>, electric generation suppliers (EGSs), third</w:t>
      </w:r>
      <w:r>
        <w:noBreakHyphen/>
        <w:t xml:space="preserve">parties, and a regional transmission organization </w:t>
      </w:r>
      <w:r>
        <w:lastRenderedPageBreak/>
        <w:t>(RTO)</w:t>
      </w:r>
      <w:r w:rsidRPr="00542EA5">
        <w:t xml:space="preserve"> on a daily basis, consistent with the data availability, transfer</w:t>
      </w:r>
      <w:r>
        <w:t>,</w:t>
      </w:r>
      <w:r w:rsidRPr="00542EA5">
        <w:t xml:space="preserve"> and securi</w:t>
      </w:r>
      <w:r>
        <w:t xml:space="preserve">ty standards adopted by the RTO; (3) </w:t>
      </w:r>
      <w:r w:rsidRPr="00542EA5">
        <w:t>On</w:t>
      </w:r>
      <w:r w:rsidRPr="00542EA5">
        <w:noBreakHyphen/>
        <w:t>board meter storage of meter data that complies with nationally recognized non</w:t>
      </w:r>
      <w:r w:rsidRPr="00542EA5">
        <w:noBreakHyphen/>
        <w:t>proprietary standards such a</w:t>
      </w:r>
      <w:r>
        <w:t xml:space="preserve">s ANSI C12.19 and C12.22 tables; (4) </w:t>
      </w:r>
      <w:r w:rsidRPr="00542EA5">
        <w:t>Open standards and protocols that comply with nationally recognized non</w:t>
      </w:r>
      <w:r w:rsidRPr="00542EA5">
        <w:noBreakHyphen/>
        <w:t>proprietary standards, such as IEEE 80</w:t>
      </w:r>
      <w:r>
        <w:t>2.15.4; (5) U</w:t>
      </w:r>
      <w:r w:rsidRPr="00542EA5">
        <w:t>pgrade these minimum capabilities as technology advances an</w:t>
      </w:r>
      <w:r>
        <w:t>d becomes economically feasible; (6) M</w:t>
      </w:r>
      <w:r w:rsidRPr="00542EA5">
        <w:t xml:space="preserve">onitor voltage at each meter and report data in a manner that allows an </w:t>
      </w:r>
      <w:r>
        <w:t>EDC to react to the information; (7) Re</w:t>
      </w:r>
      <w:r w:rsidRPr="00542EA5">
        <w:t>motely repr</w:t>
      </w:r>
      <w:r>
        <w:t>ogram the meter; (8) C</w:t>
      </w:r>
      <w:r w:rsidRPr="00542EA5">
        <w:t>ommu</w:t>
      </w:r>
      <w:r>
        <w:t>nicate outages and restorations; and (9) S</w:t>
      </w:r>
      <w:r w:rsidRPr="00542EA5">
        <w:t xml:space="preserve">upport net </w:t>
      </w:r>
      <w:r>
        <w:t>metering of customer</w:t>
      </w:r>
      <w:r>
        <w:noBreakHyphen/>
        <w:t xml:space="preserve">generators.  </w:t>
      </w:r>
    </w:p>
    <w:p w:rsidR="00AC40FC" w:rsidRDefault="00AC40FC" w:rsidP="00701DCF">
      <w:r>
        <w:t>PPL EU also intends to implement the following additional upgrades to support its proposed RF Mesh system:  (1) Install a new Meter Data Management System (MDMS), which will provide for storage of data from smart meters, including interval meter reads, and processing raw meter data for billing purposes; (2) Upgrade the existing Energy Analyzer Customer Portal System, which provides customers with access to view and analyze their energy usage; (3) Establish a Network Operating Center (NOC) to manage the operations of the meters and network equipment; and (4) Upgrade the Meter Asset Management (MAM) System, which tracks the meter and field devices, capturing testing results, as well as installation, maintenance, and retirement information.</w:t>
      </w:r>
    </w:p>
    <w:p w:rsidR="00AC40FC" w:rsidRPr="00FD37BE" w:rsidRDefault="00AC40FC" w:rsidP="00701DCF">
      <w:r>
        <w:t>PPL EU will be permitted to implement</w:t>
      </w:r>
      <w:r w:rsidRPr="00C672E5">
        <w:t xml:space="preserve"> </w:t>
      </w:r>
      <w:r w:rsidRPr="0076361F">
        <w:t>voluntary</w:t>
      </w:r>
      <w:r w:rsidRPr="00C672E5">
        <w:rPr>
          <w:i/>
        </w:rPr>
        <w:t xml:space="preserve"> </w:t>
      </w:r>
      <w:r>
        <w:t xml:space="preserve">remote </w:t>
      </w:r>
      <w:r w:rsidRPr="00C672E5">
        <w:t>conne</w:t>
      </w:r>
      <w:r>
        <w:t xml:space="preserve">ction/disconnection, but must seek stakeholder input and file for PUC approval before implementing involuntary remote termination.  PPL EU formally filed the remote switch involuntary termination proposal with the PUC in January 2016.   The plan is to use the remote switch capability </w:t>
      </w:r>
      <w:r w:rsidRPr="00D905BD">
        <w:t>to disconnect and reconnect power for residential and small commercial customers</w:t>
      </w:r>
      <w:r>
        <w:t xml:space="preserve">, </w:t>
      </w:r>
      <w:r w:rsidRPr="00D905BD">
        <w:t>start</w:t>
      </w:r>
      <w:r>
        <w:t>ing</w:t>
      </w:r>
      <w:r w:rsidRPr="00D905BD">
        <w:t xml:space="preserve"> in April 2017</w:t>
      </w:r>
      <w:r>
        <w:t>.  The benefits include:  (1) C</w:t>
      </w:r>
      <w:r w:rsidRPr="00FD37BE">
        <w:t>apability to expand the hours of operation for the reconnects (e.g. prelimi</w:t>
      </w:r>
      <w:r>
        <w:t xml:space="preserve">nary plan was 6:00 AM to 10:00 PM), (2) </w:t>
      </w:r>
      <w:r w:rsidRPr="00FD37BE">
        <w:t xml:space="preserve">Reconnects can be completed quicker after the customer </w:t>
      </w:r>
      <w:r>
        <w:t xml:space="preserve">satisfies payments requirements, (3) </w:t>
      </w:r>
      <w:r w:rsidRPr="00FD37BE">
        <w:t>Reduction of meter removals will provide less wear and te</w:t>
      </w:r>
      <w:r>
        <w:t xml:space="preserve">ar on the customer’s meter base, (4) </w:t>
      </w:r>
      <w:r w:rsidRPr="00FD37BE">
        <w:t>Improved safety since the service tech is n</w:t>
      </w:r>
      <w:r>
        <w:t xml:space="preserve">ot required to remove the meter, and (5) </w:t>
      </w:r>
      <w:r w:rsidRPr="00FD37BE">
        <w:t>Automated reconnects will not require truck rolls for the cut-In process which will allow for other field work to be scheduled and completed and reduce meter tampering</w:t>
      </w:r>
      <w:r>
        <w:t>.</w:t>
      </w:r>
      <w:r w:rsidRPr="00FD37BE">
        <w:t xml:space="preserve"> </w:t>
      </w:r>
    </w:p>
    <w:p w:rsidR="00AC40FC" w:rsidRDefault="00AC40FC" w:rsidP="00701DCF">
      <w:pPr>
        <w:pStyle w:val="Heading40"/>
      </w:pPr>
      <w:r>
        <w:t>Cost Savings</w:t>
      </w:r>
    </w:p>
    <w:p w:rsidR="00AC40FC" w:rsidRDefault="00AC40FC" w:rsidP="00701DCF">
      <w:pPr>
        <w:rPr>
          <w:szCs w:val="26"/>
        </w:rPr>
      </w:pPr>
      <w:r>
        <w:rPr>
          <w:szCs w:val="26"/>
        </w:rPr>
        <w:t>PPL EU is required to investigate and track all sources of potential cost savings relating to the implementation of its proposed RF Mesh smart meter system that can be specifically identified and quantified,</w:t>
      </w:r>
      <w:r w:rsidRPr="00BE02CE">
        <w:rPr>
          <w:szCs w:val="26"/>
        </w:rPr>
        <w:t xml:space="preserve"> including but not limited to (a) </w:t>
      </w:r>
      <w:r>
        <w:rPr>
          <w:szCs w:val="26"/>
        </w:rPr>
        <w:t>meter reading,</w:t>
      </w:r>
      <w:r w:rsidRPr="00BE02CE">
        <w:rPr>
          <w:szCs w:val="26"/>
        </w:rPr>
        <w:t xml:space="preserve"> (b) </w:t>
      </w:r>
      <w:r>
        <w:rPr>
          <w:szCs w:val="26"/>
        </w:rPr>
        <w:t>meter services,</w:t>
      </w:r>
      <w:r w:rsidRPr="00BE02CE">
        <w:rPr>
          <w:szCs w:val="26"/>
        </w:rPr>
        <w:t xml:space="preserve"> (c) </w:t>
      </w:r>
      <w:r>
        <w:rPr>
          <w:szCs w:val="26"/>
        </w:rPr>
        <w:t>back-office,</w:t>
      </w:r>
      <w:r w:rsidRPr="00BE02CE">
        <w:rPr>
          <w:szCs w:val="26"/>
        </w:rPr>
        <w:t xml:space="preserve"> (d) </w:t>
      </w:r>
      <w:r>
        <w:rPr>
          <w:szCs w:val="26"/>
        </w:rPr>
        <w:t>c</w:t>
      </w:r>
      <w:r w:rsidRPr="00BE02CE">
        <w:rPr>
          <w:szCs w:val="26"/>
        </w:rPr>
        <w:t>ontact cent</w:t>
      </w:r>
      <w:r>
        <w:rPr>
          <w:szCs w:val="26"/>
        </w:rPr>
        <w:t>er,</w:t>
      </w:r>
      <w:r w:rsidRPr="00BE02CE">
        <w:rPr>
          <w:szCs w:val="26"/>
        </w:rPr>
        <w:t xml:space="preserve"> (e) </w:t>
      </w:r>
      <w:r>
        <w:rPr>
          <w:szCs w:val="26"/>
        </w:rPr>
        <w:t xml:space="preserve">theft reduction, </w:t>
      </w:r>
      <w:r w:rsidRPr="00BE02CE">
        <w:rPr>
          <w:szCs w:val="26"/>
        </w:rPr>
        <w:t xml:space="preserve">(f) </w:t>
      </w:r>
      <w:r>
        <w:rPr>
          <w:szCs w:val="26"/>
        </w:rPr>
        <w:t>r</w:t>
      </w:r>
      <w:r w:rsidRPr="00BE02CE">
        <w:rPr>
          <w:szCs w:val="26"/>
        </w:rPr>
        <w:t xml:space="preserve">evenue </w:t>
      </w:r>
      <w:r>
        <w:rPr>
          <w:szCs w:val="26"/>
        </w:rPr>
        <w:t>enhancement,</w:t>
      </w:r>
      <w:r w:rsidRPr="00BE02CE">
        <w:rPr>
          <w:szCs w:val="26"/>
        </w:rPr>
        <w:t xml:space="preserve"> (g) </w:t>
      </w:r>
      <w:r>
        <w:rPr>
          <w:szCs w:val="26"/>
        </w:rPr>
        <w:t xml:space="preserve">avoided capital costs, and </w:t>
      </w:r>
      <w:r w:rsidRPr="00BE02CE">
        <w:rPr>
          <w:szCs w:val="26"/>
        </w:rPr>
        <w:t xml:space="preserve">(h) </w:t>
      </w:r>
      <w:r>
        <w:rPr>
          <w:szCs w:val="26"/>
        </w:rPr>
        <w:t>d</w:t>
      </w:r>
      <w:r w:rsidRPr="00BE02CE">
        <w:rPr>
          <w:szCs w:val="26"/>
        </w:rPr>
        <w:t>istribution operations</w:t>
      </w:r>
      <w:r>
        <w:rPr>
          <w:szCs w:val="26"/>
        </w:rPr>
        <w:t>, as discussed in the Pennsylvania PUC’s Opinion and Order at docket number M-2014-2430781.  PPL EU must reflect those cost savings as an offset to the costs included in the calculation of its Smart Meter Rider mechanism.</w:t>
      </w:r>
    </w:p>
    <w:p w:rsidR="00AC40FC" w:rsidRDefault="00AC40FC" w:rsidP="00701DCF">
      <w:pPr>
        <w:rPr>
          <w:szCs w:val="26"/>
        </w:rPr>
      </w:pPr>
      <w:r>
        <w:rPr>
          <w:szCs w:val="26"/>
        </w:rPr>
        <w:t xml:space="preserve">PPL EU identified additional benefits that are difficult to quantify:  </w:t>
      </w:r>
      <w:r>
        <w:t xml:space="preserve">(1) Reduction in the number of physical visits to customers’ premises, (2) More timely responses to customer requests relating to the ability to remotely connect and disconnect service, (3) </w:t>
      </w:r>
      <w:r>
        <w:lastRenderedPageBreak/>
        <w:t>Increased power quality, (4) Enhanced ability to detect distribution problems, (5) Faster location of outages, and (6) Improved tracking of unaccounted-for energy.</w:t>
      </w:r>
    </w:p>
    <w:p w:rsidR="00AC40FC" w:rsidRDefault="00AC40FC" w:rsidP="00701DCF">
      <w:pPr>
        <w:pStyle w:val="Heading40"/>
      </w:pPr>
      <w:r>
        <w:t>Cost Recovery</w:t>
      </w:r>
    </w:p>
    <w:p w:rsidR="00AC40FC" w:rsidRDefault="00AC40FC" w:rsidP="00701DCF">
      <w:r>
        <w:t>Cost recovery is planned via an accelerated Smart Meter Rider (SMR), similar to the Distribution System Improvement Charge (DSIC) recovery mechanism.  Bill c</w:t>
      </w:r>
      <w:r w:rsidRPr="00A03343">
        <w:t xml:space="preserve">harges for the new meters would be phased in over time beginning in 2015. </w:t>
      </w:r>
      <w:r>
        <w:t xml:space="preserve"> </w:t>
      </w:r>
      <w:r w:rsidRPr="00A03343">
        <w:t xml:space="preserve">Charges would then decrease after the installation period. The average residential customer will pay about $2.79 per month over the </w:t>
      </w:r>
      <w:r>
        <w:t>time the meters are in service.</w:t>
      </w:r>
    </w:p>
    <w:p w:rsidR="00AC40FC" w:rsidRDefault="00AC40FC" w:rsidP="00701DCF">
      <w:r w:rsidRPr="007A26C7">
        <w:t xml:space="preserve">In summary, </w:t>
      </w:r>
      <w:r>
        <w:t xml:space="preserve">PPL EU is moving forward to implement the new smart meter program at a cost of about $471 million (including the addition of the Fiber Backhaul project) through 2020, in compliance with the PUC Order and legislative mandates.  Because PPL EU had previously implemented its AMI PLC metering system, it was able to eliminate the significant costs associated with manual meter reading, and so the economic benefits generally associated with automated meter reading systems have already been achieved.  PPL EU has recognized that those cost savings are not available to offset and justify the costs of the </w:t>
      </w:r>
      <w:r w:rsidRPr="008A116E">
        <w:t xml:space="preserve">new mandated smart meter program. </w:t>
      </w:r>
      <w:r>
        <w:t xml:space="preserve"> </w:t>
      </w:r>
      <w:r w:rsidRPr="008A116E">
        <w:t>PPL EU</w:t>
      </w:r>
      <w:r w:rsidRPr="004654AD">
        <w:t xml:space="preserve"> is implementing the smart meter program in compliance with legislative and regulatory mandates; it is not intended as</w:t>
      </w:r>
      <w:r>
        <w:t xml:space="preserve"> </w:t>
      </w:r>
      <w:r w:rsidRPr="004654AD">
        <w:t>a cost savings program and it</w:t>
      </w:r>
      <w:r>
        <w:t xml:space="preserve"> </w:t>
      </w:r>
      <w:r w:rsidRPr="004654AD">
        <w:t>is not justified on an economic basis alone.</w:t>
      </w:r>
    </w:p>
    <w:p w:rsidR="00AC40FC" w:rsidRDefault="00AC40FC" w:rsidP="00701DCF">
      <w:pPr>
        <w:pStyle w:val="Heading40"/>
      </w:pPr>
      <w:r>
        <w:t>MeterVision 20/20 Implementation</w:t>
      </w:r>
    </w:p>
    <w:p w:rsidR="00AC40FC" w:rsidRPr="007A26C7" w:rsidRDefault="00AC40FC" w:rsidP="00701DCF">
      <w:r>
        <w:t>PPL EU intends to deploy its upgraded metering system from 2015 through 2021.  From 2015 through 2017, PPL EU will build the IT systems necessary to support the new system.  Deployment of meters will begin with a “Solution Validation” phase in late 2016 through early 2017 and will include deployment of up to 50,000 meters.  PPL EU will then begin full deployment of meters in 2017 and continue through 2019.  Following the completion of deployment in 2019, the system will enter a two-year stabilization period, which will continue the process of fine-tuning the RF Mesh network and back office systems.  This time period will also be used to deploy any final system enhancements or upgrades prior to full operation in 2022.</w:t>
      </w:r>
    </w:p>
    <w:p w:rsidR="00AC40FC" w:rsidRDefault="00AC40FC" w:rsidP="00701DCF">
      <w:r>
        <w:t xml:space="preserve">Meter installations are expected to occur at the rate of approximately 2,000 exchanges a day.  In order to facilitate Same Day Cutover of meters from PLC reading to RF reading, network equipment is installed in an area prior to any meter deployment.  Therefore, when the new RF meter is installed, the meter should connect to the network immediately and pass the required security keys to enable the meter to connect with the Routers and Collectors on the RF network. </w:t>
      </w:r>
    </w:p>
    <w:p w:rsidR="00AC40FC" w:rsidRDefault="00AC40FC" w:rsidP="00701DCF">
      <w:r>
        <w:t xml:space="preserve">A Meter Operating Center (MOC) is setup to provide monitoring of the deployment.  Every day the MOC monitors the system to ensure that meters that were installed that day have successfully joined the network and are in an active status.  The MOC is staffed with both Operational staff and Project Deployment Staff that includes the installation vendor. </w:t>
      </w:r>
    </w:p>
    <w:p w:rsidR="00AC40FC" w:rsidRDefault="00AC40FC" w:rsidP="00701DCF">
      <w:r>
        <w:t xml:space="preserve">Meters are given 48 hours to connect to the network.  For any meter that is installed and does not connect to the PPL EU network within 48 hours, PPL EU will ask the Deployment Vendor to investigate.  The Deployment Vendor has 48 hours to </w:t>
      </w:r>
      <w:r>
        <w:lastRenderedPageBreak/>
        <w:t>troubleshoot and resolve the connectivity issue.  If the problem is not resolved within 48 hours, which is 96 hours after the initial meter installation, the Deployment Vendor will be required to provide a manual read of each register (and associated intervals) of the meter every day until the meter connects to the network and can provide over the air reading.</w:t>
      </w:r>
    </w:p>
    <w:p w:rsidR="00AC40FC" w:rsidRDefault="00AC40FC" w:rsidP="00701DCF">
      <w:pPr>
        <w:pStyle w:val="Heading40"/>
      </w:pPr>
      <w:r>
        <w:t>Meter Asset Management</w:t>
      </w:r>
    </w:p>
    <w:p w:rsidR="00AC40FC" w:rsidRDefault="00AC40FC" w:rsidP="00701DCF">
      <w:r>
        <w:t>A vendor</w:t>
      </w:r>
      <w:r w:rsidRPr="009E4A12">
        <w:t xml:space="preserve"> is providing the new Meter Asset Management (MAM) system and test boards that will be used to test and track meters and network devices. </w:t>
      </w:r>
      <w:r>
        <w:t xml:space="preserve"> </w:t>
      </w:r>
      <w:r w:rsidRPr="009E4A12">
        <w:t xml:space="preserve">MAM key functionality areas include: </w:t>
      </w:r>
      <w:r>
        <w:t xml:space="preserve"> </w:t>
      </w:r>
      <w:r w:rsidRPr="009E4A12">
        <w:t>Device Procurement</w:t>
      </w:r>
      <w:r>
        <w:t xml:space="preserve">, </w:t>
      </w:r>
      <w:r w:rsidRPr="009E4A12">
        <w:t>Device Forecasting and Reporting</w:t>
      </w:r>
      <w:r>
        <w:t xml:space="preserve">, Inventory Management, </w:t>
      </w:r>
      <w:r w:rsidRPr="009E4A12">
        <w:t>Device Lifecycle Management</w:t>
      </w:r>
      <w:r>
        <w:t>, M</w:t>
      </w:r>
      <w:r w:rsidRPr="009E4A12">
        <w:t>e</w:t>
      </w:r>
      <w:r>
        <w:t>asurement a</w:t>
      </w:r>
      <w:r w:rsidRPr="009E4A12">
        <w:t>nd Functional Testing</w:t>
      </w:r>
      <w:r>
        <w:t>,</w:t>
      </w:r>
      <w:r w:rsidRPr="009E4A12">
        <w:rPr>
          <w:rFonts w:cs="Arial"/>
        </w:rPr>
        <w:t xml:space="preserve"> </w:t>
      </w:r>
      <w:r w:rsidRPr="009E4A12">
        <w:t>Condition Based Monitoring</w:t>
      </w:r>
      <w:r>
        <w:t xml:space="preserve">, </w:t>
      </w:r>
      <w:r w:rsidRPr="009E4A12">
        <w:t>Meter Firmware Management</w:t>
      </w:r>
      <w:r>
        <w:t>, D</w:t>
      </w:r>
      <w:r w:rsidRPr="009E4A12">
        <w:t>evice Management Reporting</w:t>
      </w:r>
      <w:r>
        <w:t xml:space="preserve">, </w:t>
      </w:r>
      <w:r w:rsidRPr="009E4A12">
        <w:t>Device Commissioning</w:t>
      </w:r>
      <w:r>
        <w:t xml:space="preserve">, and </w:t>
      </w:r>
      <w:r w:rsidRPr="009E4A12">
        <w:t>Meter Configuration Management</w:t>
      </w:r>
      <w:r>
        <w:t>.</w:t>
      </w:r>
    </w:p>
    <w:p w:rsidR="00AC40FC" w:rsidRDefault="00AC40FC" w:rsidP="00701DCF">
      <w:pPr>
        <w:pStyle w:val="Heading40"/>
      </w:pPr>
      <w:r>
        <w:t>Meter Data Management System</w:t>
      </w:r>
    </w:p>
    <w:p w:rsidR="00AC40FC" w:rsidRPr="00715D9F" w:rsidRDefault="00AC40FC" w:rsidP="00701DCF">
      <w:r w:rsidRPr="00715D9F">
        <w:t xml:space="preserve">Key functional areas that the MDMS system will support include: </w:t>
      </w:r>
      <w:r>
        <w:t xml:space="preserve"> </w:t>
      </w:r>
      <w:r w:rsidRPr="00715D9F">
        <w:t>Validation Estimation Editing (VEE)</w:t>
      </w:r>
      <w:r>
        <w:t xml:space="preserve">; </w:t>
      </w:r>
      <w:r w:rsidRPr="00715D9F">
        <w:t>Billing Determinants</w:t>
      </w:r>
      <w:r>
        <w:t xml:space="preserve">; Complex Billing Determinants; </w:t>
      </w:r>
      <w:r w:rsidRPr="00715D9F">
        <w:t>Load Forecasting and Settlement (Wholesale and Retail)</w:t>
      </w:r>
      <w:r>
        <w:t xml:space="preserve">; </w:t>
      </w:r>
      <w:r w:rsidRPr="00715D9F">
        <w:t>Load Research/Load Profile</w:t>
      </w:r>
      <w:r>
        <w:t xml:space="preserve">; </w:t>
      </w:r>
      <w:r w:rsidRPr="00715D9F">
        <w:t>Multiple Head End Data Receiver</w:t>
      </w:r>
      <w:r>
        <w:t>; Meter/Customer/Account/</w:t>
      </w:r>
      <w:r w:rsidRPr="00715D9F">
        <w:t>Transformer Data Aggregation</w:t>
      </w:r>
      <w:r>
        <w:t xml:space="preserve">; </w:t>
      </w:r>
      <w:r w:rsidRPr="00715D9F">
        <w:t>Functional Data Storage</w:t>
      </w:r>
      <w:r>
        <w:t xml:space="preserve">; </w:t>
      </w:r>
      <w:r w:rsidRPr="00715D9F">
        <w:t>Historical Data Archiving</w:t>
      </w:r>
      <w:r>
        <w:t xml:space="preserve">; </w:t>
      </w:r>
      <w:r w:rsidRPr="00715D9F">
        <w:t>Rate Ready, Bill Ready and Usage Exception Detection</w:t>
      </w:r>
      <w:r>
        <w:t>;</w:t>
      </w:r>
      <w:r w:rsidRPr="00715D9F">
        <w:t xml:space="preserve"> Performance Monitoring</w:t>
      </w:r>
      <w:r>
        <w:t>;</w:t>
      </w:r>
      <w:r w:rsidRPr="00715D9F">
        <w:t xml:space="preserve"> and Reporting</w:t>
      </w:r>
      <w:r>
        <w:t xml:space="preserve">, </w:t>
      </w:r>
      <w:r w:rsidRPr="00715D9F">
        <w:t>Device Commissioning</w:t>
      </w:r>
      <w:r>
        <w:t>, and</w:t>
      </w:r>
      <w:r w:rsidRPr="00715D9F">
        <w:rPr>
          <w:rFonts w:cs="Arial"/>
        </w:rPr>
        <w:t xml:space="preserve"> </w:t>
      </w:r>
      <w:r>
        <w:t>Meter Configuration Management.</w:t>
      </w:r>
    </w:p>
    <w:p w:rsidR="00AC40FC" w:rsidRDefault="00AC40FC" w:rsidP="00BB665B">
      <w:pPr>
        <w:pStyle w:val="Heading-forToC"/>
      </w:pPr>
      <w:bookmarkStart w:id="73" w:name="_Toc462647845"/>
      <w:bookmarkStart w:id="74" w:name="_Toc464552084"/>
      <w:r>
        <w:t>finding</w:t>
      </w:r>
      <w:bookmarkEnd w:id="73"/>
      <w:bookmarkEnd w:id="74"/>
    </w:p>
    <w:p w:rsidR="00AC40FC" w:rsidRPr="000A7E76" w:rsidRDefault="00AC40FC" w:rsidP="004F00E5">
      <w:pPr>
        <w:pStyle w:val="Findings"/>
        <w:numPr>
          <w:ilvl w:val="0"/>
          <w:numId w:val="49"/>
        </w:numPr>
      </w:pPr>
      <w:r w:rsidRPr="000A7E76">
        <w:t>The Meter</w:t>
      </w:r>
      <w:r>
        <w:t>Vision</w:t>
      </w:r>
      <w:r w:rsidRPr="000A7E76">
        <w:t xml:space="preserve"> 20/20 project has the necessary project management performance measures</w:t>
      </w:r>
      <w:r>
        <w:t>.</w:t>
      </w:r>
    </w:p>
    <w:p w:rsidR="00AC40FC" w:rsidRDefault="00AC40FC" w:rsidP="00701DCF">
      <w:r>
        <w:t xml:space="preserve">The Customer Services Monthly Performance Indicators Report currently tracks two MeterVision 20/20 measures: the actual capital spending compared to the budget and the actual expense spending compared to the budget.  </w:t>
      </w:r>
    </w:p>
    <w:p w:rsidR="00AC40FC" w:rsidRDefault="00AC40FC" w:rsidP="00701DCF">
      <w:r>
        <w:t>The October 2015 Report shows that the capital spending variances compared to the straight-line budget slope relate to timing of expenditures, such as IT purchases and lower than anticipated project management organization common costs.  The end-of-year 2015 Actual Capital was $24.9 million and Working Budget was $24.88 million. Actual Expense was $ 2.6 million and Working Budget was $3.0 million.</w:t>
      </w:r>
    </w:p>
    <w:p w:rsidR="00AC40FC" w:rsidRDefault="00AC40FC" w:rsidP="00701DCF">
      <w:r>
        <w:t xml:space="preserve">Customer Services has been establishing project performance indicators, typically associated with the three primary project management metrics:  cost, schedule, and earned value.  Customer Services has established work sequences and deliverables with timelines, using a Release Roadmap approach, referred to as Release 1, Release 2, etc. through the end of the project implementation.  </w:t>
      </w:r>
      <w:r w:rsidRPr="005E2FDF">
        <w:t>Cost controls are built into the vendor contracts, including fixed fees and “at-risk” payments tied to critical milestones,</w:t>
      </w:r>
      <w:r>
        <w:t xml:space="preserve"> deliverables,</w:t>
      </w:r>
      <w:r w:rsidRPr="005E2FDF">
        <w:t xml:space="preserve"> accuracy fees, and other performance driven payouts. </w:t>
      </w:r>
      <w:r>
        <w:t xml:space="preserve"> The contracts include service level agreements.  </w:t>
      </w:r>
      <w:r w:rsidRPr="005E2FDF">
        <w:t>Metrics are reviewed periodically with the project leadership team.</w:t>
      </w:r>
      <w:r>
        <w:t xml:space="preserve">  The earned value metric is defined as a series of project milestone trackers, each with target and actual completion dates, status, and commentary and notes. </w:t>
      </w:r>
    </w:p>
    <w:p w:rsidR="00AC40FC" w:rsidRDefault="00AC40FC" w:rsidP="00BB665B">
      <w:pPr>
        <w:pStyle w:val="Heading-forToC"/>
      </w:pPr>
      <w:bookmarkStart w:id="75" w:name="_Toc462647846"/>
      <w:bookmarkStart w:id="76" w:name="_Toc464552085"/>
      <w:r>
        <w:lastRenderedPageBreak/>
        <w:t>Recommendations</w:t>
      </w:r>
      <w:bookmarkEnd w:id="75"/>
      <w:bookmarkEnd w:id="76"/>
    </w:p>
    <w:p w:rsidR="00AC40FC" w:rsidRPr="005E2FDF" w:rsidRDefault="00AC40FC" w:rsidP="00701DCF">
      <w:r>
        <w:t>None</w:t>
      </w:r>
    </w:p>
    <w:p w:rsidR="00AC40FC" w:rsidRDefault="00AC40FC" w:rsidP="004F00E5">
      <w:pPr>
        <w:pStyle w:val="Heading2"/>
        <w:numPr>
          <w:ilvl w:val="0"/>
          <w:numId w:val="101"/>
        </w:numPr>
      </w:pPr>
      <w:bookmarkStart w:id="77" w:name="_Toc462647847"/>
      <w:bookmarkStart w:id="78" w:name="_Toc464552086"/>
      <w:r>
        <w:t>revenue operations</w:t>
      </w:r>
      <w:bookmarkEnd w:id="77"/>
      <w:bookmarkEnd w:id="78"/>
    </w:p>
    <w:p w:rsidR="00AC40FC" w:rsidRDefault="00AC40FC" w:rsidP="00BB665B">
      <w:pPr>
        <w:pStyle w:val="Heading-forToC"/>
      </w:pPr>
      <w:bookmarkStart w:id="79" w:name="_Toc462647848"/>
      <w:bookmarkStart w:id="80" w:name="_Toc464552087"/>
      <w:r>
        <w:t>background</w:t>
      </w:r>
      <w:bookmarkEnd w:id="79"/>
      <w:bookmarkEnd w:id="80"/>
    </w:p>
    <w:p w:rsidR="00AC40FC" w:rsidRDefault="00AC40FC" w:rsidP="00701DCF">
      <w:r>
        <w:t>During the Audit, four Customer Services groups were reassigned and consolidated within a unit referred to as Revenue Operations.  Four groups report to the Revenue Operations Director, as shown on the following organization chart:</w:t>
      </w:r>
    </w:p>
    <w:p w:rsidR="00AC40FC" w:rsidRDefault="00AC40FC" w:rsidP="00ED6D61">
      <w:pPr>
        <w:pStyle w:val="Caption"/>
      </w:pPr>
      <w:bookmarkStart w:id="81" w:name="_Toc462648410"/>
      <w:bookmarkStart w:id="82" w:name="_Toc464553032"/>
      <w:r>
        <w:t xml:space="preserve">Exhibit </w:t>
      </w:r>
      <w:fldSimple w:instr=" STYLEREF 1 \s ">
        <w:r w:rsidR="00A24205">
          <w:rPr>
            <w:noProof/>
          </w:rPr>
          <w:t>IX</w:t>
        </w:r>
      </w:fldSimple>
      <w:r w:rsidR="00264A1B">
        <w:noBreakHyphen/>
      </w:r>
      <w:fldSimple w:instr=" SEQ Exhibit \* ARABIC \s 1 ">
        <w:r w:rsidR="00A24205">
          <w:rPr>
            <w:noProof/>
          </w:rPr>
          <w:t>17</w:t>
        </w:r>
      </w:fldSimple>
      <w:r>
        <w:br/>
        <w:t>Revenue Operations Organization</w:t>
      </w:r>
      <w:bookmarkEnd w:id="81"/>
      <w:bookmarkEnd w:id="82"/>
    </w:p>
    <w:p w:rsidR="00AC40FC" w:rsidRDefault="00AC40FC" w:rsidP="00701DCF">
      <w:pPr>
        <w:pStyle w:val="Normal-aftertable"/>
        <w:jc w:val="center"/>
      </w:pPr>
      <w:r>
        <w:rPr>
          <w:noProof/>
        </w:rPr>
        <w:drawing>
          <wp:inline distT="0" distB="0" distL="0" distR="0">
            <wp:extent cx="5943600" cy="2474595"/>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PL-EU_01071-Revenue-Ops_page118_v2.jpg"/>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2474595"/>
                    </a:xfrm>
                    <a:prstGeom prst="rect">
                      <a:avLst/>
                    </a:prstGeom>
                  </pic:spPr>
                </pic:pic>
              </a:graphicData>
            </a:graphic>
          </wp:inline>
        </w:drawing>
      </w:r>
    </w:p>
    <w:p w:rsidR="00AC40FC" w:rsidRDefault="00AC40FC" w:rsidP="00701DCF">
      <w:pPr>
        <w:pStyle w:val="Normal-aftertable"/>
      </w:pPr>
      <w:r>
        <w:t>Source DN 01-071</w:t>
      </w:r>
    </w:p>
    <w:p w:rsidR="00AC40FC" w:rsidRDefault="00AC40FC" w:rsidP="00701DCF">
      <w:pPr>
        <w:pStyle w:val="Normal-aftertable"/>
      </w:pPr>
      <w:r>
        <w:t>Each group is discussed below.</w:t>
      </w:r>
    </w:p>
    <w:p w:rsidR="00AC40FC" w:rsidRDefault="00AC40FC" w:rsidP="00701DCF">
      <w:pPr>
        <w:pStyle w:val="Heading40"/>
      </w:pPr>
      <w:r>
        <w:t>Metering Operations</w:t>
      </w:r>
    </w:p>
    <w:p w:rsidR="00AC40FC" w:rsidRDefault="00AC40FC" w:rsidP="00701DCF">
      <w:r w:rsidRPr="00AD4DFB">
        <w:t xml:space="preserve">The </w:t>
      </w:r>
      <w:r>
        <w:t>Metering Operations</w:t>
      </w:r>
      <w:r w:rsidRPr="00AD4DFB">
        <w:t xml:space="preserve"> group</w:t>
      </w:r>
      <w:r>
        <w:t>’s</w:t>
      </w:r>
      <w:r w:rsidRPr="005D51F3">
        <w:t xml:space="preserve"> </w:t>
      </w:r>
      <w:r>
        <w:t xml:space="preserve">core process is to </w:t>
      </w:r>
      <w:r w:rsidRPr="00AD4DFB">
        <w:t xml:space="preserve">work on existing meters in the field.  It generally does not include meter installation as part of the new service process.  Typical work orders </w:t>
      </w:r>
      <w:r>
        <w:t xml:space="preserve">include </w:t>
      </w:r>
      <w:r w:rsidRPr="00AD4DFB">
        <w:t>meter turn-ons, meter turn-offs, meter/billing investigations, disconnects for non-pay</w:t>
      </w:r>
      <w:r>
        <w:t>ment</w:t>
      </w:r>
      <w:r w:rsidRPr="00AD4DFB">
        <w:t xml:space="preserve"> and associated reconnects, delivery of credit/disconnect notices, and change-outs of</w:t>
      </w:r>
      <w:r>
        <w:t xml:space="preserve"> meters </w:t>
      </w:r>
      <w:r w:rsidRPr="00AD4DFB">
        <w:t>due to regulatory requirements (sample test</w:t>
      </w:r>
      <w:r>
        <w:t>ing</w:t>
      </w:r>
      <w:r w:rsidRPr="00AD4DFB">
        <w:t>)</w:t>
      </w:r>
      <w:r>
        <w:t>,</w:t>
      </w:r>
      <w:r w:rsidRPr="00AD4DFB">
        <w:t xml:space="preserve"> failure</w:t>
      </w:r>
      <w:r>
        <w:t>,</w:t>
      </w:r>
      <w:r w:rsidRPr="00AD4DFB">
        <w:t xml:space="preserve"> or for r</w:t>
      </w:r>
      <w:r>
        <w:t>outine age-related replacements.</w:t>
      </w:r>
    </w:p>
    <w:p w:rsidR="00AC40FC" w:rsidRDefault="00AC40FC" w:rsidP="00701DCF">
      <w:r>
        <w:t>The Manager of Regional Metering Operations has about 85 employees and reports to the Director of Revenue Operations.  In January 2015, the six Metering Services Supervisors were reduced to three and Service Techs were redistributed among the remaining three Supervisors.  The three Supervisors each have geographic-specific responsibilities:  Lancaster and Harrisburg, Lehigh and the Northeast Region, and Central and Susquehanna areas.  Each has between 24 and 29 employees.  The 66 Service Techs perform fieldwork and report to six service centers.  The 15 Customer Representatives do office functions, including supporting the field teams and large power meter work.</w:t>
      </w:r>
    </w:p>
    <w:p w:rsidR="00AC40FC" w:rsidRDefault="00AC40FC" w:rsidP="00701DCF">
      <w:r>
        <w:lastRenderedPageBreak/>
        <w:t xml:space="preserve">Metering Operations’ primary objective is to improve productivity and efficiency, and thereby reduce FTEs through attrition to meet future reduced workload that will occur as the Meter 20/20 (Smart Meter) program is implemented.  The new features and remote capabilities of the MeterVision 20/20 smart meter system will reduce the need for field visits for cuts (shut-offs) for non-payment, etc.  If employee attrition by PPL EU Region does not correlate with the MeterVision 20/20 implementation over the next several years, Metering Operations has the capability to reassign the techs to different regions and service centers.  </w:t>
      </w:r>
    </w:p>
    <w:p w:rsidR="00AC40FC" w:rsidRDefault="00AC40FC" w:rsidP="00701DCF">
      <w:r w:rsidRPr="007B6106">
        <w:t xml:space="preserve">Metering Operations </w:t>
      </w:r>
      <w:r>
        <w:t xml:space="preserve">has been </w:t>
      </w:r>
      <w:r w:rsidRPr="007B6106">
        <w:t xml:space="preserve">experiencing productivity gains, especially in increased productive time in the field. </w:t>
      </w:r>
      <w:r>
        <w:t xml:space="preserve"> For example, the Customer Services Monthly Performance Indicators Report for October 2015 noted that in-route times, or the time duration for employees departing the service center and arriving at the job site, had stabilized at 8:16 am - 46 minutes past the start time of 7:30 am.  On average, technicians continue to complete more work this year compared to last with the average tech completing 2,983 orders YTD.  October 2015 saw 2% more orders completed compared to last year.”</w:t>
      </w:r>
    </w:p>
    <w:p w:rsidR="00AC40FC" w:rsidRDefault="00AC40FC" w:rsidP="00701DCF">
      <w:r>
        <w:t>Residential shut-offs, a key Metering Operations work load activity indicator, has been consistently tracked for five years, and shows increases in work volumes.  The data below depicts annual shut-offs for nonpayment:</w:t>
      </w:r>
    </w:p>
    <w:p w:rsidR="00AC40FC" w:rsidRDefault="00AC40FC" w:rsidP="00ED6D61">
      <w:pPr>
        <w:pStyle w:val="Caption"/>
      </w:pPr>
      <w:bookmarkStart w:id="83" w:name="_Toc462648411"/>
      <w:bookmarkStart w:id="84" w:name="_Toc464553033"/>
      <w:r>
        <w:t xml:space="preserve">Exhibit </w:t>
      </w:r>
      <w:fldSimple w:instr=" STYLEREF 1 \s ">
        <w:r w:rsidR="00A24205">
          <w:rPr>
            <w:noProof/>
          </w:rPr>
          <w:t>IX</w:t>
        </w:r>
      </w:fldSimple>
      <w:r w:rsidR="00264A1B">
        <w:noBreakHyphen/>
      </w:r>
      <w:fldSimple w:instr=" SEQ Exhibit \* ARABIC \s 1 ">
        <w:r w:rsidR="00A24205">
          <w:rPr>
            <w:noProof/>
          </w:rPr>
          <w:t>18</w:t>
        </w:r>
      </w:fldSimple>
      <w:r>
        <w:br/>
        <w:t>Residential Shut-offs for Non-Payment</w:t>
      </w:r>
      <w:bookmarkEnd w:id="83"/>
      <w:bookmarkEnd w:id="84"/>
    </w:p>
    <w:p w:rsidR="00AC40FC" w:rsidRDefault="00AC40FC" w:rsidP="00701DCF">
      <w:pPr>
        <w:jc w:val="center"/>
      </w:pPr>
      <w:r>
        <w:rPr>
          <w:noProof/>
        </w:rPr>
        <w:drawing>
          <wp:inline distT="0" distB="0" distL="0" distR="0">
            <wp:extent cx="3616960" cy="1647466"/>
            <wp:effectExtent l="0" t="0" r="2540" b="1016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bl>
      <w:tblPr>
        <w:tblW w:w="7287" w:type="dxa"/>
        <w:jc w:val="center"/>
        <w:tblLook w:val="04A0"/>
      </w:tblPr>
      <w:tblGrid>
        <w:gridCol w:w="2155"/>
        <w:gridCol w:w="1108"/>
        <w:gridCol w:w="990"/>
        <w:gridCol w:w="1012"/>
        <w:gridCol w:w="990"/>
        <w:gridCol w:w="1032"/>
      </w:tblGrid>
      <w:tr w:rsidR="00AC40FC" w:rsidRPr="006B1086" w:rsidTr="00701DCF">
        <w:trPr>
          <w:cantSplit/>
          <w:trHeight w:val="377"/>
          <w:tblHeader/>
          <w:jc w:val="center"/>
        </w:trPr>
        <w:tc>
          <w:tcPr>
            <w:tcW w:w="2155" w:type="dxa"/>
            <w:tcBorders>
              <w:top w:val="single" w:sz="4" w:space="0" w:color="auto"/>
              <w:left w:val="single" w:sz="4" w:space="0" w:color="auto"/>
              <w:bottom w:val="single" w:sz="4" w:space="0" w:color="auto"/>
              <w:right w:val="single" w:sz="4" w:space="0" w:color="auto"/>
            </w:tcBorders>
            <w:shd w:val="clear" w:color="auto" w:fill="A5CD7E"/>
            <w:noWrap/>
            <w:vAlign w:val="center"/>
            <w:hideMark/>
          </w:tcPr>
          <w:p w:rsidR="00AC40FC" w:rsidRPr="00697755" w:rsidRDefault="00AC40FC" w:rsidP="007370C9">
            <w:pPr>
              <w:spacing w:before="120"/>
              <w:jc w:val="center"/>
              <w:rPr>
                <w:rFonts w:cs="Arial"/>
                <w:b/>
                <w:color w:val="000000"/>
                <w:sz w:val="20"/>
                <w:szCs w:val="20"/>
              </w:rPr>
            </w:pPr>
            <w:r w:rsidRPr="00697755">
              <w:rPr>
                <w:rFonts w:cs="Arial"/>
                <w:b/>
                <w:color w:val="000000"/>
                <w:sz w:val="20"/>
                <w:szCs w:val="20"/>
              </w:rPr>
              <w:t>Shut-Offs</w:t>
            </w:r>
          </w:p>
        </w:tc>
        <w:tc>
          <w:tcPr>
            <w:tcW w:w="1108"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6B1086" w:rsidRDefault="00AC40FC" w:rsidP="007370C9">
            <w:pPr>
              <w:spacing w:before="120"/>
              <w:jc w:val="center"/>
              <w:rPr>
                <w:rFonts w:cs="Arial"/>
                <w:b/>
                <w:color w:val="000000"/>
                <w:sz w:val="20"/>
                <w:szCs w:val="20"/>
              </w:rPr>
            </w:pPr>
            <w:r w:rsidRPr="006B1086">
              <w:rPr>
                <w:rFonts w:cs="Arial"/>
                <w:b/>
                <w:color w:val="000000"/>
                <w:sz w:val="20"/>
                <w:szCs w:val="20"/>
              </w:rPr>
              <w:t>2011</w:t>
            </w:r>
          </w:p>
        </w:tc>
        <w:tc>
          <w:tcPr>
            <w:tcW w:w="99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6B1086" w:rsidRDefault="00AC40FC" w:rsidP="007370C9">
            <w:pPr>
              <w:spacing w:before="120"/>
              <w:jc w:val="center"/>
              <w:rPr>
                <w:rFonts w:cs="Arial"/>
                <w:b/>
                <w:color w:val="000000"/>
                <w:sz w:val="20"/>
                <w:szCs w:val="20"/>
              </w:rPr>
            </w:pPr>
            <w:r w:rsidRPr="006B1086">
              <w:rPr>
                <w:rFonts w:cs="Arial"/>
                <w:b/>
                <w:color w:val="000000"/>
                <w:sz w:val="20"/>
                <w:szCs w:val="20"/>
              </w:rPr>
              <w:t>2012</w:t>
            </w:r>
          </w:p>
        </w:tc>
        <w:tc>
          <w:tcPr>
            <w:tcW w:w="1012"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6B1086" w:rsidRDefault="00AC40FC" w:rsidP="007370C9">
            <w:pPr>
              <w:spacing w:before="120"/>
              <w:jc w:val="center"/>
              <w:rPr>
                <w:rFonts w:cs="Arial"/>
                <w:b/>
                <w:color w:val="000000"/>
                <w:sz w:val="20"/>
                <w:szCs w:val="20"/>
              </w:rPr>
            </w:pPr>
            <w:r w:rsidRPr="006B1086">
              <w:rPr>
                <w:rFonts w:cs="Arial"/>
                <w:b/>
                <w:color w:val="000000"/>
                <w:sz w:val="20"/>
                <w:szCs w:val="20"/>
              </w:rPr>
              <w:t>2013</w:t>
            </w:r>
          </w:p>
        </w:tc>
        <w:tc>
          <w:tcPr>
            <w:tcW w:w="99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6B1086" w:rsidRDefault="00AC40FC" w:rsidP="007370C9">
            <w:pPr>
              <w:spacing w:before="120"/>
              <w:jc w:val="center"/>
              <w:rPr>
                <w:rFonts w:cs="Arial"/>
                <w:b/>
                <w:color w:val="000000"/>
                <w:sz w:val="20"/>
                <w:szCs w:val="20"/>
              </w:rPr>
            </w:pPr>
            <w:r w:rsidRPr="006B1086">
              <w:rPr>
                <w:rFonts w:cs="Arial"/>
                <w:b/>
                <w:color w:val="000000"/>
                <w:sz w:val="20"/>
                <w:szCs w:val="20"/>
              </w:rPr>
              <w:t>2014</w:t>
            </w:r>
          </w:p>
        </w:tc>
        <w:tc>
          <w:tcPr>
            <w:tcW w:w="1032" w:type="dxa"/>
            <w:tcBorders>
              <w:top w:val="single" w:sz="4" w:space="0" w:color="auto"/>
              <w:left w:val="nil"/>
              <w:bottom w:val="single" w:sz="4" w:space="0" w:color="auto"/>
              <w:right w:val="single" w:sz="4" w:space="0" w:color="auto"/>
            </w:tcBorders>
            <w:shd w:val="clear" w:color="auto" w:fill="A5CD7E"/>
            <w:vAlign w:val="center"/>
            <w:hideMark/>
          </w:tcPr>
          <w:p w:rsidR="00AC40FC" w:rsidRPr="006B1086" w:rsidRDefault="00AC40FC" w:rsidP="007370C9">
            <w:pPr>
              <w:spacing w:before="120"/>
              <w:jc w:val="center"/>
              <w:rPr>
                <w:rFonts w:cs="Arial"/>
                <w:b/>
                <w:color w:val="000000"/>
                <w:sz w:val="20"/>
                <w:szCs w:val="20"/>
              </w:rPr>
            </w:pPr>
            <w:r w:rsidRPr="006B1086">
              <w:rPr>
                <w:rFonts w:cs="Arial"/>
                <w:b/>
                <w:color w:val="000000"/>
                <w:sz w:val="20"/>
                <w:szCs w:val="20"/>
              </w:rPr>
              <w:t>2015</w:t>
            </w:r>
          </w:p>
        </w:tc>
      </w:tr>
      <w:tr w:rsidR="00AC40FC" w:rsidRPr="006B1086" w:rsidTr="00701DCF">
        <w:trPr>
          <w:trHeight w:val="320"/>
          <w:jc w:val="center"/>
        </w:trPr>
        <w:tc>
          <w:tcPr>
            <w:tcW w:w="2155" w:type="dxa"/>
            <w:tcBorders>
              <w:top w:val="nil"/>
              <w:left w:val="single" w:sz="4" w:space="0" w:color="auto"/>
              <w:bottom w:val="single" w:sz="4" w:space="0" w:color="auto"/>
              <w:right w:val="single" w:sz="4" w:space="0" w:color="auto"/>
            </w:tcBorders>
            <w:shd w:val="clear" w:color="auto" w:fill="auto"/>
            <w:noWrap/>
            <w:vAlign w:val="center"/>
            <w:hideMark/>
          </w:tcPr>
          <w:p w:rsidR="00AC40FC" w:rsidRPr="006B1086" w:rsidRDefault="00AC40FC" w:rsidP="00701DCF">
            <w:pPr>
              <w:spacing w:after="0"/>
              <w:jc w:val="center"/>
              <w:rPr>
                <w:rFonts w:cs="Arial"/>
                <w:color w:val="000000"/>
                <w:sz w:val="20"/>
                <w:szCs w:val="20"/>
              </w:rPr>
            </w:pPr>
            <w:r w:rsidRPr="006B1086">
              <w:rPr>
                <w:rFonts w:cs="Arial"/>
                <w:color w:val="000000"/>
                <w:sz w:val="20"/>
                <w:szCs w:val="20"/>
              </w:rPr>
              <w:t>Actual shut-off</w:t>
            </w:r>
            <w:r>
              <w:rPr>
                <w:rFonts w:cs="Arial"/>
                <w:color w:val="000000"/>
                <w:sz w:val="20"/>
                <w:szCs w:val="20"/>
              </w:rPr>
              <w:t>s</w:t>
            </w:r>
          </w:p>
        </w:tc>
        <w:tc>
          <w:tcPr>
            <w:tcW w:w="1108" w:type="dxa"/>
            <w:tcBorders>
              <w:top w:val="nil"/>
              <w:left w:val="nil"/>
              <w:bottom w:val="single" w:sz="4" w:space="0" w:color="auto"/>
              <w:right w:val="single" w:sz="4" w:space="0" w:color="auto"/>
            </w:tcBorders>
            <w:shd w:val="clear" w:color="auto" w:fill="auto"/>
            <w:noWrap/>
            <w:vAlign w:val="center"/>
            <w:hideMark/>
          </w:tcPr>
          <w:p w:rsidR="00AC40FC" w:rsidRPr="006B1086" w:rsidRDefault="00AC40FC" w:rsidP="00701DCF">
            <w:pPr>
              <w:spacing w:after="0"/>
              <w:jc w:val="center"/>
              <w:rPr>
                <w:rFonts w:cs="Arial"/>
                <w:color w:val="000000"/>
                <w:sz w:val="20"/>
                <w:szCs w:val="20"/>
              </w:rPr>
            </w:pPr>
            <w:r w:rsidRPr="006B1086">
              <w:rPr>
                <w:rFonts w:cs="Arial"/>
                <w:color w:val="000000"/>
                <w:sz w:val="20"/>
                <w:szCs w:val="20"/>
              </w:rPr>
              <w:t>33,940</w:t>
            </w:r>
          </w:p>
        </w:tc>
        <w:tc>
          <w:tcPr>
            <w:tcW w:w="990" w:type="dxa"/>
            <w:tcBorders>
              <w:top w:val="nil"/>
              <w:left w:val="nil"/>
              <w:bottom w:val="single" w:sz="4" w:space="0" w:color="auto"/>
              <w:right w:val="single" w:sz="4" w:space="0" w:color="auto"/>
            </w:tcBorders>
            <w:shd w:val="clear" w:color="auto" w:fill="auto"/>
            <w:noWrap/>
            <w:vAlign w:val="center"/>
            <w:hideMark/>
          </w:tcPr>
          <w:p w:rsidR="00AC40FC" w:rsidRPr="006B1086" w:rsidRDefault="00AC40FC" w:rsidP="00701DCF">
            <w:pPr>
              <w:spacing w:after="0"/>
              <w:jc w:val="center"/>
              <w:rPr>
                <w:rFonts w:cs="Arial"/>
                <w:color w:val="000000"/>
                <w:sz w:val="20"/>
                <w:szCs w:val="20"/>
              </w:rPr>
            </w:pPr>
            <w:r w:rsidRPr="006B1086">
              <w:rPr>
                <w:rFonts w:cs="Arial"/>
                <w:color w:val="000000"/>
                <w:sz w:val="20"/>
                <w:szCs w:val="20"/>
              </w:rPr>
              <w:t>41,359</w:t>
            </w:r>
          </w:p>
        </w:tc>
        <w:tc>
          <w:tcPr>
            <w:tcW w:w="1012" w:type="dxa"/>
            <w:tcBorders>
              <w:top w:val="nil"/>
              <w:left w:val="nil"/>
              <w:bottom w:val="single" w:sz="4" w:space="0" w:color="auto"/>
              <w:right w:val="single" w:sz="4" w:space="0" w:color="auto"/>
            </w:tcBorders>
            <w:shd w:val="clear" w:color="auto" w:fill="auto"/>
            <w:noWrap/>
            <w:vAlign w:val="center"/>
            <w:hideMark/>
          </w:tcPr>
          <w:p w:rsidR="00AC40FC" w:rsidRPr="006B1086" w:rsidRDefault="00AC40FC" w:rsidP="00701DCF">
            <w:pPr>
              <w:spacing w:after="0"/>
              <w:jc w:val="center"/>
              <w:rPr>
                <w:rFonts w:cs="Arial"/>
                <w:color w:val="000000"/>
                <w:sz w:val="20"/>
                <w:szCs w:val="20"/>
              </w:rPr>
            </w:pPr>
            <w:r w:rsidRPr="006B1086">
              <w:rPr>
                <w:rFonts w:cs="Arial"/>
                <w:color w:val="000000"/>
                <w:sz w:val="20"/>
                <w:szCs w:val="20"/>
              </w:rPr>
              <w:t>52,882</w:t>
            </w:r>
          </w:p>
        </w:tc>
        <w:tc>
          <w:tcPr>
            <w:tcW w:w="990" w:type="dxa"/>
            <w:tcBorders>
              <w:top w:val="nil"/>
              <w:left w:val="nil"/>
              <w:bottom w:val="single" w:sz="4" w:space="0" w:color="auto"/>
              <w:right w:val="single" w:sz="4" w:space="0" w:color="auto"/>
            </w:tcBorders>
            <w:shd w:val="clear" w:color="auto" w:fill="auto"/>
            <w:noWrap/>
            <w:vAlign w:val="center"/>
            <w:hideMark/>
          </w:tcPr>
          <w:p w:rsidR="00AC40FC" w:rsidRPr="006B1086" w:rsidRDefault="00AC40FC" w:rsidP="00701DCF">
            <w:pPr>
              <w:spacing w:after="0"/>
              <w:jc w:val="center"/>
              <w:rPr>
                <w:rFonts w:cs="Arial"/>
                <w:color w:val="000000"/>
                <w:sz w:val="20"/>
                <w:szCs w:val="20"/>
              </w:rPr>
            </w:pPr>
            <w:r w:rsidRPr="006B1086">
              <w:rPr>
                <w:rFonts w:cs="Arial"/>
                <w:color w:val="000000"/>
                <w:sz w:val="20"/>
                <w:szCs w:val="20"/>
              </w:rPr>
              <w:t>59,338</w:t>
            </w:r>
          </w:p>
        </w:tc>
        <w:tc>
          <w:tcPr>
            <w:tcW w:w="1032" w:type="dxa"/>
            <w:tcBorders>
              <w:top w:val="nil"/>
              <w:left w:val="nil"/>
              <w:bottom w:val="single" w:sz="4" w:space="0" w:color="auto"/>
              <w:right w:val="single" w:sz="4" w:space="0" w:color="auto"/>
            </w:tcBorders>
            <w:shd w:val="clear" w:color="auto" w:fill="auto"/>
            <w:noWrap/>
            <w:vAlign w:val="center"/>
            <w:hideMark/>
          </w:tcPr>
          <w:p w:rsidR="00AC40FC" w:rsidRPr="006B1086" w:rsidRDefault="00AC40FC" w:rsidP="00701DCF">
            <w:pPr>
              <w:spacing w:after="0"/>
              <w:jc w:val="center"/>
              <w:rPr>
                <w:rFonts w:cs="Arial"/>
                <w:color w:val="000000"/>
                <w:sz w:val="20"/>
                <w:szCs w:val="20"/>
              </w:rPr>
            </w:pPr>
            <w:r>
              <w:rPr>
                <w:rFonts w:cs="Arial"/>
                <w:color w:val="000000"/>
                <w:sz w:val="20"/>
                <w:szCs w:val="20"/>
              </w:rPr>
              <w:t>54,385</w:t>
            </w:r>
          </w:p>
        </w:tc>
      </w:tr>
      <w:tr w:rsidR="00AC40FC" w:rsidRPr="006B1086" w:rsidTr="00701DCF">
        <w:trPr>
          <w:trHeight w:val="320"/>
          <w:jc w:val="center"/>
        </w:trPr>
        <w:tc>
          <w:tcPr>
            <w:tcW w:w="7287" w:type="dxa"/>
            <w:gridSpan w:val="6"/>
            <w:tcBorders>
              <w:top w:val="nil"/>
              <w:left w:val="single" w:sz="4" w:space="0" w:color="auto"/>
              <w:bottom w:val="single" w:sz="4" w:space="0" w:color="auto"/>
              <w:right w:val="single" w:sz="4" w:space="0" w:color="auto"/>
            </w:tcBorders>
            <w:shd w:val="clear" w:color="auto" w:fill="auto"/>
            <w:noWrap/>
            <w:vAlign w:val="center"/>
            <w:hideMark/>
          </w:tcPr>
          <w:p w:rsidR="00AC40FC" w:rsidRPr="0011573E" w:rsidRDefault="00AC40FC" w:rsidP="00701DCF">
            <w:pPr>
              <w:spacing w:after="0"/>
              <w:rPr>
                <w:rFonts w:cs="Arial"/>
                <w:color w:val="000000"/>
                <w:sz w:val="20"/>
                <w:szCs w:val="20"/>
              </w:rPr>
            </w:pPr>
            <w:r w:rsidRPr="0011573E">
              <w:rPr>
                <w:rFonts w:cs="Arial"/>
                <w:color w:val="000000"/>
                <w:sz w:val="20"/>
                <w:szCs w:val="20"/>
              </w:rPr>
              <w:t>Sou</w:t>
            </w:r>
            <w:r>
              <w:rPr>
                <w:rFonts w:cs="Arial"/>
                <w:color w:val="000000"/>
                <w:sz w:val="20"/>
                <w:szCs w:val="20"/>
              </w:rPr>
              <w:t>rces: DN 04-177/197; PPL EU edits</w:t>
            </w:r>
          </w:p>
        </w:tc>
      </w:tr>
    </w:tbl>
    <w:p w:rsidR="00AC40FC" w:rsidRPr="009D775A" w:rsidRDefault="00AC40FC" w:rsidP="00701DCF">
      <w:pPr>
        <w:pStyle w:val="Normal-aftertable"/>
      </w:pPr>
      <w:r w:rsidRPr="00527F5C">
        <w:t xml:space="preserve">Residential </w:t>
      </w:r>
      <w:r>
        <w:t>shut-offs</w:t>
      </w:r>
      <w:r w:rsidRPr="00527F5C">
        <w:t xml:space="preserve"> </w:t>
      </w:r>
      <w:r>
        <w:t xml:space="preserve">are a significant work driver for Metering Operations with contractors used to perform a significant part of the work.  The above graph shows an increase of about </w:t>
      </w:r>
      <w:r w:rsidRPr="00F90423">
        <w:t>75</w:t>
      </w:r>
      <w:r>
        <w:t>% from 2011 through 2014 and then a decrease of 8% in 2015</w:t>
      </w:r>
      <w:r w:rsidRPr="00F90423">
        <w:t>.</w:t>
      </w:r>
      <w:r>
        <w:t xml:space="preserve">  </w:t>
      </w:r>
      <w:r w:rsidRPr="008456D9">
        <w:t>Shutoffs were down in 2015, even though field visits were comparable to 2014.  Jobs were being completed without blocking the meter.</w:t>
      </w:r>
    </w:p>
    <w:p w:rsidR="00AC40FC" w:rsidRDefault="00AC40FC" w:rsidP="00701DCF">
      <w:r>
        <w:t>Metering Operations achieved the increase in shutoffs through 2014 with the use of contractors and increased employee productivity.  There are a number of explanations, (some of which are discussed in other findings):</w:t>
      </w:r>
    </w:p>
    <w:p w:rsidR="00AC40FC" w:rsidRDefault="00AC40FC" w:rsidP="003907AC">
      <w:pPr>
        <w:pStyle w:val="Bullet"/>
        <w:keepNext/>
      </w:pPr>
      <w:r>
        <w:lastRenderedPageBreak/>
        <w:t xml:space="preserve">“Minutes to En-route from Start Time” has improved.  The Manager now sets expectations and has increased service center departure times. </w:t>
      </w:r>
    </w:p>
    <w:p w:rsidR="00AC40FC" w:rsidRDefault="00AC40FC" w:rsidP="00701DCF">
      <w:pPr>
        <w:pStyle w:val="Bullet"/>
      </w:pPr>
      <w:r>
        <w:t xml:space="preserve"> “Schedule integrity” has improved.  Jobs are now printed out on a priority basis and given to each tech, and the techs can plan their routes based on the priorities.</w:t>
      </w:r>
    </w:p>
    <w:p w:rsidR="00AC40FC" w:rsidRDefault="00AC40FC" w:rsidP="00701DCF">
      <w:pPr>
        <w:pStyle w:val="Bullet"/>
      </w:pPr>
      <w:r>
        <w:t>There is a new focus on “controllable time-off." The Manager and Supervisors more closely manage requests from techs for time off; and constrain it based on availability of other techs to cover the work requirements.</w:t>
      </w:r>
    </w:p>
    <w:p w:rsidR="00AC40FC" w:rsidRDefault="00AC40FC" w:rsidP="00701DCF">
      <w:pPr>
        <w:pStyle w:val="Bullet"/>
      </w:pPr>
      <w:r>
        <w:t>At the end of the day, the techs now clean their vehicles, remove old meters, and get new materials for the following day.</w:t>
      </w:r>
    </w:p>
    <w:p w:rsidR="00AC40FC" w:rsidRPr="007B6106" w:rsidRDefault="00AC40FC" w:rsidP="00701DCF">
      <w:pPr>
        <w:pStyle w:val="Bullet"/>
      </w:pPr>
      <w:r>
        <w:t>A new MOMs platform was introduced in March 2015 that adds quality metrics to existing quantity metrics.</w:t>
      </w:r>
    </w:p>
    <w:p w:rsidR="00AC40FC" w:rsidRDefault="00AC40FC" w:rsidP="00701DCF">
      <w:pPr>
        <w:pStyle w:val="Heading40"/>
      </w:pPr>
      <w:r>
        <w:t>Revenue Protection</w:t>
      </w:r>
    </w:p>
    <w:p w:rsidR="00AC40FC" w:rsidRDefault="00AC40FC" w:rsidP="00701DCF">
      <w:r>
        <w:t>Rev</w:t>
      </w:r>
      <w:r w:rsidRPr="00E67261">
        <w:t>enue</w:t>
      </w:r>
      <w:r>
        <w:t xml:space="preserve"> P</w:t>
      </w:r>
      <w:r w:rsidRPr="00E67261">
        <w:t>rotection was relocated from the Metering</w:t>
      </w:r>
      <w:r>
        <w:t xml:space="preserve"> Operations group to R</w:t>
      </w:r>
      <w:r w:rsidRPr="00E67261">
        <w:t>evenue Operations during the Audit.</w:t>
      </w:r>
      <w:r>
        <w:t xml:space="preserve">   </w:t>
      </w:r>
    </w:p>
    <w:p w:rsidR="00AC40FC" w:rsidRPr="00E67261" w:rsidRDefault="00AC40FC" w:rsidP="00701DCF">
      <w:r>
        <w:t>The Revenue Protection Group does meter damage investigation and repairs, investigates theft and fraud, and performs shut-offs for non-payment.</w:t>
      </w:r>
    </w:p>
    <w:p w:rsidR="00AC40FC" w:rsidRDefault="00AC40FC" w:rsidP="00701DCF">
      <w:r>
        <w:t>The Revenue Protection function has four Revenue Protection Specialists who perform theft of service investigations and loss of revenue investigations due to metering malfunctions.  They also supervise 13 Customer Contact Representatives (CCRs).  The CCRs are dispersed across the PPL EU territory.  They act as the liaison between the customer and PPL EU for PUC informal complaints.  They perform high bill investigations, property damage investigation, mixed meters, and 30-day compliance response/investigations for PUC informal complaints.  Mixed meters are situations where there are both meters for each tenant and for a landlord for common area electricity usage, so that the landlord can identify and allocate the common electric costs to the rental charge.</w:t>
      </w:r>
    </w:p>
    <w:p w:rsidR="00AC40FC" w:rsidRDefault="00AC40FC" w:rsidP="00701DCF">
      <w:r>
        <w:t>The Large Power Metering for commercial and industrial (C&amp;I) meters function includes new service meter installation, wiring secondary circuits, metering-related failure investigations, and meter replacement.  For new services, the important metric is the “in-service date” for the customer.  These new service jobs can span four to five months.  The following is a description and sequence of the new service activities:  (1) Customer contacts the Business Accounts team requesting new service and they create a work order,  (2) The work order is transmitted to the Distribution Design Group who interfaces with the customer to design the service, (3) Distribution Design assigns tasks to the respective field groups, including Large Power, (4) Large Power contacts the customer to review the Rules for Electric Meter and Service Installation (REMSI) Standards and arrange for equipment to be picked up and schedules a day to complete the metering installation, (5) Large Power completes the meter installation and provides installation paperwork to Customer Representative A, (6) Customer Representative A creates the account within CSS, (7) An installation check task is automatically created and Large Power completes the installation check, and (8) Installation check results are sent to Customer Representative A who files them.</w:t>
      </w:r>
    </w:p>
    <w:p w:rsidR="00AC40FC" w:rsidRPr="00E67261" w:rsidRDefault="00AC40FC" w:rsidP="00701DCF">
      <w:r>
        <w:lastRenderedPageBreak/>
        <w:t xml:space="preserve">For the Large Power C&amp;I function, there are two Supervisors: C&amp;I Metering Services who are electrical engineers, one each in Lehigh and Harrisburg.  Both positions require PE-E degrees. The Lehigh Supervisor has four Meter Technicians and Meter Installers and the Harrisburg Supervisor has six. </w:t>
      </w:r>
    </w:p>
    <w:p w:rsidR="00AC40FC" w:rsidRDefault="00AC40FC" w:rsidP="00701DCF">
      <w:r>
        <w:t>One of the CCRs' responsibilities is to investigate theft and fraud.  They use the PLC automated meter reading system to perform 12 queries monthly.  The data from the queries are “scrubbed,” resulting in 130 to 140 leads per person for follow-up; about 14,000 anomalies were identified in 2014 that resulted in 6,000 field visits.  They concentrate on the 52,000 large power accounts and search for large drops in usage.  Zero usage usually implies a metering equipment problem.  For residential and small commercial, the CCRs identify gaps in usage, implying theft.  If there are no patterns, then the problem</w:t>
      </w:r>
      <w:r w:rsidR="00215673">
        <w:t xml:space="preserve"> is typically equipment related</w:t>
      </w:r>
      <w:r w:rsidRPr="00F36116">
        <w:t xml:space="preserve"> </w:t>
      </w:r>
      <w:r>
        <w:t xml:space="preserve">(e.g., </w:t>
      </w:r>
      <w:r w:rsidRPr="00F36116">
        <w:t>electronic metering transponder module</w:t>
      </w:r>
      <w:r>
        <w:t>).</w:t>
      </w:r>
    </w:p>
    <w:p w:rsidR="00AC40FC" w:rsidRDefault="00AC40FC" w:rsidP="00701DCF">
      <w:r>
        <w:t>For certain theft situations, such as customers illegally growing cannabis, Revenue Protection uses check meters at or near the transformer to measure and document usage to determine theft.</w:t>
      </w:r>
    </w:p>
    <w:p w:rsidR="00AC40FC" w:rsidRDefault="00AC40FC" w:rsidP="00701DCF">
      <w:r>
        <w:t xml:space="preserve">Revenue Protection differentiates between a “collection issue” and a “meter bypass issue.”  When theft of service is confirmed, Revenue Protection will file criminal charges, file testimony, and monitor the process until restitution is made.  </w:t>
      </w:r>
      <w:r>
        <w:rPr>
          <w:rFonts w:cs="Arial"/>
        </w:rPr>
        <w:t>Unrecovered amounts are forwarded to the Credit and Collections group for collection recovery.</w:t>
      </w:r>
    </w:p>
    <w:p w:rsidR="00AC40FC" w:rsidRPr="00C51FD9" w:rsidRDefault="00AC40FC" w:rsidP="00701DCF">
      <w:r>
        <w:rPr>
          <w:rFonts w:cs="Arial"/>
        </w:rPr>
        <w:t>With the pending approval and installation of AMI, Revenue Protection anticipates an increase in theft of service investigations due to the additional and improved data capture.</w:t>
      </w:r>
    </w:p>
    <w:p w:rsidR="00AC40FC" w:rsidRDefault="00AC40FC" w:rsidP="00701DCF">
      <w:pPr>
        <w:pStyle w:val="Heading40"/>
      </w:pPr>
      <w:r>
        <w:t>Billing Operations</w:t>
      </w:r>
    </w:p>
    <w:p w:rsidR="00AC40FC" w:rsidRDefault="00AC40FC" w:rsidP="00701DCF">
      <w:r>
        <w:t>Billing Operations is responsible for the management of the billing process from the meter reading date through issuing bills and payment processing as follows:</w:t>
      </w:r>
    </w:p>
    <w:p w:rsidR="00AC40FC" w:rsidRPr="00ED0EDB" w:rsidRDefault="00AC40FC" w:rsidP="00701DCF">
      <w:pPr>
        <w:pStyle w:val="Bullet"/>
      </w:pPr>
      <w:r>
        <w:t>There is a four-day window to obtain a meter reading.  On “download day,” the CSS/AMR sends a ping for monthly reads.  On the 1</w:t>
      </w:r>
      <w:r w:rsidRPr="00AF5E17">
        <w:rPr>
          <w:vertAlign w:val="superscript"/>
        </w:rPr>
        <w:t>st</w:t>
      </w:r>
      <w:r>
        <w:t xml:space="preserve"> missed day (i.e., the meter does not respond to the download day ping), Billing prepares an estimate that is used in the event that a read cannot be obtained on days 2, 3, and 4.</w:t>
      </w:r>
    </w:p>
    <w:p w:rsidR="00AC40FC" w:rsidRPr="00557535" w:rsidRDefault="00AC40FC" w:rsidP="00701DCF">
      <w:pPr>
        <w:pStyle w:val="Bullet"/>
        <w:rPr>
          <w:bCs/>
        </w:rPr>
      </w:pPr>
      <w:r w:rsidRPr="00F17C23">
        <w:t xml:space="preserve">The </w:t>
      </w:r>
      <w:r w:rsidRPr="00ED0EDB">
        <w:rPr>
          <w:bCs/>
        </w:rPr>
        <w:t xml:space="preserve">Meter Data Management (MDM) </w:t>
      </w:r>
      <w:r>
        <w:rPr>
          <w:bCs/>
        </w:rPr>
        <w:t xml:space="preserve">system </w:t>
      </w:r>
      <w:r w:rsidRPr="00ED0EDB">
        <w:rPr>
          <w:bCs/>
        </w:rPr>
        <w:t>transmit</w:t>
      </w:r>
      <w:r>
        <w:rPr>
          <w:bCs/>
        </w:rPr>
        <w:t>s</w:t>
      </w:r>
      <w:r w:rsidRPr="00ED0EDB">
        <w:rPr>
          <w:bCs/>
        </w:rPr>
        <w:t xml:space="preserve"> meter readings to the CSS Billing system.</w:t>
      </w:r>
      <w:r>
        <w:rPr>
          <w:bCs/>
        </w:rPr>
        <w:t xml:space="preserve">  </w:t>
      </w:r>
    </w:p>
    <w:p w:rsidR="00AC40FC" w:rsidRPr="00557535" w:rsidRDefault="00AC40FC" w:rsidP="00701DCF">
      <w:pPr>
        <w:pStyle w:val="Bullet"/>
        <w:rPr>
          <w:bCs/>
        </w:rPr>
      </w:pPr>
      <w:r>
        <w:t>CSS runs a pre-bill with edits and controls for Work Flow Managements (WFMs).  There are 150 types of WFMs, including high/low checks, KWh and demand anomalies, and high bill checks.</w:t>
      </w:r>
    </w:p>
    <w:p w:rsidR="00AC40FC" w:rsidRDefault="00AC40FC" w:rsidP="00701DCF">
      <w:pPr>
        <w:pStyle w:val="Bullet"/>
      </w:pPr>
      <w:r>
        <w:t>The CSS initiates “batch runs.”  CSS applies billing components and CSS history is updated.</w:t>
      </w:r>
    </w:p>
    <w:p w:rsidR="00AC40FC" w:rsidRDefault="00AC40FC" w:rsidP="00701DCF">
      <w:pPr>
        <w:pStyle w:val="Bullet"/>
      </w:pPr>
      <w:r>
        <w:t>Bills are then generated via one of three billing paths:  (1) Electronic Data Interface (EDI) for supplier customers, (2) Paperless (online), and (3) Printed.</w:t>
      </w:r>
    </w:p>
    <w:p w:rsidR="00AC40FC" w:rsidRDefault="00AC40FC" w:rsidP="00701DCF">
      <w:pPr>
        <w:pStyle w:val="Bullet"/>
      </w:pPr>
      <w:r>
        <w:t>The print files are sent to a contractor in Connecticut who prints, stuffs in envelopes, and then trucks to Lehigh to deliver to the U.S. Postal Service which distributes throughout the PPL EU territory.</w:t>
      </w:r>
    </w:p>
    <w:p w:rsidR="00AC40FC" w:rsidRDefault="00AC40FC" w:rsidP="00701DCF">
      <w:pPr>
        <w:pStyle w:val="Bullet"/>
      </w:pPr>
      <w:r>
        <w:lastRenderedPageBreak/>
        <w:t>Payments are processed and posted to customer accounts by the Cash Information Management System and files are sent to CSS for updates.</w:t>
      </w:r>
    </w:p>
    <w:p w:rsidR="00AC40FC" w:rsidRDefault="00AC40FC" w:rsidP="00701DCF">
      <w:pPr>
        <w:pStyle w:val="Bullet"/>
      </w:pPr>
      <w:r>
        <w:t>There are about 200,000 bills per month paid online and cash operations are handled at the PPL EU’s Ninth Street office in Allentown.</w:t>
      </w:r>
    </w:p>
    <w:p w:rsidR="00AC40FC" w:rsidRDefault="00AC40FC" w:rsidP="00701DCF">
      <w:pPr>
        <w:pStyle w:val="Normal-aftertable"/>
      </w:pPr>
      <w:r>
        <w:t xml:space="preserve">The Supervisor of Billing Operations has ten employees and reports to the Director of Revenue Operations.  </w:t>
      </w:r>
      <w:r w:rsidRPr="00DD2959">
        <w:t xml:space="preserve">Changes were made during the </w:t>
      </w:r>
      <w:r>
        <w:t xml:space="preserve">Management </w:t>
      </w:r>
      <w:r w:rsidRPr="00DD2959">
        <w:t>Audit</w:t>
      </w:r>
      <w:r>
        <w:t xml:space="preserve"> that expanded the Billing Operations’ responsibilities.  The Supplier Coordination group was transferred to Billing Operations from Finance in August 2015, and handles inquiries from the electric suppliers and government agencies and assists CSRs in the CCCs in responding to shopping customers.  Three people handle electric generation supplier (EGS or supplier) inquiries.  Another individual interacts with the Customer Contact Center (CCC) agents who may receive inquiries from EGS customers, government agencies, etc.  Billing Operations was also assigned five CCC CSRs who handle large power account billing, LIHEAP, and other programs.</w:t>
      </w:r>
    </w:p>
    <w:p w:rsidR="00AC40FC" w:rsidRDefault="00AC40FC" w:rsidP="00701DCF">
      <w:r>
        <w:t>Billing Operations handles “no bills,” accounts that haven’t been billed.  These include bills that were incorrectly billed, such as an incorrectly named party on the account/bills.  These require “data repairs” and Billing Operations works with CCC and IT to fix these problems.</w:t>
      </w:r>
    </w:p>
    <w:p w:rsidR="00AC40FC" w:rsidRDefault="00AC40FC" w:rsidP="00701DCF">
      <w:r>
        <w:t>Printing and mailing of PPL EU bills and letters were outsourced. The vendor provides daily reports of total bills received, printed, and mailed, broken out by PPL affiliate.  Date and time of all mail submitted to the U.S. Postal Service are reported on a daily basis.  The Services Level Agreement (SLA) specifies average daily volumes, number of monthly images, input data file deadline, and turnaround times.  The quality error rate of accuracy must not exceed 0.2% of the mailed statements in any month, and is named Quality Error Service Level.  There are a number of requirements associated with turnaround times.  PPL EU has averaged about $2 million per year in payments to the vendor, not including postage payments, between 2012 and 2015.</w:t>
      </w:r>
    </w:p>
    <w:p w:rsidR="00AC40FC" w:rsidRDefault="00AC40FC" w:rsidP="00701DCF">
      <w:r>
        <w:t xml:space="preserve">PPL EU has a disaster recovery arrangement for payment processing.  The formal document is a Master Services Agreement between PPL Services Corporation and another vendor, dated February 26, 2014.  PPL EU also uses this vendor to process 10% of its monthly remittances.  The Agreement describes the available services, including:  </w:t>
      </w:r>
    </w:p>
    <w:p w:rsidR="00AC40FC" w:rsidRDefault="00AC40FC" w:rsidP="00701DCF">
      <w:pPr>
        <w:pStyle w:val="Bullet"/>
      </w:pPr>
      <w:r>
        <w:t>Remittance processing with a USPS lock box arrangement</w:t>
      </w:r>
    </w:p>
    <w:p w:rsidR="00AC40FC" w:rsidRDefault="00AC40FC" w:rsidP="00701DCF">
      <w:pPr>
        <w:pStyle w:val="Bullet"/>
      </w:pPr>
      <w:r>
        <w:t>Image capture, storage, and retrieval</w:t>
      </w:r>
    </w:p>
    <w:p w:rsidR="00AC40FC" w:rsidRDefault="00AC40FC" w:rsidP="00701DCF">
      <w:pPr>
        <w:pStyle w:val="Bullet"/>
      </w:pPr>
      <w:r>
        <w:t>Bank deposit services</w:t>
      </w:r>
    </w:p>
    <w:p w:rsidR="00AC40FC" w:rsidRDefault="00AC40FC" w:rsidP="00701DCF">
      <w:pPr>
        <w:pStyle w:val="Bullet"/>
      </w:pPr>
      <w:r>
        <w:t>Deposits and confirmations</w:t>
      </w:r>
    </w:p>
    <w:p w:rsidR="00AC40FC" w:rsidRDefault="00AC40FC" w:rsidP="00701DCF">
      <w:pPr>
        <w:pStyle w:val="Bullet"/>
      </w:pPr>
      <w:r>
        <w:t>Electronic payment services</w:t>
      </w:r>
    </w:p>
    <w:p w:rsidR="00AC40FC" w:rsidRDefault="00AC40FC" w:rsidP="00701DCF">
      <w:pPr>
        <w:pStyle w:val="Bullet"/>
      </w:pPr>
      <w:r>
        <w:t>Transaction and image web portal services</w:t>
      </w:r>
    </w:p>
    <w:p w:rsidR="00AC40FC" w:rsidRDefault="00AC40FC" w:rsidP="00701DCF">
      <w:pPr>
        <w:pStyle w:val="Bullet"/>
      </w:pPr>
      <w:r>
        <w:t>Disaster recovery services</w:t>
      </w:r>
    </w:p>
    <w:p w:rsidR="00AC40FC" w:rsidRDefault="00AC40FC" w:rsidP="00701DCF">
      <w:pPr>
        <w:pStyle w:val="Normal-aftertable"/>
      </w:pPr>
      <w:r>
        <w:t xml:space="preserve">The Agreement includes provisions for performance standards described as “minimum performance levels,” data collection and error reporting, a monthly performance report, </w:t>
      </w:r>
      <w:r>
        <w:lastRenderedPageBreak/>
        <w:t xml:space="preserve">and performance incentives.  For disaster recovery services, the Agreement has provisions for a maintenance and surcharge fee. </w:t>
      </w:r>
    </w:p>
    <w:p w:rsidR="00AC40FC" w:rsidRDefault="00AC40FC" w:rsidP="00701DCF">
      <w:pPr>
        <w:pStyle w:val="Normal-aftertable"/>
      </w:pPr>
      <w:r w:rsidRPr="00273693">
        <w:t>Internal Ser</w:t>
      </w:r>
      <w:r>
        <w:t>vice Organization Controls</w:t>
      </w:r>
      <w:r w:rsidRPr="00273693">
        <w:t xml:space="preserve"> audits, required by </w:t>
      </w:r>
      <w:r>
        <w:t xml:space="preserve">the </w:t>
      </w:r>
      <w:r w:rsidRPr="00273693">
        <w:t>Sarbanes-Oxley Act, are run every day.  There is a quarterly Work Flow Management (WFM) audit based</w:t>
      </w:r>
      <w:r>
        <w:t xml:space="preserve"> on a random selection of transactions that are processed by CSRs. There are about 50 random account audits per month for large power accounts and there is an annual audit walk-through with Ernst &amp; Young.</w:t>
      </w:r>
    </w:p>
    <w:p w:rsidR="00AC40FC" w:rsidRDefault="00AC40FC" w:rsidP="00701DCF">
      <w:r>
        <w:t>Customers are increasingly using the web for bill payments.  The data below portrays variations in bill payment methods over the last several years:</w:t>
      </w:r>
    </w:p>
    <w:p w:rsidR="00AC40FC" w:rsidRDefault="00AC40FC" w:rsidP="00ED6D61">
      <w:pPr>
        <w:pStyle w:val="Caption"/>
      </w:pPr>
      <w:bookmarkStart w:id="85" w:name="_Toc462648412"/>
      <w:bookmarkStart w:id="86" w:name="_Toc464553034"/>
      <w:r>
        <w:t xml:space="preserve">Exhibit </w:t>
      </w:r>
      <w:fldSimple w:instr=" STYLEREF 1 \s ">
        <w:r w:rsidR="00A24205">
          <w:rPr>
            <w:noProof/>
          </w:rPr>
          <w:t>IX</w:t>
        </w:r>
      </w:fldSimple>
      <w:r w:rsidR="00264A1B">
        <w:noBreakHyphen/>
      </w:r>
      <w:fldSimple w:instr=" SEQ Exhibit \* ARABIC \s 1 ">
        <w:r w:rsidR="00A24205">
          <w:rPr>
            <w:noProof/>
          </w:rPr>
          <w:t>19</w:t>
        </w:r>
      </w:fldSimple>
      <w:r>
        <w:br/>
        <w:t>Bill Payment Methods</w:t>
      </w:r>
      <w:bookmarkEnd w:id="85"/>
      <w:bookmarkEnd w:id="86"/>
      <w:r>
        <w:t xml:space="preserve"> </w:t>
      </w:r>
    </w:p>
    <w:p w:rsidR="00AC40FC" w:rsidRDefault="00AC40FC" w:rsidP="00701DCF">
      <w:pPr>
        <w:jc w:val="center"/>
      </w:pPr>
      <w:r>
        <w:rPr>
          <w:noProof/>
        </w:rPr>
        <w:drawing>
          <wp:inline distT="0" distB="0" distL="0" distR="0">
            <wp:extent cx="4991735" cy="2653472"/>
            <wp:effectExtent l="0" t="0" r="18415" b="1397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bl>
      <w:tblPr>
        <w:tblW w:w="9247" w:type="dxa"/>
        <w:jc w:val="center"/>
        <w:tblLayout w:type="fixed"/>
        <w:tblCellMar>
          <w:top w:w="29" w:type="dxa"/>
          <w:left w:w="115" w:type="dxa"/>
          <w:bottom w:w="29" w:type="dxa"/>
          <w:right w:w="115" w:type="dxa"/>
        </w:tblCellMar>
        <w:tblLook w:val="04A0"/>
      </w:tblPr>
      <w:tblGrid>
        <w:gridCol w:w="1024"/>
        <w:gridCol w:w="1370"/>
        <w:gridCol w:w="1371"/>
        <w:gridCol w:w="1370"/>
        <w:gridCol w:w="1371"/>
        <w:gridCol w:w="1370"/>
        <w:gridCol w:w="1371"/>
      </w:tblGrid>
      <w:tr w:rsidR="00AC40FC" w:rsidRPr="003858C9" w:rsidTr="00BB665B">
        <w:trPr>
          <w:cantSplit/>
          <w:trHeight w:val="233"/>
          <w:tblHeader/>
          <w:jc w:val="center"/>
        </w:trPr>
        <w:tc>
          <w:tcPr>
            <w:tcW w:w="1024" w:type="dxa"/>
            <w:tcBorders>
              <w:top w:val="single" w:sz="4" w:space="0" w:color="auto"/>
              <w:left w:val="single" w:sz="4" w:space="0" w:color="auto"/>
              <w:bottom w:val="single" w:sz="4" w:space="0" w:color="auto"/>
              <w:right w:val="single" w:sz="4" w:space="0" w:color="auto"/>
            </w:tcBorders>
            <w:shd w:val="clear" w:color="auto" w:fill="A5CD7E"/>
            <w:noWrap/>
            <w:vAlign w:val="center"/>
            <w:hideMark/>
          </w:tcPr>
          <w:p w:rsidR="00AC40FC" w:rsidRPr="003858C9" w:rsidRDefault="00AC40FC" w:rsidP="007370C9">
            <w:pPr>
              <w:spacing w:before="80" w:after="80"/>
              <w:ind w:firstLineChars="100" w:firstLine="161"/>
              <w:rPr>
                <w:rFonts w:cs="Arial"/>
                <w:b/>
                <w:color w:val="000000"/>
                <w:sz w:val="16"/>
                <w:szCs w:val="16"/>
              </w:rPr>
            </w:pPr>
            <w:r w:rsidRPr="00A53820">
              <w:rPr>
                <w:rFonts w:cs="Arial"/>
                <w:b/>
                <w:color w:val="000000"/>
                <w:sz w:val="16"/>
                <w:szCs w:val="16"/>
              </w:rPr>
              <w:t>Method</w:t>
            </w:r>
          </w:p>
        </w:tc>
        <w:tc>
          <w:tcPr>
            <w:tcW w:w="137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3858C9" w:rsidRDefault="00AC40FC" w:rsidP="007370C9">
            <w:pPr>
              <w:spacing w:before="80" w:after="80"/>
              <w:jc w:val="center"/>
              <w:rPr>
                <w:rFonts w:cs="Arial"/>
                <w:b/>
                <w:color w:val="000000"/>
                <w:sz w:val="16"/>
                <w:szCs w:val="16"/>
              </w:rPr>
            </w:pPr>
            <w:r w:rsidRPr="003858C9">
              <w:rPr>
                <w:rFonts w:cs="Arial"/>
                <w:b/>
                <w:color w:val="000000"/>
                <w:sz w:val="16"/>
                <w:szCs w:val="16"/>
              </w:rPr>
              <w:t>2010</w:t>
            </w:r>
          </w:p>
        </w:tc>
        <w:tc>
          <w:tcPr>
            <w:tcW w:w="1371"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3858C9" w:rsidRDefault="00AC40FC" w:rsidP="007370C9">
            <w:pPr>
              <w:spacing w:before="80" w:after="80"/>
              <w:jc w:val="center"/>
              <w:rPr>
                <w:rFonts w:cs="Arial"/>
                <w:b/>
                <w:color w:val="000000"/>
                <w:sz w:val="16"/>
                <w:szCs w:val="16"/>
              </w:rPr>
            </w:pPr>
            <w:r w:rsidRPr="003858C9">
              <w:rPr>
                <w:rFonts w:cs="Arial"/>
                <w:b/>
                <w:color w:val="000000"/>
                <w:sz w:val="16"/>
                <w:szCs w:val="16"/>
              </w:rPr>
              <w:t>2011</w:t>
            </w:r>
          </w:p>
        </w:tc>
        <w:tc>
          <w:tcPr>
            <w:tcW w:w="137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3858C9" w:rsidRDefault="00AC40FC" w:rsidP="007370C9">
            <w:pPr>
              <w:spacing w:before="80" w:after="80"/>
              <w:jc w:val="center"/>
              <w:rPr>
                <w:rFonts w:cs="Arial"/>
                <w:b/>
                <w:color w:val="000000"/>
                <w:sz w:val="16"/>
                <w:szCs w:val="16"/>
              </w:rPr>
            </w:pPr>
            <w:r w:rsidRPr="003858C9">
              <w:rPr>
                <w:rFonts w:cs="Arial"/>
                <w:b/>
                <w:color w:val="000000"/>
                <w:sz w:val="16"/>
                <w:szCs w:val="16"/>
              </w:rPr>
              <w:t>2012</w:t>
            </w:r>
          </w:p>
        </w:tc>
        <w:tc>
          <w:tcPr>
            <w:tcW w:w="1371"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3858C9" w:rsidRDefault="00AC40FC" w:rsidP="007370C9">
            <w:pPr>
              <w:spacing w:before="80" w:after="80"/>
              <w:jc w:val="center"/>
              <w:rPr>
                <w:rFonts w:cs="Arial"/>
                <w:b/>
                <w:color w:val="000000"/>
                <w:sz w:val="16"/>
                <w:szCs w:val="16"/>
              </w:rPr>
            </w:pPr>
            <w:r w:rsidRPr="003858C9">
              <w:rPr>
                <w:rFonts w:cs="Arial"/>
                <w:b/>
                <w:color w:val="000000"/>
                <w:sz w:val="16"/>
                <w:szCs w:val="16"/>
              </w:rPr>
              <w:t>2013</w:t>
            </w:r>
          </w:p>
        </w:tc>
        <w:tc>
          <w:tcPr>
            <w:tcW w:w="137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3858C9" w:rsidRDefault="00AC40FC" w:rsidP="007370C9">
            <w:pPr>
              <w:spacing w:before="80" w:after="80"/>
              <w:jc w:val="center"/>
              <w:rPr>
                <w:rFonts w:cs="Arial"/>
                <w:b/>
                <w:color w:val="000000"/>
                <w:sz w:val="16"/>
                <w:szCs w:val="16"/>
              </w:rPr>
            </w:pPr>
            <w:r w:rsidRPr="003858C9">
              <w:rPr>
                <w:rFonts w:cs="Arial"/>
                <w:b/>
                <w:color w:val="000000"/>
                <w:sz w:val="16"/>
                <w:szCs w:val="16"/>
              </w:rPr>
              <w:t>2014</w:t>
            </w:r>
          </w:p>
        </w:tc>
        <w:tc>
          <w:tcPr>
            <w:tcW w:w="1371"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3858C9" w:rsidRDefault="00AC40FC" w:rsidP="007370C9">
            <w:pPr>
              <w:spacing w:before="80" w:after="80"/>
              <w:jc w:val="center"/>
              <w:rPr>
                <w:rFonts w:cs="Arial"/>
                <w:b/>
                <w:color w:val="000000"/>
                <w:sz w:val="16"/>
                <w:szCs w:val="16"/>
              </w:rPr>
            </w:pPr>
            <w:r w:rsidRPr="003858C9">
              <w:rPr>
                <w:rFonts w:cs="Arial"/>
                <w:b/>
                <w:color w:val="000000"/>
                <w:sz w:val="16"/>
                <w:szCs w:val="16"/>
              </w:rPr>
              <w:t>2015</w:t>
            </w:r>
          </w:p>
        </w:tc>
      </w:tr>
      <w:tr w:rsidR="00AC40FC" w:rsidRPr="003858C9" w:rsidTr="00BB665B">
        <w:trPr>
          <w:trHeight w:val="139"/>
          <w:jc w:val="center"/>
        </w:trPr>
        <w:tc>
          <w:tcPr>
            <w:tcW w:w="1024" w:type="dxa"/>
            <w:tcBorders>
              <w:top w:val="nil"/>
              <w:left w:val="single" w:sz="4" w:space="0" w:color="auto"/>
              <w:bottom w:val="single" w:sz="4" w:space="0" w:color="auto"/>
              <w:right w:val="single" w:sz="4" w:space="0" w:color="auto"/>
            </w:tcBorders>
            <w:shd w:val="clear" w:color="000000" w:fill="FFFFFF"/>
            <w:noWrap/>
            <w:vAlign w:val="center"/>
            <w:hideMark/>
          </w:tcPr>
          <w:p w:rsidR="00AC40FC" w:rsidRPr="003858C9" w:rsidRDefault="00AC40FC" w:rsidP="00701DCF">
            <w:pPr>
              <w:spacing w:after="0"/>
              <w:rPr>
                <w:rFonts w:cs="Arial"/>
                <w:sz w:val="16"/>
                <w:szCs w:val="16"/>
              </w:rPr>
            </w:pPr>
            <w:r w:rsidRPr="003858C9">
              <w:rPr>
                <w:rFonts w:cs="Arial"/>
                <w:sz w:val="16"/>
                <w:szCs w:val="16"/>
              </w:rPr>
              <w:t>EDI</w:t>
            </w:r>
          </w:p>
        </w:tc>
        <w:tc>
          <w:tcPr>
            <w:tcW w:w="1370" w:type="dxa"/>
            <w:tcBorders>
              <w:top w:val="nil"/>
              <w:left w:val="nil"/>
              <w:bottom w:val="single" w:sz="4" w:space="0" w:color="auto"/>
              <w:right w:val="single" w:sz="4" w:space="0" w:color="auto"/>
            </w:tcBorders>
            <w:shd w:val="clear" w:color="auto" w:fill="auto"/>
            <w:noWrap/>
            <w:vAlign w:val="center"/>
            <w:hideMark/>
          </w:tcPr>
          <w:p w:rsidR="00AC40FC" w:rsidRPr="003858C9" w:rsidRDefault="00AC40FC" w:rsidP="00701DCF">
            <w:pPr>
              <w:spacing w:after="0"/>
              <w:jc w:val="right"/>
              <w:rPr>
                <w:rFonts w:cs="Arial"/>
                <w:color w:val="000000"/>
                <w:sz w:val="16"/>
                <w:szCs w:val="16"/>
              </w:rPr>
            </w:pPr>
            <w:r>
              <w:rPr>
                <w:rFonts w:cs="Arial"/>
                <w:color w:val="000000"/>
                <w:sz w:val="16"/>
                <w:szCs w:val="16"/>
              </w:rPr>
              <w:t>$</w:t>
            </w:r>
            <w:r w:rsidRPr="003858C9">
              <w:rPr>
                <w:rFonts w:cs="Arial"/>
                <w:color w:val="000000"/>
                <w:sz w:val="16"/>
                <w:szCs w:val="16"/>
              </w:rPr>
              <w:t xml:space="preserve">557,225,508 </w:t>
            </w:r>
          </w:p>
        </w:tc>
        <w:tc>
          <w:tcPr>
            <w:tcW w:w="1371" w:type="dxa"/>
            <w:tcBorders>
              <w:top w:val="nil"/>
              <w:left w:val="nil"/>
              <w:bottom w:val="single" w:sz="4" w:space="0" w:color="auto"/>
              <w:right w:val="single" w:sz="4" w:space="0" w:color="auto"/>
            </w:tcBorders>
            <w:shd w:val="clear" w:color="auto" w:fill="auto"/>
            <w:noWrap/>
            <w:vAlign w:val="center"/>
            <w:hideMark/>
          </w:tcPr>
          <w:p w:rsidR="00AC40FC" w:rsidRPr="003858C9" w:rsidRDefault="00AC40FC" w:rsidP="00701DCF">
            <w:pPr>
              <w:spacing w:after="0"/>
              <w:jc w:val="right"/>
              <w:rPr>
                <w:rFonts w:cs="Arial"/>
                <w:color w:val="000000"/>
                <w:sz w:val="16"/>
                <w:szCs w:val="16"/>
              </w:rPr>
            </w:pPr>
            <w:r>
              <w:rPr>
                <w:rFonts w:cs="Arial"/>
                <w:color w:val="000000"/>
                <w:sz w:val="16"/>
                <w:szCs w:val="16"/>
              </w:rPr>
              <w:t>$</w:t>
            </w:r>
            <w:r w:rsidRPr="003858C9">
              <w:rPr>
                <w:rFonts w:cs="Arial"/>
                <w:color w:val="000000"/>
                <w:sz w:val="16"/>
                <w:szCs w:val="16"/>
              </w:rPr>
              <w:t xml:space="preserve">562,119,507 </w:t>
            </w:r>
          </w:p>
        </w:tc>
        <w:tc>
          <w:tcPr>
            <w:tcW w:w="1370" w:type="dxa"/>
            <w:tcBorders>
              <w:top w:val="nil"/>
              <w:left w:val="nil"/>
              <w:bottom w:val="single" w:sz="4" w:space="0" w:color="auto"/>
              <w:right w:val="single" w:sz="4" w:space="0" w:color="auto"/>
            </w:tcBorders>
            <w:shd w:val="clear" w:color="auto" w:fill="auto"/>
            <w:noWrap/>
            <w:vAlign w:val="center"/>
            <w:hideMark/>
          </w:tcPr>
          <w:p w:rsidR="00AC40FC" w:rsidRPr="003858C9" w:rsidRDefault="00AC40FC" w:rsidP="00701DCF">
            <w:pPr>
              <w:spacing w:after="0"/>
              <w:jc w:val="right"/>
              <w:rPr>
                <w:rFonts w:cs="Arial"/>
                <w:color w:val="000000"/>
                <w:sz w:val="16"/>
                <w:szCs w:val="16"/>
              </w:rPr>
            </w:pPr>
            <w:r>
              <w:rPr>
                <w:rFonts w:cs="Arial"/>
                <w:color w:val="000000"/>
                <w:sz w:val="16"/>
                <w:szCs w:val="16"/>
              </w:rPr>
              <w:t>$</w:t>
            </w:r>
            <w:r w:rsidRPr="003858C9">
              <w:rPr>
                <w:rFonts w:cs="Arial"/>
                <w:color w:val="000000"/>
                <w:sz w:val="16"/>
                <w:szCs w:val="16"/>
              </w:rPr>
              <w:t xml:space="preserve">515,612,083 </w:t>
            </w:r>
          </w:p>
        </w:tc>
        <w:tc>
          <w:tcPr>
            <w:tcW w:w="1371" w:type="dxa"/>
            <w:tcBorders>
              <w:top w:val="nil"/>
              <w:left w:val="nil"/>
              <w:bottom w:val="single" w:sz="4" w:space="0" w:color="auto"/>
              <w:right w:val="single" w:sz="4" w:space="0" w:color="auto"/>
            </w:tcBorders>
            <w:shd w:val="clear" w:color="auto" w:fill="auto"/>
            <w:noWrap/>
            <w:vAlign w:val="center"/>
            <w:hideMark/>
          </w:tcPr>
          <w:p w:rsidR="00AC40FC" w:rsidRPr="003858C9" w:rsidRDefault="00AC40FC" w:rsidP="00701DCF">
            <w:pPr>
              <w:spacing w:after="0"/>
              <w:jc w:val="right"/>
              <w:rPr>
                <w:rFonts w:cs="Arial"/>
                <w:color w:val="000000"/>
                <w:sz w:val="16"/>
                <w:szCs w:val="16"/>
              </w:rPr>
            </w:pPr>
            <w:r>
              <w:rPr>
                <w:rFonts w:cs="Arial"/>
                <w:color w:val="000000"/>
                <w:sz w:val="16"/>
                <w:szCs w:val="16"/>
              </w:rPr>
              <w:t>$</w:t>
            </w:r>
            <w:r w:rsidRPr="003858C9">
              <w:rPr>
                <w:rFonts w:cs="Arial"/>
                <w:color w:val="000000"/>
                <w:sz w:val="16"/>
                <w:szCs w:val="16"/>
              </w:rPr>
              <w:t xml:space="preserve">571,764,318 </w:t>
            </w:r>
          </w:p>
        </w:tc>
        <w:tc>
          <w:tcPr>
            <w:tcW w:w="1370" w:type="dxa"/>
            <w:tcBorders>
              <w:top w:val="nil"/>
              <w:left w:val="nil"/>
              <w:bottom w:val="single" w:sz="4" w:space="0" w:color="auto"/>
              <w:right w:val="single" w:sz="4" w:space="0" w:color="auto"/>
            </w:tcBorders>
            <w:shd w:val="clear" w:color="auto" w:fill="auto"/>
            <w:noWrap/>
            <w:vAlign w:val="center"/>
            <w:hideMark/>
          </w:tcPr>
          <w:p w:rsidR="00AC40FC" w:rsidRPr="003858C9" w:rsidRDefault="00AC40FC" w:rsidP="00701DCF">
            <w:pPr>
              <w:spacing w:after="0"/>
              <w:jc w:val="right"/>
              <w:rPr>
                <w:rFonts w:cs="Arial"/>
                <w:color w:val="000000"/>
                <w:sz w:val="16"/>
                <w:szCs w:val="16"/>
              </w:rPr>
            </w:pPr>
            <w:r>
              <w:rPr>
                <w:rFonts w:cs="Arial"/>
                <w:color w:val="000000"/>
                <w:sz w:val="16"/>
                <w:szCs w:val="16"/>
              </w:rPr>
              <w:t>$</w:t>
            </w:r>
            <w:r w:rsidRPr="003858C9">
              <w:rPr>
                <w:rFonts w:cs="Arial"/>
                <w:color w:val="000000"/>
                <w:sz w:val="16"/>
                <w:szCs w:val="16"/>
              </w:rPr>
              <w:t xml:space="preserve">631,931,618 </w:t>
            </w:r>
          </w:p>
        </w:tc>
        <w:tc>
          <w:tcPr>
            <w:tcW w:w="1371" w:type="dxa"/>
            <w:tcBorders>
              <w:top w:val="nil"/>
              <w:left w:val="nil"/>
              <w:bottom w:val="single" w:sz="4" w:space="0" w:color="auto"/>
              <w:right w:val="single" w:sz="4" w:space="0" w:color="auto"/>
            </w:tcBorders>
            <w:shd w:val="clear" w:color="auto" w:fill="auto"/>
            <w:noWrap/>
            <w:vAlign w:val="center"/>
            <w:hideMark/>
          </w:tcPr>
          <w:p w:rsidR="00AC40FC" w:rsidRPr="003858C9" w:rsidRDefault="00AC40FC" w:rsidP="00701DCF">
            <w:pPr>
              <w:spacing w:after="0"/>
              <w:jc w:val="right"/>
              <w:rPr>
                <w:rFonts w:cs="Arial"/>
                <w:color w:val="000000"/>
                <w:sz w:val="16"/>
                <w:szCs w:val="16"/>
              </w:rPr>
            </w:pPr>
            <w:r>
              <w:rPr>
                <w:rFonts w:cs="Arial"/>
                <w:color w:val="000000"/>
                <w:sz w:val="16"/>
                <w:szCs w:val="16"/>
              </w:rPr>
              <w:t>$</w:t>
            </w:r>
            <w:r w:rsidRPr="003858C9">
              <w:rPr>
                <w:rFonts w:cs="Arial"/>
                <w:color w:val="000000"/>
                <w:sz w:val="16"/>
                <w:szCs w:val="16"/>
              </w:rPr>
              <w:t xml:space="preserve">660,060,990 </w:t>
            </w:r>
          </w:p>
        </w:tc>
      </w:tr>
      <w:tr w:rsidR="00AC40FC" w:rsidRPr="003858C9" w:rsidTr="00BB665B">
        <w:trPr>
          <w:trHeight w:val="188"/>
          <w:jc w:val="center"/>
        </w:trPr>
        <w:tc>
          <w:tcPr>
            <w:tcW w:w="1024" w:type="dxa"/>
            <w:tcBorders>
              <w:top w:val="nil"/>
              <w:left w:val="single" w:sz="4" w:space="0" w:color="auto"/>
              <w:bottom w:val="single" w:sz="4" w:space="0" w:color="auto"/>
              <w:right w:val="single" w:sz="4" w:space="0" w:color="auto"/>
            </w:tcBorders>
            <w:shd w:val="clear" w:color="000000" w:fill="FFFFFF"/>
            <w:noWrap/>
            <w:vAlign w:val="center"/>
            <w:hideMark/>
          </w:tcPr>
          <w:p w:rsidR="00AC40FC" w:rsidRPr="003858C9" w:rsidRDefault="00AC40FC" w:rsidP="00701DCF">
            <w:pPr>
              <w:spacing w:after="0"/>
              <w:rPr>
                <w:rFonts w:cs="Arial"/>
                <w:sz w:val="16"/>
                <w:szCs w:val="16"/>
              </w:rPr>
            </w:pPr>
            <w:r w:rsidRPr="003858C9">
              <w:rPr>
                <w:rFonts w:cs="Arial"/>
                <w:sz w:val="16"/>
                <w:szCs w:val="16"/>
              </w:rPr>
              <w:t>EFT</w:t>
            </w:r>
          </w:p>
        </w:tc>
        <w:tc>
          <w:tcPr>
            <w:tcW w:w="1370" w:type="dxa"/>
            <w:tcBorders>
              <w:top w:val="nil"/>
              <w:left w:val="nil"/>
              <w:bottom w:val="single" w:sz="4" w:space="0" w:color="auto"/>
              <w:right w:val="single" w:sz="4" w:space="0" w:color="auto"/>
            </w:tcBorders>
            <w:shd w:val="clear" w:color="auto" w:fill="auto"/>
            <w:noWrap/>
            <w:vAlign w:val="center"/>
            <w:hideMark/>
          </w:tcPr>
          <w:p w:rsidR="00AC40FC" w:rsidRPr="003858C9" w:rsidRDefault="00AC40FC" w:rsidP="00701DCF">
            <w:pPr>
              <w:spacing w:after="0"/>
              <w:jc w:val="right"/>
              <w:rPr>
                <w:rFonts w:cs="Arial"/>
                <w:color w:val="000000"/>
                <w:sz w:val="16"/>
                <w:szCs w:val="16"/>
              </w:rPr>
            </w:pPr>
            <w:r>
              <w:rPr>
                <w:rFonts w:cs="Arial"/>
                <w:color w:val="000000"/>
                <w:sz w:val="16"/>
                <w:szCs w:val="16"/>
              </w:rPr>
              <w:t>$</w:t>
            </w:r>
            <w:r w:rsidRPr="003858C9">
              <w:rPr>
                <w:rFonts w:cs="Arial"/>
                <w:color w:val="000000"/>
                <w:sz w:val="16"/>
                <w:szCs w:val="16"/>
              </w:rPr>
              <w:t xml:space="preserve">269,845,288 </w:t>
            </w:r>
          </w:p>
        </w:tc>
        <w:tc>
          <w:tcPr>
            <w:tcW w:w="1371" w:type="dxa"/>
            <w:tcBorders>
              <w:top w:val="nil"/>
              <w:left w:val="nil"/>
              <w:bottom w:val="single" w:sz="4" w:space="0" w:color="auto"/>
              <w:right w:val="single" w:sz="4" w:space="0" w:color="auto"/>
            </w:tcBorders>
            <w:shd w:val="clear" w:color="auto" w:fill="auto"/>
            <w:noWrap/>
            <w:vAlign w:val="center"/>
            <w:hideMark/>
          </w:tcPr>
          <w:p w:rsidR="00AC40FC" w:rsidRPr="003858C9" w:rsidRDefault="00AC40FC" w:rsidP="00701DCF">
            <w:pPr>
              <w:spacing w:after="0"/>
              <w:jc w:val="right"/>
              <w:rPr>
                <w:rFonts w:cs="Arial"/>
                <w:color w:val="000000"/>
                <w:sz w:val="16"/>
                <w:szCs w:val="16"/>
              </w:rPr>
            </w:pPr>
            <w:r>
              <w:rPr>
                <w:rFonts w:cs="Arial"/>
                <w:color w:val="000000"/>
                <w:sz w:val="16"/>
                <w:szCs w:val="16"/>
              </w:rPr>
              <w:t>$</w:t>
            </w:r>
            <w:r w:rsidRPr="003858C9">
              <w:rPr>
                <w:rFonts w:cs="Arial"/>
                <w:color w:val="000000"/>
                <w:sz w:val="16"/>
                <w:szCs w:val="16"/>
              </w:rPr>
              <w:t xml:space="preserve">268,424,144 </w:t>
            </w:r>
          </w:p>
        </w:tc>
        <w:tc>
          <w:tcPr>
            <w:tcW w:w="1370" w:type="dxa"/>
            <w:tcBorders>
              <w:top w:val="nil"/>
              <w:left w:val="nil"/>
              <w:bottom w:val="single" w:sz="4" w:space="0" w:color="auto"/>
              <w:right w:val="single" w:sz="4" w:space="0" w:color="auto"/>
            </w:tcBorders>
            <w:shd w:val="clear" w:color="auto" w:fill="auto"/>
            <w:noWrap/>
            <w:vAlign w:val="center"/>
            <w:hideMark/>
          </w:tcPr>
          <w:p w:rsidR="00AC40FC" w:rsidRPr="003858C9" w:rsidRDefault="00AC40FC" w:rsidP="00701DCF">
            <w:pPr>
              <w:spacing w:after="0"/>
              <w:jc w:val="right"/>
              <w:rPr>
                <w:rFonts w:cs="Arial"/>
                <w:color w:val="000000"/>
                <w:sz w:val="16"/>
                <w:szCs w:val="16"/>
              </w:rPr>
            </w:pPr>
            <w:r>
              <w:rPr>
                <w:rFonts w:cs="Arial"/>
                <w:color w:val="000000"/>
                <w:sz w:val="16"/>
                <w:szCs w:val="16"/>
              </w:rPr>
              <w:t>$</w:t>
            </w:r>
            <w:r w:rsidRPr="003858C9">
              <w:rPr>
                <w:rFonts w:cs="Arial"/>
                <w:color w:val="000000"/>
                <w:sz w:val="16"/>
                <w:szCs w:val="16"/>
              </w:rPr>
              <w:t xml:space="preserve">245,285,774 </w:t>
            </w:r>
          </w:p>
        </w:tc>
        <w:tc>
          <w:tcPr>
            <w:tcW w:w="1371" w:type="dxa"/>
            <w:tcBorders>
              <w:top w:val="nil"/>
              <w:left w:val="nil"/>
              <w:bottom w:val="single" w:sz="4" w:space="0" w:color="auto"/>
              <w:right w:val="single" w:sz="4" w:space="0" w:color="auto"/>
            </w:tcBorders>
            <w:shd w:val="clear" w:color="auto" w:fill="auto"/>
            <w:noWrap/>
            <w:vAlign w:val="center"/>
            <w:hideMark/>
          </w:tcPr>
          <w:p w:rsidR="00AC40FC" w:rsidRPr="003858C9" w:rsidRDefault="00AC40FC" w:rsidP="00701DCF">
            <w:pPr>
              <w:spacing w:after="0"/>
              <w:jc w:val="right"/>
              <w:rPr>
                <w:rFonts w:cs="Arial"/>
                <w:color w:val="000000"/>
                <w:sz w:val="16"/>
                <w:szCs w:val="16"/>
              </w:rPr>
            </w:pPr>
            <w:r>
              <w:rPr>
                <w:rFonts w:cs="Arial"/>
                <w:color w:val="000000"/>
                <w:sz w:val="16"/>
                <w:szCs w:val="16"/>
              </w:rPr>
              <w:t>$</w:t>
            </w:r>
            <w:r w:rsidRPr="003858C9">
              <w:rPr>
                <w:rFonts w:cs="Arial"/>
                <w:color w:val="000000"/>
                <w:sz w:val="16"/>
                <w:szCs w:val="16"/>
              </w:rPr>
              <w:t xml:space="preserve">263,760,714 </w:t>
            </w:r>
          </w:p>
        </w:tc>
        <w:tc>
          <w:tcPr>
            <w:tcW w:w="1370" w:type="dxa"/>
            <w:tcBorders>
              <w:top w:val="nil"/>
              <w:left w:val="nil"/>
              <w:bottom w:val="single" w:sz="4" w:space="0" w:color="auto"/>
              <w:right w:val="single" w:sz="4" w:space="0" w:color="auto"/>
            </w:tcBorders>
            <w:shd w:val="clear" w:color="auto" w:fill="auto"/>
            <w:noWrap/>
            <w:vAlign w:val="center"/>
            <w:hideMark/>
          </w:tcPr>
          <w:p w:rsidR="00AC40FC" w:rsidRPr="003858C9" w:rsidRDefault="00AC40FC" w:rsidP="00701DCF">
            <w:pPr>
              <w:spacing w:after="0"/>
              <w:jc w:val="right"/>
              <w:rPr>
                <w:rFonts w:cs="Arial"/>
                <w:color w:val="000000"/>
                <w:sz w:val="16"/>
                <w:szCs w:val="16"/>
              </w:rPr>
            </w:pPr>
            <w:r>
              <w:rPr>
                <w:rFonts w:cs="Arial"/>
                <w:color w:val="000000"/>
                <w:sz w:val="16"/>
                <w:szCs w:val="16"/>
              </w:rPr>
              <w:t>$</w:t>
            </w:r>
            <w:r w:rsidRPr="003858C9">
              <w:rPr>
                <w:rFonts w:cs="Arial"/>
                <w:color w:val="000000"/>
                <w:sz w:val="16"/>
                <w:szCs w:val="16"/>
              </w:rPr>
              <w:t xml:space="preserve">303,805,168 </w:t>
            </w:r>
          </w:p>
        </w:tc>
        <w:tc>
          <w:tcPr>
            <w:tcW w:w="1371" w:type="dxa"/>
            <w:tcBorders>
              <w:top w:val="nil"/>
              <w:left w:val="nil"/>
              <w:bottom w:val="single" w:sz="4" w:space="0" w:color="auto"/>
              <w:right w:val="single" w:sz="4" w:space="0" w:color="auto"/>
            </w:tcBorders>
            <w:shd w:val="clear" w:color="auto" w:fill="auto"/>
            <w:noWrap/>
            <w:vAlign w:val="center"/>
            <w:hideMark/>
          </w:tcPr>
          <w:p w:rsidR="00AC40FC" w:rsidRPr="003858C9" w:rsidRDefault="00AC40FC" w:rsidP="00701DCF">
            <w:pPr>
              <w:spacing w:after="0"/>
              <w:jc w:val="right"/>
              <w:rPr>
                <w:rFonts w:cs="Arial"/>
                <w:color w:val="000000"/>
                <w:sz w:val="16"/>
                <w:szCs w:val="16"/>
              </w:rPr>
            </w:pPr>
            <w:r>
              <w:rPr>
                <w:rFonts w:cs="Arial"/>
                <w:color w:val="000000"/>
                <w:sz w:val="16"/>
                <w:szCs w:val="16"/>
              </w:rPr>
              <w:t>$</w:t>
            </w:r>
            <w:r w:rsidRPr="003858C9">
              <w:rPr>
                <w:rFonts w:cs="Arial"/>
                <w:color w:val="000000"/>
                <w:sz w:val="16"/>
                <w:szCs w:val="16"/>
              </w:rPr>
              <w:t xml:space="preserve">321,293,426 </w:t>
            </w:r>
          </w:p>
        </w:tc>
      </w:tr>
      <w:tr w:rsidR="00AC40FC" w:rsidRPr="003858C9" w:rsidTr="00BB665B">
        <w:trPr>
          <w:trHeight w:val="184"/>
          <w:jc w:val="center"/>
        </w:trPr>
        <w:tc>
          <w:tcPr>
            <w:tcW w:w="1024" w:type="dxa"/>
            <w:tcBorders>
              <w:top w:val="nil"/>
              <w:left w:val="single" w:sz="4" w:space="0" w:color="auto"/>
              <w:bottom w:val="single" w:sz="4" w:space="0" w:color="auto"/>
              <w:right w:val="single" w:sz="4" w:space="0" w:color="auto"/>
            </w:tcBorders>
            <w:shd w:val="clear" w:color="000000" w:fill="FFFFFF"/>
            <w:noWrap/>
            <w:vAlign w:val="center"/>
            <w:hideMark/>
          </w:tcPr>
          <w:p w:rsidR="00AC40FC" w:rsidRPr="003858C9" w:rsidRDefault="00AC40FC" w:rsidP="00701DCF">
            <w:pPr>
              <w:spacing w:after="0"/>
              <w:rPr>
                <w:rFonts w:cs="Arial"/>
                <w:sz w:val="16"/>
                <w:szCs w:val="16"/>
              </w:rPr>
            </w:pPr>
            <w:r w:rsidRPr="003858C9">
              <w:rPr>
                <w:rFonts w:cs="Arial"/>
                <w:sz w:val="16"/>
                <w:szCs w:val="16"/>
              </w:rPr>
              <w:t>IVR</w:t>
            </w:r>
          </w:p>
        </w:tc>
        <w:tc>
          <w:tcPr>
            <w:tcW w:w="1370" w:type="dxa"/>
            <w:tcBorders>
              <w:top w:val="nil"/>
              <w:left w:val="nil"/>
              <w:bottom w:val="single" w:sz="4" w:space="0" w:color="auto"/>
              <w:right w:val="single" w:sz="4" w:space="0" w:color="auto"/>
            </w:tcBorders>
            <w:shd w:val="clear" w:color="auto" w:fill="auto"/>
            <w:noWrap/>
            <w:vAlign w:val="center"/>
            <w:hideMark/>
          </w:tcPr>
          <w:p w:rsidR="00AC40FC" w:rsidRPr="003858C9" w:rsidRDefault="00AC40FC" w:rsidP="00701DCF">
            <w:pPr>
              <w:spacing w:after="0"/>
              <w:jc w:val="right"/>
              <w:rPr>
                <w:rFonts w:cs="Arial"/>
                <w:color w:val="000000"/>
                <w:sz w:val="16"/>
                <w:szCs w:val="16"/>
              </w:rPr>
            </w:pPr>
            <w:r>
              <w:rPr>
                <w:rFonts w:cs="Arial"/>
                <w:color w:val="000000"/>
                <w:sz w:val="16"/>
                <w:szCs w:val="16"/>
              </w:rPr>
              <w:t>$</w:t>
            </w:r>
            <w:r w:rsidRPr="003858C9">
              <w:rPr>
                <w:rFonts w:cs="Arial"/>
                <w:color w:val="000000"/>
                <w:sz w:val="16"/>
                <w:szCs w:val="16"/>
              </w:rPr>
              <w:t xml:space="preserve">53,121,958 </w:t>
            </w:r>
          </w:p>
        </w:tc>
        <w:tc>
          <w:tcPr>
            <w:tcW w:w="1371" w:type="dxa"/>
            <w:tcBorders>
              <w:top w:val="nil"/>
              <w:left w:val="nil"/>
              <w:bottom w:val="single" w:sz="4" w:space="0" w:color="auto"/>
              <w:right w:val="single" w:sz="4" w:space="0" w:color="auto"/>
            </w:tcBorders>
            <w:shd w:val="clear" w:color="auto" w:fill="auto"/>
            <w:noWrap/>
            <w:vAlign w:val="center"/>
            <w:hideMark/>
          </w:tcPr>
          <w:p w:rsidR="00AC40FC" w:rsidRPr="003858C9" w:rsidRDefault="00AC40FC" w:rsidP="00701DCF">
            <w:pPr>
              <w:spacing w:after="0"/>
              <w:jc w:val="right"/>
              <w:rPr>
                <w:rFonts w:cs="Arial"/>
                <w:color w:val="000000"/>
                <w:sz w:val="16"/>
                <w:szCs w:val="16"/>
              </w:rPr>
            </w:pPr>
            <w:r>
              <w:rPr>
                <w:rFonts w:cs="Arial"/>
                <w:color w:val="000000"/>
                <w:sz w:val="16"/>
                <w:szCs w:val="16"/>
              </w:rPr>
              <w:t>$</w:t>
            </w:r>
            <w:r w:rsidRPr="003858C9">
              <w:rPr>
                <w:rFonts w:cs="Arial"/>
                <w:color w:val="000000"/>
                <w:sz w:val="16"/>
                <w:szCs w:val="16"/>
              </w:rPr>
              <w:t xml:space="preserve">68,644,107 </w:t>
            </w:r>
          </w:p>
        </w:tc>
        <w:tc>
          <w:tcPr>
            <w:tcW w:w="1370" w:type="dxa"/>
            <w:tcBorders>
              <w:top w:val="nil"/>
              <w:left w:val="nil"/>
              <w:bottom w:val="single" w:sz="4" w:space="0" w:color="auto"/>
              <w:right w:val="single" w:sz="4" w:space="0" w:color="auto"/>
            </w:tcBorders>
            <w:shd w:val="clear" w:color="auto" w:fill="auto"/>
            <w:noWrap/>
            <w:vAlign w:val="center"/>
            <w:hideMark/>
          </w:tcPr>
          <w:p w:rsidR="00AC40FC" w:rsidRPr="003858C9" w:rsidRDefault="00AC40FC" w:rsidP="00701DCF">
            <w:pPr>
              <w:spacing w:after="0"/>
              <w:jc w:val="right"/>
              <w:rPr>
                <w:rFonts w:cs="Arial"/>
                <w:color w:val="000000"/>
                <w:sz w:val="16"/>
                <w:szCs w:val="16"/>
              </w:rPr>
            </w:pPr>
            <w:r>
              <w:rPr>
                <w:rFonts w:cs="Arial"/>
                <w:color w:val="000000"/>
                <w:sz w:val="16"/>
                <w:szCs w:val="16"/>
              </w:rPr>
              <w:t>$</w:t>
            </w:r>
            <w:r w:rsidRPr="003858C9">
              <w:rPr>
                <w:rFonts w:cs="Arial"/>
                <w:color w:val="000000"/>
                <w:sz w:val="16"/>
                <w:szCs w:val="16"/>
              </w:rPr>
              <w:t xml:space="preserve">74,909,991 </w:t>
            </w:r>
          </w:p>
        </w:tc>
        <w:tc>
          <w:tcPr>
            <w:tcW w:w="1371" w:type="dxa"/>
            <w:tcBorders>
              <w:top w:val="nil"/>
              <w:left w:val="nil"/>
              <w:bottom w:val="single" w:sz="4" w:space="0" w:color="auto"/>
              <w:right w:val="single" w:sz="4" w:space="0" w:color="auto"/>
            </w:tcBorders>
            <w:shd w:val="clear" w:color="auto" w:fill="auto"/>
            <w:noWrap/>
            <w:vAlign w:val="center"/>
            <w:hideMark/>
          </w:tcPr>
          <w:p w:rsidR="00AC40FC" w:rsidRPr="003858C9" w:rsidRDefault="00AC40FC" w:rsidP="00701DCF">
            <w:pPr>
              <w:spacing w:after="0"/>
              <w:jc w:val="right"/>
              <w:rPr>
                <w:rFonts w:cs="Arial"/>
                <w:color w:val="000000"/>
                <w:sz w:val="16"/>
                <w:szCs w:val="16"/>
              </w:rPr>
            </w:pPr>
            <w:r>
              <w:rPr>
                <w:rFonts w:cs="Arial"/>
                <w:color w:val="000000"/>
                <w:sz w:val="16"/>
                <w:szCs w:val="16"/>
              </w:rPr>
              <w:t>$</w:t>
            </w:r>
            <w:r w:rsidRPr="003858C9">
              <w:rPr>
                <w:rFonts w:cs="Arial"/>
                <w:color w:val="000000"/>
                <w:sz w:val="16"/>
                <w:szCs w:val="16"/>
              </w:rPr>
              <w:t xml:space="preserve">88,675,865 </w:t>
            </w:r>
          </w:p>
        </w:tc>
        <w:tc>
          <w:tcPr>
            <w:tcW w:w="1370" w:type="dxa"/>
            <w:tcBorders>
              <w:top w:val="nil"/>
              <w:left w:val="nil"/>
              <w:bottom w:val="single" w:sz="4" w:space="0" w:color="auto"/>
              <w:right w:val="single" w:sz="4" w:space="0" w:color="auto"/>
            </w:tcBorders>
            <w:shd w:val="clear" w:color="auto" w:fill="auto"/>
            <w:noWrap/>
            <w:vAlign w:val="center"/>
            <w:hideMark/>
          </w:tcPr>
          <w:p w:rsidR="00AC40FC" w:rsidRPr="003858C9" w:rsidRDefault="00AC40FC" w:rsidP="00701DCF">
            <w:pPr>
              <w:spacing w:after="0"/>
              <w:jc w:val="right"/>
              <w:rPr>
                <w:rFonts w:cs="Arial"/>
                <w:color w:val="000000"/>
                <w:sz w:val="16"/>
                <w:szCs w:val="16"/>
              </w:rPr>
            </w:pPr>
            <w:r>
              <w:rPr>
                <w:rFonts w:cs="Arial"/>
                <w:color w:val="000000"/>
                <w:sz w:val="16"/>
                <w:szCs w:val="16"/>
              </w:rPr>
              <w:t>$</w:t>
            </w:r>
            <w:r w:rsidRPr="003858C9">
              <w:rPr>
                <w:rFonts w:cs="Arial"/>
                <w:color w:val="000000"/>
                <w:sz w:val="16"/>
                <w:szCs w:val="16"/>
              </w:rPr>
              <w:t xml:space="preserve">110,984,673 </w:t>
            </w:r>
          </w:p>
        </w:tc>
        <w:tc>
          <w:tcPr>
            <w:tcW w:w="1371" w:type="dxa"/>
            <w:tcBorders>
              <w:top w:val="nil"/>
              <w:left w:val="nil"/>
              <w:bottom w:val="single" w:sz="4" w:space="0" w:color="auto"/>
              <w:right w:val="single" w:sz="4" w:space="0" w:color="auto"/>
            </w:tcBorders>
            <w:shd w:val="clear" w:color="auto" w:fill="auto"/>
            <w:noWrap/>
            <w:vAlign w:val="center"/>
            <w:hideMark/>
          </w:tcPr>
          <w:p w:rsidR="00AC40FC" w:rsidRPr="003858C9" w:rsidRDefault="00AC40FC" w:rsidP="00701DCF">
            <w:pPr>
              <w:spacing w:after="0"/>
              <w:jc w:val="right"/>
              <w:rPr>
                <w:rFonts w:cs="Arial"/>
                <w:color w:val="000000"/>
                <w:sz w:val="16"/>
                <w:szCs w:val="16"/>
              </w:rPr>
            </w:pPr>
            <w:r>
              <w:rPr>
                <w:rFonts w:cs="Arial"/>
                <w:color w:val="000000"/>
                <w:sz w:val="16"/>
                <w:szCs w:val="16"/>
              </w:rPr>
              <w:t>$</w:t>
            </w:r>
            <w:r w:rsidRPr="003858C9">
              <w:rPr>
                <w:rFonts w:cs="Arial"/>
                <w:color w:val="000000"/>
                <w:sz w:val="16"/>
                <w:szCs w:val="16"/>
              </w:rPr>
              <w:t xml:space="preserve">135,658,792 </w:t>
            </w:r>
          </w:p>
        </w:tc>
      </w:tr>
      <w:tr w:rsidR="00AC40FC" w:rsidRPr="003858C9" w:rsidTr="00BB665B">
        <w:trPr>
          <w:trHeight w:val="188"/>
          <w:jc w:val="center"/>
        </w:trPr>
        <w:tc>
          <w:tcPr>
            <w:tcW w:w="1024" w:type="dxa"/>
            <w:tcBorders>
              <w:top w:val="nil"/>
              <w:left w:val="single" w:sz="4" w:space="0" w:color="auto"/>
              <w:bottom w:val="single" w:sz="4" w:space="0" w:color="auto"/>
              <w:right w:val="single" w:sz="4" w:space="0" w:color="auto"/>
            </w:tcBorders>
            <w:shd w:val="clear" w:color="000000" w:fill="FFFFFF"/>
            <w:noWrap/>
            <w:vAlign w:val="center"/>
            <w:hideMark/>
          </w:tcPr>
          <w:p w:rsidR="00AC40FC" w:rsidRPr="003858C9" w:rsidRDefault="00AC40FC" w:rsidP="00701DCF">
            <w:pPr>
              <w:spacing w:after="0"/>
              <w:rPr>
                <w:rFonts w:cs="Arial"/>
                <w:sz w:val="16"/>
                <w:szCs w:val="16"/>
              </w:rPr>
            </w:pPr>
            <w:r w:rsidRPr="003858C9">
              <w:rPr>
                <w:rFonts w:cs="Arial"/>
                <w:sz w:val="16"/>
                <w:szCs w:val="16"/>
              </w:rPr>
              <w:t>Mail Payment</w:t>
            </w:r>
          </w:p>
        </w:tc>
        <w:tc>
          <w:tcPr>
            <w:tcW w:w="1370" w:type="dxa"/>
            <w:tcBorders>
              <w:top w:val="nil"/>
              <w:left w:val="nil"/>
              <w:bottom w:val="single" w:sz="4" w:space="0" w:color="auto"/>
              <w:right w:val="single" w:sz="4" w:space="0" w:color="auto"/>
            </w:tcBorders>
            <w:shd w:val="clear" w:color="auto" w:fill="auto"/>
            <w:noWrap/>
            <w:vAlign w:val="center"/>
            <w:hideMark/>
          </w:tcPr>
          <w:p w:rsidR="00AC40FC" w:rsidRPr="003858C9" w:rsidRDefault="00AC40FC" w:rsidP="00701DCF">
            <w:pPr>
              <w:spacing w:after="0"/>
              <w:jc w:val="right"/>
              <w:rPr>
                <w:rFonts w:cs="Arial"/>
                <w:color w:val="000000"/>
                <w:sz w:val="16"/>
                <w:szCs w:val="16"/>
              </w:rPr>
            </w:pPr>
            <w:r>
              <w:rPr>
                <w:rFonts w:cs="Arial"/>
                <w:color w:val="000000"/>
                <w:sz w:val="16"/>
                <w:szCs w:val="16"/>
              </w:rPr>
              <w:t>$</w:t>
            </w:r>
            <w:r w:rsidRPr="003858C9">
              <w:rPr>
                <w:rFonts w:cs="Arial"/>
                <w:color w:val="000000"/>
                <w:sz w:val="16"/>
                <w:szCs w:val="16"/>
              </w:rPr>
              <w:t xml:space="preserve">1,460,060,399 </w:t>
            </w:r>
          </w:p>
        </w:tc>
        <w:tc>
          <w:tcPr>
            <w:tcW w:w="1371" w:type="dxa"/>
            <w:tcBorders>
              <w:top w:val="nil"/>
              <w:left w:val="nil"/>
              <w:bottom w:val="single" w:sz="4" w:space="0" w:color="auto"/>
              <w:right w:val="single" w:sz="4" w:space="0" w:color="auto"/>
            </w:tcBorders>
            <w:shd w:val="clear" w:color="auto" w:fill="auto"/>
            <w:noWrap/>
            <w:vAlign w:val="center"/>
            <w:hideMark/>
          </w:tcPr>
          <w:p w:rsidR="00AC40FC" w:rsidRPr="003858C9" w:rsidRDefault="00AC40FC" w:rsidP="00701DCF">
            <w:pPr>
              <w:spacing w:after="0"/>
              <w:jc w:val="right"/>
              <w:rPr>
                <w:rFonts w:cs="Arial"/>
                <w:color w:val="000000"/>
                <w:sz w:val="16"/>
                <w:szCs w:val="16"/>
              </w:rPr>
            </w:pPr>
            <w:r>
              <w:rPr>
                <w:rFonts w:cs="Arial"/>
                <w:color w:val="000000"/>
                <w:sz w:val="16"/>
                <w:szCs w:val="16"/>
              </w:rPr>
              <w:t>$</w:t>
            </w:r>
            <w:r w:rsidRPr="003858C9">
              <w:rPr>
                <w:rFonts w:cs="Arial"/>
                <w:color w:val="000000"/>
                <w:sz w:val="16"/>
                <w:szCs w:val="16"/>
              </w:rPr>
              <w:t xml:space="preserve">1,404,095,828 </w:t>
            </w:r>
          </w:p>
        </w:tc>
        <w:tc>
          <w:tcPr>
            <w:tcW w:w="1370" w:type="dxa"/>
            <w:tcBorders>
              <w:top w:val="nil"/>
              <w:left w:val="nil"/>
              <w:bottom w:val="single" w:sz="4" w:space="0" w:color="auto"/>
              <w:right w:val="single" w:sz="4" w:space="0" w:color="auto"/>
            </w:tcBorders>
            <w:shd w:val="clear" w:color="auto" w:fill="auto"/>
            <w:noWrap/>
            <w:vAlign w:val="center"/>
            <w:hideMark/>
          </w:tcPr>
          <w:p w:rsidR="00AC40FC" w:rsidRPr="003858C9" w:rsidRDefault="00AC40FC" w:rsidP="00701DCF">
            <w:pPr>
              <w:spacing w:after="0"/>
              <w:jc w:val="right"/>
              <w:rPr>
                <w:rFonts w:cs="Arial"/>
                <w:color w:val="000000"/>
                <w:sz w:val="16"/>
                <w:szCs w:val="16"/>
              </w:rPr>
            </w:pPr>
            <w:r>
              <w:rPr>
                <w:rFonts w:cs="Arial"/>
                <w:color w:val="000000"/>
                <w:sz w:val="16"/>
                <w:szCs w:val="16"/>
              </w:rPr>
              <w:t>$</w:t>
            </w:r>
            <w:r w:rsidRPr="003858C9">
              <w:rPr>
                <w:rFonts w:cs="Arial"/>
                <w:color w:val="000000"/>
                <w:sz w:val="16"/>
                <w:szCs w:val="16"/>
              </w:rPr>
              <w:t xml:space="preserve">1,225,242,766 </w:t>
            </w:r>
          </w:p>
        </w:tc>
        <w:tc>
          <w:tcPr>
            <w:tcW w:w="1371" w:type="dxa"/>
            <w:tcBorders>
              <w:top w:val="nil"/>
              <w:left w:val="nil"/>
              <w:bottom w:val="single" w:sz="4" w:space="0" w:color="auto"/>
              <w:right w:val="single" w:sz="4" w:space="0" w:color="auto"/>
            </w:tcBorders>
            <w:shd w:val="clear" w:color="auto" w:fill="auto"/>
            <w:noWrap/>
            <w:vAlign w:val="center"/>
            <w:hideMark/>
          </w:tcPr>
          <w:p w:rsidR="00AC40FC" w:rsidRPr="003858C9" w:rsidRDefault="00AC40FC" w:rsidP="00701DCF">
            <w:pPr>
              <w:spacing w:after="0"/>
              <w:jc w:val="right"/>
              <w:rPr>
                <w:rFonts w:cs="Arial"/>
                <w:color w:val="000000"/>
                <w:sz w:val="16"/>
                <w:szCs w:val="16"/>
              </w:rPr>
            </w:pPr>
            <w:r>
              <w:rPr>
                <w:rFonts w:cs="Arial"/>
                <w:color w:val="000000"/>
                <w:sz w:val="16"/>
                <w:szCs w:val="16"/>
              </w:rPr>
              <w:t>$</w:t>
            </w:r>
            <w:r w:rsidRPr="003858C9">
              <w:rPr>
                <w:rFonts w:cs="Arial"/>
                <w:color w:val="000000"/>
                <w:sz w:val="16"/>
                <w:szCs w:val="16"/>
              </w:rPr>
              <w:t xml:space="preserve">1,243,219,844 </w:t>
            </w:r>
          </w:p>
        </w:tc>
        <w:tc>
          <w:tcPr>
            <w:tcW w:w="1370" w:type="dxa"/>
            <w:tcBorders>
              <w:top w:val="nil"/>
              <w:left w:val="nil"/>
              <w:bottom w:val="single" w:sz="4" w:space="0" w:color="auto"/>
              <w:right w:val="single" w:sz="4" w:space="0" w:color="auto"/>
            </w:tcBorders>
            <w:shd w:val="clear" w:color="auto" w:fill="auto"/>
            <w:noWrap/>
            <w:vAlign w:val="center"/>
            <w:hideMark/>
          </w:tcPr>
          <w:p w:rsidR="00AC40FC" w:rsidRPr="003858C9" w:rsidRDefault="00AC40FC" w:rsidP="00701DCF">
            <w:pPr>
              <w:spacing w:after="0"/>
              <w:jc w:val="right"/>
              <w:rPr>
                <w:rFonts w:cs="Arial"/>
                <w:color w:val="000000"/>
                <w:sz w:val="16"/>
                <w:szCs w:val="16"/>
              </w:rPr>
            </w:pPr>
            <w:r>
              <w:rPr>
                <w:rFonts w:cs="Arial"/>
                <w:color w:val="000000"/>
                <w:sz w:val="16"/>
                <w:szCs w:val="16"/>
              </w:rPr>
              <w:t>$</w:t>
            </w:r>
            <w:r w:rsidRPr="003858C9">
              <w:rPr>
                <w:rFonts w:cs="Arial"/>
                <w:color w:val="000000"/>
                <w:sz w:val="16"/>
                <w:szCs w:val="16"/>
              </w:rPr>
              <w:t xml:space="preserve">1,284,757,725 </w:t>
            </w:r>
          </w:p>
        </w:tc>
        <w:tc>
          <w:tcPr>
            <w:tcW w:w="1371" w:type="dxa"/>
            <w:tcBorders>
              <w:top w:val="nil"/>
              <w:left w:val="nil"/>
              <w:bottom w:val="single" w:sz="4" w:space="0" w:color="auto"/>
              <w:right w:val="single" w:sz="4" w:space="0" w:color="auto"/>
            </w:tcBorders>
            <w:shd w:val="clear" w:color="auto" w:fill="auto"/>
            <w:noWrap/>
            <w:vAlign w:val="center"/>
            <w:hideMark/>
          </w:tcPr>
          <w:p w:rsidR="00AC40FC" w:rsidRPr="003858C9" w:rsidRDefault="00AC40FC" w:rsidP="00701DCF">
            <w:pPr>
              <w:spacing w:after="0"/>
              <w:jc w:val="right"/>
              <w:rPr>
                <w:rFonts w:cs="Arial"/>
                <w:color w:val="000000"/>
                <w:sz w:val="16"/>
                <w:szCs w:val="16"/>
              </w:rPr>
            </w:pPr>
            <w:r>
              <w:rPr>
                <w:rFonts w:cs="Arial"/>
                <w:color w:val="000000"/>
                <w:sz w:val="16"/>
                <w:szCs w:val="16"/>
              </w:rPr>
              <w:t>$</w:t>
            </w:r>
            <w:r w:rsidRPr="003858C9">
              <w:rPr>
                <w:rFonts w:cs="Arial"/>
                <w:color w:val="000000"/>
                <w:sz w:val="16"/>
                <w:szCs w:val="16"/>
              </w:rPr>
              <w:t xml:space="preserve">1,207,887,103 </w:t>
            </w:r>
          </w:p>
        </w:tc>
      </w:tr>
      <w:tr w:rsidR="00AC40FC" w:rsidRPr="003858C9" w:rsidTr="00BB665B">
        <w:trPr>
          <w:trHeight w:val="152"/>
          <w:jc w:val="center"/>
        </w:trPr>
        <w:tc>
          <w:tcPr>
            <w:tcW w:w="1024" w:type="dxa"/>
            <w:tcBorders>
              <w:top w:val="nil"/>
              <w:left w:val="single" w:sz="4" w:space="0" w:color="auto"/>
              <w:bottom w:val="single" w:sz="4" w:space="0" w:color="auto"/>
              <w:right w:val="single" w:sz="4" w:space="0" w:color="auto"/>
            </w:tcBorders>
            <w:shd w:val="clear" w:color="000000" w:fill="FFFFFF"/>
            <w:noWrap/>
            <w:vAlign w:val="center"/>
            <w:hideMark/>
          </w:tcPr>
          <w:p w:rsidR="00AC40FC" w:rsidRPr="003858C9" w:rsidRDefault="00AC40FC" w:rsidP="00701DCF">
            <w:pPr>
              <w:spacing w:after="0"/>
              <w:rPr>
                <w:rFonts w:cs="Arial"/>
                <w:sz w:val="16"/>
                <w:szCs w:val="16"/>
              </w:rPr>
            </w:pPr>
            <w:r w:rsidRPr="003858C9">
              <w:rPr>
                <w:rFonts w:cs="Arial"/>
                <w:sz w:val="16"/>
                <w:szCs w:val="16"/>
              </w:rPr>
              <w:t>PO Box</w:t>
            </w:r>
          </w:p>
        </w:tc>
        <w:tc>
          <w:tcPr>
            <w:tcW w:w="1370" w:type="dxa"/>
            <w:tcBorders>
              <w:top w:val="nil"/>
              <w:left w:val="nil"/>
              <w:bottom w:val="single" w:sz="4" w:space="0" w:color="auto"/>
              <w:right w:val="single" w:sz="4" w:space="0" w:color="auto"/>
            </w:tcBorders>
            <w:shd w:val="clear" w:color="auto" w:fill="auto"/>
            <w:noWrap/>
            <w:vAlign w:val="center"/>
            <w:hideMark/>
          </w:tcPr>
          <w:p w:rsidR="00AC40FC" w:rsidRPr="003858C9" w:rsidRDefault="00AC40FC" w:rsidP="00701DCF">
            <w:pPr>
              <w:spacing w:after="0"/>
              <w:jc w:val="right"/>
              <w:rPr>
                <w:rFonts w:cs="Arial"/>
                <w:color w:val="000000"/>
                <w:sz w:val="16"/>
                <w:szCs w:val="16"/>
              </w:rPr>
            </w:pPr>
            <w:r>
              <w:rPr>
                <w:rFonts w:cs="Arial"/>
                <w:color w:val="000000"/>
                <w:sz w:val="16"/>
                <w:szCs w:val="16"/>
              </w:rPr>
              <w:t>$</w:t>
            </w:r>
            <w:r w:rsidRPr="003858C9">
              <w:rPr>
                <w:rFonts w:cs="Arial"/>
                <w:color w:val="000000"/>
                <w:sz w:val="16"/>
                <w:szCs w:val="16"/>
              </w:rPr>
              <w:t xml:space="preserve">417,621,334 </w:t>
            </w:r>
          </w:p>
        </w:tc>
        <w:tc>
          <w:tcPr>
            <w:tcW w:w="1371" w:type="dxa"/>
            <w:tcBorders>
              <w:top w:val="nil"/>
              <w:left w:val="nil"/>
              <w:bottom w:val="single" w:sz="4" w:space="0" w:color="auto"/>
              <w:right w:val="single" w:sz="4" w:space="0" w:color="auto"/>
            </w:tcBorders>
            <w:shd w:val="clear" w:color="auto" w:fill="auto"/>
            <w:noWrap/>
            <w:vAlign w:val="center"/>
            <w:hideMark/>
          </w:tcPr>
          <w:p w:rsidR="00AC40FC" w:rsidRPr="003858C9" w:rsidRDefault="00AC40FC" w:rsidP="00701DCF">
            <w:pPr>
              <w:spacing w:after="0"/>
              <w:jc w:val="right"/>
              <w:rPr>
                <w:rFonts w:cs="Arial"/>
                <w:color w:val="000000"/>
                <w:sz w:val="16"/>
                <w:szCs w:val="16"/>
              </w:rPr>
            </w:pPr>
            <w:r>
              <w:rPr>
                <w:rFonts w:cs="Arial"/>
                <w:color w:val="000000"/>
                <w:sz w:val="16"/>
                <w:szCs w:val="16"/>
              </w:rPr>
              <w:t>$</w:t>
            </w:r>
            <w:r w:rsidRPr="003858C9">
              <w:rPr>
                <w:rFonts w:cs="Arial"/>
                <w:color w:val="000000"/>
                <w:sz w:val="16"/>
                <w:szCs w:val="16"/>
              </w:rPr>
              <w:t xml:space="preserve">339,258,558 </w:t>
            </w:r>
          </w:p>
        </w:tc>
        <w:tc>
          <w:tcPr>
            <w:tcW w:w="1370" w:type="dxa"/>
            <w:tcBorders>
              <w:top w:val="nil"/>
              <w:left w:val="nil"/>
              <w:bottom w:val="single" w:sz="4" w:space="0" w:color="auto"/>
              <w:right w:val="single" w:sz="4" w:space="0" w:color="auto"/>
            </w:tcBorders>
            <w:shd w:val="clear" w:color="auto" w:fill="auto"/>
            <w:noWrap/>
            <w:vAlign w:val="center"/>
            <w:hideMark/>
          </w:tcPr>
          <w:p w:rsidR="00AC40FC" w:rsidRPr="003858C9" w:rsidRDefault="00AC40FC" w:rsidP="00701DCF">
            <w:pPr>
              <w:spacing w:after="0"/>
              <w:jc w:val="right"/>
              <w:rPr>
                <w:rFonts w:cs="Arial"/>
                <w:color w:val="000000"/>
                <w:sz w:val="16"/>
                <w:szCs w:val="16"/>
              </w:rPr>
            </w:pPr>
            <w:r>
              <w:rPr>
                <w:rFonts w:cs="Arial"/>
                <w:color w:val="000000"/>
                <w:sz w:val="16"/>
                <w:szCs w:val="16"/>
              </w:rPr>
              <w:t>$</w:t>
            </w:r>
            <w:r w:rsidRPr="003858C9">
              <w:rPr>
                <w:rFonts w:cs="Arial"/>
                <w:color w:val="000000"/>
                <w:sz w:val="16"/>
                <w:szCs w:val="16"/>
              </w:rPr>
              <w:t xml:space="preserve">320,709,103 </w:t>
            </w:r>
          </w:p>
        </w:tc>
        <w:tc>
          <w:tcPr>
            <w:tcW w:w="1371" w:type="dxa"/>
            <w:tcBorders>
              <w:top w:val="nil"/>
              <w:left w:val="nil"/>
              <w:bottom w:val="single" w:sz="4" w:space="0" w:color="auto"/>
              <w:right w:val="single" w:sz="4" w:space="0" w:color="auto"/>
            </w:tcBorders>
            <w:shd w:val="clear" w:color="auto" w:fill="auto"/>
            <w:noWrap/>
            <w:vAlign w:val="center"/>
            <w:hideMark/>
          </w:tcPr>
          <w:p w:rsidR="00AC40FC" w:rsidRPr="003858C9" w:rsidRDefault="00AC40FC" w:rsidP="00701DCF">
            <w:pPr>
              <w:spacing w:after="0"/>
              <w:jc w:val="right"/>
              <w:rPr>
                <w:rFonts w:cs="Arial"/>
                <w:color w:val="000000"/>
                <w:sz w:val="16"/>
                <w:szCs w:val="16"/>
              </w:rPr>
            </w:pPr>
            <w:r>
              <w:rPr>
                <w:rFonts w:cs="Arial"/>
                <w:color w:val="000000"/>
                <w:sz w:val="16"/>
                <w:szCs w:val="16"/>
              </w:rPr>
              <w:t>$</w:t>
            </w:r>
            <w:r w:rsidRPr="003858C9">
              <w:rPr>
                <w:rFonts w:cs="Arial"/>
                <w:color w:val="000000"/>
                <w:sz w:val="16"/>
                <w:szCs w:val="16"/>
              </w:rPr>
              <w:t xml:space="preserve">331,384,364 </w:t>
            </w:r>
          </w:p>
        </w:tc>
        <w:tc>
          <w:tcPr>
            <w:tcW w:w="1370" w:type="dxa"/>
            <w:tcBorders>
              <w:top w:val="nil"/>
              <w:left w:val="nil"/>
              <w:bottom w:val="single" w:sz="4" w:space="0" w:color="auto"/>
              <w:right w:val="single" w:sz="4" w:space="0" w:color="auto"/>
            </w:tcBorders>
            <w:shd w:val="clear" w:color="auto" w:fill="auto"/>
            <w:noWrap/>
            <w:vAlign w:val="center"/>
            <w:hideMark/>
          </w:tcPr>
          <w:p w:rsidR="00AC40FC" w:rsidRPr="003858C9" w:rsidRDefault="00AC40FC" w:rsidP="00701DCF">
            <w:pPr>
              <w:spacing w:after="0"/>
              <w:jc w:val="right"/>
              <w:rPr>
                <w:rFonts w:cs="Arial"/>
                <w:color w:val="000000"/>
                <w:sz w:val="16"/>
                <w:szCs w:val="16"/>
              </w:rPr>
            </w:pPr>
            <w:r>
              <w:rPr>
                <w:rFonts w:cs="Arial"/>
                <w:color w:val="000000"/>
                <w:sz w:val="16"/>
                <w:szCs w:val="16"/>
              </w:rPr>
              <w:t>$</w:t>
            </w:r>
            <w:r w:rsidRPr="003858C9">
              <w:rPr>
                <w:rFonts w:cs="Arial"/>
                <w:color w:val="000000"/>
                <w:sz w:val="16"/>
                <w:szCs w:val="16"/>
              </w:rPr>
              <w:t xml:space="preserve">354,105,387 </w:t>
            </w:r>
          </w:p>
        </w:tc>
        <w:tc>
          <w:tcPr>
            <w:tcW w:w="1371" w:type="dxa"/>
            <w:tcBorders>
              <w:top w:val="nil"/>
              <w:left w:val="nil"/>
              <w:bottom w:val="single" w:sz="4" w:space="0" w:color="auto"/>
              <w:right w:val="single" w:sz="4" w:space="0" w:color="auto"/>
            </w:tcBorders>
            <w:shd w:val="clear" w:color="auto" w:fill="auto"/>
            <w:noWrap/>
            <w:vAlign w:val="center"/>
            <w:hideMark/>
          </w:tcPr>
          <w:p w:rsidR="00AC40FC" w:rsidRPr="003858C9" w:rsidRDefault="00AC40FC" w:rsidP="00701DCF">
            <w:pPr>
              <w:spacing w:after="0"/>
              <w:jc w:val="right"/>
              <w:rPr>
                <w:rFonts w:cs="Arial"/>
                <w:color w:val="000000"/>
                <w:sz w:val="16"/>
                <w:szCs w:val="16"/>
              </w:rPr>
            </w:pPr>
            <w:r>
              <w:rPr>
                <w:rFonts w:cs="Arial"/>
                <w:color w:val="000000"/>
                <w:sz w:val="16"/>
                <w:szCs w:val="16"/>
              </w:rPr>
              <w:t>$</w:t>
            </w:r>
            <w:r w:rsidRPr="003858C9">
              <w:rPr>
                <w:rFonts w:cs="Arial"/>
                <w:color w:val="000000"/>
                <w:sz w:val="16"/>
                <w:szCs w:val="16"/>
              </w:rPr>
              <w:t xml:space="preserve">336,802,691 </w:t>
            </w:r>
          </w:p>
        </w:tc>
      </w:tr>
      <w:tr w:rsidR="00AC40FC" w:rsidRPr="003858C9" w:rsidTr="00BB665B">
        <w:trPr>
          <w:trHeight w:val="188"/>
          <w:jc w:val="center"/>
        </w:trPr>
        <w:tc>
          <w:tcPr>
            <w:tcW w:w="1024" w:type="dxa"/>
            <w:tcBorders>
              <w:top w:val="nil"/>
              <w:left w:val="single" w:sz="4" w:space="0" w:color="auto"/>
              <w:bottom w:val="single" w:sz="4" w:space="0" w:color="auto"/>
              <w:right w:val="single" w:sz="4" w:space="0" w:color="auto"/>
            </w:tcBorders>
            <w:shd w:val="clear" w:color="000000" w:fill="FFFFFF"/>
            <w:noWrap/>
            <w:vAlign w:val="center"/>
            <w:hideMark/>
          </w:tcPr>
          <w:p w:rsidR="00AC40FC" w:rsidRPr="003858C9" w:rsidRDefault="00AC40FC" w:rsidP="00701DCF">
            <w:pPr>
              <w:spacing w:after="0"/>
              <w:rPr>
                <w:rFonts w:cs="Arial"/>
                <w:sz w:val="16"/>
                <w:szCs w:val="16"/>
              </w:rPr>
            </w:pPr>
            <w:r w:rsidRPr="003858C9">
              <w:rPr>
                <w:rFonts w:cs="Arial"/>
                <w:sz w:val="16"/>
                <w:szCs w:val="16"/>
              </w:rPr>
              <w:t>Web</w:t>
            </w:r>
          </w:p>
        </w:tc>
        <w:tc>
          <w:tcPr>
            <w:tcW w:w="1370" w:type="dxa"/>
            <w:tcBorders>
              <w:top w:val="nil"/>
              <w:left w:val="nil"/>
              <w:bottom w:val="single" w:sz="4" w:space="0" w:color="auto"/>
              <w:right w:val="single" w:sz="4" w:space="0" w:color="auto"/>
            </w:tcBorders>
            <w:shd w:val="clear" w:color="auto" w:fill="auto"/>
            <w:noWrap/>
            <w:vAlign w:val="center"/>
            <w:hideMark/>
          </w:tcPr>
          <w:p w:rsidR="00AC40FC" w:rsidRPr="003858C9" w:rsidRDefault="00AC40FC" w:rsidP="00701DCF">
            <w:pPr>
              <w:spacing w:after="0"/>
              <w:jc w:val="right"/>
              <w:rPr>
                <w:rFonts w:cs="Arial"/>
                <w:color w:val="000000"/>
                <w:sz w:val="16"/>
                <w:szCs w:val="16"/>
              </w:rPr>
            </w:pPr>
            <w:r>
              <w:rPr>
                <w:rFonts w:cs="Arial"/>
                <w:color w:val="000000"/>
                <w:sz w:val="16"/>
                <w:szCs w:val="16"/>
              </w:rPr>
              <w:t>$</w:t>
            </w:r>
            <w:r w:rsidRPr="003858C9">
              <w:rPr>
                <w:rFonts w:cs="Arial"/>
                <w:color w:val="000000"/>
                <w:sz w:val="16"/>
                <w:szCs w:val="16"/>
              </w:rPr>
              <w:t xml:space="preserve">239,302,511 </w:t>
            </w:r>
          </w:p>
        </w:tc>
        <w:tc>
          <w:tcPr>
            <w:tcW w:w="1371" w:type="dxa"/>
            <w:tcBorders>
              <w:top w:val="nil"/>
              <w:left w:val="nil"/>
              <w:bottom w:val="single" w:sz="4" w:space="0" w:color="auto"/>
              <w:right w:val="single" w:sz="4" w:space="0" w:color="auto"/>
            </w:tcBorders>
            <w:shd w:val="clear" w:color="auto" w:fill="auto"/>
            <w:noWrap/>
            <w:vAlign w:val="center"/>
            <w:hideMark/>
          </w:tcPr>
          <w:p w:rsidR="00AC40FC" w:rsidRPr="003858C9" w:rsidRDefault="00AC40FC" w:rsidP="00701DCF">
            <w:pPr>
              <w:spacing w:after="0"/>
              <w:jc w:val="right"/>
              <w:rPr>
                <w:rFonts w:cs="Arial"/>
                <w:color w:val="000000"/>
                <w:sz w:val="16"/>
                <w:szCs w:val="16"/>
              </w:rPr>
            </w:pPr>
            <w:r>
              <w:rPr>
                <w:rFonts w:cs="Arial"/>
                <w:color w:val="000000"/>
                <w:sz w:val="16"/>
                <w:szCs w:val="16"/>
              </w:rPr>
              <w:t>$</w:t>
            </w:r>
            <w:r w:rsidRPr="003858C9">
              <w:rPr>
                <w:rFonts w:cs="Arial"/>
                <w:color w:val="000000"/>
                <w:sz w:val="16"/>
                <w:szCs w:val="16"/>
              </w:rPr>
              <w:t xml:space="preserve">295,532,182 </w:t>
            </w:r>
          </w:p>
        </w:tc>
        <w:tc>
          <w:tcPr>
            <w:tcW w:w="1370" w:type="dxa"/>
            <w:tcBorders>
              <w:top w:val="nil"/>
              <w:left w:val="nil"/>
              <w:bottom w:val="single" w:sz="4" w:space="0" w:color="auto"/>
              <w:right w:val="single" w:sz="4" w:space="0" w:color="auto"/>
            </w:tcBorders>
            <w:shd w:val="clear" w:color="auto" w:fill="auto"/>
            <w:noWrap/>
            <w:vAlign w:val="center"/>
            <w:hideMark/>
          </w:tcPr>
          <w:p w:rsidR="00AC40FC" w:rsidRPr="003858C9" w:rsidRDefault="00AC40FC" w:rsidP="00701DCF">
            <w:pPr>
              <w:spacing w:after="0"/>
              <w:jc w:val="right"/>
              <w:rPr>
                <w:rFonts w:cs="Arial"/>
                <w:color w:val="000000"/>
                <w:sz w:val="16"/>
                <w:szCs w:val="16"/>
              </w:rPr>
            </w:pPr>
            <w:r>
              <w:rPr>
                <w:rFonts w:cs="Arial"/>
                <w:color w:val="000000"/>
                <w:sz w:val="16"/>
                <w:szCs w:val="16"/>
              </w:rPr>
              <w:t>$</w:t>
            </w:r>
            <w:r w:rsidRPr="003858C9">
              <w:rPr>
                <w:rFonts w:cs="Arial"/>
                <w:color w:val="000000"/>
                <w:sz w:val="16"/>
                <w:szCs w:val="16"/>
              </w:rPr>
              <w:t xml:space="preserve">305,352,031 </w:t>
            </w:r>
          </w:p>
        </w:tc>
        <w:tc>
          <w:tcPr>
            <w:tcW w:w="1371" w:type="dxa"/>
            <w:tcBorders>
              <w:top w:val="nil"/>
              <w:left w:val="nil"/>
              <w:bottom w:val="single" w:sz="4" w:space="0" w:color="auto"/>
              <w:right w:val="single" w:sz="4" w:space="0" w:color="auto"/>
            </w:tcBorders>
            <w:shd w:val="clear" w:color="auto" w:fill="auto"/>
            <w:noWrap/>
            <w:vAlign w:val="center"/>
            <w:hideMark/>
          </w:tcPr>
          <w:p w:rsidR="00AC40FC" w:rsidRPr="003858C9" w:rsidRDefault="00AC40FC" w:rsidP="00701DCF">
            <w:pPr>
              <w:spacing w:after="0"/>
              <w:jc w:val="right"/>
              <w:rPr>
                <w:rFonts w:cs="Arial"/>
                <w:color w:val="000000"/>
                <w:sz w:val="16"/>
                <w:szCs w:val="16"/>
              </w:rPr>
            </w:pPr>
            <w:r>
              <w:rPr>
                <w:rFonts w:cs="Arial"/>
                <w:color w:val="000000"/>
                <w:sz w:val="16"/>
                <w:szCs w:val="16"/>
              </w:rPr>
              <w:t>$</w:t>
            </w:r>
            <w:r w:rsidRPr="003858C9">
              <w:rPr>
                <w:rFonts w:cs="Arial"/>
                <w:color w:val="000000"/>
                <w:sz w:val="16"/>
                <w:szCs w:val="16"/>
              </w:rPr>
              <w:t xml:space="preserve">349,484,083 </w:t>
            </w:r>
          </w:p>
        </w:tc>
        <w:tc>
          <w:tcPr>
            <w:tcW w:w="1370" w:type="dxa"/>
            <w:tcBorders>
              <w:top w:val="nil"/>
              <w:left w:val="nil"/>
              <w:bottom w:val="single" w:sz="4" w:space="0" w:color="auto"/>
              <w:right w:val="single" w:sz="4" w:space="0" w:color="auto"/>
            </w:tcBorders>
            <w:shd w:val="clear" w:color="auto" w:fill="auto"/>
            <w:noWrap/>
            <w:vAlign w:val="center"/>
            <w:hideMark/>
          </w:tcPr>
          <w:p w:rsidR="00AC40FC" w:rsidRPr="003858C9" w:rsidRDefault="00AC40FC" w:rsidP="00701DCF">
            <w:pPr>
              <w:spacing w:after="0"/>
              <w:jc w:val="right"/>
              <w:rPr>
                <w:rFonts w:cs="Arial"/>
                <w:color w:val="000000"/>
                <w:sz w:val="16"/>
                <w:szCs w:val="16"/>
              </w:rPr>
            </w:pPr>
            <w:r>
              <w:rPr>
                <w:rFonts w:cs="Arial"/>
                <w:color w:val="000000"/>
                <w:sz w:val="16"/>
                <w:szCs w:val="16"/>
              </w:rPr>
              <w:t>$</w:t>
            </w:r>
            <w:r w:rsidRPr="003858C9">
              <w:rPr>
                <w:rFonts w:cs="Arial"/>
                <w:color w:val="000000"/>
                <w:sz w:val="16"/>
                <w:szCs w:val="16"/>
              </w:rPr>
              <w:t xml:space="preserve">423,112,638 </w:t>
            </w:r>
          </w:p>
        </w:tc>
        <w:tc>
          <w:tcPr>
            <w:tcW w:w="1371" w:type="dxa"/>
            <w:tcBorders>
              <w:top w:val="nil"/>
              <w:left w:val="nil"/>
              <w:bottom w:val="single" w:sz="4" w:space="0" w:color="auto"/>
              <w:right w:val="single" w:sz="4" w:space="0" w:color="auto"/>
            </w:tcBorders>
            <w:shd w:val="clear" w:color="auto" w:fill="auto"/>
            <w:noWrap/>
            <w:vAlign w:val="center"/>
            <w:hideMark/>
          </w:tcPr>
          <w:p w:rsidR="00AC40FC" w:rsidRPr="003858C9" w:rsidRDefault="00AC40FC" w:rsidP="00701DCF">
            <w:pPr>
              <w:spacing w:after="0"/>
              <w:jc w:val="right"/>
              <w:rPr>
                <w:rFonts w:cs="Arial"/>
                <w:color w:val="000000"/>
                <w:sz w:val="16"/>
                <w:szCs w:val="16"/>
              </w:rPr>
            </w:pPr>
            <w:r>
              <w:rPr>
                <w:rFonts w:cs="Arial"/>
                <w:color w:val="000000"/>
                <w:sz w:val="16"/>
                <w:szCs w:val="16"/>
              </w:rPr>
              <w:t>$</w:t>
            </w:r>
            <w:r w:rsidRPr="003858C9">
              <w:rPr>
                <w:rFonts w:cs="Arial"/>
                <w:color w:val="000000"/>
                <w:sz w:val="16"/>
                <w:szCs w:val="16"/>
              </w:rPr>
              <w:t xml:space="preserve">487,663,556 </w:t>
            </w:r>
          </w:p>
        </w:tc>
      </w:tr>
      <w:tr w:rsidR="00AC40FC" w:rsidRPr="003858C9" w:rsidTr="00BB665B">
        <w:trPr>
          <w:trHeight w:val="215"/>
          <w:jc w:val="center"/>
        </w:trPr>
        <w:tc>
          <w:tcPr>
            <w:tcW w:w="1024" w:type="dxa"/>
            <w:tcBorders>
              <w:top w:val="nil"/>
              <w:left w:val="single" w:sz="4" w:space="0" w:color="auto"/>
              <w:bottom w:val="single" w:sz="4" w:space="0" w:color="auto"/>
              <w:right w:val="single" w:sz="4" w:space="0" w:color="auto"/>
            </w:tcBorders>
            <w:shd w:val="clear" w:color="000000" w:fill="FFFFFF"/>
            <w:noWrap/>
            <w:vAlign w:val="center"/>
            <w:hideMark/>
          </w:tcPr>
          <w:p w:rsidR="00AC40FC" w:rsidRPr="003858C9" w:rsidRDefault="00AC40FC" w:rsidP="00701DCF">
            <w:pPr>
              <w:spacing w:after="0"/>
              <w:rPr>
                <w:rFonts w:cs="Arial"/>
                <w:sz w:val="16"/>
                <w:szCs w:val="16"/>
              </w:rPr>
            </w:pPr>
            <w:r w:rsidRPr="003858C9">
              <w:rPr>
                <w:rFonts w:cs="Arial"/>
                <w:sz w:val="16"/>
                <w:szCs w:val="16"/>
              </w:rPr>
              <w:t>Other</w:t>
            </w:r>
          </w:p>
        </w:tc>
        <w:tc>
          <w:tcPr>
            <w:tcW w:w="1370" w:type="dxa"/>
            <w:tcBorders>
              <w:top w:val="nil"/>
              <w:left w:val="nil"/>
              <w:bottom w:val="single" w:sz="4" w:space="0" w:color="auto"/>
              <w:right w:val="single" w:sz="4" w:space="0" w:color="auto"/>
            </w:tcBorders>
            <w:shd w:val="clear" w:color="auto" w:fill="auto"/>
            <w:noWrap/>
            <w:vAlign w:val="center"/>
            <w:hideMark/>
          </w:tcPr>
          <w:p w:rsidR="00AC40FC" w:rsidRPr="003858C9" w:rsidRDefault="00AC40FC" w:rsidP="00701DCF">
            <w:pPr>
              <w:spacing w:after="0"/>
              <w:jc w:val="right"/>
              <w:rPr>
                <w:rFonts w:cs="Arial"/>
                <w:color w:val="000000"/>
                <w:sz w:val="16"/>
                <w:szCs w:val="16"/>
              </w:rPr>
            </w:pPr>
            <w:r>
              <w:rPr>
                <w:rFonts w:cs="Arial"/>
                <w:color w:val="000000"/>
                <w:sz w:val="16"/>
                <w:szCs w:val="16"/>
              </w:rPr>
              <w:t>$</w:t>
            </w:r>
            <w:r w:rsidRPr="003858C9">
              <w:rPr>
                <w:rFonts w:cs="Arial"/>
                <w:color w:val="000000"/>
                <w:sz w:val="16"/>
                <w:szCs w:val="16"/>
              </w:rPr>
              <w:t xml:space="preserve">227,998,558 </w:t>
            </w:r>
          </w:p>
        </w:tc>
        <w:tc>
          <w:tcPr>
            <w:tcW w:w="1371" w:type="dxa"/>
            <w:tcBorders>
              <w:top w:val="nil"/>
              <w:left w:val="nil"/>
              <w:bottom w:val="single" w:sz="4" w:space="0" w:color="auto"/>
              <w:right w:val="single" w:sz="4" w:space="0" w:color="auto"/>
            </w:tcBorders>
            <w:shd w:val="clear" w:color="auto" w:fill="auto"/>
            <w:noWrap/>
            <w:vAlign w:val="center"/>
            <w:hideMark/>
          </w:tcPr>
          <w:p w:rsidR="00AC40FC" w:rsidRPr="003858C9" w:rsidRDefault="00AC40FC" w:rsidP="00701DCF">
            <w:pPr>
              <w:spacing w:after="0"/>
              <w:jc w:val="right"/>
              <w:rPr>
                <w:rFonts w:cs="Arial"/>
                <w:color w:val="000000"/>
                <w:sz w:val="16"/>
                <w:szCs w:val="16"/>
              </w:rPr>
            </w:pPr>
            <w:r>
              <w:rPr>
                <w:rFonts w:cs="Arial"/>
                <w:color w:val="000000"/>
                <w:sz w:val="16"/>
                <w:szCs w:val="16"/>
              </w:rPr>
              <w:t>$</w:t>
            </w:r>
            <w:r w:rsidRPr="003858C9">
              <w:rPr>
                <w:rFonts w:cs="Arial"/>
                <w:color w:val="000000"/>
                <w:sz w:val="16"/>
                <w:szCs w:val="16"/>
              </w:rPr>
              <w:t xml:space="preserve">229,022,292 </w:t>
            </w:r>
          </w:p>
        </w:tc>
        <w:tc>
          <w:tcPr>
            <w:tcW w:w="1370" w:type="dxa"/>
            <w:tcBorders>
              <w:top w:val="nil"/>
              <w:left w:val="nil"/>
              <w:bottom w:val="single" w:sz="4" w:space="0" w:color="auto"/>
              <w:right w:val="single" w:sz="4" w:space="0" w:color="auto"/>
            </w:tcBorders>
            <w:shd w:val="clear" w:color="auto" w:fill="auto"/>
            <w:noWrap/>
            <w:vAlign w:val="center"/>
            <w:hideMark/>
          </w:tcPr>
          <w:p w:rsidR="00AC40FC" w:rsidRPr="003858C9" w:rsidRDefault="00AC40FC" w:rsidP="00701DCF">
            <w:pPr>
              <w:spacing w:after="0"/>
              <w:jc w:val="right"/>
              <w:rPr>
                <w:rFonts w:cs="Arial"/>
                <w:color w:val="000000"/>
                <w:sz w:val="16"/>
                <w:szCs w:val="16"/>
              </w:rPr>
            </w:pPr>
            <w:r>
              <w:rPr>
                <w:rFonts w:cs="Arial"/>
                <w:color w:val="000000"/>
                <w:sz w:val="16"/>
                <w:szCs w:val="16"/>
              </w:rPr>
              <w:t>$</w:t>
            </w:r>
            <w:r w:rsidRPr="003858C9">
              <w:rPr>
                <w:rFonts w:cs="Arial"/>
                <w:color w:val="000000"/>
                <w:sz w:val="16"/>
                <w:szCs w:val="16"/>
              </w:rPr>
              <w:t xml:space="preserve">188,309,653 </w:t>
            </w:r>
          </w:p>
        </w:tc>
        <w:tc>
          <w:tcPr>
            <w:tcW w:w="1371" w:type="dxa"/>
            <w:tcBorders>
              <w:top w:val="nil"/>
              <w:left w:val="nil"/>
              <w:bottom w:val="single" w:sz="4" w:space="0" w:color="auto"/>
              <w:right w:val="single" w:sz="4" w:space="0" w:color="auto"/>
            </w:tcBorders>
            <w:shd w:val="clear" w:color="auto" w:fill="auto"/>
            <w:noWrap/>
            <w:vAlign w:val="center"/>
            <w:hideMark/>
          </w:tcPr>
          <w:p w:rsidR="00AC40FC" w:rsidRPr="003858C9" w:rsidRDefault="00AC40FC" w:rsidP="00701DCF">
            <w:pPr>
              <w:spacing w:after="0"/>
              <w:jc w:val="right"/>
              <w:rPr>
                <w:rFonts w:cs="Arial"/>
                <w:color w:val="000000"/>
                <w:sz w:val="16"/>
                <w:szCs w:val="16"/>
              </w:rPr>
            </w:pPr>
            <w:r>
              <w:rPr>
                <w:rFonts w:cs="Arial"/>
                <w:color w:val="000000"/>
                <w:sz w:val="16"/>
                <w:szCs w:val="16"/>
              </w:rPr>
              <w:t>$</w:t>
            </w:r>
            <w:r w:rsidRPr="003858C9">
              <w:rPr>
                <w:rFonts w:cs="Arial"/>
                <w:color w:val="000000"/>
                <w:sz w:val="16"/>
                <w:szCs w:val="16"/>
              </w:rPr>
              <w:t xml:space="preserve">198,322,409 </w:t>
            </w:r>
          </w:p>
        </w:tc>
        <w:tc>
          <w:tcPr>
            <w:tcW w:w="1370" w:type="dxa"/>
            <w:tcBorders>
              <w:top w:val="nil"/>
              <w:left w:val="nil"/>
              <w:bottom w:val="single" w:sz="4" w:space="0" w:color="auto"/>
              <w:right w:val="single" w:sz="4" w:space="0" w:color="auto"/>
            </w:tcBorders>
            <w:shd w:val="clear" w:color="auto" w:fill="auto"/>
            <w:noWrap/>
            <w:vAlign w:val="center"/>
            <w:hideMark/>
          </w:tcPr>
          <w:p w:rsidR="00AC40FC" w:rsidRPr="003858C9" w:rsidRDefault="00AC40FC" w:rsidP="00701DCF">
            <w:pPr>
              <w:spacing w:after="0"/>
              <w:jc w:val="right"/>
              <w:rPr>
                <w:rFonts w:cs="Arial"/>
                <w:color w:val="000000"/>
                <w:sz w:val="16"/>
                <w:szCs w:val="16"/>
              </w:rPr>
            </w:pPr>
            <w:r>
              <w:rPr>
                <w:rFonts w:cs="Arial"/>
                <w:color w:val="000000"/>
                <w:sz w:val="16"/>
                <w:szCs w:val="16"/>
              </w:rPr>
              <w:t>$</w:t>
            </w:r>
            <w:r w:rsidRPr="003858C9">
              <w:rPr>
                <w:rFonts w:cs="Arial"/>
                <w:color w:val="000000"/>
                <w:sz w:val="16"/>
                <w:szCs w:val="16"/>
              </w:rPr>
              <w:t xml:space="preserve">255,886,021 </w:t>
            </w:r>
          </w:p>
        </w:tc>
        <w:tc>
          <w:tcPr>
            <w:tcW w:w="1371" w:type="dxa"/>
            <w:tcBorders>
              <w:top w:val="nil"/>
              <w:left w:val="nil"/>
              <w:bottom w:val="single" w:sz="4" w:space="0" w:color="auto"/>
              <w:right w:val="single" w:sz="4" w:space="0" w:color="auto"/>
            </w:tcBorders>
            <w:shd w:val="clear" w:color="auto" w:fill="auto"/>
            <w:noWrap/>
            <w:vAlign w:val="center"/>
            <w:hideMark/>
          </w:tcPr>
          <w:p w:rsidR="00AC40FC" w:rsidRPr="003858C9" w:rsidRDefault="00AC40FC" w:rsidP="00701DCF">
            <w:pPr>
              <w:spacing w:after="0"/>
              <w:jc w:val="right"/>
              <w:rPr>
                <w:rFonts w:cs="Arial"/>
                <w:color w:val="000000"/>
                <w:sz w:val="16"/>
                <w:szCs w:val="16"/>
              </w:rPr>
            </w:pPr>
            <w:r>
              <w:rPr>
                <w:rFonts w:cs="Arial"/>
                <w:color w:val="000000"/>
                <w:sz w:val="16"/>
                <w:szCs w:val="16"/>
              </w:rPr>
              <w:t>$</w:t>
            </w:r>
            <w:r w:rsidRPr="003858C9">
              <w:rPr>
                <w:rFonts w:cs="Arial"/>
                <w:color w:val="000000"/>
                <w:sz w:val="16"/>
                <w:szCs w:val="16"/>
              </w:rPr>
              <w:t xml:space="preserve">325,060,272 </w:t>
            </w:r>
          </w:p>
        </w:tc>
      </w:tr>
      <w:tr w:rsidR="00AC40FC" w:rsidRPr="003858C9" w:rsidTr="00BB665B">
        <w:trPr>
          <w:trHeight w:val="170"/>
          <w:jc w:val="center"/>
        </w:trPr>
        <w:tc>
          <w:tcPr>
            <w:tcW w:w="1024" w:type="dxa"/>
            <w:tcBorders>
              <w:top w:val="nil"/>
              <w:left w:val="single" w:sz="4" w:space="0" w:color="auto"/>
              <w:bottom w:val="single" w:sz="4" w:space="0" w:color="auto"/>
              <w:right w:val="single" w:sz="4" w:space="0" w:color="auto"/>
            </w:tcBorders>
            <w:shd w:val="clear" w:color="000000" w:fill="FFFFFF"/>
            <w:noWrap/>
            <w:vAlign w:val="center"/>
            <w:hideMark/>
          </w:tcPr>
          <w:p w:rsidR="00AC40FC" w:rsidRPr="003858C9" w:rsidRDefault="00AC40FC" w:rsidP="00701DCF">
            <w:pPr>
              <w:spacing w:after="0"/>
              <w:rPr>
                <w:rFonts w:cs="Arial"/>
                <w:sz w:val="16"/>
                <w:szCs w:val="16"/>
              </w:rPr>
            </w:pPr>
            <w:r w:rsidRPr="003858C9">
              <w:rPr>
                <w:rFonts w:cs="Arial"/>
                <w:sz w:val="16"/>
                <w:szCs w:val="16"/>
              </w:rPr>
              <w:t>Total</w:t>
            </w:r>
          </w:p>
        </w:tc>
        <w:tc>
          <w:tcPr>
            <w:tcW w:w="1370" w:type="dxa"/>
            <w:tcBorders>
              <w:top w:val="nil"/>
              <w:left w:val="nil"/>
              <w:bottom w:val="single" w:sz="4" w:space="0" w:color="auto"/>
              <w:right w:val="single" w:sz="4" w:space="0" w:color="auto"/>
            </w:tcBorders>
            <w:shd w:val="clear" w:color="auto" w:fill="auto"/>
            <w:noWrap/>
            <w:vAlign w:val="center"/>
            <w:hideMark/>
          </w:tcPr>
          <w:p w:rsidR="00AC40FC" w:rsidRPr="003858C9" w:rsidRDefault="00AC40FC" w:rsidP="00701DCF">
            <w:pPr>
              <w:spacing w:after="0"/>
              <w:jc w:val="right"/>
              <w:rPr>
                <w:rFonts w:cs="Arial"/>
                <w:color w:val="000000"/>
                <w:sz w:val="16"/>
                <w:szCs w:val="16"/>
              </w:rPr>
            </w:pPr>
            <w:r>
              <w:rPr>
                <w:rFonts w:cs="Arial"/>
                <w:color w:val="000000"/>
                <w:sz w:val="16"/>
                <w:szCs w:val="16"/>
              </w:rPr>
              <w:t>$</w:t>
            </w:r>
            <w:r w:rsidRPr="003858C9">
              <w:rPr>
                <w:rFonts w:cs="Arial"/>
                <w:color w:val="000000"/>
                <w:sz w:val="16"/>
                <w:szCs w:val="16"/>
              </w:rPr>
              <w:t xml:space="preserve">3,225,175,556 </w:t>
            </w:r>
          </w:p>
        </w:tc>
        <w:tc>
          <w:tcPr>
            <w:tcW w:w="1371" w:type="dxa"/>
            <w:tcBorders>
              <w:top w:val="nil"/>
              <w:left w:val="nil"/>
              <w:bottom w:val="single" w:sz="4" w:space="0" w:color="auto"/>
              <w:right w:val="single" w:sz="4" w:space="0" w:color="auto"/>
            </w:tcBorders>
            <w:shd w:val="clear" w:color="auto" w:fill="auto"/>
            <w:noWrap/>
            <w:vAlign w:val="center"/>
            <w:hideMark/>
          </w:tcPr>
          <w:p w:rsidR="00AC40FC" w:rsidRPr="003858C9" w:rsidRDefault="00AC40FC" w:rsidP="00701DCF">
            <w:pPr>
              <w:spacing w:after="0"/>
              <w:jc w:val="right"/>
              <w:rPr>
                <w:rFonts w:cs="Arial"/>
                <w:color w:val="000000"/>
                <w:sz w:val="16"/>
                <w:szCs w:val="16"/>
              </w:rPr>
            </w:pPr>
            <w:r>
              <w:rPr>
                <w:rFonts w:cs="Arial"/>
                <w:color w:val="000000"/>
                <w:sz w:val="16"/>
                <w:szCs w:val="16"/>
              </w:rPr>
              <w:t>$</w:t>
            </w:r>
            <w:r w:rsidRPr="003858C9">
              <w:rPr>
                <w:rFonts w:cs="Arial"/>
                <w:color w:val="000000"/>
                <w:sz w:val="16"/>
                <w:szCs w:val="16"/>
              </w:rPr>
              <w:t xml:space="preserve">3,167,096,618 </w:t>
            </w:r>
          </w:p>
        </w:tc>
        <w:tc>
          <w:tcPr>
            <w:tcW w:w="1370" w:type="dxa"/>
            <w:tcBorders>
              <w:top w:val="nil"/>
              <w:left w:val="nil"/>
              <w:bottom w:val="single" w:sz="4" w:space="0" w:color="auto"/>
              <w:right w:val="single" w:sz="4" w:space="0" w:color="auto"/>
            </w:tcBorders>
            <w:shd w:val="clear" w:color="auto" w:fill="auto"/>
            <w:noWrap/>
            <w:vAlign w:val="center"/>
            <w:hideMark/>
          </w:tcPr>
          <w:p w:rsidR="00AC40FC" w:rsidRPr="003858C9" w:rsidRDefault="00AC40FC" w:rsidP="00701DCF">
            <w:pPr>
              <w:spacing w:after="0"/>
              <w:jc w:val="right"/>
              <w:rPr>
                <w:rFonts w:cs="Arial"/>
                <w:color w:val="000000"/>
                <w:sz w:val="16"/>
                <w:szCs w:val="16"/>
              </w:rPr>
            </w:pPr>
            <w:r>
              <w:rPr>
                <w:rFonts w:cs="Arial"/>
                <w:color w:val="000000"/>
                <w:sz w:val="16"/>
                <w:szCs w:val="16"/>
              </w:rPr>
              <w:t>$</w:t>
            </w:r>
            <w:r w:rsidRPr="003858C9">
              <w:rPr>
                <w:rFonts w:cs="Arial"/>
                <w:color w:val="000000"/>
                <w:sz w:val="16"/>
                <w:szCs w:val="16"/>
              </w:rPr>
              <w:t xml:space="preserve">2,875,421,401 </w:t>
            </w:r>
          </w:p>
        </w:tc>
        <w:tc>
          <w:tcPr>
            <w:tcW w:w="1371" w:type="dxa"/>
            <w:tcBorders>
              <w:top w:val="nil"/>
              <w:left w:val="nil"/>
              <w:bottom w:val="single" w:sz="4" w:space="0" w:color="auto"/>
              <w:right w:val="single" w:sz="4" w:space="0" w:color="auto"/>
            </w:tcBorders>
            <w:shd w:val="clear" w:color="auto" w:fill="auto"/>
            <w:noWrap/>
            <w:vAlign w:val="center"/>
            <w:hideMark/>
          </w:tcPr>
          <w:p w:rsidR="00AC40FC" w:rsidRPr="003858C9" w:rsidRDefault="00AC40FC" w:rsidP="00701DCF">
            <w:pPr>
              <w:spacing w:after="0"/>
              <w:jc w:val="right"/>
              <w:rPr>
                <w:rFonts w:cs="Arial"/>
                <w:color w:val="000000"/>
                <w:sz w:val="16"/>
                <w:szCs w:val="16"/>
              </w:rPr>
            </w:pPr>
            <w:r>
              <w:rPr>
                <w:rFonts w:cs="Arial"/>
                <w:color w:val="000000"/>
                <w:sz w:val="16"/>
                <w:szCs w:val="16"/>
              </w:rPr>
              <w:t>$</w:t>
            </w:r>
            <w:r w:rsidRPr="003858C9">
              <w:rPr>
                <w:rFonts w:cs="Arial"/>
                <w:color w:val="000000"/>
                <w:sz w:val="16"/>
                <w:szCs w:val="16"/>
              </w:rPr>
              <w:t xml:space="preserve">3,046,611,597 </w:t>
            </w:r>
          </w:p>
        </w:tc>
        <w:tc>
          <w:tcPr>
            <w:tcW w:w="1370" w:type="dxa"/>
            <w:tcBorders>
              <w:top w:val="nil"/>
              <w:left w:val="nil"/>
              <w:bottom w:val="single" w:sz="4" w:space="0" w:color="auto"/>
              <w:right w:val="single" w:sz="4" w:space="0" w:color="auto"/>
            </w:tcBorders>
            <w:shd w:val="clear" w:color="auto" w:fill="auto"/>
            <w:noWrap/>
            <w:vAlign w:val="center"/>
            <w:hideMark/>
          </w:tcPr>
          <w:p w:rsidR="00AC40FC" w:rsidRPr="003858C9" w:rsidRDefault="00AC40FC" w:rsidP="00701DCF">
            <w:pPr>
              <w:spacing w:after="0"/>
              <w:jc w:val="right"/>
              <w:rPr>
                <w:rFonts w:cs="Arial"/>
                <w:color w:val="000000"/>
                <w:sz w:val="16"/>
                <w:szCs w:val="16"/>
              </w:rPr>
            </w:pPr>
            <w:r>
              <w:rPr>
                <w:rFonts w:cs="Arial"/>
                <w:color w:val="000000"/>
                <w:sz w:val="16"/>
                <w:szCs w:val="16"/>
              </w:rPr>
              <w:t>$</w:t>
            </w:r>
            <w:r w:rsidRPr="003858C9">
              <w:rPr>
                <w:rFonts w:cs="Arial"/>
                <w:color w:val="000000"/>
                <w:sz w:val="16"/>
                <w:szCs w:val="16"/>
              </w:rPr>
              <w:t xml:space="preserve">3,364,583,230 </w:t>
            </w:r>
          </w:p>
        </w:tc>
        <w:tc>
          <w:tcPr>
            <w:tcW w:w="1371" w:type="dxa"/>
            <w:tcBorders>
              <w:top w:val="nil"/>
              <w:left w:val="nil"/>
              <w:bottom w:val="single" w:sz="4" w:space="0" w:color="auto"/>
              <w:right w:val="single" w:sz="4" w:space="0" w:color="auto"/>
            </w:tcBorders>
            <w:shd w:val="clear" w:color="auto" w:fill="auto"/>
            <w:noWrap/>
            <w:vAlign w:val="center"/>
            <w:hideMark/>
          </w:tcPr>
          <w:p w:rsidR="00AC40FC" w:rsidRPr="003858C9" w:rsidRDefault="00AC40FC" w:rsidP="00701DCF">
            <w:pPr>
              <w:spacing w:after="0"/>
              <w:jc w:val="right"/>
              <w:rPr>
                <w:rFonts w:cs="Arial"/>
                <w:color w:val="000000"/>
                <w:sz w:val="16"/>
                <w:szCs w:val="16"/>
              </w:rPr>
            </w:pPr>
            <w:r>
              <w:rPr>
                <w:rFonts w:cs="Arial"/>
                <w:color w:val="000000"/>
                <w:sz w:val="16"/>
                <w:szCs w:val="16"/>
              </w:rPr>
              <w:t>$</w:t>
            </w:r>
            <w:r w:rsidRPr="003858C9">
              <w:rPr>
                <w:rFonts w:cs="Arial"/>
                <w:color w:val="000000"/>
                <w:sz w:val="16"/>
                <w:szCs w:val="16"/>
              </w:rPr>
              <w:t xml:space="preserve">3,474,426,830 </w:t>
            </w:r>
          </w:p>
        </w:tc>
      </w:tr>
      <w:tr w:rsidR="00AC40FC" w:rsidRPr="003858C9" w:rsidTr="00BB665B">
        <w:trPr>
          <w:trHeight w:val="296"/>
          <w:jc w:val="center"/>
        </w:trPr>
        <w:tc>
          <w:tcPr>
            <w:tcW w:w="9247" w:type="dxa"/>
            <w:gridSpan w:val="7"/>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AC40FC" w:rsidRPr="003858C9" w:rsidRDefault="00AC40FC" w:rsidP="00701DCF">
            <w:pPr>
              <w:spacing w:after="0"/>
              <w:rPr>
                <w:rFonts w:cs="Arial"/>
                <w:color w:val="000000"/>
                <w:sz w:val="16"/>
                <w:szCs w:val="16"/>
              </w:rPr>
            </w:pPr>
            <w:r>
              <w:rPr>
                <w:rFonts w:cs="Arial"/>
                <w:color w:val="000000"/>
                <w:sz w:val="16"/>
                <w:szCs w:val="16"/>
              </w:rPr>
              <w:t>Sources:  DN 04-170; PPL EU edits</w:t>
            </w:r>
          </w:p>
        </w:tc>
      </w:tr>
    </w:tbl>
    <w:p w:rsidR="00AC40FC" w:rsidRDefault="00AC40FC" w:rsidP="00701DCF">
      <w:pPr>
        <w:pStyle w:val="Normal-aftertable"/>
      </w:pPr>
      <w:r w:rsidRPr="002708E6">
        <w:t>As shown above, mail payments are accounting for fewer dollars and web payments and electronic funds transfer (EFT) payment methods are representing increased dollars.  Between 2010 and 2015, revenues from mail payments decreased by 17%, revenues from web payments doubled (104%), and revenues from EFT increased by 19%.  While the increases for web and EFT payments are significant, the 2015 dollars from those methods remain relatively small, about 23% of total revenue collected, compared to 35% for mail payment.</w:t>
      </w:r>
    </w:p>
    <w:p w:rsidR="00AC40FC" w:rsidRDefault="00AC40FC" w:rsidP="00701DCF">
      <w:r>
        <w:lastRenderedPageBreak/>
        <w:t>Customer Services has established aggressive goals to increase paperless billing and has been experiencing steady growth.  Customer Services began tracking Paperless Billing account growth in 2012, as shown here:</w:t>
      </w:r>
    </w:p>
    <w:p w:rsidR="00AC40FC" w:rsidRDefault="00AC40FC" w:rsidP="00ED6D61">
      <w:pPr>
        <w:pStyle w:val="Caption"/>
      </w:pPr>
      <w:bookmarkStart w:id="87" w:name="_Toc462648413"/>
      <w:bookmarkStart w:id="88" w:name="_Toc464553035"/>
      <w:r>
        <w:t xml:space="preserve">Exhibit </w:t>
      </w:r>
      <w:fldSimple w:instr=" STYLEREF 1 \s ">
        <w:r w:rsidR="00A24205">
          <w:rPr>
            <w:noProof/>
          </w:rPr>
          <w:t>IX</w:t>
        </w:r>
      </w:fldSimple>
      <w:r w:rsidR="00264A1B">
        <w:noBreakHyphen/>
      </w:r>
      <w:fldSimple w:instr=" SEQ Exhibit \* ARABIC \s 1 ">
        <w:r w:rsidR="00A24205">
          <w:rPr>
            <w:noProof/>
          </w:rPr>
          <w:t>20</w:t>
        </w:r>
      </w:fldSimple>
      <w:r>
        <w:br/>
        <w:t>Paperless Billing Accounts</w:t>
      </w:r>
      <w:bookmarkEnd w:id="87"/>
      <w:bookmarkEnd w:id="88"/>
    </w:p>
    <w:p w:rsidR="00AC40FC" w:rsidRDefault="00AC40FC" w:rsidP="00701DCF">
      <w:pPr>
        <w:jc w:val="center"/>
      </w:pPr>
      <w:r>
        <w:rPr>
          <w:noProof/>
        </w:rPr>
        <w:drawing>
          <wp:inline distT="0" distB="0" distL="0" distR="0">
            <wp:extent cx="3485173" cy="2161442"/>
            <wp:effectExtent l="0" t="0" r="1270" b="10795"/>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bl>
      <w:tblPr>
        <w:tblW w:w="7994" w:type="dxa"/>
        <w:jc w:val="center"/>
        <w:tblLayout w:type="fixed"/>
        <w:tblLook w:val="04A0"/>
      </w:tblPr>
      <w:tblGrid>
        <w:gridCol w:w="1905"/>
        <w:gridCol w:w="1090"/>
        <w:gridCol w:w="900"/>
        <w:gridCol w:w="900"/>
        <w:gridCol w:w="1023"/>
        <w:gridCol w:w="1080"/>
        <w:gridCol w:w="1096"/>
      </w:tblGrid>
      <w:tr w:rsidR="00AC40FC" w:rsidRPr="00DD3B99" w:rsidTr="00701DCF">
        <w:trPr>
          <w:cantSplit/>
          <w:trHeight w:val="300"/>
          <w:tblHeader/>
          <w:jc w:val="center"/>
        </w:trPr>
        <w:tc>
          <w:tcPr>
            <w:tcW w:w="1905" w:type="dxa"/>
            <w:tcBorders>
              <w:top w:val="single" w:sz="4" w:space="0" w:color="auto"/>
              <w:left w:val="single" w:sz="4" w:space="0" w:color="auto"/>
              <w:bottom w:val="single" w:sz="4" w:space="0" w:color="auto"/>
              <w:right w:val="single" w:sz="4" w:space="0" w:color="auto"/>
            </w:tcBorders>
            <w:shd w:val="clear" w:color="auto" w:fill="A5CD7E"/>
            <w:noWrap/>
            <w:vAlign w:val="center"/>
            <w:hideMark/>
          </w:tcPr>
          <w:p w:rsidR="00AC40FC" w:rsidRPr="00DD3B99" w:rsidRDefault="00AC40FC" w:rsidP="007370C9">
            <w:pPr>
              <w:spacing w:before="120"/>
              <w:jc w:val="center"/>
              <w:rPr>
                <w:rFonts w:cs="Arial"/>
                <w:b/>
                <w:color w:val="000000"/>
                <w:sz w:val="22"/>
              </w:rPr>
            </w:pPr>
            <w:r>
              <w:rPr>
                <w:rFonts w:cs="Arial"/>
                <w:b/>
                <w:color w:val="000000"/>
                <w:sz w:val="22"/>
              </w:rPr>
              <w:t>Paperless Billing</w:t>
            </w:r>
          </w:p>
        </w:tc>
        <w:tc>
          <w:tcPr>
            <w:tcW w:w="109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DD3B99" w:rsidRDefault="00AC40FC" w:rsidP="007370C9">
            <w:pPr>
              <w:spacing w:before="120"/>
              <w:jc w:val="center"/>
              <w:rPr>
                <w:rFonts w:cs="Arial"/>
                <w:b/>
                <w:color w:val="000000"/>
                <w:sz w:val="22"/>
              </w:rPr>
            </w:pPr>
            <w:r w:rsidRPr="00DD3B99">
              <w:rPr>
                <w:rFonts w:cs="Arial"/>
                <w:b/>
                <w:color w:val="000000"/>
                <w:sz w:val="22"/>
              </w:rPr>
              <w:t>2010</w:t>
            </w:r>
          </w:p>
        </w:tc>
        <w:tc>
          <w:tcPr>
            <w:tcW w:w="90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DD3B99" w:rsidRDefault="00AC40FC" w:rsidP="007370C9">
            <w:pPr>
              <w:spacing w:before="120"/>
              <w:jc w:val="center"/>
              <w:rPr>
                <w:rFonts w:cs="Arial"/>
                <w:b/>
                <w:color w:val="000000"/>
                <w:sz w:val="22"/>
              </w:rPr>
            </w:pPr>
            <w:r w:rsidRPr="00DD3B99">
              <w:rPr>
                <w:rFonts w:cs="Arial"/>
                <w:b/>
                <w:color w:val="000000"/>
                <w:sz w:val="22"/>
              </w:rPr>
              <w:t>2011</w:t>
            </w:r>
          </w:p>
        </w:tc>
        <w:tc>
          <w:tcPr>
            <w:tcW w:w="90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DD3B99" w:rsidRDefault="00AC40FC" w:rsidP="007370C9">
            <w:pPr>
              <w:spacing w:before="120"/>
              <w:jc w:val="center"/>
              <w:rPr>
                <w:rFonts w:cs="Arial"/>
                <w:b/>
                <w:color w:val="000000"/>
                <w:sz w:val="22"/>
              </w:rPr>
            </w:pPr>
            <w:r w:rsidRPr="00DD3B99">
              <w:rPr>
                <w:rFonts w:cs="Arial"/>
                <w:b/>
                <w:color w:val="000000"/>
                <w:sz w:val="22"/>
              </w:rPr>
              <w:t>2012</w:t>
            </w:r>
          </w:p>
        </w:tc>
        <w:tc>
          <w:tcPr>
            <w:tcW w:w="1023"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DD3B99" w:rsidRDefault="00AC40FC" w:rsidP="007370C9">
            <w:pPr>
              <w:spacing w:before="120"/>
              <w:jc w:val="center"/>
              <w:rPr>
                <w:rFonts w:cs="Arial"/>
                <w:b/>
                <w:color w:val="000000"/>
                <w:sz w:val="22"/>
              </w:rPr>
            </w:pPr>
            <w:r w:rsidRPr="00DD3B99">
              <w:rPr>
                <w:rFonts w:cs="Arial"/>
                <w:b/>
                <w:color w:val="000000"/>
                <w:sz w:val="22"/>
              </w:rPr>
              <w:t>2013</w:t>
            </w:r>
          </w:p>
        </w:tc>
        <w:tc>
          <w:tcPr>
            <w:tcW w:w="108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DD3B99" w:rsidRDefault="00AC40FC" w:rsidP="007370C9">
            <w:pPr>
              <w:spacing w:before="120"/>
              <w:jc w:val="center"/>
              <w:rPr>
                <w:rFonts w:cs="Arial"/>
                <w:b/>
                <w:color w:val="000000"/>
                <w:sz w:val="22"/>
              </w:rPr>
            </w:pPr>
            <w:r w:rsidRPr="00DD3B99">
              <w:rPr>
                <w:rFonts w:cs="Arial"/>
                <w:b/>
                <w:color w:val="000000"/>
                <w:sz w:val="22"/>
              </w:rPr>
              <w:t>2014</w:t>
            </w:r>
          </w:p>
        </w:tc>
        <w:tc>
          <w:tcPr>
            <w:tcW w:w="1096"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DD3B99" w:rsidRDefault="00AC40FC" w:rsidP="007370C9">
            <w:pPr>
              <w:spacing w:before="120"/>
              <w:jc w:val="center"/>
              <w:rPr>
                <w:rFonts w:cs="Arial"/>
                <w:b/>
                <w:color w:val="000000"/>
                <w:sz w:val="22"/>
              </w:rPr>
            </w:pPr>
            <w:r>
              <w:rPr>
                <w:rFonts w:cs="Arial"/>
                <w:b/>
                <w:color w:val="000000"/>
                <w:sz w:val="22"/>
              </w:rPr>
              <w:t>20</w:t>
            </w:r>
            <w:r w:rsidRPr="00DD3B99">
              <w:rPr>
                <w:rFonts w:cs="Arial"/>
                <w:b/>
                <w:color w:val="000000"/>
                <w:sz w:val="22"/>
              </w:rPr>
              <w:t>15</w:t>
            </w:r>
          </w:p>
        </w:tc>
      </w:tr>
      <w:tr w:rsidR="00AC40FC" w:rsidRPr="0001241C" w:rsidTr="00701DCF">
        <w:trPr>
          <w:trHeight w:val="300"/>
          <w:jc w:val="center"/>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AC40FC" w:rsidRPr="00DD3B99" w:rsidRDefault="00AC40FC" w:rsidP="00701DCF">
            <w:pPr>
              <w:spacing w:after="0"/>
              <w:jc w:val="center"/>
              <w:rPr>
                <w:rFonts w:cs="Arial"/>
                <w:color w:val="000000"/>
                <w:sz w:val="22"/>
              </w:rPr>
            </w:pPr>
            <w:r w:rsidRPr="00DD3B99">
              <w:rPr>
                <w:rFonts w:cs="Arial"/>
                <w:color w:val="000000"/>
                <w:sz w:val="22"/>
              </w:rPr>
              <w:t>Paperless Billing</w:t>
            </w:r>
          </w:p>
        </w:tc>
        <w:tc>
          <w:tcPr>
            <w:tcW w:w="1090" w:type="dxa"/>
            <w:tcBorders>
              <w:top w:val="nil"/>
              <w:left w:val="nil"/>
              <w:bottom w:val="single" w:sz="4" w:space="0" w:color="auto"/>
              <w:right w:val="single" w:sz="4" w:space="0" w:color="auto"/>
            </w:tcBorders>
            <w:shd w:val="clear" w:color="auto" w:fill="auto"/>
            <w:noWrap/>
            <w:vAlign w:val="center"/>
            <w:hideMark/>
          </w:tcPr>
          <w:p w:rsidR="00AC40FC" w:rsidRPr="00DD3B99" w:rsidRDefault="00AC40FC" w:rsidP="00701DCF">
            <w:pPr>
              <w:spacing w:after="0"/>
              <w:jc w:val="center"/>
              <w:rPr>
                <w:rFonts w:cs="Arial"/>
                <w:color w:val="000000"/>
                <w:sz w:val="22"/>
              </w:rPr>
            </w:pPr>
            <w:r w:rsidRPr="00DD3B99">
              <w:rPr>
                <w:rFonts w:cs="Arial"/>
                <w:color w:val="000000"/>
                <w:sz w:val="22"/>
              </w:rPr>
              <w:t>NA</w:t>
            </w:r>
          </w:p>
        </w:tc>
        <w:tc>
          <w:tcPr>
            <w:tcW w:w="900" w:type="dxa"/>
            <w:tcBorders>
              <w:top w:val="nil"/>
              <w:left w:val="nil"/>
              <w:bottom w:val="single" w:sz="4" w:space="0" w:color="auto"/>
              <w:right w:val="single" w:sz="4" w:space="0" w:color="auto"/>
            </w:tcBorders>
            <w:shd w:val="clear" w:color="auto" w:fill="auto"/>
            <w:noWrap/>
            <w:vAlign w:val="center"/>
            <w:hideMark/>
          </w:tcPr>
          <w:p w:rsidR="00AC40FC" w:rsidRPr="00DD3B99" w:rsidRDefault="00AC40FC" w:rsidP="00701DCF">
            <w:pPr>
              <w:spacing w:after="0"/>
              <w:jc w:val="center"/>
              <w:rPr>
                <w:rFonts w:cs="Arial"/>
                <w:color w:val="000000"/>
                <w:sz w:val="22"/>
              </w:rPr>
            </w:pPr>
            <w:r w:rsidRPr="00DD3B99">
              <w:rPr>
                <w:rFonts w:cs="Arial"/>
                <w:color w:val="000000"/>
                <w:sz w:val="22"/>
              </w:rPr>
              <w:t>NA</w:t>
            </w:r>
          </w:p>
        </w:tc>
        <w:tc>
          <w:tcPr>
            <w:tcW w:w="900" w:type="dxa"/>
            <w:tcBorders>
              <w:top w:val="nil"/>
              <w:left w:val="nil"/>
              <w:bottom w:val="single" w:sz="4" w:space="0" w:color="auto"/>
              <w:right w:val="single" w:sz="4" w:space="0" w:color="auto"/>
            </w:tcBorders>
            <w:shd w:val="clear" w:color="auto" w:fill="auto"/>
            <w:noWrap/>
            <w:vAlign w:val="center"/>
            <w:hideMark/>
          </w:tcPr>
          <w:p w:rsidR="00AC40FC" w:rsidRPr="00DD3B99" w:rsidRDefault="00AC40FC" w:rsidP="00701DCF">
            <w:pPr>
              <w:spacing w:after="0"/>
              <w:jc w:val="center"/>
              <w:rPr>
                <w:rFonts w:cs="Arial"/>
                <w:color w:val="000000"/>
                <w:sz w:val="22"/>
              </w:rPr>
            </w:pPr>
            <w:r w:rsidRPr="00DD3B99">
              <w:rPr>
                <w:rFonts w:cs="Arial"/>
                <w:color w:val="000000"/>
                <w:sz w:val="22"/>
              </w:rPr>
              <w:t>99</w:t>
            </w:r>
            <w:r>
              <w:rPr>
                <w:rFonts w:cs="Arial"/>
                <w:color w:val="000000"/>
                <w:sz w:val="22"/>
              </w:rPr>
              <w:t>,</w:t>
            </w:r>
            <w:r w:rsidRPr="00DD3B99">
              <w:rPr>
                <w:rFonts w:cs="Arial"/>
                <w:color w:val="000000"/>
                <w:sz w:val="22"/>
              </w:rPr>
              <w:t>283</w:t>
            </w:r>
          </w:p>
        </w:tc>
        <w:tc>
          <w:tcPr>
            <w:tcW w:w="1023" w:type="dxa"/>
            <w:tcBorders>
              <w:top w:val="nil"/>
              <w:left w:val="nil"/>
              <w:bottom w:val="single" w:sz="4" w:space="0" w:color="auto"/>
              <w:right w:val="single" w:sz="4" w:space="0" w:color="auto"/>
            </w:tcBorders>
            <w:shd w:val="clear" w:color="auto" w:fill="auto"/>
            <w:noWrap/>
            <w:vAlign w:val="center"/>
            <w:hideMark/>
          </w:tcPr>
          <w:p w:rsidR="00AC40FC" w:rsidRPr="00DD3B99" w:rsidRDefault="00AC40FC" w:rsidP="00701DCF">
            <w:pPr>
              <w:spacing w:after="0"/>
              <w:jc w:val="center"/>
              <w:rPr>
                <w:rFonts w:cs="Arial"/>
                <w:color w:val="000000"/>
                <w:sz w:val="22"/>
              </w:rPr>
            </w:pPr>
            <w:r w:rsidRPr="00DD3B99">
              <w:rPr>
                <w:rFonts w:cs="Arial"/>
                <w:color w:val="000000"/>
                <w:sz w:val="22"/>
              </w:rPr>
              <w:t>134</w:t>
            </w:r>
            <w:r>
              <w:rPr>
                <w:rFonts w:cs="Arial"/>
                <w:color w:val="000000"/>
                <w:sz w:val="22"/>
              </w:rPr>
              <w:t>,</w:t>
            </w:r>
            <w:r w:rsidRPr="00DD3B99">
              <w:rPr>
                <w:rFonts w:cs="Arial"/>
                <w:color w:val="000000"/>
                <w:sz w:val="22"/>
              </w:rPr>
              <w:t>128</w:t>
            </w:r>
          </w:p>
        </w:tc>
        <w:tc>
          <w:tcPr>
            <w:tcW w:w="1080" w:type="dxa"/>
            <w:tcBorders>
              <w:top w:val="nil"/>
              <w:left w:val="nil"/>
              <w:bottom w:val="single" w:sz="4" w:space="0" w:color="auto"/>
              <w:right w:val="single" w:sz="4" w:space="0" w:color="auto"/>
            </w:tcBorders>
            <w:shd w:val="clear" w:color="auto" w:fill="auto"/>
            <w:noWrap/>
            <w:vAlign w:val="center"/>
            <w:hideMark/>
          </w:tcPr>
          <w:p w:rsidR="00AC40FC" w:rsidRPr="00DD3B99" w:rsidRDefault="00AC40FC" w:rsidP="00701DCF">
            <w:pPr>
              <w:spacing w:after="0"/>
              <w:jc w:val="center"/>
              <w:rPr>
                <w:rFonts w:cs="Arial"/>
                <w:color w:val="000000"/>
                <w:sz w:val="22"/>
              </w:rPr>
            </w:pPr>
            <w:r w:rsidRPr="00DD3B99">
              <w:rPr>
                <w:rFonts w:cs="Arial"/>
                <w:color w:val="000000"/>
                <w:sz w:val="22"/>
              </w:rPr>
              <w:t>163</w:t>
            </w:r>
            <w:r>
              <w:rPr>
                <w:rFonts w:cs="Arial"/>
                <w:color w:val="000000"/>
                <w:sz w:val="22"/>
              </w:rPr>
              <w:t>,</w:t>
            </w:r>
            <w:r w:rsidRPr="00DD3B99">
              <w:rPr>
                <w:rFonts w:cs="Arial"/>
                <w:color w:val="000000"/>
                <w:sz w:val="22"/>
              </w:rPr>
              <w:t>396</w:t>
            </w:r>
          </w:p>
        </w:tc>
        <w:tc>
          <w:tcPr>
            <w:tcW w:w="1096" w:type="dxa"/>
            <w:tcBorders>
              <w:top w:val="nil"/>
              <w:left w:val="nil"/>
              <w:bottom w:val="single" w:sz="4" w:space="0" w:color="auto"/>
              <w:right w:val="single" w:sz="4" w:space="0" w:color="auto"/>
            </w:tcBorders>
            <w:shd w:val="clear" w:color="auto" w:fill="auto"/>
            <w:noWrap/>
            <w:vAlign w:val="center"/>
            <w:hideMark/>
          </w:tcPr>
          <w:p w:rsidR="00AC40FC" w:rsidRPr="00DD3B99" w:rsidRDefault="00AC40FC" w:rsidP="00701DCF">
            <w:pPr>
              <w:spacing w:after="0"/>
              <w:jc w:val="center"/>
              <w:rPr>
                <w:rFonts w:cs="Arial"/>
                <w:color w:val="000000"/>
                <w:sz w:val="22"/>
              </w:rPr>
            </w:pPr>
            <w:r>
              <w:rPr>
                <w:rFonts w:cs="Arial"/>
                <w:color w:val="000000"/>
                <w:sz w:val="22"/>
              </w:rPr>
              <w:t>191,078</w:t>
            </w:r>
          </w:p>
        </w:tc>
      </w:tr>
      <w:tr w:rsidR="00AC40FC" w:rsidRPr="0001241C" w:rsidTr="00701DCF">
        <w:trPr>
          <w:trHeight w:val="300"/>
          <w:jc w:val="center"/>
        </w:trPr>
        <w:tc>
          <w:tcPr>
            <w:tcW w:w="7994"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C40FC" w:rsidRPr="00772AEA" w:rsidRDefault="00AC40FC" w:rsidP="00701DCF">
            <w:pPr>
              <w:spacing w:after="0"/>
              <w:rPr>
                <w:rFonts w:cs="Arial"/>
                <w:color w:val="000000"/>
                <w:sz w:val="22"/>
              </w:rPr>
            </w:pPr>
            <w:r w:rsidRPr="00772AEA">
              <w:rPr>
                <w:rFonts w:cs="Arial"/>
                <w:color w:val="000000"/>
                <w:sz w:val="22"/>
              </w:rPr>
              <w:t>S</w:t>
            </w:r>
            <w:r>
              <w:rPr>
                <w:rFonts w:cs="Arial"/>
                <w:color w:val="000000"/>
                <w:sz w:val="22"/>
              </w:rPr>
              <w:t>ources:  04-177/191; PPL EU edits</w:t>
            </w:r>
          </w:p>
        </w:tc>
      </w:tr>
    </w:tbl>
    <w:p w:rsidR="00AC40FC" w:rsidRDefault="00AC40FC" w:rsidP="00701DCF">
      <w:pPr>
        <w:pStyle w:val="Normal-aftertable"/>
      </w:pPr>
      <w:r>
        <w:t>The measure or metric is the number of paperless billing net of opt outs.   The metric increased by about 17% from 2014 to 2015.</w:t>
      </w:r>
    </w:p>
    <w:p w:rsidR="00AC40FC" w:rsidRDefault="00AC40FC" w:rsidP="00701DCF">
      <w:r>
        <w:t xml:space="preserve">Customer Services has been promoting the conversion by its customers to paperless billing.  For example, in 2013 PPL EU </w:t>
      </w:r>
      <w:r>
        <w:rPr>
          <w:rFonts w:ascii="Helvetica" w:hAnsi="Helvetica" w:cs="Helvetica"/>
        </w:rPr>
        <w:t>offered a free LED light bulb to customers who signed up for paperless billing.</w:t>
      </w:r>
      <w:r>
        <w:t xml:space="preserve">  At the time of the V&amp;A Audit, Customer Services was in the process of finalizing a paperless billing initiative proposal to increase paperless billing enrollments to 30% within the next three years. The initiative will include customer giveaways and other incentives to switch to paperless billing, as well as a marketing campaign through e-mail, the PPL EU website, newsletters, and bill inserts. </w:t>
      </w:r>
    </w:p>
    <w:p w:rsidR="00AC40FC" w:rsidRDefault="00AC40FC" w:rsidP="00701DCF">
      <w:pPr>
        <w:pStyle w:val="Heading40"/>
      </w:pPr>
      <w:r>
        <w:t>Credit and Collections</w:t>
      </w:r>
    </w:p>
    <w:p w:rsidR="00AC40FC" w:rsidRPr="00154FE0" w:rsidRDefault="00AC40FC" w:rsidP="00701DCF">
      <w:r>
        <w:t xml:space="preserve">The </w:t>
      </w:r>
      <w:r w:rsidRPr="00154FE0">
        <w:t xml:space="preserve">Credit </w:t>
      </w:r>
      <w:r>
        <w:t>and</w:t>
      </w:r>
      <w:r w:rsidRPr="00154FE0">
        <w:t xml:space="preserve"> Collections </w:t>
      </w:r>
      <w:r>
        <w:t xml:space="preserve">(C&amp;C) group </w:t>
      </w:r>
      <w:r w:rsidRPr="00154FE0">
        <w:t>consist</w:t>
      </w:r>
      <w:r>
        <w:t>s</w:t>
      </w:r>
      <w:r w:rsidRPr="00154FE0">
        <w:t xml:space="preserve"> of three individuals who report direc</w:t>
      </w:r>
      <w:r>
        <w:t>tly to the Revenue Operations D</w:t>
      </w:r>
      <w:r w:rsidRPr="00154FE0">
        <w:t>irector</w:t>
      </w:r>
      <w:r>
        <w:t>, a Project Manager and two Operations Specialists.</w:t>
      </w:r>
    </w:p>
    <w:p w:rsidR="00AC40FC" w:rsidRDefault="00AC40FC" w:rsidP="00701DCF">
      <w:r>
        <w:t xml:space="preserve">The core work processes for C&amp;C include:  (1) Setting effective credit and collection policy in compliance with PUC regulations, including payment agreements and </w:t>
      </w:r>
      <w:r w:rsidRPr="006E55CD">
        <w:t>the final bill collection process</w:t>
      </w:r>
      <w:r>
        <w:t>; (2) Managing the day-to-day operation of the collection function within PPL EU; (3) Managing third-party collection contractors to ensure maximum recovery of dollars against written-off accounts; (4) Balancing credit and collection practices with the joint goal of reducing overdue accounts receivable while managing budgetary goals against write-off and reserve; and (5) Performing data collection, reporting, and analysis in order to ensure policies are effective within budgetary constraints.</w:t>
      </w:r>
    </w:p>
    <w:p w:rsidR="00AC40FC" w:rsidRDefault="00AC40FC" w:rsidP="00701DCF">
      <w:pPr>
        <w:rPr>
          <w:rFonts w:cs="Arial"/>
        </w:rPr>
      </w:pPr>
      <w:r>
        <w:rPr>
          <w:rFonts w:cs="Arial"/>
        </w:rPr>
        <w:lastRenderedPageBreak/>
        <w:t>C&amp;C uses contractors for specific supplemental work:</w:t>
      </w:r>
    </w:p>
    <w:p w:rsidR="00AC40FC" w:rsidRPr="000E3F5B" w:rsidRDefault="00AC40FC" w:rsidP="00701DCF">
      <w:pPr>
        <w:pStyle w:val="Bullet"/>
      </w:pPr>
      <w:r>
        <w:t>Credit scoring services are provided pursuant to a contract dated December 21, 2011, with a vendor, and continuing annually unless terminated by either party.  The vendor provides A-B-C-D credit scoring with numeric scoring and balances owed, but the CSS displays only the letter score. The vendor provides software that calculates credit scores using algorithms and assigns risk segments according to agreed-upon settings.  The contract describes the scope of work as the purchase of the use of software that performs regression analysis to risk scoring and to segment customers into risk categories.  PPL EU has been paying about $26,000 for an annual maintenance fee and about $13,000 yearly for monthly processing.</w:t>
      </w:r>
    </w:p>
    <w:p w:rsidR="00AC40FC" w:rsidRDefault="00AC40FC" w:rsidP="00701DCF">
      <w:pPr>
        <w:pStyle w:val="Bullet"/>
      </w:pPr>
      <w:r>
        <w:rPr>
          <w:rFonts w:cs="Arial"/>
        </w:rPr>
        <w:t>A second vendor is used for new connection credit checks. Fees are about $8,000 per month.  The contract describes the credit-related services and identifies transactions assumed to be between 201,000 and 400,000 per year with unit transaction prices.  Billings are between $80,000 and $100,000 per year.  The pricing agreement was modified in 2008.</w:t>
      </w:r>
    </w:p>
    <w:p w:rsidR="00AC40FC" w:rsidRDefault="00AC40FC" w:rsidP="00701DCF">
      <w:pPr>
        <w:pStyle w:val="Bullet"/>
        <w:rPr>
          <w:rFonts w:cs="Arial"/>
        </w:rPr>
      </w:pPr>
      <w:r>
        <w:rPr>
          <w:rFonts w:cs="Arial"/>
        </w:rPr>
        <w:t xml:space="preserve">A third vendor is used for skip tracing to try to locate and contact customers for non-payment. The monthly fees are minimal.  </w:t>
      </w:r>
    </w:p>
    <w:p w:rsidR="00AC40FC" w:rsidRPr="000A3FE5" w:rsidRDefault="00AC40FC" w:rsidP="00701DCF">
      <w:pPr>
        <w:pStyle w:val="Bullet"/>
        <w:rPr>
          <w:rFonts w:cs="Arial"/>
        </w:rPr>
      </w:pPr>
      <w:r>
        <w:t>A fourth vendor is being used for outbound calling to customers with arrears (in addition to 24/7 call handling and other CCC functions mentioned previously).  Fifteen call agents were retained to perform live-agent outbound calling to customers who are overdue.  The vendor will execute reminder call campaigns to customers with high balances, customers who have partially suspended dollar amounts, and friendly reminders to customers who have missed two consecutive monthly bill payments.  These 15 agents will work 40 hours per week, at a cost of $900,000 per year.</w:t>
      </w:r>
    </w:p>
    <w:p w:rsidR="00AC40FC" w:rsidRDefault="00AC40FC" w:rsidP="00701DCF">
      <w:pPr>
        <w:pStyle w:val="Normal-aftertable"/>
      </w:pPr>
      <w:r>
        <w:t>The following describes the final bill collection process:</w:t>
      </w:r>
    </w:p>
    <w:p w:rsidR="00AC40FC" w:rsidRDefault="00AC40FC" w:rsidP="00701DCF">
      <w:pPr>
        <w:pStyle w:val="Bullet"/>
      </w:pPr>
      <w:r>
        <w:t>Ten days after the due date of the final bill, if the bill remains unpaid, a reminder notice is mailed to the mailing address provided by the customer.</w:t>
      </w:r>
    </w:p>
    <w:p w:rsidR="00AC40FC" w:rsidRDefault="00AC40FC" w:rsidP="00701DCF">
      <w:pPr>
        <w:pStyle w:val="Bullet"/>
      </w:pPr>
      <w:r>
        <w:t>Twelve days after the due date of the final bill, if the bill remains unpaid, a reminder phone call is made to the most recent phone number provided by the customer.</w:t>
      </w:r>
    </w:p>
    <w:p w:rsidR="00AC40FC" w:rsidRDefault="00AC40FC" w:rsidP="00701DCF">
      <w:pPr>
        <w:pStyle w:val="Bullet"/>
      </w:pPr>
      <w:r>
        <w:t>If the final bill remains unpaid ten days after the reminder notice was mailed, the account is referred to one of two primary collection agencies.</w:t>
      </w:r>
    </w:p>
    <w:p w:rsidR="00AC40FC" w:rsidRDefault="00AC40FC" w:rsidP="00701DCF">
      <w:pPr>
        <w:pStyle w:val="Bullet"/>
      </w:pPr>
      <w:r>
        <w:t>The primary collection agencies receive the customer file and send the debtor a dispute rights letter, informing the customer of his/her rights under the Fair Debt Collection Practices Act.  No collection action takes place during the 30-day period following the mailing of this letter.</w:t>
      </w:r>
    </w:p>
    <w:p w:rsidR="00AC40FC" w:rsidRDefault="00AC40FC" w:rsidP="00701DCF">
      <w:pPr>
        <w:pStyle w:val="Bullet"/>
      </w:pPr>
      <w:r>
        <w:t>Once the 30-day dispute period has expired, the agencies will begin a call/letter series to the debtor, reminding the customer of the overdue debt, and offering payment terms to resolve the debt.</w:t>
      </w:r>
    </w:p>
    <w:p w:rsidR="00AC40FC" w:rsidRDefault="00AC40FC" w:rsidP="00701DCF">
      <w:pPr>
        <w:pStyle w:val="Bullet"/>
      </w:pPr>
      <w:r>
        <w:t>If the account remains unpaid ten months after the initial referral, the account is moved from the primary agencies to a secondary collection agency.</w:t>
      </w:r>
    </w:p>
    <w:p w:rsidR="00AC40FC" w:rsidRDefault="00AC40FC" w:rsidP="00701DCF">
      <w:pPr>
        <w:pStyle w:val="Bullet"/>
      </w:pPr>
      <w:r>
        <w:lastRenderedPageBreak/>
        <w:t>Upon referral to the secondary agency, that agency will give the debtor a 30-day dispute period, informing him of his rights under the Fair Debt Collection Practices Act.  No collection action takes place during the 30-day period following the mailing of this letter.</w:t>
      </w:r>
    </w:p>
    <w:p w:rsidR="00AC40FC" w:rsidRDefault="00AC40FC" w:rsidP="00701DCF">
      <w:pPr>
        <w:pStyle w:val="Bullet"/>
      </w:pPr>
      <w:r>
        <w:t>The secondary agency will begin a call/letter series to the debtor, reminding him of the overdue debt and offering payment terms.  The secondary agency reports the overdue debtor account information to consumer credit reporting.</w:t>
      </w:r>
    </w:p>
    <w:p w:rsidR="00AC40FC" w:rsidRPr="008637DA" w:rsidRDefault="00AC40FC" w:rsidP="00701DCF">
      <w:pPr>
        <w:pStyle w:val="Normal-aftertable"/>
      </w:pPr>
      <w:r>
        <w:t xml:space="preserve">In 2014, </w:t>
      </w:r>
      <w:r w:rsidRPr="008637DA">
        <w:t xml:space="preserve">PPL </w:t>
      </w:r>
      <w:r>
        <w:t xml:space="preserve">EU </w:t>
      </w:r>
      <w:r w:rsidRPr="008637DA">
        <w:t>p</w:t>
      </w:r>
      <w:r>
        <w:t>laced</w:t>
      </w:r>
      <w:r w:rsidRPr="008637DA">
        <w:t xml:space="preserve"> a link on its web site </w:t>
      </w:r>
      <w:r>
        <w:t>allowing</w:t>
      </w:r>
      <w:r w:rsidRPr="008637DA">
        <w:t xml:space="preserve"> customers to pay arrearages.</w:t>
      </w:r>
      <w:r>
        <w:t xml:space="preserve">  </w:t>
      </w:r>
      <w:r w:rsidRPr="008637DA">
        <w:t>Currently, there is a $250 arrearage threshold that will trigger service termination.  Last year, the average bill was $115, so two months of non-p</w:t>
      </w:r>
      <w:r>
        <w:t>ayment will trigger a shut-off.   Unlike a number of other utilities, C&amp;C is not using legal collection law firms, but rather is relying on collection agencies.  Previous experience showed that the recoveries with legal collection law firms were not worth the fees/costs.</w:t>
      </w:r>
    </w:p>
    <w:p w:rsidR="00AC40FC" w:rsidRDefault="00AC40FC" w:rsidP="00701DCF">
      <w:r>
        <w:t xml:space="preserve">Customer Services </w:t>
      </w:r>
      <w:r w:rsidRPr="008637DA">
        <w:t>developed a Customer Transition Program (CTP)</w:t>
      </w:r>
      <w:r>
        <w:t xml:space="preserve"> in 2009 that provides the user interface for payment agreements</w:t>
      </w:r>
      <w:r w:rsidRPr="008637DA">
        <w:t>.</w:t>
      </w:r>
      <w:r>
        <w:t xml:space="preserve">  The CTP replaces the component of CSS that had required multiple windows to determine dispute and assistance program eligibility and payment agreement requirements.  The CTP provides a script that can be read by the CSR to </w:t>
      </w:r>
      <w:r>
        <w:rPr>
          <w:rFonts w:cs="Arial"/>
        </w:rPr>
        <w:t>establish the payment agreement, and enables the CSR to void</w:t>
      </w:r>
      <w:r w:rsidRPr="00C53099">
        <w:rPr>
          <w:rFonts w:cs="Arial"/>
        </w:rPr>
        <w:t xml:space="preserve"> termination orders</w:t>
      </w:r>
      <w:r>
        <w:rPr>
          <w:rFonts w:cs="Arial"/>
        </w:rPr>
        <w:t xml:space="preserve"> and </w:t>
      </w:r>
      <w:r w:rsidRPr="00AB2C01">
        <w:rPr>
          <w:rFonts w:cs="Arial"/>
        </w:rPr>
        <w:t xml:space="preserve">issue </w:t>
      </w:r>
      <w:r>
        <w:rPr>
          <w:rFonts w:cs="Arial"/>
        </w:rPr>
        <w:t xml:space="preserve">referrals to customer programs such as CAP, LIHEAP, and Operation HELP.  These referrals </w:t>
      </w:r>
      <w:r w:rsidRPr="00C53099">
        <w:rPr>
          <w:rFonts w:cs="Arial"/>
        </w:rPr>
        <w:t>are automatically completed and documented on the customer’s account</w:t>
      </w:r>
      <w:r>
        <w:rPr>
          <w:rFonts w:cs="Arial"/>
        </w:rPr>
        <w:t xml:space="preserve">.  </w:t>
      </w:r>
      <w:r w:rsidRPr="00C53099">
        <w:rPr>
          <w:rFonts w:cs="Arial"/>
        </w:rPr>
        <w:t>Less time is spent manually maneuvering between various CSS windows, reducing call handle time</w:t>
      </w:r>
      <w:r>
        <w:rPr>
          <w:rFonts w:cs="Arial"/>
        </w:rPr>
        <w:t>.  T</w:t>
      </w:r>
      <w:r w:rsidRPr="00C53099">
        <w:rPr>
          <w:rFonts w:cs="Arial"/>
        </w:rPr>
        <w:t xml:space="preserve">he </w:t>
      </w:r>
      <w:r>
        <w:rPr>
          <w:rFonts w:cs="Arial"/>
        </w:rPr>
        <w:t xml:space="preserve">CSR has the information </w:t>
      </w:r>
      <w:r w:rsidRPr="00C53099">
        <w:rPr>
          <w:rFonts w:cs="Arial"/>
        </w:rPr>
        <w:t>t</w:t>
      </w:r>
      <w:r>
        <w:rPr>
          <w:rFonts w:cs="Arial"/>
        </w:rPr>
        <w:t>hat determines</w:t>
      </w:r>
      <w:r w:rsidRPr="00C53099">
        <w:rPr>
          <w:rFonts w:cs="Arial"/>
        </w:rPr>
        <w:t xml:space="preserve"> the various eligibility requirements, </w:t>
      </w:r>
      <w:r>
        <w:rPr>
          <w:rFonts w:cs="Arial"/>
        </w:rPr>
        <w:t xml:space="preserve">freeing up the CSR to work with the customer.  The CTP provides </w:t>
      </w:r>
      <w:r w:rsidRPr="00C53099">
        <w:rPr>
          <w:rFonts w:cs="Arial"/>
        </w:rPr>
        <w:t xml:space="preserve">transition of the payment assistance functions to </w:t>
      </w:r>
      <w:r>
        <w:rPr>
          <w:rFonts w:cs="Arial"/>
        </w:rPr>
        <w:t>the Web site</w:t>
      </w:r>
      <w:r w:rsidRPr="00C53099">
        <w:rPr>
          <w:rFonts w:cs="Arial"/>
        </w:rPr>
        <w:t xml:space="preserve"> and IVR, providi</w:t>
      </w:r>
      <w:r>
        <w:rPr>
          <w:rFonts w:cs="Arial"/>
        </w:rPr>
        <w:t>ng consistency between the self-</w:t>
      </w:r>
      <w:r w:rsidRPr="00C53099">
        <w:rPr>
          <w:rFonts w:cs="Arial"/>
        </w:rPr>
        <w:t>service and CSR functions</w:t>
      </w:r>
      <w:r>
        <w:rPr>
          <w:rFonts w:cs="Arial"/>
        </w:rPr>
        <w:t>.  The CTP benefits included improved PUC compliance, reduced call handle time, better customer satisfaction, and reduced training time for new CSRs.</w:t>
      </w:r>
    </w:p>
    <w:p w:rsidR="00AC40FC" w:rsidRDefault="00AC40FC" w:rsidP="00BB665B">
      <w:pPr>
        <w:pStyle w:val="Heading-forToC"/>
      </w:pPr>
      <w:bookmarkStart w:id="89" w:name="_Toc462647849"/>
      <w:bookmarkStart w:id="90" w:name="_Toc464552088"/>
      <w:r>
        <w:t>findings</w:t>
      </w:r>
      <w:bookmarkEnd w:id="89"/>
      <w:bookmarkEnd w:id="90"/>
    </w:p>
    <w:p w:rsidR="00AC40FC" w:rsidRDefault="00AC40FC" w:rsidP="004F00E5">
      <w:pPr>
        <w:pStyle w:val="Findings"/>
        <w:numPr>
          <w:ilvl w:val="0"/>
          <w:numId w:val="50"/>
        </w:numPr>
      </w:pPr>
      <w:r>
        <w:t>The reduction in Metering Operations Supervisors has increased the challenges of managing the field employees.</w:t>
      </w:r>
    </w:p>
    <w:p w:rsidR="00AC40FC" w:rsidRDefault="00AC40FC" w:rsidP="00701DCF">
      <w:r>
        <w:t>The number of field Supervisors was reduced from six to three.  The increased span of control and the transfer of the Work Management Planner/Scheduler has reduced the Supervisor’s available time for direct field supervision.</w:t>
      </w:r>
    </w:p>
    <w:p w:rsidR="00AC40FC" w:rsidRDefault="00AC40FC" w:rsidP="00701DCF">
      <w:r>
        <w:t>To address the increased span of control, the Supervisors have been directed to focus their oversight on their approximately 20 direct reports in the field with less oversight provided to the office support staff.  The objective is to have the Supervisors spend an hour at the beginning and end of each day in the office, and the remainder of the day in their vehicles traveling through their geographic areas.  Although there are more travel-related time and costs in proportion to the direct field supervisory time, Metering Operations believes that the benefits of direct field supervision outweigh the reduced office supervision.</w:t>
      </w:r>
    </w:p>
    <w:p w:rsidR="00AC40FC" w:rsidRDefault="00AC40FC" w:rsidP="00701DCF">
      <w:r>
        <w:lastRenderedPageBreak/>
        <w:t>The Metering Operations Field Supervisors picked up some of the work management functions, reducing their time spent in the field.  Change Meter Orders (CMOs) are not being efficiently and effectively prioritized for the Supervisors and their field people.</w:t>
      </w:r>
    </w:p>
    <w:p w:rsidR="00AC40FC" w:rsidRDefault="00AC40FC" w:rsidP="00701DCF">
      <w:r w:rsidRPr="009424B4">
        <w:t>Metering Operations has been pursuing opportunities to increase the time that Supervisors spend in the field and has been achieving 70</w:t>
      </w:r>
      <w:r>
        <w:t>%</w:t>
      </w:r>
      <w:r w:rsidRPr="009424B4">
        <w:t xml:space="preserve"> field time (out of office) for the Supervisors with a goal of reaching 80</w:t>
      </w:r>
      <w:r>
        <w:t>%</w:t>
      </w:r>
      <w:r w:rsidRPr="009424B4">
        <w:t xml:space="preserve">.  One consequence has been some increase in office backlog work.  </w:t>
      </w:r>
    </w:p>
    <w:p w:rsidR="00AC40FC" w:rsidRDefault="00AC40FC" w:rsidP="004F00E5">
      <w:pPr>
        <w:pStyle w:val="Findings"/>
        <w:numPr>
          <w:ilvl w:val="0"/>
          <w:numId w:val="50"/>
        </w:numPr>
      </w:pPr>
      <w:r>
        <w:t>Revenue Protection does not consistently report work management performance metrics, targets, and unit costs.</w:t>
      </w:r>
    </w:p>
    <w:p w:rsidR="00AC40FC" w:rsidRDefault="00AC40FC" w:rsidP="00701DCF">
      <w:r>
        <w:t>Revenue Protection currently tracks and reports the following metrics:</w:t>
      </w:r>
    </w:p>
    <w:p w:rsidR="00AC40FC" w:rsidRDefault="00AC40FC" w:rsidP="00701DCF">
      <w:pPr>
        <w:pStyle w:val="Bullet"/>
      </w:pPr>
      <w:r>
        <w:t>Investigations Completed:  The November 2015 report shows that Revenue Protection completed nearly 100% of the leads that were investigated within 50 days of notice, compared to a target of 97%.  An investigation includes review of account information and field visits; by the end of November, 11,831 leads were completed for 2015.  Revenue Protection had said that it has reduced the 50-day investigation standard to 45 days, but the 45-day standard was not incorporated into the November report.</w:t>
      </w:r>
    </w:p>
    <w:p w:rsidR="00AC40FC" w:rsidRDefault="00AC40FC" w:rsidP="00701DCF">
      <w:pPr>
        <w:pStyle w:val="Bullet"/>
      </w:pPr>
      <w:r>
        <w:t xml:space="preserve">Communications Completed:  The November 2015 report shows that 100% of the completed investigations were communicated within 30 days, compared to a target of 97%.  Revenue Protection has separately said the goal is to communicate the findings and billing impact to the relevant customers within 12 days of verifying the problem. </w:t>
      </w:r>
    </w:p>
    <w:p w:rsidR="00AC40FC" w:rsidRDefault="00AC40FC" w:rsidP="00701DCF">
      <w:pPr>
        <w:pStyle w:val="Bullet"/>
      </w:pPr>
      <w:r>
        <w:t>Large Power Meter Anomaly – Average Cycle Time:  The November 2015 report shows that the objective is to reduce the cycle time, defined as the time of meter failure to the time of discovery.  The goal is 12 months year-end, the stretch goal is 10 months, and the YTD was 8.9 months.</w:t>
      </w:r>
    </w:p>
    <w:p w:rsidR="00AC40FC" w:rsidRDefault="00AC40FC" w:rsidP="00701DCF">
      <w:pPr>
        <w:pStyle w:val="Normal-aftertable"/>
      </w:pPr>
      <w:r>
        <w:t xml:space="preserve">These three metrics were included in the Customer Services Monthly Performance Indicators report until the end of 2013 and then were dropped from the report, although data has been tracked and reported within Revenue Protection, as discussed above. </w:t>
      </w:r>
    </w:p>
    <w:p w:rsidR="00AC40FC" w:rsidRDefault="00AC40FC" w:rsidP="00701DCF">
      <w:r>
        <w:t>Reve</w:t>
      </w:r>
      <w:r w:rsidRPr="00312AC6">
        <w:t>n</w:t>
      </w:r>
      <w:r>
        <w:t>ue P</w:t>
      </w:r>
      <w:r w:rsidRPr="00312AC6">
        <w:t xml:space="preserve">rotection </w:t>
      </w:r>
      <w:r>
        <w:t>also tracks “In-service Date” for large power projects, “Number of Accounts Touched,” and “Response to Each Case” (aka “day counts”), but no reports were available showing the performance.</w:t>
      </w:r>
    </w:p>
    <w:p w:rsidR="00AC40FC" w:rsidRDefault="00AC40FC" w:rsidP="00701DCF">
      <w:r>
        <w:t>None of these metrics are associated with the costs to perform the work to calculate unit costs.</w:t>
      </w:r>
    </w:p>
    <w:p w:rsidR="00AC40FC" w:rsidRDefault="00AC40FC" w:rsidP="004F00E5">
      <w:pPr>
        <w:pStyle w:val="Findings"/>
        <w:numPr>
          <w:ilvl w:val="0"/>
          <w:numId w:val="50"/>
        </w:numPr>
      </w:pPr>
      <w:r>
        <w:t>Revenue Protection processing of Large Power metering installations is paper-intensive and has led to billing problems and lost revenues.</w:t>
      </w:r>
    </w:p>
    <w:p w:rsidR="00AC40FC" w:rsidRDefault="00AC40FC" w:rsidP="00701DCF">
      <w:r>
        <w:t xml:space="preserve">There have been cases where meters have been installed and are functioning for new C&amp;I services but bills are not issued.  According to PPL EU's description:  "Large Power completes the meter installation and provides installation paperwork to Customer Representative A," who then "creates the account for the customer and completes the Large Power Task."  Mishandling of paperwork and lack of appropriate CSS data entry has been identified as a cause.  Large C&amp;I customers with multiple accounts and </w:t>
      </w:r>
      <w:r>
        <w:lastRenderedPageBreak/>
        <w:t>meters at a number of locations may not realize that they are not being billed for usage at one of their meters.</w:t>
      </w:r>
    </w:p>
    <w:p w:rsidR="00AC40FC" w:rsidRDefault="00AC40FC" w:rsidP="004F00E5">
      <w:pPr>
        <w:pStyle w:val="Findings"/>
        <w:keepNext/>
        <w:numPr>
          <w:ilvl w:val="0"/>
          <w:numId w:val="50"/>
        </w:numPr>
      </w:pPr>
      <w:r>
        <w:t>Revenue Protection has neither revenue losses nor revenue recovery performance metrics associated with theft of service and other non-billed losses.</w:t>
      </w:r>
    </w:p>
    <w:p w:rsidR="00AC40FC" w:rsidRDefault="00AC40FC" w:rsidP="00701DCF">
      <w:r>
        <w:t>Revenue Protection focuses on ensuring accurate meter readings and accurate billing, not necessarily finding and recovering dollars.</w:t>
      </w:r>
      <w:r w:rsidRPr="00440B39">
        <w:t xml:space="preserve">  </w:t>
      </w:r>
      <w:r>
        <w:t xml:space="preserve"> Revenue Protection seeks to discover equipment failures and meter anomalies as soon as possible in order to reduce the time or cycle of meter failure to the time of discovery.   As noted elsewhere, these non-revenue related goals have been in effect for five years.</w:t>
      </w:r>
    </w:p>
    <w:p w:rsidR="00AC40FC" w:rsidRDefault="00AC40FC" w:rsidP="00701DCF">
      <w:r>
        <w:t>Revenue Protection estimates that delays in discovering meter failures are causing losses of $18,000 per month.  Revenue Protection asserts that:  “We recover less money because less money is being lost.”  While this may be anecdotally true, there are no metrics to support the assertion.  Revenue Protection expressed an informal goal to recover $1 million per year. There is no information to assess performance against that goal.</w:t>
      </w:r>
    </w:p>
    <w:p w:rsidR="00AC40FC" w:rsidRDefault="00AC40FC" w:rsidP="004F00E5">
      <w:pPr>
        <w:pStyle w:val="Findings"/>
        <w:numPr>
          <w:ilvl w:val="0"/>
          <w:numId w:val="50"/>
        </w:numPr>
      </w:pPr>
      <w:r>
        <w:t>The reporting and presentation of billing performance metrics have not improved over the last three years and do not adequately focus on errors.</w:t>
      </w:r>
    </w:p>
    <w:p w:rsidR="00AC40FC" w:rsidRDefault="00AC40FC" w:rsidP="00701DCF">
      <w:r>
        <w:t>Nearly 17 million bills are issued each year.  The data below depicts billing performance, as reported in the Customer Services Monthly Performance Indicators reports:</w:t>
      </w:r>
    </w:p>
    <w:p w:rsidR="00AC40FC" w:rsidRDefault="00AC40FC" w:rsidP="00ED6D61">
      <w:pPr>
        <w:pStyle w:val="Caption"/>
      </w:pPr>
      <w:bookmarkStart w:id="91" w:name="_Toc462648414"/>
      <w:bookmarkStart w:id="92" w:name="_Toc464553036"/>
      <w:r>
        <w:t xml:space="preserve">Exhibit </w:t>
      </w:r>
      <w:fldSimple w:instr=" STYLEREF 1 \s ">
        <w:r w:rsidR="00A24205">
          <w:rPr>
            <w:noProof/>
          </w:rPr>
          <w:t>IX</w:t>
        </w:r>
      </w:fldSimple>
      <w:r w:rsidR="00264A1B">
        <w:noBreakHyphen/>
      </w:r>
      <w:fldSimple w:instr=" SEQ Exhibit \* ARABIC \s 1 ">
        <w:r w:rsidR="00A24205">
          <w:rPr>
            <w:noProof/>
          </w:rPr>
          <w:t>21</w:t>
        </w:r>
      </w:fldSimple>
      <w:r>
        <w:br/>
        <w:t>Bills Issued Timely and Accurately</w:t>
      </w:r>
      <w:bookmarkEnd w:id="91"/>
      <w:bookmarkEnd w:id="92"/>
    </w:p>
    <w:p w:rsidR="00AC40FC" w:rsidRDefault="00AC40FC" w:rsidP="00701DCF">
      <w:pPr>
        <w:jc w:val="center"/>
      </w:pPr>
      <w:r>
        <w:rPr>
          <w:noProof/>
        </w:rPr>
        <w:drawing>
          <wp:inline distT="0" distB="0" distL="0" distR="0">
            <wp:extent cx="4567555" cy="2376612"/>
            <wp:effectExtent l="0" t="0" r="4445" b="508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bl>
      <w:tblPr>
        <w:tblW w:w="8475" w:type="dxa"/>
        <w:jc w:val="center"/>
        <w:tblLayout w:type="fixed"/>
        <w:tblLook w:val="04A0"/>
      </w:tblPr>
      <w:tblGrid>
        <w:gridCol w:w="2535"/>
        <w:gridCol w:w="990"/>
        <w:gridCol w:w="990"/>
        <w:gridCol w:w="990"/>
        <w:gridCol w:w="990"/>
        <w:gridCol w:w="990"/>
        <w:gridCol w:w="990"/>
      </w:tblGrid>
      <w:tr w:rsidR="00AC40FC" w:rsidRPr="00341721" w:rsidTr="00701DCF">
        <w:trPr>
          <w:cantSplit/>
          <w:trHeight w:val="300"/>
          <w:tblHeader/>
          <w:jc w:val="center"/>
        </w:trPr>
        <w:tc>
          <w:tcPr>
            <w:tcW w:w="2535" w:type="dxa"/>
            <w:tcBorders>
              <w:top w:val="single" w:sz="4" w:space="0" w:color="auto"/>
              <w:left w:val="single" w:sz="4" w:space="0" w:color="auto"/>
              <w:bottom w:val="single" w:sz="4" w:space="0" w:color="auto"/>
              <w:right w:val="single" w:sz="4" w:space="0" w:color="auto"/>
            </w:tcBorders>
            <w:shd w:val="clear" w:color="auto" w:fill="A5CD7E"/>
            <w:noWrap/>
            <w:vAlign w:val="center"/>
            <w:hideMark/>
          </w:tcPr>
          <w:p w:rsidR="00AC40FC" w:rsidRPr="007130F0" w:rsidRDefault="00AC40FC" w:rsidP="007370C9">
            <w:pPr>
              <w:spacing w:before="120"/>
              <w:jc w:val="center"/>
              <w:rPr>
                <w:rFonts w:cs="Arial"/>
                <w:b/>
                <w:color w:val="000000"/>
                <w:sz w:val="22"/>
              </w:rPr>
            </w:pPr>
            <w:r w:rsidRPr="007130F0">
              <w:rPr>
                <w:rFonts w:cs="Arial"/>
                <w:b/>
                <w:color w:val="000000"/>
                <w:sz w:val="22"/>
              </w:rPr>
              <w:t>Metric</w:t>
            </w:r>
          </w:p>
        </w:tc>
        <w:tc>
          <w:tcPr>
            <w:tcW w:w="99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7130F0" w:rsidRDefault="00AC40FC" w:rsidP="007370C9">
            <w:pPr>
              <w:spacing w:before="120"/>
              <w:jc w:val="center"/>
              <w:rPr>
                <w:rFonts w:cs="Arial"/>
                <w:b/>
                <w:color w:val="000000"/>
                <w:sz w:val="22"/>
              </w:rPr>
            </w:pPr>
            <w:r w:rsidRPr="007130F0">
              <w:rPr>
                <w:rFonts w:cs="Arial"/>
                <w:b/>
                <w:color w:val="000000"/>
                <w:sz w:val="22"/>
              </w:rPr>
              <w:t>2010</w:t>
            </w:r>
          </w:p>
        </w:tc>
        <w:tc>
          <w:tcPr>
            <w:tcW w:w="99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7130F0" w:rsidRDefault="00AC40FC" w:rsidP="007370C9">
            <w:pPr>
              <w:spacing w:before="120"/>
              <w:jc w:val="center"/>
              <w:rPr>
                <w:rFonts w:cs="Arial"/>
                <w:b/>
                <w:color w:val="000000"/>
                <w:sz w:val="22"/>
              </w:rPr>
            </w:pPr>
            <w:r w:rsidRPr="007130F0">
              <w:rPr>
                <w:rFonts w:cs="Arial"/>
                <w:b/>
                <w:color w:val="000000"/>
                <w:sz w:val="22"/>
              </w:rPr>
              <w:t>2011</w:t>
            </w:r>
          </w:p>
        </w:tc>
        <w:tc>
          <w:tcPr>
            <w:tcW w:w="99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7130F0" w:rsidRDefault="00AC40FC" w:rsidP="007370C9">
            <w:pPr>
              <w:spacing w:before="120"/>
              <w:jc w:val="center"/>
              <w:rPr>
                <w:rFonts w:cs="Arial"/>
                <w:b/>
                <w:color w:val="000000"/>
                <w:sz w:val="22"/>
              </w:rPr>
            </w:pPr>
            <w:r w:rsidRPr="007130F0">
              <w:rPr>
                <w:rFonts w:cs="Arial"/>
                <w:b/>
                <w:color w:val="000000"/>
                <w:sz w:val="22"/>
              </w:rPr>
              <w:t>2012</w:t>
            </w:r>
          </w:p>
        </w:tc>
        <w:tc>
          <w:tcPr>
            <w:tcW w:w="99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7130F0" w:rsidRDefault="00AC40FC" w:rsidP="007370C9">
            <w:pPr>
              <w:spacing w:before="120"/>
              <w:jc w:val="center"/>
              <w:rPr>
                <w:rFonts w:cs="Arial"/>
                <w:b/>
                <w:color w:val="000000"/>
                <w:sz w:val="22"/>
              </w:rPr>
            </w:pPr>
            <w:r w:rsidRPr="007130F0">
              <w:rPr>
                <w:rFonts w:cs="Arial"/>
                <w:b/>
                <w:color w:val="000000"/>
                <w:sz w:val="22"/>
              </w:rPr>
              <w:t>2013</w:t>
            </w:r>
          </w:p>
        </w:tc>
        <w:tc>
          <w:tcPr>
            <w:tcW w:w="99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7130F0" w:rsidRDefault="00AC40FC" w:rsidP="007370C9">
            <w:pPr>
              <w:spacing w:before="120"/>
              <w:jc w:val="center"/>
              <w:rPr>
                <w:rFonts w:cs="Arial"/>
                <w:b/>
                <w:color w:val="000000"/>
                <w:sz w:val="22"/>
              </w:rPr>
            </w:pPr>
            <w:r w:rsidRPr="007130F0">
              <w:rPr>
                <w:rFonts w:cs="Arial"/>
                <w:b/>
                <w:color w:val="000000"/>
                <w:sz w:val="22"/>
              </w:rPr>
              <w:t>2014</w:t>
            </w:r>
          </w:p>
        </w:tc>
        <w:tc>
          <w:tcPr>
            <w:tcW w:w="99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7130F0" w:rsidRDefault="00AC40FC" w:rsidP="007370C9">
            <w:pPr>
              <w:spacing w:before="120"/>
              <w:jc w:val="center"/>
              <w:rPr>
                <w:rFonts w:cs="Arial"/>
                <w:b/>
                <w:color w:val="000000"/>
                <w:sz w:val="22"/>
              </w:rPr>
            </w:pPr>
            <w:r>
              <w:rPr>
                <w:rFonts w:cs="Arial"/>
                <w:b/>
                <w:color w:val="000000"/>
                <w:sz w:val="22"/>
              </w:rPr>
              <w:t>20</w:t>
            </w:r>
            <w:r w:rsidRPr="007130F0">
              <w:rPr>
                <w:rFonts w:cs="Arial"/>
                <w:b/>
                <w:color w:val="000000"/>
                <w:sz w:val="22"/>
              </w:rPr>
              <w:t>15</w:t>
            </w:r>
          </w:p>
        </w:tc>
      </w:tr>
      <w:tr w:rsidR="00AC40FC" w:rsidRPr="00341721" w:rsidTr="00701DCF">
        <w:trPr>
          <w:trHeight w:val="300"/>
          <w:jc w:val="center"/>
        </w:trPr>
        <w:tc>
          <w:tcPr>
            <w:tcW w:w="2535" w:type="dxa"/>
            <w:tcBorders>
              <w:top w:val="nil"/>
              <w:left w:val="single" w:sz="4" w:space="0" w:color="auto"/>
              <w:bottom w:val="single" w:sz="4" w:space="0" w:color="auto"/>
              <w:right w:val="single" w:sz="4" w:space="0" w:color="auto"/>
            </w:tcBorders>
            <w:shd w:val="clear" w:color="auto" w:fill="auto"/>
            <w:noWrap/>
            <w:vAlign w:val="bottom"/>
            <w:hideMark/>
          </w:tcPr>
          <w:p w:rsidR="00AC40FC" w:rsidRPr="00341721" w:rsidRDefault="00AC40FC" w:rsidP="00701DCF">
            <w:pPr>
              <w:spacing w:after="0"/>
              <w:jc w:val="center"/>
              <w:rPr>
                <w:rFonts w:cs="Arial"/>
                <w:color w:val="000000"/>
                <w:sz w:val="22"/>
              </w:rPr>
            </w:pPr>
            <w:r w:rsidRPr="00341721">
              <w:rPr>
                <w:rFonts w:cs="Arial"/>
                <w:color w:val="000000"/>
                <w:sz w:val="22"/>
              </w:rPr>
              <w:t>Bills Issued Timely (Target 99.9%)</w:t>
            </w:r>
          </w:p>
        </w:tc>
        <w:tc>
          <w:tcPr>
            <w:tcW w:w="990" w:type="dxa"/>
            <w:tcBorders>
              <w:top w:val="nil"/>
              <w:left w:val="nil"/>
              <w:bottom w:val="single" w:sz="4" w:space="0" w:color="auto"/>
              <w:right w:val="single" w:sz="4" w:space="0" w:color="auto"/>
            </w:tcBorders>
            <w:shd w:val="clear" w:color="auto" w:fill="auto"/>
            <w:noWrap/>
            <w:vAlign w:val="center"/>
            <w:hideMark/>
          </w:tcPr>
          <w:p w:rsidR="00AC40FC" w:rsidRPr="00341721" w:rsidRDefault="00AC40FC" w:rsidP="00701DCF">
            <w:pPr>
              <w:spacing w:after="0"/>
              <w:jc w:val="center"/>
              <w:rPr>
                <w:rFonts w:cs="Arial"/>
                <w:color w:val="000000"/>
                <w:sz w:val="22"/>
              </w:rPr>
            </w:pPr>
            <w:r w:rsidRPr="00341721">
              <w:rPr>
                <w:rFonts w:cs="Arial"/>
                <w:color w:val="000000"/>
                <w:sz w:val="22"/>
              </w:rPr>
              <w:t>99.94%</w:t>
            </w:r>
          </w:p>
        </w:tc>
        <w:tc>
          <w:tcPr>
            <w:tcW w:w="990" w:type="dxa"/>
            <w:tcBorders>
              <w:top w:val="nil"/>
              <w:left w:val="nil"/>
              <w:bottom w:val="single" w:sz="4" w:space="0" w:color="auto"/>
              <w:right w:val="single" w:sz="4" w:space="0" w:color="auto"/>
            </w:tcBorders>
            <w:shd w:val="clear" w:color="auto" w:fill="auto"/>
            <w:noWrap/>
            <w:vAlign w:val="center"/>
            <w:hideMark/>
          </w:tcPr>
          <w:p w:rsidR="00AC40FC" w:rsidRPr="00341721" w:rsidRDefault="00AC40FC" w:rsidP="00701DCF">
            <w:pPr>
              <w:spacing w:after="0"/>
              <w:jc w:val="center"/>
              <w:rPr>
                <w:rFonts w:cs="Arial"/>
                <w:color w:val="000000"/>
                <w:sz w:val="22"/>
              </w:rPr>
            </w:pPr>
            <w:r w:rsidRPr="00341721">
              <w:rPr>
                <w:rFonts w:cs="Arial"/>
                <w:color w:val="000000"/>
                <w:sz w:val="22"/>
              </w:rPr>
              <w:t>99.89%</w:t>
            </w:r>
          </w:p>
        </w:tc>
        <w:tc>
          <w:tcPr>
            <w:tcW w:w="990" w:type="dxa"/>
            <w:tcBorders>
              <w:top w:val="nil"/>
              <w:left w:val="nil"/>
              <w:bottom w:val="single" w:sz="4" w:space="0" w:color="auto"/>
              <w:right w:val="single" w:sz="4" w:space="0" w:color="auto"/>
            </w:tcBorders>
            <w:shd w:val="clear" w:color="auto" w:fill="auto"/>
            <w:noWrap/>
            <w:vAlign w:val="center"/>
            <w:hideMark/>
          </w:tcPr>
          <w:p w:rsidR="00AC40FC" w:rsidRPr="00341721" w:rsidRDefault="00AC40FC" w:rsidP="00701DCF">
            <w:pPr>
              <w:spacing w:after="0"/>
              <w:jc w:val="center"/>
              <w:rPr>
                <w:rFonts w:cs="Arial"/>
                <w:color w:val="000000"/>
                <w:sz w:val="22"/>
              </w:rPr>
            </w:pPr>
            <w:r w:rsidRPr="00341721">
              <w:rPr>
                <w:rFonts w:cs="Arial"/>
                <w:color w:val="000000"/>
                <w:sz w:val="22"/>
              </w:rPr>
              <w:t>99.89%</w:t>
            </w:r>
          </w:p>
        </w:tc>
        <w:tc>
          <w:tcPr>
            <w:tcW w:w="990" w:type="dxa"/>
            <w:tcBorders>
              <w:top w:val="nil"/>
              <w:left w:val="nil"/>
              <w:bottom w:val="single" w:sz="4" w:space="0" w:color="auto"/>
              <w:right w:val="single" w:sz="4" w:space="0" w:color="auto"/>
            </w:tcBorders>
            <w:shd w:val="clear" w:color="auto" w:fill="auto"/>
            <w:noWrap/>
            <w:vAlign w:val="center"/>
            <w:hideMark/>
          </w:tcPr>
          <w:p w:rsidR="00AC40FC" w:rsidRPr="00341721" w:rsidRDefault="00AC40FC" w:rsidP="00701DCF">
            <w:pPr>
              <w:spacing w:after="0"/>
              <w:jc w:val="center"/>
              <w:rPr>
                <w:rFonts w:cs="Arial"/>
                <w:color w:val="000000"/>
                <w:sz w:val="22"/>
              </w:rPr>
            </w:pPr>
            <w:r w:rsidRPr="00341721">
              <w:rPr>
                <w:rFonts w:cs="Arial"/>
                <w:color w:val="000000"/>
                <w:sz w:val="22"/>
              </w:rPr>
              <w:t>99.90%</w:t>
            </w:r>
          </w:p>
        </w:tc>
        <w:tc>
          <w:tcPr>
            <w:tcW w:w="990" w:type="dxa"/>
            <w:tcBorders>
              <w:top w:val="nil"/>
              <w:left w:val="nil"/>
              <w:bottom w:val="single" w:sz="4" w:space="0" w:color="auto"/>
              <w:right w:val="single" w:sz="4" w:space="0" w:color="auto"/>
            </w:tcBorders>
            <w:shd w:val="clear" w:color="auto" w:fill="auto"/>
            <w:noWrap/>
            <w:vAlign w:val="center"/>
            <w:hideMark/>
          </w:tcPr>
          <w:p w:rsidR="00AC40FC" w:rsidRPr="00341721" w:rsidRDefault="00AC40FC" w:rsidP="00701DCF">
            <w:pPr>
              <w:spacing w:after="0"/>
              <w:jc w:val="center"/>
              <w:rPr>
                <w:rFonts w:cs="Arial"/>
                <w:color w:val="000000"/>
                <w:sz w:val="22"/>
              </w:rPr>
            </w:pPr>
            <w:r w:rsidRPr="00341721">
              <w:rPr>
                <w:rFonts w:cs="Arial"/>
                <w:color w:val="000000"/>
                <w:sz w:val="22"/>
              </w:rPr>
              <w:t>99.90%</w:t>
            </w:r>
          </w:p>
        </w:tc>
        <w:tc>
          <w:tcPr>
            <w:tcW w:w="990" w:type="dxa"/>
            <w:tcBorders>
              <w:top w:val="nil"/>
              <w:left w:val="nil"/>
              <w:bottom w:val="single" w:sz="4" w:space="0" w:color="auto"/>
              <w:right w:val="single" w:sz="4" w:space="0" w:color="auto"/>
            </w:tcBorders>
            <w:shd w:val="clear" w:color="auto" w:fill="auto"/>
            <w:noWrap/>
            <w:vAlign w:val="center"/>
            <w:hideMark/>
          </w:tcPr>
          <w:p w:rsidR="00AC40FC" w:rsidRPr="00341721" w:rsidRDefault="00AC40FC" w:rsidP="00701DCF">
            <w:pPr>
              <w:spacing w:after="0"/>
              <w:jc w:val="center"/>
              <w:rPr>
                <w:rFonts w:cs="Arial"/>
                <w:color w:val="000000"/>
                <w:sz w:val="22"/>
              </w:rPr>
            </w:pPr>
            <w:r>
              <w:rPr>
                <w:rFonts w:cs="Arial"/>
                <w:color w:val="000000"/>
                <w:sz w:val="22"/>
              </w:rPr>
              <w:t>99.91</w:t>
            </w:r>
            <w:r w:rsidRPr="00341721">
              <w:rPr>
                <w:rFonts w:cs="Arial"/>
                <w:color w:val="000000"/>
                <w:sz w:val="22"/>
              </w:rPr>
              <w:t>%</w:t>
            </w:r>
          </w:p>
        </w:tc>
      </w:tr>
      <w:tr w:rsidR="00AC40FC" w:rsidRPr="00341721" w:rsidTr="00701DCF">
        <w:trPr>
          <w:trHeight w:val="300"/>
          <w:jc w:val="center"/>
        </w:trPr>
        <w:tc>
          <w:tcPr>
            <w:tcW w:w="2535" w:type="dxa"/>
            <w:tcBorders>
              <w:top w:val="nil"/>
              <w:left w:val="single" w:sz="4" w:space="0" w:color="auto"/>
              <w:bottom w:val="single" w:sz="4" w:space="0" w:color="auto"/>
              <w:right w:val="single" w:sz="4" w:space="0" w:color="auto"/>
            </w:tcBorders>
            <w:shd w:val="clear" w:color="auto" w:fill="auto"/>
            <w:noWrap/>
            <w:vAlign w:val="bottom"/>
            <w:hideMark/>
          </w:tcPr>
          <w:p w:rsidR="00AC40FC" w:rsidRPr="00341721" w:rsidRDefault="00AC40FC" w:rsidP="00701DCF">
            <w:pPr>
              <w:spacing w:after="0"/>
              <w:jc w:val="center"/>
              <w:rPr>
                <w:rFonts w:cs="Arial"/>
                <w:color w:val="000000"/>
                <w:sz w:val="22"/>
              </w:rPr>
            </w:pPr>
            <w:r w:rsidRPr="00341721">
              <w:rPr>
                <w:rFonts w:cs="Arial"/>
                <w:color w:val="000000"/>
                <w:sz w:val="22"/>
              </w:rPr>
              <w:t>Bills Issued Accurately (Target 99.7%)</w:t>
            </w:r>
          </w:p>
        </w:tc>
        <w:tc>
          <w:tcPr>
            <w:tcW w:w="990" w:type="dxa"/>
            <w:tcBorders>
              <w:top w:val="nil"/>
              <w:left w:val="nil"/>
              <w:bottom w:val="single" w:sz="4" w:space="0" w:color="auto"/>
              <w:right w:val="single" w:sz="4" w:space="0" w:color="auto"/>
            </w:tcBorders>
            <w:shd w:val="clear" w:color="auto" w:fill="auto"/>
            <w:noWrap/>
            <w:vAlign w:val="center"/>
            <w:hideMark/>
          </w:tcPr>
          <w:p w:rsidR="00AC40FC" w:rsidRPr="00341721" w:rsidRDefault="00AC40FC" w:rsidP="00701DCF">
            <w:pPr>
              <w:spacing w:after="0"/>
              <w:jc w:val="center"/>
              <w:rPr>
                <w:rFonts w:cs="Arial"/>
                <w:color w:val="000000"/>
                <w:sz w:val="22"/>
              </w:rPr>
            </w:pPr>
            <w:r w:rsidRPr="00341721">
              <w:rPr>
                <w:rFonts w:cs="Arial"/>
                <w:color w:val="000000"/>
                <w:sz w:val="22"/>
              </w:rPr>
              <w:t>NA</w:t>
            </w:r>
          </w:p>
        </w:tc>
        <w:tc>
          <w:tcPr>
            <w:tcW w:w="990" w:type="dxa"/>
            <w:tcBorders>
              <w:top w:val="nil"/>
              <w:left w:val="nil"/>
              <w:bottom w:val="single" w:sz="4" w:space="0" w:color="auto"/>
              <w:right w:val="single" w:sz="4" w:space="0" w:color="auto"/>
            </w:tcBorders>
            <w:shd w:val="clear" w:color="auto" w:fill="auto"/>
            <w:noWrap/>
            <w:vAlign w:val="center"/>
            <w:hideMark/>
          </w:tcPr>
          <w:p w:rsidR="00AC40FC" w:rsidRPr="00341721" w:rsidRDefault="00AC40FC" w:rsidP="00701DCF">
            <w:pPr>
              <w:spacing w:after="0"/>
              <w:jc w:val="center"/>
              <w:rPr>
                <w:rFonts w:cs="Arial"/>
                <w:color w:val="000000"/>
                <w:sz w:val="22"/>
              </w:rPr>
            </w:pPr>
            <w:r w:rsidRPr="00341721">
              <w:rPr>
                <w:rFonts w:cs="Arial"/>
                <w:color w:val="000000"/>
                <w:sz w:val="22"/>
              </w:rPr>
              <w:t>NA</w:t>
            </w:r>
          </w:p>
        </w:tc>
        <w:tc>
          <w:tcPr>
            <w:tcW w:w="990" w:type="dxa"/>
            <w:tcBorders>
              <w:top w:val="nil"/>
              <w:left w:val="nil"/>
              <w:bottom w:val="single" w:sz="4" w:space="0" w:color="auto"/>
              <w:right w:val="single" w:sz="4" w:space="0" w:color="auto"/>
            </w:tcBorders>
            <w:shd w:val="clear" w:color="auto" w:fill="auto"/>
            <w:noWrap/>
            <w:vAlign w:val="center"/>
            <w:hideMark/>
          </w:tcPr>
          <w:p w:rsidR="00AC40FC" w:rsidRPr="00341721" w:rsidRDefault="00AC40FC" w:rsidP="00701DCF">
            <w:pPr>
              <w:spacing w:after="0"/>
              <w:jc w:val="center"/>
              <w:rPr>
                <w:rFonts w:cs="Arial"/>
                <w:color w:val="000000"/>
                <w:sz w:val="22"/>
              </w:rPr>
            </w:pPr>
            <w:r w:rsidRPr="00341721">
              <w:rPr>
                <w:rFonts w:cs="Arial"/>
                <w:color w:val="000000"/>
                <w:sz w:val="22"/>
              </w:rPr>
              <w:t>NA</w:t>
            </w:r>
          </w:p>
        </w:tc>
        <w:tc>
          <w:tcPr>
            <w:tcW w:w="990" w:type="dxa"/>
            <w:tcBorders>
              <w:top w:val="nil"/>
              <w:left w:val="nil"/>
              <w:bottom w:val="single" w:sz="4" w:space="0" w:color="auto"/>
              <w:right w:val="single" w:sz="4" w:space="0" w:color="auto"/>
            </w:tcBorders>
            <w:shd w:val="clear" w:color="auto" w:fill="auto"/>
            <w:noWrap/>
            <w:vAlign w:val="center"/>
            <w:hideMark/>
          </w:tcPr>
          <w:p w:rsidR="00AC40FC" w:rsidRPr="00341721" w:rsidRDefault="00AC40FC" w:rsidP="00701DCF">
            <w:pPr>
              <w:spacing w:after="0"/>
              <w:jc w:val="center"/>
              <w:rPr>
                <w:rFonts w:cs="Arial"/>
                <w:color w:val="000000"/>
                <w:sz w:val="22"/>
              </w:rPr>
            </w:pPr>
            <w:r w:rsidRPr="00341721">
              <w:rPr>
                <w:rFonts w:cs="Arial"/>
                <w:color w:val="000000"/>
                <w:sz w:val="22"/>
              </w:rPr>
              <w:t>99.70%</w:t>
            </w:r>
          </w:p>
        </w:tc>
        <w:tc>
          <w:tcPr>
            <w:tcW w:w="990" w:type="dxa"/>
            <w:tcBorders>
              <w:top w:val="nil"/>
              <w:left w:val="nil"/>
              <w:bottom w:val="single" w:sz="4" w:space="0" w:color="auto"/>
              <w:right w:val="single" w:sz="4" w:space="0" w:color="auto"/>
            </w:tcBorders>
            <w:shd w:val="clear" w:color="auto" w:fill="auto"/>
            <w:noWrap/>
            <w:vAlign w:val="center"/>
            <w:hideMark/>
          </w:tcPr>
          <w:p w:rsidR="00AC40FC" w:rsidRPr="00341721" w:rsidRDefault="00AC40FC" w:rsidP="00701DCF">
            <w:pPr>
              <w:spacing w:after="0"/>
              <w:jc w:val="center"/>
              <w:rPr>
                <w:rFonts w:cs="Arial"/>
                <w:color w:val="000000"/>
                <w:sz w:val="22"/>
              </w:rPr>
            </w:pPr>
            <w:r w:rsidRPr="00341721">
              <w:rPr>
                <w:rFonts w:cs="Arial"/>
                <w:color w:val="000000"/>
                <w:sz w:val="22"/>
              </w:rPr>
              <w:t>99.70%</w:t>
            </w:r>
          </w:p>
        </w:tc>
        <w:tc>
          <w:tcPr>
            <w:tcW w:w="990" w:type="dxa"/>
            <w:tcBorders>
              <w:top w:val="nil"/>
              <w:left w:val="nil"/>
              <w:bottom w:val="single" w:sz="4" w:space="0" w:color="auto"/>
              <w:right w:val="single" w:sz="4" w:space="0" w:color="auto"/>
            </w:tcBorders>
            <w:shd w:val="clear" w:color="auto" w:fill="auto"/>
            <w:noWrap/>
            <w:vAlign w:val="center"/>
            <w:hideMark/>
          </w:tcPr>
          <w:p w:rsidR="00AC40FC" w:rsidRPr="00341721" w:rsidRDefault="00AC40FC" w:rsidP="00701DCF">
            <w:pPr>
              <w:spacing w:after="0"/>
              <w:jc w:val="center"/>
              <w:rPr>
                <w:rFonts w:cs="Arial"/>
                <w:color w:val="000000"/>
                <w:sz w:val="22"/>
              </w:rPr>
            </w:pPr>
            <w:r>
              <w:rPr>
                <w:rFonts w:cs="Arial"/>
                <w:color w:val="000000"/>
                <w:sz w:val="22"/>
              </w:rPr>
              <w:t>99.70%</w:t>
            </w:r>
          </w:p>
        </w:tc>
      </w:tr>
      <w:tr w:rsidR="00AC40FC" w:rsidRPr="00341721" w:rsidTr="00701DCF">
        <w:trPr>
          <w:trHeight w:val="300"/>
          <w:jc w:val="center"/>
        </w:trPr>
        <w:tc>
          <w:tcPr>
            <w:tcW w:w="8475"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C40FC" w:rsidRPr="00971004" w:rsidRDefault="00AC40FC" w:rsidP="00701DCF">
            <w:pPr>
              <w:spacing w:after="0"/>
              <w:rPr>
                <w:rFonts w:cs="Arial"/>
                <w:color w:val="000000"/>
                <w:sz w:val="20"/>
                <w:szCs w:val="20"/>
              </w:rPr>
            </w:pPr>
            <w:r w:rsidRPr="00971004">
              <w:rPr>
                <w:rFonts w:cs="Arial"/>
                <w:color w:val="000000"/>
                <w:sz w:val="20"/>
                <w:szCs w:val="20"/>
              </w:rPr>
              <w:t>Source</w:t>
            </w:r>
            <w:r>
              <w:rPr>
                <w:rFonts w:cs="Arial"/>
                <w:color w:val="000000"/>
                <w:sz w:val="20"/>
                <w:szCs w:val="20"/>
              </w:rPr>
              <w:t>s</w:t>
            </w:r>
            <w:r w:rsidRPr="00971004">
              <w:rPr>
                <w:rFonts w:cs="Arial"/>
                <w:color w:val="000000"/>
                <w:sz w:val="20"/>
                <w:szCs w:val="20"/>
              </w:rPr>
              <w:t xml:space="preserve">:  DN 04-177/197; </w:t>
            </w:r>
            <w:bookmarkStart w:id="93" w:name="OLE_LINK6"/>
            <w:r w:rsidRPr="00971004">
              <w:rPr>
                <w:rFonts w:cs="Arial"/>
                <w:color w:val="000000"/>
                <w:sz w:val="20"/>
                <w:szCs w:val="20"/>
              </w:rPr>
              <w:t xml:space="preserve">PPL EU </w:t>
            </w:r>
            <w:bookmarkEnd w:id="93"/>
            <w:r>
              <w:rPr>
                <w:rFonts w:cs="Arial"/>
                <w:color w:val="000000"/>
                <w:sz w:val="20"/>
                <w:szCs w:val="20"/>
              </w:rPr>
              <w:t>edits</w:t>
            </w:r>
          </w:p>
        </w:tc>
      </w:tr>
    </w:tbl>
    <w:p w:rsidR="00AC40FC" w:rsidRDefault="00AC40FC" w:rsidP="00701DCF">
      <w:pPr>
        <w:pStyle w:val="Normal-aftertable"/>
      </w:pPr>
      <w:r>
        <w:lastRenderedPageBreak/>
        <w:t>As shown above, the Bills Issued Timely and the Bills Issues Accurately metrics have leveled off for the the last three years.</w:t>
      </w:r>
      <w:r>
        <w:tab/>
      </w:r>
    </w:p>
    <w:p w:rsidR="00AC40FC" w:rsidRDefault="00AC40FC" w:rsidP="00701DCF">
      <w:r>
        <w:t>The October 2015 report notes that in October, the percentage of accounts billed timely remained relatively the same.  The number of bills issued accurately met the target of 99.7%.  A larger number of adjustments (4,218) were performed during the month of October compared to 3,646 adjustments in September.  Phone answering reduced the time availability of CSRs to perform back office work to identify and correct billing errors.</w:t>
      </w:r>
    </w:p>
    <w:p w:rsidR="00AC40FC" w:rsidRDefault="00AC40FC" w:rsidP="00701DCF">
      <w:r>
        <w:t xml:space="preserve">Customer Services has focused on improvement opportunities, including key items having a direct impact to the “no bills.”  Prioritization is given by large dollar valued accounts followed by GS3 </w:t>
      </w:r>
      <w:r w:rsidRPr="003903F8">
        <w:t xml:space="preserve">accounts </w:t>
      </w:r>
      <w:r>
        <w:t>(Large G</w:t>
      </w:r>
      <w:r w:rsidRPr="003903F8">
        <w:t>eneral Service</w:t>
      </w:r>
      <w:r>
        <w:t xml:space="preserve"> – Time of Day Rates)</w:t>
      </w:r>
      <w:r w:rsidRPr="003903F8">
        <w:t>, followed</w:t>
      </w:r>
      <w:r>
        <w:t xml:space="preserve"> by oldest aged accounts.</w:t>
      </w:r>
    </w:p>
    <w:p w:rsidR="00AC40FC" w:rsidRDefault="00AC40FC" w:rsidP="00701DCF">
      <w:r>
        <w:t>Redefining the metrics to focus, instead, on error or exception rates is a better measurement practice.  By tracking Bills Not Issued Timely and Adjusted Bills (not issued accurately), the data would appear as follows:</w:t>
      </w:r>
    </w:p>
    <w:p w:rsidR="00AC40FC" w:rsidRDefault="00AC40FC" w:rsidP="00ED6D61">
      <w:pPr>
        <w:pStyle w:val="Caption"/>
      </w:pPr>
      <w:bookmarkStart w:id="94" w:name="_Toc462648415"/>
      <w:bookmarkStart w:id="95" w:name="_Toc464553037"/>
      <w:r>
        <w:t xml:space="preserve">Exhibit </w:t>
      </w:r>
      <w:fldSimple w:instr=" STYLEREF 1 \s ">
        <w:r w:rsidR="00A24205">
          <w:rPr>
            <w:noProof/>
          </w:rPr>
          <w:t>IX</w:t>
        </w:r>
      </w:fldSimple>
      <w:r w:rsidR="00264A1B">
        <w:noBreakHyphen/>
      </w:r>
      <w:fldSimple w:instr=" SEQ Exhibit \* ARABIC \s 1 ">
        <w:r w:rsidR="00A24205">
          <w:rPr>
            <w:noProof/>
          </w:rPr>
          <w:t>22</w:t>
        </w:r>
      </w:fldSimple>
      <w:r>
        <w:br/>
        <w:t>Bills Not Issued Timely and Bills Adjusted Performance</w:t>
      </w:r>
      <w:bookmarkEnd w:id="94"/>
      <w:bookmarkEnd w:id="95"/>
    </w:p>
    <w:p w:rsidR="00AC40FC" w:rsidRDefault="00AC40FC" w:rsidP="00701DCF">
      <w:pPr>
        <w:jc w:val="center"/>
      </w:pPr>
      <w:r>
        <w:rPr>
          <w:noProof/>
        </w:rPr>
        <w:drawing>
          <wp:inline distT="0" distB="0" distL="0" distR="0">
            <wp:extent cx="4567555" cy="2376612"/>
            <wp:effectExtent l="0" t="0" r="4445" b="5080"/>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bl>
      <w:tblPr>
        <w:tblW w:w="8197" w:type="dxa"/>
        <w:jc w:val="center"/>
        <w:tblLayout w:type="fixed"/>
        <w:tblLook w:val="04A0"/>
      </w:tblPr>
      <w:tblGrid>
        <w:gridCol w:w="2797"/>
        <w:gridCol w:w="900"/>
        <w:gridCol w:w="900"/>
        <w:gridCol w:w="900"/>
        <w:gridCol w:w="900"/>
        <w:gridCol w:w="900"/>
        <w:gridCol w:w="900"/>
      </w:tblGrid>
      <w:tr w:rsidR="00AC40FC" w:rsidRPr="002404ED" w:rsidTr="00701DCF">
        <w:trPr>
          <w:cantSplit/>
          <w:trHeight w:val="300"/>
          <w:tblHeader/>
          <w:jc w:val="center"/>
        </w:trPr>
        <w:tc>
          <w:tcPr>
            <w:tcW w:w="2797" w:type="dxa"/>
            <w:tcBorders>
              <w:top w:val="nil"/>
              <w:left w:val="nil"/>
              <w:bottom w:val="nil"/>
              <w:right w:val="nil"/>
            </w:tcBorders>
            <w:shd w:val="clear" w:color="auto" w:fill="A5CD7E"/>
            <w:noWrap/>
            <w:vAlign w:val="center"/>
            <w:hideMark/>
          </w:tcPr>
          <w:p w:rsidR="00AC40FC" w:rsidRPr="00D33B21" w:rsidRDefault="00AC40FC" w:rsidP="007370C9">
            <w:pPr>
              <w:spacing w:before="80" w:after="80"/>
              <w:jc w:val="center"/>
              <w:rPr>
                <w:rFonts w:cs="Arial"/>
                <w:b/>
                <w:color w:val="000000"/>
                <w:sz w:val="20"/>
                <w:szCs w:val="20"/>
              </w:rPr>
            </w:pPr>
            <w:r w:rsidRPr="00D33B21">
              <w:rPr>
                <w:rFonts w:cs="Arial"/>
                <w:b/>
                <w:color w:val="000000"/>
                <w:sz w:val="20"/>
                <w:szCs w:val="20"/>
              </w:rPr>
              <w:t>Category</w:t>
            </w:r>
          </w:p>
        </w:tc>
        <w:tc>
          <w:tcPr>
            <w:tcW w:w="900" w:type="dxa"/>
            <w:tcBorders>
              <w:top w:val="single" w:sz="4" w:space="0" w:color="auto"/>
              <w:left w:val="single" w:sz="4" w:space="0" w:color="auto"/>
              <w:bottom w:val="single" w:sz="4" w:space="0" w:color="auto"/>
              <w:right w:val="single" w:sz="4" w:space="0" w:color="auto"/>
            </w:tcBorders>
            <w:shd w:val="clear" w:color="auto" w:fill="A5CD7E"/>
            <w:noWrap/>
            <w:vAlign w:val="center"/>
            <w:hideMark/>
          </w:tcPr>
          <w:p w:rsidR="00AC40FC" w:rsidRPr="002404ED" w:rsidRDefault="00AC40FC" w:rsidP="007370C9">
            <w:pPr>
              <w:spacing w:before="80" w:after="80"/>
              <w:jc w:val="center"/>
              <w:rPr>
                <w:rFonts w:cs="Arial"/>
                <w:b/>
                <w:color w:val="000000"/>
                <w:sz w:val="20"/>
                <w:szCs w:val="20"/>
              </w:rPr>
            </w:pPr>
            <w:r w:rsidRPr="002404ED">
              <w:rPr>
                <w:rFonts w:cs="Arial"/>
                <w:b/>
                <w:color w:val="000000"/>
                <w:sz w:val="20"/>
                <w:szCs w:val="20"/>
              </w:rPr>
              <w:t>2010</w:t>
            </w:r>
          </w:p>
        </w:tc>
        <w:tc>
          <w:tcPr>
            <w:tcW w:w="90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2404ED" w:rsidRDefault="00AC40FC" w:rsidP="007370C9">
            <w:pPr>
              <w:spacing w:before="80" w:after="80"/>
              <w:jc w:val="center"/>
              <w:rPr>
                <w:rFonts w:cs="Arial"/>
                <w:b/>
                <w:color w:val="000000"/>
                <w:sz w:val="20"/>
                <w:szCs w:val="20"/>
              </w:rPr>
            </w:pPr>
            <w:r w:rsidRPr="002404ED">
              <w:rPr>
                <w:rFonts w:cs="Arial"/>
                <w:b/>
                <w:color w:val="000000"/>
                <w:sz w:val="20"/>
                <w:szCs w:val="20"/>
              </w:rPr>
              <w:t>2011</w:t>
            </w:r>
          </w:p>
        </w:tc>
        <w:tc>
          <w:tcPr>
            <w:tcW w:w="90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2404ED" w:rsidRDefault="00AC40FC" w:rsidP="007370C9">
            <w:pPr>
              <w:spacing w:before="80" w:after="80"/>
              <w:jc w:val="center"/>
              <w:rPr>
                <w:rFonts w:cs="Arial"/>
                <w:b/>
                <w:color w:val="000000"/>
                <w:sz w:val="20"/>
                <w:szCs w:val="20"/>
              </w:rPr>
            </w:pPr>
            <w:r w:rsidRPr="002404ED">
              <w:rPr>
                <w:rFonts w:cs="Arial"/>
                <w:b/>
                <w:color w:val="000000"/>
                <w:sz w:val="20"/>
                <w:szCs w:val="20"/>
              </w:rPr>
              <w:t>2012</w:t>
            </w:r>
          </w:p>
        </w:tc>
        <w:tc>
          <w:tcPr>
            <w:tcW w:w="90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2404ED" w:rsidRDefault="00AC40FC" w:rsidP="007370C9">
            <w:pPr>
              <w:spacing w:before="80" w:after="80"/>
              <w:jc w:val="center"/>
              <w:rPr>
                <w:rFonts w:cs="Arial"/>
                <w:b/>
                <w:color w:val="000000"/>
                <w:sz w:val="20"/>
                <w:szCs w:val="20"/>
              </w:rPr>
            </w:pPr>
            <w:r w:rsidRPr="002404ED">
              <w:rPr>
                <w:rFonts w:cs="Arial"/>
                <w:b/>
                <w:color w:val="000000"/>
                <w:sz w:val="20"/>
                <w:szCs w:val="20"/>
              </w:rPr>
              <w:t>2013</w:t>
            </w:r>
          </w:p>
        </w:tc>
        <w:tc>
          <w:tcPr>
            <w:tcW w:w="90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2404ED" w:rsidRDefault="00AC40FC" w:rsidP="007370C9">
            <w:pPr>
              <w:spacing w:before="80" w:after="80"/>
              <w:jc w:val="center"/>
              <w:rPr>
                <w:rFonts w:cs="Arial"/>
                <w:b/>
                <w:color w:val="000000"/>
                <w:sz w:val="20"/>
                <w:szCs w:val="20"/>
              </w:rPr>
            </w:pPr>
            <w:r w:rsidRPr="002404ED">
              <w:rPr>
                <w:rFonts w:cs="Arial"/>
                <w:b/>
                <w:color w:val="000000"/>
                <w:sz w:val="20"/>
                <w:szCs w:val="20"/>
              </w:rPr>
              <w:t>2014</w:t>
            </w:r>
          </w:p>
        </w:tc>
        <w:tc>
          <w:tcPr>
            <w:tcW w:w="90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2404ED" w:rsidRDefault="00AC40FC" w:rsidP="007370C9">
            <w:pPr>
              <w:spacing w:before="80" w:after="80"/>
              <w:jc w:val="center"/>
              <w:rPr>
                <w:rFonts w:cs="Arial"/>
                <w:b/>
                <w:color w:val="000000"/>
                <w:sz w:val="20"/>
                <w:szCs w:val="20"/>
              </w:rPr>
            </w:pPr>
            <w:r>
              <w:rPr>
                <w:rFonts w:cs="Arial"/>
                <w:b/>
                <w:color w:val="000000"/>
                <w:sz w:val="20"/>
                <w:szCs w:val="20"/>
              </w:rPr>
              <w:t>20</w:t>
            </w:r>
            <w:r w:rsidRPr="002404ED">
              <w:rPr>
                <w:rFonts w:cs="Arial"/>
                <w:b/>
                <w:color w:val="000000"/>
                <w:sz w:val="20"/>
                <w:szCs w:val="20"/>
              </w:rPr>
              <w:t>15</w:t>
            </w:r>
          </w:p>
        </w:tc>
      </w:tr>
      <w:tr w:rsidR="00AC40FC" w:rsidRPr="00522BF4" w:rsidTr="00701DCF">
        <w:trPr>
          <w:trHeight w:val="300"/>
          <w:jc w:val="center"/>
        </w:trPr>
        <w:tc>
          <w:tcPr>
            <w:tcW w:w="2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40FC" w:rsidRPr="00DC54A1" w:rsidRDefault="00AC40FC" w:rsidP="00701DCF">
            <w:pPr>
              <w:spacing w:after="0"/>
              <w:jc w:val="center"/>
              <w:rPr>
                <w:rFonts w:cs="Arial"/>
                <w:color w:val="000000"/>
                <w:sz w:val="20"/>
                <w:szCs w:val="20"/>
              </w:rPr>
            </w:pPr>
            <w:r w:rsidRPr="00DC54A1">
              <w:rPr>
                <w:rFonts w:cs="Arial"/>
                <w:color w:val="000000"/>
                <w:sz w:val="20"/>
                <w:szCs w:val="20"/>
              </w:rPr>
              <w:t>Bills Not Issued Timely</w:t>
            </w:r>
          </w:p>
        </w:tc>
        <w:tc>
          <w:tcPr>
            <w:tcW w:w="900" w:type="dxa"/>
            <w:tcBorders>
              <w:top w:val="nil"/>
              <w:left w:val="nil"/>
              <w:bottom w:val="single" w:sz="4" w:space="0" w:color="auto"/>
              <w:right w:val="single" w:sz="4" w:space="0" w:color="auto"/>
            </w:tcBorders>
            <w:shd w:val="clear" w:color="auto" w:fill="auto"/>
            <w:noWrap/>
            <w:vAlign w:val="center"/>
            <w:hideMark/>
          </w:tcPr>
          <w:p w:rsidR="00AC40FC" w:rsidRPr="00DC54A1" w:rsidRDefault="00AC40FC" w:rsidP="00701DCF">
            <w:pPr>
              <w:spacing w:after="0"/>
              <w:jc w:val="center"/>
              <w:rPr>
                <w:rFonts w:cs="Arial"/>
                <w:color w:val="000000"/>
                <w:sz w:val="20"/>
                <w:szCs w:val="20"/>
              </w:rPr>
            </w:pPr>
            <w:r w:rsidRPr="00DC54A1">
              <w:rPr>
                <w:rFonts w:cs="Arial"/>
                <w:color w:val="000000"/>
                <w:sz w:val="20"/>
                <w:szCs w:val="20"/>
              </w:rPr>
              <w:t>0.06%</w:t>
            </w:r>
          </w:p>
        </w:tc>
        <w:tc>
          <w:tcPr>
            <w:tcW w:w="900" w:type="dxa"/>
            <w:tcBorders>
              <w:top w:val="nil"/>
              <w:left w:val="nil"/>
              <w:bottom w:val="single" w:sz="4" w:space="0" w:color="auto"/>
              <w:right w:val="single" w:sz="4" w:space="0" w:color="auto"/>
            </w:tcBorders>
            <w:shd w:val="clear" w:color="auto" w:fill="auto"/>
            <w:noWrap/>
            <w:vAlign w:val="center"/>
            <w:hideMark/>
          </w:tcPr>
          <w:p w:rsidR="00AC40FC" w:rsidRPr="00DC54A1" w:rsidRDefault="00AC40FC" w:rsidP="00701DCF">
            <w:pPr>
              <w:spacing w:after="0"/>
              <w:jc w:val="center"/>
              <w:rPr>
                <w:rFonts w:cs="Arial"/>
                <w:color w:val="000000"/>
                <w:sz w:val="20"/>
                <w:szCs w:val="20"/>
              </w:rPr>
            </w:pPr>
            <w:r w:rsidRPr="00DC54A1">
              <w:rPr>
                <w:rFonts w:cs="Arial"/>
                <w:color w:val="000000"/>
                <w:sz w:val="20"/>
                <w:szCs w:val="20"/>
              </w:rPr>
              <w:t>0.11%</w:t>
            </w:r>
          </w:p>
        </w:tc>
        <w:tc>
          <w:tcPr>
            <w:tcW w:w="900" w:type="dxa"/>
            <w:tcBorders>
              <w:top w:val="nil"/>
              <w:left w:val="nil"/>
              <w:bottom w:val="single" w:sz="4" w:space="0" w:color="auto"/>
              <w:right w:val="single" w:sz="4" w:space="0" w:color="auto"/>
            </w:tcBorders>
            <w:shd w:val="clear" w:color="auto" w:fill="auto"/>
            <w:noWrap/>
            <w:vAlign w:val="center"/>
            <w:hideMark/>
          </w:tcPr>
          <w:p w:rsidR="00AC40FC" w:rsidRPr="00DC54A1" w:rsidRDefault="00AC40FC" w:rsidP="00701DCF">
            <w:pPr>
              <w:spacing w:after="0"/>
              <w:jc w:val="center"/>
              <w:rPr>
                <w:rFonts w:cs="Arial"/>
                <w:color w:val="000000"/>
                <w:sz w:val="20"/>
                <w:szCs w:val="20"/>
              </w:rPr>
            </w:pPr>
            <w:r w:rsidRPr="00DC54A1">
              <w:rPr>
                <w:rFonts w:cs="Arial"/>
                <w:color w:val="000000"/>
                <w:sz w:val="20"/>
                <w:szCs w:val="20"/>
              </w:rPr>
              <w:t>0.11%</w:t>
            </w:r>
          </w:p>
        </w:tc>
        <w:tc>
          <w:tcPr>
            <w:tcW w:w="900" w:type="dxa"/>
            <w:tcBorders>
              <w:top w:val="nil"/>
              <w:left w:val="nil"/>
              <w:bottom w:val="single" w:sz="4" w:space="0" w:color="auto"/>
              <w:right w:val="single" w:sz="4" w:space="0" w:color="auto"/>
            </w:tcBorders>
            <w:shd w:val="clear" w:color="auto" w:fill="auto"/>
            <w:noWrap/>
            <w:vAlign w:val="center"/>
            <w:hideMark/>
          </w:tcPr>
          <w:p w:rsidR="00AC40FC" w:rsidRPr="00DC54A1" w:rsidRDefault="00AC40FC" w:rsidP="00701DCF">
            <w:pPr>
              <w:spacing w:after="0"/>
              <w:jc w:val="center"/>
              <w:rPr>
                <w:rFonts w:cs="Arial"/>
                <w:color w:val="000000"/>
                <w:sz w:val="20"/>
                <w:szCs w:val="20"/>
              </w:rPr>
            </w:pPr>
            <w:r w:rsidRPr="00DC54A1">
              <w:rPr>
                <w:rFonts w:cs="Arial"/>
                <w:color w:val="000000"/>
                <w:sz w:val="20"/>
                <w:szCs w:val="20"/>
              </w:rPr>
              <w:t>0.10%</w:t>
            </w:r>
          </w:p>
        </w:tc>
        <w:tc>
          <w:tcPr>
            <w:tcW w:w="900" w:type="dxa"/>
            <w:tcBorders>
              <w:top w:val="nil"/>
              <w:left w:val="nil"/>
              <w:bottom w:val="single" w:sz="4" w:space="0" w:color="auto"/>
              <w:right w:val="single" w:sz="4" w:space="0" w:color="auto"/>
            </w:tcBorders>
            <w:shd w:val="clear" w:color="auto" w:fill="auto"/>
            <w:noWrap/>
            <w:vAlign w:val="center"/>
            <w:hideMark/>
          </w:tcPr>
          <w:p w:rsidR="00AC40FC" w:rsidRPr="00DC54A1" w:rsidRDefault="00AC40FC" w:rsidP="00701DCF">
            <w:pPr>
              <w:spacing w:after="0"/>
              <w:jc w:val="center"/>
              <w:rPr>
                <w:rFonts w:cs="Arial"/>
                <w:color w:val="000000"/>
                <w:sz w:val="20"/>
                <w:szCs w:val="20"/>
              </w:rPr>
            </w:pPr>
            <w:r w:rsidRPr="00DC54A1">
              <w:rPr>
                <w:rFonts w:cs="Arial"/>
                <w:color w:val="000000"/>
                <w:sz w:val="20"/>
                <w:szCs w:val="20"/>
              </w:rPr>
              <w:t>0.10%</w:t>
            </w:r>
          </w:p>
        </w:tc>
        <w:tc>
          <w:tcPr>
            <w:tcW w:w="900" w:type="dxa"/>
            <w:tcBorders>
              <w:top w:val="nil"/>
              <w:left w:val="nil"/>
              <w:bottom w:val="single" w:sz="4" w:space="0" w:color="auto"/>
              <w:right w:val="single" w:sz="4" w:space="0" w:color="auto"/>
            </w:tcBorders>
            <w:shd w:val="clear" w:color="auto" w:fill="auto"/>
            <w:noWrap/>
            <w:vAlign w:val="center"/>
            <w:hideMark/>
          </w:tcPr>
          <w:p w:rsidR="00AC40FC" w:rsidRPr="00DC54A1" w:rsidRDefault="00AC40FC" w:rsidP="00701DCF">
            <w:pPr>
              <w:spacing w:after="0"/>
              <w:jc w:val="center"/>
              <w:rPr>
                <w:rFonts w:cs="Arial"/>
                <w:color w:val="000000"/>
                <w:sz w:val="20"/>
                <w:szCs w:val="20"/>
              </w:rPr>
            </w:pPr>
            <w:r>
              <w:rPr>
                <w:rFonts w:cs="Arial"/>
                <w:color w:val="000000"/>
                <w:sz w:val="20"/>
                <w:szCs w:val="20"/>
              </w:rPr>
              <w:t>0.11%</w:t>
            </w:r>
          </w:p>
        </w:tc>
      </w:tr>
      <w:tr w:rsidR="00AC40FC" w:rsidRPr="00522BF4" w:rsidTr="00701DCF">
        <w:trPr>
          <w:trHeight w:val="300"/>
          <w:jc w:val="center"/>
        </w:trPr>
        <w:tc>
          <w:tcPr>
            <w:tcW w:w="2797" w:type="dxa"/>
            <w:tcBorders>
              <w:top w:val="nil"/>
              <w:left w:val="single" w:sz="4" w:space="0" w:color="auto"/>
              <w:bottom w:val="single" w:sz="4" w:space="0" w:color="auto"/>
              <w:right w:val="single" w:sz="4" w:space="0" w:color="auto"/>
            </w:tcBorders>
            <w:shd w:val="clear" w:color="auto" w:fill="auto"/>
            <w:noWrap/>
            <w:vAlign w:val="center"/>
            <w:hideMark/>
          </w:tcPr>
          <w:p w:rsidR="00AC40FC" w:rsidRPr="00DC54A1" w:rsidRDefault="00AC40FC" w:rsidP="00701DCF">
            <w:pPr>
              <w:spacing w:after="0"/>
              <w:jc w:val="center"/>
              <w:rPr>
                <w:rFonts w:cs="Arial"/>
                <w:color w:val="000000"/>
                <w:sz w:val="20"/>
                <w:szCs w:val="20"/>
              </w:rPr>
            </w:pPr>
            <w:r w:rsidRPr="00DC54A1">
              <w:rPr>
                <w:rFonts w:cs="Arial"/>
                <w:color w:val="000000"/>
                <w:sz w:val="20"/>
                <w:szCs w:val="20"/>
              </w:rPr>
              <w:t>Adjusted Bills Issued</w:t>
            </w:r>
          </w:p>
        </w:tc>
        <w:tc>
          <w:tcPr>
            <w:tcW w:w="900" w:type="dxa"/>
            <w:tcBorders>
              <w:top w:val="nil"/>
              <w:left w:val="nil"/>
              <w:bottom w:val="single" w:sz="4" w:space="0" w:color="auto"/>
              <w:right w:val="single" w:sz="4" w:space="0" w:color="auto"/>
            </w:tcBorders>
            <w:shd w:val="clear" w:color="auto" w:fill="auto"/>
            <w:noWrap/>
            <w:vAlign w:val="center"/>
            <w:hideMark/>
          </w:tcPr>
          <w:p w:rsidR="00AC40FC" w:rsidRPr="00DC54A1" w:rsidRDefault="00AC40FC" w:rsidP="00701DCF">
            <w:pPr>
              <w:spacing w:after="0"/>
              <w:jc w:val="center"/>
              <w:rPr>
                <w:rFonts w:cs="Arial"/>
                <w:color w:val="000000"/>
                <w:sz w:val="20"/>
                <w:szCs w:val="20"/>
              </w:rPr>
            </w:pPr>
            <w:r w:rsidRPr="00DC54A1">
              <w:rPr>
                <w:rFonts w:cs="Arial"/>
                <w:color w:val="000000"/>
                <w:sz w:val="20"/>
                <w:szCs w:val="20"/>
              </w:rPr>
              <w:t>0.35%</w:t>
            </w:r>
          </w:p>
        </w:tc>
        <w:tc>
          <w:tcPr>
            <w:tcW w:w="900" w:type="dxa"/>
            <w:tcBorders>
              <w:top w:val="nil"/>
              <w:left w:val="nil"/>
              <w:bottom w:val="single" w:sz="4" w:space="0" w:color="auto"/>
              <w:right w:val="single" w:sz="4" w:space="0" w:color="auto"/>
            </w:tcBorders>
            <w:shd w:val="clear" w:color="auto" w:fill="auto"/>
            <w:noWrap/>
            <w:vAlign w:val="center"/>
            <w:hideMark/>
          </w:tcPr>
          <w:p w:rsidR="00AC40FC" w:rsidRPr="00DC54A1" w:rsidRDefault="00AC40FC" w:rsidP="00701DCF">
            <w:pPr>
              <w:spacing w:after="0"/>
              <w:jc w:val="center"/>
              <w:rPr>
                <w:rFonts w:cs="Arial"/>
                <w:color w:val="000000"/>
                <w:sz w:val="20"/>
                <w:szCs w:val="20"/>
              </w:rPr>
            </w:pPr>
            <w:r>
              <w:rPr>
                <w:rFonts w:cs="Arial"/>
                <w:color w:val="000000"/>
                <w:sz w:val="20"/>
                <w:szCs w:val="20"/>
              </w:rPr>
              <w:t>0.38%</w:t>
            </w:r>
          </w:p>
        </w:tc>
        <w:tc>
          <w:tcPr>
            <w:tcW w:w="900" w:type="dxa"/>
            <w:tcBorders>
              <w:top w:val="nil"/>
              <w:left w:val="nil"/>
              <w:bottom w:val="single" w:sz="4" w:space="0" w:color="auto"/>
              <w:right w:val="single" w:sz="4" w:space="0" w:color="auto"/>
            </w:tcBorders>
            <w:shd w:val="clear" w:color="auto" w:fill="auto"/>
            <w:noWrap/>
            <w:vAlign w:val="center"/>
            <w:hideMark/>
          </w:tcPr>
          <w:p w:rsidR="00AC40FC" w:rsidRPr="00DC54A1" w:rsidRDefault="00AC40FC" w:rsidP="00701DCF">
            <w:pPr>
              <w:spacing w:after="0"/>
              <w:jc w:val="center"/>
              <w:rPr>
                <w:rFonts w:cs="Arial"/>
                <w:color w:val="000000"/>
                <w:sz w:val="20"/>
                <w:szCs w:val="20"/>
              </w:rPr>
            </w:pPr>
            <w:r>
              <w:rPr>
                <w:rFonts w:cs="Arial"/>
                <w:color w:val="000000"/>
                <w:sz w:val="20"/>
                <w:szCs w:val="20"/>
              </w:rPr>
              <w:t xml:space="preserve"> 0.25%</w:t>
            </w:r>
          </w:p>
        </w:tc>
        <w:tc>
          <w:tcPr>
            <w:tcW w:w="900" w:type="dxa"/>
            <w:tcBorders>
              <w:top w:val="nil"/>
              <w:left w:val="nil"/>
              <w:bottom w:val="single" w:sz="4" w:space="0" w:color="auto"/>
              <w:right w:val="single" w:sz="4" w:space="0" w:color="auto"/>
            </w:tcBorders>
            <w:shd w:val="clear" w:color="auto" w:fill="auto"/>
            <w:noWrap/>
            <w:vAlign w:val="center"/>
            <w:hideMark/>
          </w:tcPr>
          <w:p w:rsidR="00AC40FC" w:rsidRPr="00DC54A1" w:rsidRDefault="00AC40FC" w:rsidP="00701DCF">
            <w:pPr>
              <w:spacing w:after="0"/>
              <w:jc w:val="center"/>
              <w:rPr>
                <w:rFonts w:cs="Arial"/>
                <w:color w:val="000000"/>
                <w:sz w:val="20"/>
                <w:szCs w:val="20"/>
              </w:rPr>
            </w:pPr>
            <w:r>
              <w:rPr>
                <w:rFonts w:cs="Arial"/>
                <w:color w:val="000000"/>
                <w:sz w:val="20"/>
                <w:szCs w:val="20"/>
              </w:rPr>
              <w:t>0.20%</w:t>
            </w:r>
          </w:p>
        </w:tc>
        <w:tc>
          <w:tcPr>
            <w:tcW w:w="900" w:type="dxa"/>
            <w:tcBorders>
              <w:top w:val="nil"/>
              <w:left w:val="nil"/>
              <w:bottom w:val="single" w:sz="4" w:space="0" w:color="auto"/>
              <w:right w:val="single" w:sz="4" w:space="0" w:color="auto"/>
            </w:tcBorders>
            <w:shd w:val="clear" w:color="auto" w:fill="auto"/>
            <w:noWrap/>
            <w:vAlign w:val="center"/>
            <w:hideMark/>
          </w:tcPr>
          <w:p w:rsidR="00AC40FC" w:rsidRPr="00DC54A1" w:rsidRDefault="00AC40FC" w:rsidP="00701DCF">
            <w:pPr>
              <w:spacing w:after="0"/>
              <w:jc w:val="center"/>
              <w:rPr>
                <w:rFonts w:cs="Arial"/>
                <w:color w:val="000000"/>
                <w:sz w:val="20"/>
                <w:szCs w:val="20"/>
              </w:rPr>
            </w:pPr>
            <w:r>
              <w:rPr>
                <w:rFonts w:cs="Arial"/>
                <w:color w:val="000000"/>
                <w:sz w:val="20"/>
                <w:szCs w:val="20"/>
              </w:rPr>
              <w:t>0.26%</w:t>
            </w:r>
          </w:p>
        </w:tc>
        <w:tc>
          <w:tcPr>
            <w:tcW w:w="900" w:type="dxa"/>
            <w:tcBorders>
              <w:top w:val="nil"/>
              <w:left w:val="nil"/>
              <w:bottom w:val="single" w:sz="4" w:space="0" w:color="auto"/>
              <w:right w:val="single" w:sz="4" w:space="0" w:color="auto"/>
            </w:tcBorders>
            <w:shd w:val="clear" w:color="auto" w:fill="auto"/>
            <w:noWrap/>
            <w:vAlign w:val="center"/>
            <w:hideMark/>
          </w:tcPr>
          <w:p w:rsidR="00AC40FC" w:rsidRPr="00DC54A1" w:rsidRDefault="00AC40FC" w:rsidP="00701DCF">
            <w:pPr>
              <w:spacing w:after="0"/>
              <w:jc w:val="center"/>
              <w:rPr>
                <w:rFonts w:cs="Arial"/>
                <w:color w:val="000000"/>
                <w:sz w:val="20"/>
                <w:szCs w:val="20"/>
              </w:rPr>
            </w:pPr>
            <w:r>
              <w:rPr>
                <w:rFonts w:cs="Arial"/>
                <w:color w:val="000000"/>
                <w:sz w:val="20"/>
                <w:szCs w:val="20"/>
              </w:rPr>
              <w:t xml:space="preserve"> 0.28%</w:t>
            </w:r>
          </w:p>
        </w:tc>
      </w:tr>
      <w:tr w:rsidR="00AC40FC" w:rsidRPr="00522BF4" w:rsidTr="00701DCF">
        <w:trPr>
          <w:trHeight w:val="300"/>
          <w:jc w:val="center"/>
        </w:trPr>
        <w:tc>
          <w:tcPr>
            <w:tcW w:w="8197"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C40FC" w:rsidRPr="004A0D52" w:rsidRDefault="00AC40FC" w:rsidP="00701DCF">
            <w:pPr>
              <w:spacing w:after="0"/>
              <w:rPr>
                <w:rFonts w:cs="Arial"/>
                <w:color w:val="000000"/>
                <w:sz w:val="18"/>
                <w:szCs w:val="18"/>
              </w:rPr>
            </w:pPr>
            <w:r w:rsidRPr="004A0D52">
              <w:rPr>
                <w:rFonts w:cs="Arial"/>
                <w:color w:val="000000"/>
                <w:sz w:val="18"/>
                <w:szCs w:val="18"/>
              </w:rPr>
              <w:t>Source</w:t>
            </w:r>
            <w:r>
              <w:rPr>
                <w:rFonts w:cs="Arial"/>
                <w:color w:val="000000"/>
                <w:sz w:val="18"/>
                <w:szCs w:val="18"/>
              </w:rPr>
              <w:t>s</w:t>
            </w:r>
            <w:r w:rsidRPr="004A0D52">
              <w:rPr>
                <w:rFonts w:cs="Arial"/>
                <w:color w:val="000000"/>
                <w:sz w:val="18"/>
                <w:szCs w:val="18"/>
              </w:rPr>
              <w:t>:  DN 04-177/197</w:t>
            </w:r>
            <w:r>
              <w:rPr>
                <w:rFonts w:cs="Arial"/>
                <w:color w:val="000000"/>
                <w:sz w:val="18"/>
                <w:szCs w:val="18"/>
              </w:rPr>
              <w:t xml:space="preserve">; </w:t>
            </w:r>
            <w:r w:rsidRPr="00593774">
              <w:rPr>
                <w:rFonts w:cs="Arial"/>
                <w:color w:val="000000"/>
                <w:sz w:val="18"/>
                <w:szCs w:val="18"/>
              </w:rPr>
              <w:t xml:space="preserve">PPL EU </w:t>
            </w:r>
            <w:r>
              <w:rPr>
                <w:rFonts w:cs="Arial"/>
                <w:color w:val="000000"/>
                <w:sz w:val="18"/>
                <w:szCs w:val="18"/>
              </w:rPr>
              <w:t>edits</w:t>
            </w:r>
          </w:p>
        </w:tc>
      </w:tr>
    </w:tbl>
    <w:p w:rsidR="00AC40FC" w:rsidRDefault="00AC40FC" w:rsidP="00701DCF">
      <w:pPr>
        <w:pStyle w:val="Normal-aftertable"/>
      </w:pPr>
      <w:r>
        <w:t>Given that about 17 million bills are issued each year, a relatively small 0.01 percentage point change in Bills Not Issued Timely or Adjusted Bills represents 1,700 bills.  As reported in the October 2015 Customer Services Monthly Performance Indicators report, 4,218 billing adjustments were required for that month.  The visual contrast of the error rate scale draws attention to the month-to-month variances and offers a more compelling incentive to identify improvement opportunities.</w:t>
      </w:r>
    </w:p>
    <w:p w:rsidR="00AC40FC" w:rsidRDefault="00AC40FC" w:rsidP="004F00E5">
      <w:pPr>
        <w:pStyle w:val="Findings"/>
        <w:keepNext/>
        <w:numPr>
          <w:ilvl w:val="0"/>
          <w:numId w:val="50"/>
        </w:numPr>
      </w:pPr>
      <w:r>
        <w:lastRenderedPageBreak/>
        <w:t>The paper bill delivery and mailing process is cumbersome and not as efficient as it could be.</w:t>
      </w:r>
    </w:p>
    <w:p w:rsidR="00AC40FC" w:rsidRDefault="00AC40FC" w:rsidP="00701DCF">
      <w:r>
        <w:t>The print files are sent electronically to a contractor in Connecticut who prints the bills, inserts them in envelopes, applies postage, and then trucks the letters to Lehigh for transfer to the U.S. Postal Service which distributes the bills throughout the PPL EU territory.  The transfer of the bills from Connecticut to Pennsylvania increases cost and is inefficient, including weather-related and other delays.  Although PPL EU has reduced its mail costs due to sorting and reduction in postage costs with this vendor, more efficiencies should be achieved.</w:t>
      </w:r>
    </w:p>
    <w:p w:rsidR="00AC40FC" w:rsidRDefault="00AC40FC" w:rsidP="004F00E5">
      <w:pPr>
        <w:pStyle w:val="Findings"/>
        <w:numPr>
          <w:ilvl w:val="0"/>
          <w:numId w:val="50"/>
        </w:numPr>
      </w:pPr>
      <w:r>
        <w:t>The c</w:t>
      </w:r>
      <w:r w:rsidRPr="00EF7AC2">
        <w:t>ontract</w:t>
      </w:r>
      <w:r>
        <w:t>s</w:t>
      </w:r>
      <w:r w:rsidRPr="00EF7AC2">
        <w:t xml:space="preserve"> </w:t>
      </w:r>
      <w:r>
        <w:t>with two credit vendors do</w:t>
      </w:r>
      <w:r w:rsidRPr="00EF7AC2">
        <w:t xml:space="preserve"> not include performance metrics.</w:t>
      </w:r>
    </w:p>
    <w:p w:rsidR="00AC40FC" w:rsidRPr="00FF720B" w:rsidRDefault="00AC40FC" w:rsidP="00701DCF">
      <w:r>
        <w:t>The contract for Vendor A (for credit scoring services) contains a non-specific reference to “acceptance criteria” and does not have a service level agreement (SLA) or specific performance standards and metrics.  The contract for Vendor B (for new connection credit checks)</w:t>
      </w:r>
      <w:r w:rsidRPr="00AC4104">
        <w:t xml:space="preserve"> was effective May 15, 2005</w:t>
      </w:r>
      <w:r>
        <w:t xml:space="preserve">, and amended in July 2011 and September 2013.  The term is three years with automatic renewal for one-year periods unless terminated by either party.  The contract does not have a defined SLA or </w:t>
      </w:r>
      <w:r w:rsidRPr="00AC4104">
        <w:rPr>
          <w:rFonts w:cs="Arial"/>
        </w:rPr>
        <w:t>performance metrics</w:t>
      </w:r>
      <w:r>
        <w:rPr>
          <w:rFonts w:cs="Arial"/>
        </w:rPr>
        <w:t>.</w:t>
      </w:r>
    </w:p>
    <w:p w:rsidR="00AC40FC" w:rsidRDefault="00AC40FC" w:rsidP="004F00E5">
      <w:pPr>
        <w:pStyle w:val="Findings"/>
        <w:numPr>
          <w:ilvl w:val="0"/>
          <w:numId w:val="50"/>
        </w:numPr>
      </w:pPr>
      <w:r>
        <w:t>C&amp;C manages the performance of its collections agencies using comprehensive and detailed metrics.</w:t>
      </w:r>
    </w:p>
    <w:p w:rsidR="00AC40FC" w:rsidRDefault="00AC40FC" w:rsidP="00701DCF">
      <w:pPr>
        <w:rPr>
          <w:highlight w:val="yellow"/>
        </w:rPr>
      </w:pPr>
      <w:r>
        <w:t>Performance of the two primary collection agencies is tracked by C&amp;C in a monthly report.  One important metric is the recovery rate, as shown below:</w:t>
      </w:r>
    </w:p>
    <w:p w:rsidR="00AC40FC" w:rsidRDefault="00AC40FC" w:rsidP="00ED6D61">
      <w:pPr>
        <w:pStyle w:val="Caption"/>
      </w:pPr>
      <w:bookmarkStart w:id="96" w:name="_Toc462648416"/>
      <w:bookmarkStart w:id="97" w:name="_Toc464553038"/>
      <w:r>
        <w:t xml:space="preserve">Exhibit </w:t>
      </w:r>
      <w:fldSimple w:instr=" STYLEREF 1 \s ">
        <w:r w:rsidR="00A24205">
          <w:rPr>
            <w:noProof/>
          </w:rPr>
          <w:t>IX</w:t>
        </w:r>
      </w:fldSimple>
      <w:r w:rsidR="00264A1B">
        <w:noBreakHyphen/>
      </w:r>
      <w:fldSimple w:instr=" SEQ Exhibit \* ARABIC \s 1 ">
        <w:r w:rsidR="00A24205">
          <w:rPr>
            <w:noProof/>
          </w:rPr>
          <w:t>23</w:t>
        </w:r>
      </w:fldSimple>
      <w:r>
        <w:br/>
        <w:t>Collection Agency Recovery Rate per Placement</w:t>
      </w:r>
      <w:r>
        <w:br/>
        <w:t>Cumulative 12 Months</w:t>
      </w:r>
      <w:bookmarkEnd w:id="96"/>
      <w:bookmarkEnd w:id="97"/>
    </w:p>
    <w:p w:rsidR="00AC40FC" w:rsidRDefault="00AC40FC" w:rsidP="00701DCF">
      <w:pPr>
        <w:jc w:val="center"/>
      </w:pPr>
      <w:r>
        <w:rPr>
          <w:noProof/>
        </w:rPr>
        <w:drawing>
          <wp:inline distT="0" distB="0" distL="0" distR="0">
            <wp:extent cx="4022476" cy="2167890"/>
            <wp:effectExtent l="0" t="0" r="16510" b="381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C40FC" w:rsidRDefault="00AC40FC">
      <w:pPr>
        <w:spacing w:after="0"/>
        <w:jc w:val="left"/>
      </w:pPr>
      <w:r>
        <w:br w:type="page"/>
      </w:r>
    </w:p>
    <w:tbl>
      <w:tblPr>
        <w:tblW w:w="5569" w:type="dxa"/>
        <w:jc w:val="center"/>
        <w:tblLayout w:type="fixed"/>
        <w:tblCellMar>
          <w:top w:w="14" w:type="dxa"/>
          <w:left w:w="115" w:type="dxa"/>
          <w:bottom w:w="14" w:type="dxa"/>
          <w:right w:w="115" w:type="dxa"/>
        </w:tblCellMar>
        <w:tblLook w:val="04A0"/>
      </w:tblPr>
      <w:tblGrid>
        <w:gridCol w:w="4129"/>
        <w:gridCol w:w="1440"/>
      </w:tblGrid>
      <w:tr w:rsidR="00AC40FC" w:rsidRPr="00F306EF" w:rsidTr="003907AC">
        <w:trPr>
          <w:trHeight w:val="320"/>
          <w:tblHeader/>
          <w:jc w:val="center"/>
        </w:trPr>
        <w:tc>
          <w:tcPr>
            <w:tcW w:w="4129" w:type="dxa"/>
            <w:tcBorders>
              <w:top w:val="single" w:sz="4" w:space="0" w:color="auto"/>
              <w:left w:val="single" w:sz="4" w:space="0" w:color="auto"/>
              <w:bottom w:val="single" w:sz="4" w:space="0" w:color="auto"/>
              <w:right w:val="single" w:sz="4" w:space="0" w:color="auto"/>
            </w:tcBorders>
            <w:shd w:val="clear" w:color="auto" w:fill="A5CD7E"/>
            <w:noWrap/>
            <w:vAlign w:val="center"/>
            <w:hideMark/>
          </w:tcPr>
          <w:p w:rsidR="00AC40FC" w:rsidRPr="00DA7D6D" w:rsidRDefault="00AC40FC" w:rsidP="007370C9">
            <w:pPr>
              <w:spacing w:before="120"/>
              <w:jc w:val="center"/>
              <w:rPr>
                <w:rFonts w:cs="Arial"/>
                <w:b/>
                <w:color w:val="000000"/>
                <w:szCs w:val="24"/>
              </w:rPr>
            </w:pPr>
            <w:r w:rsidRPr="00DA7D6D">
              <w:rPr>
                <w:rFonts w:cs="Arial"/>
                <w:b/>
                <w:color w:val="000000"/>
                <w:szCs w:val="24"/>
              </w:rPr>
              <w:lastRenderedPageBreak/>
              <w:t>Collection Agency</w:t>
            </w:r>
          </w:p>
        </w:tc>
        <w:tc>
          <w:tcPr>
            <w:tcW w:w="1440" w:type="dxa"/>
            <w:tcBorders>
              <w:top w:val="single" w:sz="4" w:space="0" w:color="auto"/>
              <w:left w:val="nil"/>
              <w:bottom w:val="single" w:sz="4" w:space="0" w:color="auto"/>
              <w:right w:val="single" w:sz="4" w:space="0" w:color="auto"/>
            </w:tcBorders>
            <w:shd w:val="clear" w:color="auto" w:fill="A5CD7E"/>
            <w:vAlign w:val="center"/>
            <w:hideMark/>
          </w:tcPr>
          <w:p w:rsidR="00AC40FC" w:rsidRPr="00DA7D6D" w:rsidRDefault="00AC40FC" w:rsidP="007370C9">
            <w:pPr>
              <w:spacing w:before="120"/>
              <w:jc w:val="center"/>
              <w:rPr>
                <w:rFonts w:cs="Arial"/>
                <w:b/>
                <w:color w:val="000000"/>
                <w:szCs w:val="24"/>
              </w:rPr>
            </w:pPr>
            <w:r w:rsidRPr="00DA7D6D">
              <w:rPr>
                <w:rFonts w:cs="Arial"/>
                <w:b/>
                <w:color w:val="000000"/>
                <w:szCs w:val="24"/>
              </w:rPr>
              <w:t>Recovery Rate</w:t>
            </w:r>
          </w:p>
        </w:tc>
      </w:tr>
      <w:tr w:rsidR="00AC40FC" w:rsidRPr="00F306EF" w:rsidTr="003907AC">
        <w:trPr>
          <w:trHeight w:val="65"/>
          <w:jc w:val="center"/>
        </w:trPr>
        <w:tc>
          <w:tcPr>
            <w:tcW w:w="4129" w:type="dxa"/>
            <w:tcBorders>
              <w:top w:val="nil"/>
              <w:left w:val="single" w:sz="4" w:space="0" w:color="auto"/>
              <w:bottom w:val="single" w:sz="4" w:space="0" w:color="auto"/>
              <w:right w:val="single" w:sz="4" w:space="0" w:color="auto"/>
            </w:tcBorders>
            <w:shd w:val="clear" w:color="auto" w:fill="auto"/>
            <w:noWrap/>
            <w:vAlign w:val="center"/>
            <w:hideMark/>
          </w:tcPr>
          <w:p w:rsidR="00AC40FC" w:rsidRPr="00F306EF" w:rsidRDefault="00AC40FC" w:rsidP="00701DCF">
            <w:pPr>
              <w:spacing w:after="0"/>
              <w:jc w:val="center"/>
              <w:rPr>
                <w:rFonts w:cs="Arial"/>
                <w:color w:val="000000"/>
                <w:sz w:val="20"/>
                <w:szCs w:val="20"/>
              </w:rPr>
            </w:pPr>
            <w:r w:rsidRPr="00F306EF">
              <w:rPr>
                <w:rFonts w:cs="Arial"/>
                <w:color w:val="000000"/>
                <w:sz w:val="20"/>
                <w:szCs w:val="20"/>
              </w:rPr>
              <w:t>Residential Recovery Rate (Agency 1)</w:t>
            </w:r>
          </w:p>
        </w:tc>
        <w:tc>
          <w:tcPr>
            <w:tcW w:w="1440" w:type="dxa"/>
            <w:tcBorders>
              <w:top w:val="nil"/>
              <w:left w:val="nil"/>
              <w:bottom w:val="single" w:sz="4" w:space="0" w:color="auto"/>
              <w:right w:val="single" w:sz="4" w:space="0" w:color="auto"/>
            </w:tcBorders>
            <w:shd w:val="clear" w:color="auto" w:fill="auto"/>
            <w:noWrap/>
            <w:vAlign w:val="bottom"/>
            <w:hideMark/>
          </w:tcPr>
          <w:p w:rsidR="00AC40FC" w:rsidRPr="00F306EF" w:rsidRDefault="00AC40FC" w:rsidP="00701DCF">
            <w:pPr>
              <w:spacing w:after="0"/>
              <w:jc w:val="center"/>
              <w:rPr>
                <w:rFonts w:cs="Arial"/>
                <w:color w:val="000000"/>
                <w:sz w:val="20"/>
                <w:szCs w:val="20"/>
              </w:rPr>
            </w:pPr>
            <w:r w:rsidRPr="00F306EF">
              <w:rPr>
                <w:rFonts w:cs="Arial"/>
                <w:color w:val="000000"/>
                <w:sz w:val="20"/>
                <w:szCs w:val="20"/>
              </w:rPr>
              <w:t>2.09%</w:t>
            </w:r>
          </w:p>
        </w:tc>
      </w:tr>
      <w:tr w:rsidR="00AC40FC" w:rsidRPr="00F306EF" w:rsidTr="003907AC">
        <w:trPr>
          <w:trHeight w:val="211"/>
          <w:jc w:val="center"/>
        </w:trPr>
        <w:tc>
          <w:tcPr>
            <w:tcW w:w="4129" w:type="dxa"/>
            <w:tcBorders>
              <w:top w:val="nil"/>
              <w:left w:val="single" w:sz="4" w:space="0" w:color="auto"/>
              <w:bottom w:val="single" w:sz="4" w:space="0" w:color="auto"/>
              <w:right w:val="single" w:sz="4" w:space="0" w:color="auto"/>
            </w:tcBorders>
            <w:shd w:val="clear" w:color="auto" w:fill="auto"/>
            <w:noWrap/>
            <w:vAlign w:val="center"/>
            <w:hideMark/>
          </w:tcPr>
          <w:p w:rsidR="00AC40FC" w:rsidRPr="00F306EF" w:rsidRDefault="00AC40FC" w:rsidP="00701DCF">
            <w:pPr>
              <w:spacing w:after="0"/>
              <w:jc w:val="center"/>
              <w:rPr>
                <w:rFonts w:cs="Arial"/>
                <w:color w:val="000000"/>
                <w:sz w:val="20"/>
                <w:szCs w:val="20"/>
              </w:rPr>
            </w:pPr>
            <w:r w:rsidRPr="00F306EF">
              <w:rPr>
                <w:rFonts w:cs="Arial"/>
                <w:color w:val="000000"/>
                <w:sz w:val="20"/>
                <w:szCs w:val="20"/>
              </w:rPr>
              <w:t>Residential Recovery Rate (Agency 2)</w:t>
            </w:r>
          </w:p>
        </w:tc>
        <w:tc>
          <w:tcPr>
            <w:tcW w:w="1440" w:type="dxa"/>
            <w:tcBorders>
              <w:top w:val="nil"/>
              <w:left w:val="nil"/>
              <w:bottom w:val="single" w:sz="4" w:space="0" w:color="auto"/>
              <w:right w:val="single" w:sz="4" w:space="0" w:color="auto"/>
            </w:tcBorders>
            <w:shd w:val="clear" w:color="auto" w:fill="auto"/>
            <w:noWrap/>
            <w:vAlign w:val="bottom"/>
            <w:hideMark/>
          </w:tcPr>
          <w:p w:rsidR="00AC40FC" w:rsidRPr="00F306EF" w:rsidRDefault="00AC40FC" w:rsidP="00701DCF">
            <w:pPr>
              <w:spacing w:after="0"/>
              <w:jc w:val="center"/>
              <w:rPr>
                <w:rFonts w:cs="Arial"/>
                <w:color w:val="000000"/>
                <w:sz w:val="20"/>
                <w:szCs w:val="20"/>
              </w:rPr>
            </w:pPr>
            <w:r w:rsidRPr="00F306EF">
              <w:rPr>
                <w:rFonts w:cs="Arial"/>
                <w:color w:val="000000"/>
                <w:sz w:val="20"/>
                <w:szCs w:val="20"/>
              </w:rPr>
              <w:t>1.99%</w:t>
            </w:r>
          </w:p>
        </w:tc>
      </w:tr>
      <w:tr w:rsidR="00AC40FC" w:rsidRPr="00F306EF" w:rsidTr="003907AC">
        <w:trPr>
          <w:trHeight w:val="211"/>
          <w:jc w:val="center"/>
        </w:trPr>
        <w:tc>
          <w:tcPr>
            <w:tcW w:w="4129" w:type="dxa"/>
            <w:tcBorders>
              <w:top w:val="nil"/>
              <w:left w:val="single" w:sz="4" w:space="0" w:color="auto"/>
              <w:bottom w:val="single" w:sz="4" w:space="0" w:color="auto"/>
              <w:right w:val="single" w:sz="4" w:space="0" w:color="auto"/>
            </w:tcBorders>
            <w:shd w:val="clear" w:color="auto" w:fill="auto"/>
            <w:noWrap/>
            <w:vAlign w:val="center"/>
            <w:hideMark/>
          </w:tcPr>
          <w:p w:rsidR="00AC40FC" w:rsidRPr="00F306EF" w:rsidRDefault="00AC40FC" w:rsidP="00701DCF">
            <w:pPr>
              <w:spacing w:after="0"/>
              <w:jc w:val="center"/>
              <w:rPr>
                <w:rFonts w:cs="Arial"/>
                <w:color w:val="000000"/>
                <w:sz w:val="20"/>
                <w:szCs w:val="20"/>
              </w:rPr>
            </w:pPr>
            <w:r w:rsidRPr="00F306EF">
              <w:rPr>
                <w:rFonts w:cs="Arial"/>
                <w:color w:val="000000"/>
                <w:sz w:val="20"/>
                <w:szCs w:val="20"/>
              </w:rPr>
              <w:t>Non-Residential Recovery Rate (Agency 2)</w:t>
            </w:r>
          </w:p>
        </w:tc>
        <w:tc>
          <w:tcPr>
            <w:tcW w:w="1440" w:type="dxa"/>
            <w:tcBorders>
              <w:top w:val="nil"/>
              <w:left w:val="nil"/>
              <w:bottom w:val="single" w:sz="4" w:space="0" w:color="auto"/>
              <w:right w:val="single" w:sz="4" w:space="0" w:color="auto"/>
            </w:tcBorders>
            <w:shd w:val="clear" w:color="auto" w:fill="auto"/>
            <w:noWrap/>
            <w:vAlign w:val="bottom"/>
            <w:hideMark/>
          </w:tcPr>
          <w:p w:rsidR="00AC40FC" w:rsidRPr="00F306EF" w:rsidRDefault="00AC40FC" w:rsidP="00701DCF">
            <w:pPr>
              <w:spacing w:after="0"/>
              <w:jc w:val="center"/>
              <w:rPr>
                <w:rFonts w:cs="Arial"/>
                <w:color w:val="000000"/>
                <w:sz w:val="20"/>
                <w:szCs w:val="20"/>
              </w:rPr>
            </w:pPr>
            <w:r w:rsidRPr="00F306EF">
              <w:rPr>
                <w:rFonts w:cs="Arial"/>
                <w:color w:val="000000"/>
                <w:sz w:val="20"/>
                <w:szCs w:val="20"/>
              </w:rPr>
              <w:t>8.96%</w:t>
            </w:r>
          </w:p>
        </w:tc>
      </w:tr>
      <w:tr w:rsidR="00AC40FC" w:rsidRPr="00F306EF" w:rsidTr="003907AC">
        <w:trPr>
          <w:trHeight w:val="229"/>
          <w:jc w:val="center"/>
        </w:trPr>
        <w:tc>
          <w:tcPr>
            <w:tcW w:w="4129" w:type="dxa"/>
            <w:tcBorders>
              <w:top w:val="nil"/>
              <w:left w:val="single" w:sz="4" w:space="0" w:color="auto"/>
              <w:bottom w:val="single" w:sz="4" w:space="0" w:color="auto"/>
              <w:right w:val="single" w:sz="4" w:space="0" w:color="auto"/>
            </w:tcBorders>
            <w:shd w:val="clear" w:color="auto" w:fill="auto"/>
            <w:noWrap/>
            <w:vAlign w:val="center"/>
            <w:hideMark/>
          </w:tcPr>
          <w:p w:rsidR="00AC40FC" w:rsidRPr="00F306EF" w:rsidRDefault="00AC40FC" w:rsidP="00701DCF">
            <w:pPr>
              <w:spacing w:after="0"/>
              <w:jc w:val="center"/>
              <w:rPr>
                <w:rFonts w:cs="Arial"/>
                <w:color w:val="000000"/>
                <w:sz w:val="20"/>
                <w:szCs w:val="20"/>
              </w:rPr>
            </w:pPr>
            <w:r w:rsidRPr="00F306EF">
              <w:rPr>
                <w:rFonts w:cs="Arial"/>
                <w:color w:val="000000"/>
                <w:sz w:val="20"/>
                <w:szCs w:val="20"/>
              </w:rPr>
              <w:t>Secondary Recovery Rate (Agency 3)</w:t>
            </w:r>
          </w:p>
        </w:tc>
        <w:tc>
          <w:tcPr>
            <w:tcW w:w="1440" w:type="dxa"/>
            <w:tcBorders>
              <w:top w:val="nil"/>
              <w:left w:val="nil"/>
              <w:bottom w:val="single" w:sz="4" w:space="0" w:color="auto"/>
              <w:right w:val="single" w:sz="4" w:space="0" w:color="auto"/>
            </w:tcBorders>
            <w:shd w:val="clear" w:color="auto" w:fill="auto"/>
            <w:noWrap/>
            <w:vAlign w:val="bottom"/>
            <w:hideMark/>
          </w:tcPr>
          <w:p w:rsidR="00AC40FC" w:rsidRPr="00F306EF" w:rsidRDefault="00AC40FC" w:rsidP="00701DCF">
            <w:pPr>
              <w:spacing w:after="0"/>
              <w:jc w:val="center"/>
              <w:rPr>
                <w:rFonts w:cs="Arial"/>
                <w:color w:val="000000"/>
                <w:sz w:val="20"/>
                <w:szCs w:val="20"/>
              </w:rPr>
            </w:pPr>
            <w:r w:rsidRPr="00F306EF">
              <w:rPr>
                <w:rFonts w:cs="Arial"/>
                <w:color w:val="000000"/>
                <w:sz w:val="20"/>
                <w:szCs w:val="20"/>
              </w:rPr>
              <w:t>0.69%</w:t>
            </w:r>
          </w:p>
        </w:tc>
      </w:tr>
      <w:tr w:rsidR="00AC40FC" w:rsidRPr="00F306EF" w:rsidTr="003907AC">
        <w:trPr>
          <w:trHeight w:val="138"/>
          <w:jc w:val="center"/>
        </w:trPr>
        <w:tc>
          <w:tcPr>
            <w:tcW w:w="556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C40FC" w:rsidRPr="00F306EF" w:rsidRDefault="00AC40FC" w:rsidP="00701DCF">
            <w:pPr>
              <w:spacing w:after="0"/>
              <w:rPr>
                <w:rFonts w:cs="Arial"/>
                <w:color w:val="000000"/>
                <w:sz w:val="20"/>
                <w:szCs w:val="20"/>
              </w:rPr>
            </w:pPr>
            <w:r w:rsidRPr="00F306EF">
              <w:rPr>
                <w:rFonts w:cs="Arial"/>
                <w:color w:val="000000"/>
                <w:sz w:val="20"/>
                <w:szCs w:val="20"/>
              </w:rPr>
              <w:t>Source:  DN 04-190</w:t>
            </w:r>
          </w:p>
        </w:tc>
      </w:tr>
    </w:tbl>
    <w:p w:rsidR="00AC40FC" w:rsidRDefault="00AC40FC" w:rsidP="00701DCF">
      <w:pPr>
        <w:pStyle w:val="Normal-aftertable"/>
      </w:pPr>
      <w:r>
        <w:t>The above data is cumulative for 12 months, but C&amp;C tracks monthly recovery rates for each of the agencies, the average balances placed and recovered per account, the amounts collected by agencies net of fees, and monthly write-offs.</w:t>
      </w:r>
    </w:p>
    <w:p w:rsidR="00AC40FC" w:rsidRDefault="00AC40FC" w:rsidP="004F00E5">
      <w:pPr>
        <w:pStyle w:val="Findings"/>
        <w:numPr>
          <w:ilvl w:val="0"/>
          <w:numId w:val="50"/>
        </w:numPr>
      </w:pPr>
      <w:r w:rsidRPr="004E46EC">
        <w:t>Over a multi-year period</w:t>
      </w:r>
      <w:r>
        <w:t>, net write-offs have grown significantly.</w:t>
      </w:r>
    </w:p>
    <w:p w:rsidR="00AC40FC" w:rsidRDefault="00AC40FC" w:rsidP="00701DCF">
      <w:r>
        <w:t xml:space="preserve">The data below depict Net-Write-Offs for nine years:  </w:t>
      </w:r>
    </w:p>
    <w:p w:rsidR="00AC40FC" w:rsidRDefault="00AC40FC" w:rsidP="00ED6D61">
      <w:pPr>
        <w:pStyle w:val="Caption"/>
      </w:pPr>
      <w:bookmarkStart w:id="98" w:name="_Toc462648417"/>
      <w:bookmarkStart w:id="99" w:name="_Toc464553039"/>
      <w:r>
        <w:t xml:space="preserve">Exhibit </w:t>
      </w:r>
      <w:fldSimple w:instr=" STYLEREF 1 \s ">
        <w:r w:rsidR="00A24205">
          <w:rPr>
            <w:noProof/>
          </w:rPr>
          <w:t>IX</w:t>
        </w:r>
      </w:fldSimple>
      <w:r w:rsidR="00264A1B">
        <w:noBreakHyphen/>
      </w:r>
      <w:fldSimple w:instr=" SEQ Exhibit \* ARABIC \s 1 ">
        <w:r w:rsidR="00A24205">
          <w:rPr>
            <w:noProof/>
          </w:rPr>
          <w:t>24</w:t>
        </w:r>
      </w:fldSimple>
      <w:r>
        <w:br/>
        <w:t>Net Write-Offs</w:t>
      </w:r>
      <w:bookmarkEnd w:id="98"/>
      <w:bookmarkEnd w:id="99"/>
    </w:p>
    <w:p w:rsidR="00AC40FC" w:rsidRDefault="00AC40FC" w:rsidP="00701DCF">
      <w:pPr>
        <w:jc w:val="center"/>
      </w:pPr>
      <w:r>
        <w:rPr>
          <w:noProof/>
        </w:rPr>
        <w:drawing>
          <wp:inline distT="0" distB="0" distL="0" distR="0">
            <wp:extent cx="4570095" cy="1804670"/>
            <wp:effectExtent l="0" t="0" r="1905" b="5080"/>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bl>
      <w:tblPr>
        <w:tblW w:w="9349" w:type="dxa"/>
        <w:jc w:val="center"/>
        <w:tblLayout w:type="fixed"/>
        <w:tblCellMar>
          <w:left w:w="72" w:type="dxa"/>
          <w:right w:w="72" w:type="dxa"/>
        </w:tblCellMar>
        <w:tblLook w:val="04A0"/>
      </w:tblPr>
      <w:tblGrid>
        <w:gridCol w:w="1885"/>
        <w:gridCol w:w="829"/>
        <w:gridCol w:w="829"/>
        <w:gridCol w:w="830"/>
        <w:gridCol w:w="829"/>
        <w:gridCol w:w="829"/>
        <w:gridCol w:w="830"/>
        <w:gridCol w:w="829"/>
        <w:gridCol w:w="829"/>
        <w:gridCol w:w="830"/>
      </w:tblGrid>
      <w:tr w:rsidR="00AC40FC" w:rsidRPr="00C27CF3" w:rsidTr="00BB665B">
        <w:trPr>
          <w:trHeight w:val="485"/>
          <w:tblHeader/>
          <w:jc w:val="center"/>
        </w:trPr>
        <w:tc>
          <w:tcPr>
            <w:tcW w:w="1885" w:type="dxa"/>
            <w:tcBorders>
              <w:top w:val="single" w:sz="4" w:space="0" w:color="auto"/>
              <w:left w:val="single" w:sz="4" w:space="0" w:color="auto"/>
              <w:bottom w:val="single" w:sz="4" w:space="0" w:color="auto"/>
              <w:right w:val="single" w:sz="4" w:space="0" w:color="auto"/>
            </w:tcBorders>
            <w:shd w:val="clear" w:color="auto" w:fill="A5CD7E"/>
            <w:noWrap/>
            <w:vAlign w:val="center"/>
            <w:hideMark/>
          </w:tcPr>
          <w:p w:rsidR="00AC40FC" w:rsidRPr="00D02616" w:rsidRDefault="00AC40FC" w:rsidP="00521E7D">
            <w:pPr>
              <w:spacing w:before="80" w:after="80"/>
              <w:jc w:val="center"/>
              <w:rPr>
                <w:rFonts w:cs="Arial"/>
                <w:b/>
                <w:color w:val="000000"/>
                <w:sz w:val="20"/>
                <w:szCs w:val="20"/>
              </w:rPr>
            </w:pPr>
            <w:r w:rsidRPr="00D02616">
              <w:rPr>
                <w:rFonts w:cs="Arial"/>
                <w:b/>
                <w:color w:val="000000"/>
                <w:sz w:val="20"/>
                <w:szCs w:val="20"/>
              </w:rPr>
              <w:t>Factor</w:t>
            </w:r>
          </w:p>
        </w:tc>
        <w:tc>
          <w:tcPr>
            <w:tcW w:w="829"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D02616" w:rsidRDefault="00AC40FC" w:rsidP="00521E7D">
            <w:pPr>
              <w:spacing w:before="80" w:after="80"/>
              <w:jc w:val="center"/>
              <w:rPr>
                <w:rFonts w:cs="Arial"/>
                <w:b/>
                <w:color w:val="000000"/>
                <w:sz w:val="20"/>
                <w:szCs w:val="20"/>
              </w:rPr>
            </w:pPr>
            <w:r w:rsidRPr="00D02616">
              <w:rPr>
                <w:rFonts w:cs="Arial"/>
                <w:b/>
                <w:color w:val="000000"/>
                <w:sz w:val="20"/>
                <w:szCs w:val="20"/>
              </w:rPr>
              <w:t>2007</w:t>
            </w:r>
          </w:p>
        </w:tc>
        <w:tc>
          <w:tcPr>
            <w:tcW w:w="829"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D02616" w:rsidRDefault="00AC40FC" w:rsidP="00521E7D">
            <w:pPr>
              <w:spacing w:before="80" w:after="80"/>
              <w:jc w:val="center"/>
              <w:rPr>
                <w:rFonts w:cs="Arial"/>
                <w:b/>
                <w:color w:val="000000"/>
                <w:sz w:val="20"/>
                <w:szCs w:val="20"/>
              </w:rPr>
            </w:pPr>
            <w:r w:rsidRPr="00D02616">
              <w:rPr>
                <w:rFonts w:cs="Arial"/>
                <w:b/>
                <w:color w:val="000000"/>
                <w:sz w:val="20"/>
                <w:szCs w:val="20"/>
              </w:rPr>
              <w:t>2008</w:t>
            </w:r>
          </w:p>
        </w:tc>
        <w:tc>
          <w:tcPr>
            <w:tcW w:w="83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D02616" w:rsidRDefault="00AC40FC" w:rsidP="00521E7D">
            <w:pPr>
              <w:spacing w:before="80" w:after="80"/>
              <w:jc w:val="center"/>
              <w:rPr>
                <w:rFonts w:cs="Arial"/>
                <w:b/>
                <w:color w:val="000000"/>
                <w:sz w:val="20"/>
                <w:szCs w:val="20"/>
              </w:rPr>
            </w:pPr>
            <w:r w:rsidRPr="00D02616">
              <w:rPr>
                <w:rFonts w:cs="Arial"/>
                <w:b/>
                <w:color w:val="000000"/>
                <w:sz w:val="20"/>
                <w:szCs w:val="20"/>
              </w:rPr>
              <w:t>2009</w:t>
            </w:r>
          </w:p>
        </w:tc>
        <w:tc>
          <w:tcPr>
            <w:tcW w:w="829"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D02616" w:rsidRDefault="00AC40FC" w:rsidP="00521E7D">
            <w:pPr>
              <w:spacing w:before="80" w:after="80"/>
              <w:jc w:val="center"/>
              <w:rPr>
                <w:rFonts w:cs="Arial"/>
                <w:b/>
                <w:color w:val="000000"/>
                <w:sz w:val="20"/>
                <w:szCs w:val="20"/>
              </w:rPr>
            </w:pPr>
            <w:r w:rsidRPr="00D02616">
              <w:rPr>
                <w:rFonts w:cs="Arial"/>
                <w:b/>
                <w:color w:val="000000"/>
                <w:sz w:val="20"/>
                <w:szCs w:val="20"/>
              </w:rPr>
              <w:t>2010</w:t>
            </w:r>
          </w:p>
        </w:tc>
        <w:tc>
          <w:tcPr>
            <w:tcW w:w="829"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D02616" w:rsidRDefault="00AC40FC" w:rsidP="00521E7D">
            <w:pPr>
              <w:spacing w:before="80" w:after="80"/>
              <w:jc w:val="center"/>
              <w:rPr>
                <w:rFonts w:cs="Arial"/>
                <w:b/>
                <w:color w:val="000000"/>
                <w:sz w:val="20"/>
                <w:szCs w:val="20"/>
              </w:rPr>
            </w:pPr>
            <w:r w:rsidRPr="00D02616">
              <w:rPr>
                <w:rFonts w:cs="Arial"/>
                <w:b/>
                <w:color w:val="000000"/>
                <w:sz w:val="20"/>
                <w:szCs w:val="20"/>
              </w:rPr>
              <w:t>2011</w:t>
            </w:r>
          </w:p>
        </w:tc>
        <w:tc>
          <w:tcPr>
            <w:tcW w:w="83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D02616" w:rsidRDefault="00AC40FC" w:rsidP="00521E7D">
            <w:pPr>
              <w:spacing w:before="80" w:after="80"/>
              <w:jc w:val="center"/>
              <w:rPr>
                <w:rFonts w:cs="Arial"/>
                <w:b/>
                <w:color w:val="000000"/>
                <w:sz w:val="20"/>
                <w:szCs w:val="20"/>
              </w:rPr>
            </w:pPr>
            <w:r w:rsidRPr="00D02616">
              <w:rPr>
                <w:rFonts w:cs="Arial"/>
                <w:b/>
                <w:color w:val="000000"/>
                <w:sz w:val="20"/>
                <w:szCs w:val="20"/>
              </w:rPr>
              <w:t>2012</w:t>
            </w:r>
          </w:p>
        </w:tc>
        <w:tc>
          <w:tcPr>
            <w:tcW w:w="829"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D02616" w:rsidRDefault="00AC40FC" w:rsidP="00521E7D">
            <w:pPr>
              <w:spacing w:before="80" w:after="80"/>
              <w:jc w:val="center"/>
              <w:rPr>
                <w:rFonts w:cs="Arial"/>
                <w:b/>
                <w:color w:val="000000"/>
                <w:sz w:val="20"/>
                <w:szCs w:val="20"/>
              </w:rPr>
            </w:pPr>
            <w:r w:rsidRPr="00D02616">
              <w:rPr>
                <w:rFonts w:cs="Arial"/>
                <w:b/>
                <w:color w:val="000000"/>
                <w:sz w:val="20"/>
                <w:szCs w:val="20"/>
              </w:rPr>
              <w:t>2013</w:t>
            </w:r>
          </w:p>
        </w:tc>
        <w:tc>
          <w:tcPr>
            <w:tcW w:w="829"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D02616" w:rsidRDefault="00AC40FC" w:rsidP="00521E7D">
            <w:pPr>
              <w:spacing w:before="80" w:after="80"/>
              <w:jc w:val="center"/>
              <w:rPr>
                <w:rFonts w:cs="Arial"/>
                <w:b/>
                <w:color w:val="000000"/>
                <w:sz w:val="20"/>
                <w:szCs w:val="20"/>
              </w:rPr>
            </w:pPr>
            <w:r w:rsidRPr="00D02616">
              <w:rPr>
                <w:rFonts w:cs="Arial"/>
                <w:b/>
                <w:color w:val="000000"/>
                <w:sz w:val="20"/>
                <w:szCs w:val="20"/>
              </w:rPr>
              <w:t>2014</w:t>
            </w:r>
          </w:p>
        </w:tc>
        <w:tc>
          <w:tcPr>
            <w:tcW w:w="83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D02616" w:rsidRDefault="00AC40FC" w:rsidP="00521E7D">
            <w:pPr>
              <w:spacing w:before="80" w:after="80"/>
              <w:jc w:val="center"/>
              <w:rPr>
                <w:rFonts w:cs="Arial"/>
                <w:b/>
                <w:color w:val="000000"/>
                <w:sz w:val="20"/>
                <w:szCs w:val="20"/>
              </w:rPr>
            </w:pPr>
            <w:r w:rsidRPr="00D02616">
              <w:rPr>
                <w:rFonts w:cs="Arial"/>
                <w:b/>
                <w:color w:val="000000"/>
                <w:sz w:val="20"/>
                <w:szCs w:val="20"/>
              </w:rPr>
              <w:t>2015</w:t>
            </w:r>
          </w:p>
        </w:tc>
      </w:tr>
      <w:tr w:rsidR="00AC40FC" w:rsidRPr="00C27CF3" w:rsidTr="00BB665B">
        <w:trPr>
          <w:trHeight w:val="300"/>
          <w:jc w:val="center"/>
        </w:trPr>
        <w:tc>
          <w:tcPr>
            <w:tcW w:w="1885" w:type="dxa"/>
            <w:tcBorders>
              <w:top w:val="nil"/>
              <w:left w:val="single" w:sz="4" w:space="0" w:color="auto"/>
              <w:bottom w:val="single" w:sz="4" w:space="0" w:color="auto"/>
              <w:right w:val="single" w:sz="4" w:space="0" w:color="auto"/>
            </w:tcBorders>
            <w:shd w:val="clear" w:color="auto" w:fill="auto"/>
            <w:noWrap/>
            <w:vAlign w:val="center"/>
            <w:hideMark/>
          </w:tcPr>
          <w:p w:rsidR="00AC40FC" w:rsidRPr="00C27CF3" w:rsidRDefault="00AC40FC" w:rsidP="00BB665B">
            <w:pPr>
              <w:spacing w:after="0"/>
              <w:jc w:val="center"/>
              <w:rPr>
                <w:rFonts w:cs="Arial"/>
                <w:color w:val="000000"/>
                <w:sz w:val="20"/>
                <w:szCs w:val="20"/>
              </w:rPr>
            </w:pPr>
            <w:r w:rsidRPr="00C27CF3">
              <w:rPr>
                <w:rFonts w:cs="Arial"/>
                <w:color w:val="000000"/>
                <w:sz w:val="20"/>
                <w:szCs w:val="20"/>
              </w:rPr>
              <w:t>Net Write-Offs</w:t>
            </w:r>
            <w:r>
              <w:rPr>
                <w:rFonts w:cs="Arial"/>
                <w:color w:val="000000"/>
                <w:sz w:val="20"/>
                <w:szCs w:val="20"/>
              </w:rPr>
              <w:t xml:space="preserve"> (millions)</w:t>
            </w:r>
          </w:p>
        </w:tc>
        <w:tc>
          <w:tcPr>
            <w:tcW w:w="829" w:type="dxa"/>
            <w:tcBorders>
              <w:top w:val="nil"/>
              <w:left w:val="nil"/>
              <w:bottom w:val="single" w:sz="4" w:space="0" w:color="auto"/>
              <w:right w:val="single" w:sz="4" w:space="0" w:color="auto"/>
            </w:tcBorders>
            <w:shd w:val="clear" w:color="auto" w:fill="auto"/>
            <w:noWrap/>
            <w:vAlign w:val="center"/>
            <w:hideMark/>
          </w:tcPr>
          <w:p w:rsidR="00AC40FC" w:rsidRPr="00C27CF3" w:rsidRDefault="00AC40FC" w:rsidP="00701DCF">
            <w:pPr>
              <w:spacing w:after="0"/>
              <w:jc w:val="center"/>
              <w:rPr>
                <w:rFonts w:cs="Arial"/>
                <w:color w:val="000000"/>
                <w:sz w:val="20"/>
                <w:szCs w:val="20"/>
              </w:rPr>
            </w:pPr>
            <w:r>
              <w:rPr>
                <w:rFonts w:cs="Arial"/>
                <w:color w:val="000000"/>
                <w:sz w:val="20"/>
                <w:szCs w:val="20"/>
              </w:rPr>
              <w:t>$</w:t>
            </w:r>
            <w:r w:rsidRPr="00C27CF3">
              <w:rPr>
                <w:rFonts w:cs="Arial"/>
                <w:color w:val="000000"/>
                <w:sz w:val="20"/>
                <w:szCs w:val="20"/>
              </w:rPr>
              <w:t>22.93</w:t>
            </w:r>
          </w:p>
        </w:tc>
        <w:tc>
          <w:tcPr>
            <w:tcW w:w="829" w:type="dxa"/>
            <w:tcBorders>
              <w:top w:val="nil"/>
              <w:left w:val="nil"/>
              <w:bottom w:val="single" w:sz="4" w:space="0" w:color="auto"/>
              <w:right w:val="single" w:sz="4" w:space="0" w:color="auto"/>
            </w:tcBorders>
            <w:shd w:val="clear" w:color="000000" w:fill="FFFFFF"/>
            <w:noWrap/>
            <w:vAlign w:val="center"/>
            <w:hideMark/>
          </w:tcPr>
          <w:p w:rsidR="00AC40FC" w:rsidRPr="00C27CF3" w:rsidRDefault="00AC40FC" w:rsidP="00701DCF">
            <w:pPr>
              <w:spacing w:after="0"/>
              <w:jc w:val="center"/>
              <w:rPr>
                <w:rFonts w:cs="Arial"/>
                <w:color w:val="000000"/>
                <w:sz w:val="20"/>
                <w:szCs w:val="20"/>
              </w:rPr>
            </w:pPr>
            <w:r>
              <w:rPr>
                <w:rFonts w:cs="Arial"/>
                <w:color w:val="000000"/>
                <w:sz w:val="20"/>
                <w:szCs w:val="20"/>
              </w:rPr>
              <w:t>$</w:t>
            </w:r>
            <w:r w:rsidRPr="00C27CF3">
              <w:rPr>
                <w:rFonts w:cs="Arial"/>
                <w:color w:val="000000"/>
                <w:sz w:val="20"/>
                <w:szCs w:val="20"/>
              </w:rPr>
              <w:t>26.11</w:t>
            </w:r>
          </w:p>
        </w:tc>
        <w:tc>
          <w:tcPr>
            <w:tcW w:w="830" w:type="dxa"/>
            <w:tcBorders>
              <w:top w:val="nil"/>
              <w:left w:val="nil"/>
              <w:bottom w:val="single" w:sz="4" w:space="0" w:color="auto"/>
              <w:right w:val="single" w:sz="4" w:space="0" w:color="auto"/>
            </w:tcBorders>
            <w:shd w:val="clear" w:color="000000" w:fill="FFFFFF"/>
            <w:noWrap/>
            <w:vAlign w:val="center"/>
            <w:hideMark/>
          </w:tcPr>
          <w:p w:rsidR="00AC40FC" w:rsidRPr="00C27CF3" w:rsidRDefault="00AC40FC" w:rsidP="00701DCF">
            <w:pPr>
              <w:spacing w:after="0"/>
              <w:jc w:val="center"/>
              <w:rPr>
                <w:rFonts w:cs="Arial"/>
                <w:color w:val="000000"/>
                <w:sz w:val="20"/>
                <w:szCs w:val="20"/>
              </w:rPr>
            </w:pPr>
            <w:r>
              <w:rPr>
                <w:rFonts w:cs="Arial"/>
                <w:color w:val="000000"/>
                <w:sz w:val="20"/>
                <w:szCs w:val="20"/>
              </w:rPr>
              <w:t>$</w:t>
            </w:r>
            <w:r w:rsidRPr="00C27CF3">
              <w:rPr>
                <w:rFonts w:cs="Arial"/>
                <w:color w:val="000000"/>
                <w:sz w:val="20"/>
                <w:szCs w:val="20"/>
              </w:rPr>
              <w:t>26.85</w:t>
            </w:r>
          </w:p>
        </w:tc>
        <w:tc>
          <w:tcPr>
            <w:tcW w:w="829" w:type="dxa"/>
            <w:tcBorders>
              <w:top w:val="nil"/>
              <w:left w:val="nil"/>
              <w:bottom w:val="single" w:sz="4" w:space="0" w:color="auto"/>
              <w:right w:val="single" w:sz="4" w:space="0" w:color="auto"/>
            </w:tcBorders>
            <w:shd w:val="clear" w:color="000000" w:fill="FFFFFF"/>
            <w:noWrap/>
            <w:vAlign w:val="center"/>
            <w:hideMark/>
          </w:tcPr>
          <w:p w:rsidR="00AC40FC" w:rsidRPr="00C27CF3" w:rsidRDefault="00AC40FC" w:rsidP="00701DCF">
            <w:pPr>
              <w:spacing w:after="0"/>
              <w:jc w:val="center"/>
              <w:rPr>
                <w:rFonts w:cs="Arial"/>
                <w:color w:val="000000"/>
                <w:sz w:val="20"/>
                <w:szCs w:val="20"/>
              </w:rPr>
            </w:pPr>
            <w:r>
              <w:rPr>
                <w:rFonts w:cs="Arial"/>
                <w:color w:val="000000"/>
                <w:sz w:val="20"/>
                <w:szCs w:val="20"/>
              </w:rPr>
              <w:t>$</w:t>
            </w:r>
            <w:r w:rsidRPr="00C27CF3">
              <w:rPr>
                <w:rFonts w:cs="Arial"/>
                <w:color w:val="000000"/>
                <w:sz w:val="20"/>
                <w:szCs w:val="20"/>
              </w:rPr>
              <w:t>25.00</w:t>
            </w:r>
          </w:p>
        </w:tc>
        <w:tc>
          <w:tcPr>
            <w:tcW w:w="829" w:type="dxa"/>
            <w:tcBorders>
              <w:top w:val="nil"/>
              <w:left w:val="nil"/>
              <w:bottom w:val="single" w:sz="4" w:space="0" w:color="auto"/>
              <w:right w:val="single" w:sz="4" w:space="0" w:color="auto"/>
            </w:tcBorders>
            <w:shd w:val="clear" w:color="000000" w:fill="FFFFFF"/>
            <w:noWrap/>
            <w:vAlign w:val="center"/>
            <w:hideMark/>
          </w:tcPr>
          <w:p w:rsidR="00AC40FC" w:rsidRPr="00C27CF3" w:rsidRDefault="00AC40FC" w:rsidP="00701DCF">
            <w:pPr>
              <w:spacing w:after="0"/>
              <w:jc w:val="center"/>
              <w:rPr>
                <w:rFonts w:cs="Arial"/>
                <w:color w:val="000000"/>
                <w:sz w:val="20"/>
                <w:szCs w:val="20"/>
              </w:rPr>
            </w:pPr>
            <w:r>
              <w:rPr>
                <w:rFonts w:cs="Arial"/>
                <w:color w:val="000000"/>
                <w:sz w:val="20"/>
                <w:szCs w:val="20"/>
              </w:rPr>
              <w:t>$</w:t>
            </w:r>
            <w:r w:rsidRPr="00C27CF3">
              <w:rPr>
                <w:rFonts w:cs="Arial"/>
                <w:color w:val="000000"/>
                <w:sz w:val="20"/>
                <w:szCs w:val="20"/>
              </w:rPr>
              <w:t>29.72</w:t>
            </w:r>
          </w:p>
        </w:tc>
        <w:tc>
          <w:tcPr>
            <w:tcW w:w="830" w:type="dxa"/>
            <w:tcBorders>
              <w:top w:val="nil"/>
              <w:left w:val="nil"/>
              <w:bottom w:val="single" w:sz="4" w:space="0" w:color="auto"/>
              <w:right w:val="single" w:sz="4" w:space="0" w:color="auto"/>
            </w:tcBorders>
            <w:shd w:val="clear" w:color="000000" w:fill="FFFFFF"/>
            <w:noWrap/>
            <w:vAlign w:val="center"/>
            <w:hideMark/>
          </w:tcPr>
          <w:p w:rsidR="00AC40FC" w:rsidRPr="00C27CF3" w:rsidRDefault="00AC40FC" w:rsidP="00701DCF">
            <w:pPr>
              <w:spacing w:after="0"/>
              <w:jc w:val="center"/>
              <w:rPr>
                <w:rFonts w:cs="Arial"/>
                <w:color w:val="000000"/>
                <w:sz w:val="20"/>
                <w:szCs w:val="20"/>
              </w:rPr>
            </w:pPr>
            <w:r>
              <w:rPr>
                <w:rFonts w:cs="Arial"/>
                <w:color w:val="000000"/>
                <w:sz w:val="20"/>
                <w:szCs w:val="20"/>
              </w:rPr>
              <w:t>$</w:t>
            </w:r>
            <w:r w:rsidRPr="00C27CF3">
              <w:rPr>
                <w:rFonts w:cs="Arial"/>
                <w:color w:val="000000"/>
                <w:sz w:val="20"/>
                <w:szCs w:val="20"/>
              </w:rPr>
              <w:t>29.34</w:t>
            </w:r>
          </w:p>
        </w:tc>
        <w:tc>
          <w:tcPr>
            <w:tcW w:w="829" w:type="dxa"/>
            <w:tcBorders>
              <w:top w:val="nil"/>
              <w:left w:val="nil"/>
              <w:bottom w:val="single" w:sz="4" w:space="0" w:color="auto"/>
              <w:right w:val="single" w:sz="4" w:space="0" w:color="auto"/>
            </w:tcBorders>
            <w:shd w:val="clear" w:color="000000" w:fill="FFFFFF"/>
            <w:noWrap/>
            <w:vAlign w:val="center"/>
            <w:hideMark/>
          </w:tcPr>
          <w:p w:rsidR="00AC40FC" w:rsidRPr="00C27CF3" w:rsidRDefault="00AC40FC" w:rsidP="00701DCF">
            <w:pPr>
              <w:spacing w:after="0"/>
              <w:jc w:val="center"/>
              <w:rPr>
                <w:rFonts w:cs="Arial"/>
                <w:color w:val="000000"/>
                <w:sz w:val="20"/>
                <w:szCs w:val="20"/>
              </w:rPr>
            </w:pPr>
            <w:r>
              <w:rPr>
                <w:rFonts w:cs="Arial"/>
                <w:color w:val="000000"/>
                <w:sz w:val="20"/>
                <w:szCs w:val="20"/>
              </w:rPr>
              <w:t>$</w:t>
            </w:r>
            <w:r w:rsidRPr="00C27CF3">
              <w:rPr>
                <w:rFonts w:cs="Arial"/>
                <w:color w:val="000000"/>
                <w:sz w:val="20"/>
                <w:szCs w:val="20"/>
              </w:rPr>
              <w:t>32.92</w:t>
            </w:r>
          </w:p>
        </w:tc>
        <w:tc>
          <w:tcPr>
            <w:tcW w:w="829" w:type="dxa"/>
            <w:tcBorders>
              <w:top w:val="nil"/>
              <w:left w:val="nil"/>
              <w:bottom w:val="single" w:sz="4" w:space="0" w:color="auto"/>
              <w:right w:val="single" w:sz="4" w:space="0" w:color="auto"/>
            </w:tcBorders>
            <w:shd w:val="clear" w:color="000000" w:fill="FFFFFF"/>
            <w:noWrap/>
            <w:vAlign w:val="center"/>
            <w:hideMark/>
          </w:tcPr>
          <w:p w:rsidR="00AC40FC" w:rsidRPr="00C27CF3" w:rsidRDefault="00AC40FC" w:rsidP="00701DCF">
            <w:pPr>
              <w:spacing w:after="0"/>
              <w:jc w:val="center"/>
              <w:rPr>
                <w:rFonts w:cs="Arial"/>
                <w:color w:val="000000"/>
                <w:sz w:val="20"/>
                <w:szCs w:val="20"/>
              </w:rPr>
            </w:pPr>
            <w:r>
              <w:rPr>
                <w:rFonts w:cs="Arial"/>
                <w:color w:val="000000"/>
                <w:sz w:val="20"/>
                <w:szCs w:val="20"/>
              </w:rPr>
              <w:t>$</w:t>
            </w:r>
            <w:r w:rsidRPr="00C27CF3">
              <w:rPr>
                <w:rFonts w:cs="Arial"/>
                <w:color w:val="000000"/>
                <w:sz w:val="20"/>
                <w:szCs w:val="20"/>
              </w:rPr>
              <w:t>34.27</w:t>
            </w:r>
          </w:p>
        </w:tc>
        <w:tc>
          <w:tcPr>
            <w:tcW w:w="830" w:type="dxa"/>
            <w:tcBorders>
              <w:top w:val="nil"/>
              <w:left w:val="nil"/>
              <w:bottom w:val="single" w:sz="4" w:space="0" w:color="auto"/>
              <w:right w:val="single" w:sz="4" w:space="0" w:color="auto"/>
            </w:tcBorders>
            <w:shd w:val="clear" w:color="auto" w:fill="auto"/>
            <w:noWrap/>
            <w:vAlign w:val="center"/>
            <w:hideMark/>
          </w:tcPr>
          <w:p w:rsidR="00AC40FC" w:rsidRPr="00C27CF3" w:rsidRDefault="00AC40FC" w:rsidP="00701DCF">
            <w:pPr>
              <w:spacing w:after="0"/>
              <w:jc w:val="center"/>
              <w:rPr>
                <w:rFonts w:cs="Arial"/>
                <w:color w:val="000000"/>
                <w:sz w:val="20"/>
                <w:szCs w:val="20"/>
              </w:rPr>
            </w:pPr>
            <w:r>
              <w:rPr>
                <w:rFonts w:cs="Arial"/>
                <w:color w:val="000000"/>
                <w:sz w:val="20"/>
                <w:szCs w:val="20"/>
              </w:rPr>
              <w:t>$36.70</w:t>
            </w:r>
          </w:p>
        </w:tc>
      </w:tr>
      <w:tr w:rsidR="00AC40FC" w:rsidRPr="00C27CF3" w:rsidTr="00BB665B">
        <w:trPr>
          <w:trHeight w:val="300"/>
          <w:jc w:val="center"/>
        </w:trPr>
        <w:tc>
          <w:tcPr>
            <w:tcW w:w="9349"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C40FC" w:rsidRPr="00C27CF3" w:rsidRDefault="00AC40FC" w:rsidP="00701DCF">
            <w:pPr>
              <w:spacing w:after="0"/>
              <w:rPr>
                <w:rFonts w:cs="Arial"/>
                <w:color w:val="000000"/>
                <w:sz w:val="20"/>
                <w:szCs w:val="20"/>
              </w:rPr>
            </w:pPr>
            <w:r w:rsidRPr="00C27CF3">
              <w:rPr>
                <w:rFonts w:cs="Arial"/>
                <w:color w:val="000000"/>
                <w:sz w:val="20"/>
                <w:szCs w:val="20"/>
              </w:rPr>
              <w:t>Source</w:t>
            </w:r>
            <w:r>
              <w:rPr>
                <w:rFonts w:cs="Arial"/>
                <w:color w:val="000000"/>
                <w:sz w:val="20"/>
                <w:szCs w:val="20"/>
              </w:rPr>
              <w:t>s</w:t>
            </w:r>
            <w:r w:rsidRPr="00C27CF3">
              <w:rPr>
                <w:rFonts w:cs="Arial"/>
                <w:color w:val="000000"/>
                <w:sz w:val="20"/>
                <w:szCs w:val="20"/>
              </w:rPr>
              <w:t>:  DN 04-177</w:t>
            </w:r>
            <w:r>
              <w:rPr>
                <w:rFonts w:cs="Arial"/>
                <w:color w:val="000000"/>
                <w:sz w:val="20"/>
                <w:szCs w:val="20"/>
              </w:rPr>
              <w:t xml:space="preserve">; 04-197; </w:t>
            </w:r>
            <w:r>
              <w:rPr>
                <w:rFonts w:cs="Arial"/>
                <w:color w:val="000000"/>
                <w:sz w:val="18"/>
                <w:szCs w:val="18"/>
              </w:rPr>
              <w:t>PPL EU edits</w:t>
            </w:r>
          </w:p>
        </w:tc>
      </w:tr>
    </w:tbl>
    <w:p w:rsidR="00AC40FC" w:rsidRDefault="00AC40FC" w:rsidP="00701DCF">
      <w:pPr>
        <w:pStyle w:val="Normal-aftertable"/>
      </w:pPr>
      <w:r>
        <w:t>The Net Write-Offs increased by 60% between 2007 through 2015.</w:t>
      </w:r>
    </w:p>
    <w:p w:rsidR="00AC40FC" w:rsidRPr="00C71F9D" w:rsidRDefault="00AC40FC" w:rsidP="004F00E5">
      <w:pPr>
        <w:pStyle w:val="Findings"/>
        <w:numPr>
          <w:ilvl w:val="0"/>
          <w:numId w:val="50"/>
        </w:numPr>
      </w:pPr>
      <w:r w:rsidRPr="00C71F9D">
        <w:t>Credit and Collections</w:t>
      </w:r>
      <w:r w:rsidRPr="00BC5B7E">
        <w:t>-related performance indicators show that actions are being taken to reduce accounts receivable and drive more dol</w:t>
      </w:r>
      <w:r w:rsidRPr="00C71F9D">
        <w:t>lars to be written off, but do not address the mitigation o</w:t>
      </w:r>
      <w:r>
        <w:t>f the significant increases in net write-o</w:t>
      </w:r>
      <w:r w:rsidRPr="00C71F9D">
        <w:t>ffs.</w:t>
      </w:r>
    </w:p>
    <w:p w:rsidR="00AC40FC" w:rsidRPr="00C71F9D" w:rsidRDefault="00AC40FC" w:rsidP="00701DCF">
      <w:r w:rsidRPr="00C71F9D">
        <w:t xml:space="preserve">The October 2015 Customer Services Monthly Performance Indicators report contains three Department Level C&amp;C-related metrics:  </w:t>
      </w:r>
    </w:p>
    <w:p w:rsidR="00AC40FC" w:rsidRPr="00C71F9D" w:rsidRDefault="00AC40FC" w:rsidP="00701DCF">
      <w:pPr>
        <w:pStyle w:val="Bullet"/>
      </w:pPr>
      <w:r w:rsidRPr="00C71F9D">
        <w:t>Customer Services defines the "Net Write-Offs" performance indicator as net write-offs budgeted less purchase of receivables budgeted (supplier discount) plus cumulative reserve adjustments.  The objective is to manage net write-offs to ensure expenses are minimized and cash flow maximized.  The associated commentary essentially addresses managing to the forecasted budget target.</w:t>
      </w:r>
      <w:r w:rsidRPr="00440B39">
        <w:t xml:space="preserve"> </w:t>
      </w:r>
      <w:r w:rsidRPr="00C71F9D">
        <w:t xml:space="preserve">  </w:t>
      </w:r>
      <w:r w:rsidRPr="00C71F9D">
        <w:lastRenderedPageBreak/>
        <w:t>There is no focused commentary on short and long-term initiatives to control the rise in Net Write-Offs.</w:t>
      </w:r>
    </w:p>
    <w:p w:rsidR="00AC40FC" w:rsidRPr="00C71F9D" w:rsidRDefault="00AC40FC" w:rsidP="00701DCF">
      <w:pPr>
        <w:pStyle w:val="Bullet"/>
      </w:pPr>
      <w:r w:rsidRPr="00C71F9D">
        <w:t xml:space="preserve">Customer Services also tracks and reports "Residential Active 60+ Day Overdue Accounts Receivable" (which excludes OnTrack accounts receivable) and "Cumulative Accounts Receivable Reduction."  The objective is to implement C&amp;C initiatives that reduce customers’ overdue bills.  The commentary discusses variances in meeting forecasted targets, including a decrease in overdue accounts receivable.  There is no explicit discussion of specific short and long-term initiatives to drive down overdue accounts receivable.   </w:t>
      </w:r>
    </w:p>
    <w:p w:rsidR="00AC40FC" w:rsidRPr="00C71F9D" w:rsidRDefault="00AC40FC" w:rsidP="00701DCF">
      <w:pPr>
        <w:pStyle w:val="Normal-aftertable"/>
      </w:pPr>
      <w:r w:rsidRPr="00C71F9D">
        <w:t xml:space="preserve">The October 2015 Report also has two C&amp;C-specific indicators:  "Residential Overdue to a Rolling 12-month Revenue Ratio (Accounts Receivable)" and the "Rolling 12-Month Write-Off to Rolling 12-Month Revenue Ratio."  The objective of these indicators are to actively manage balances going forward, which will drive more accounts to be written-off.” </w:t>
      </w:r>
      <w:r>
        <w:t xml:space="preserve"> </w:t>
      </w:r>
      <w:r w:rsidRPr="00C71F9D">
        <w:t xml:space="preserve">There is no commentary that describes short and long-term initiatives that relate to controlling the growth in Net Write-Offs.  </w:t>
      </w:r>
    </w:p>
    <w:p w:rsidR="00AC40FC" w:rsidRDefault="00AC40FC" w:rsidP="00701DCF">
      <w:pPr>
        <w:pStyle w:val="Normal-aftertable"/>
      </w:pPr>
      <w:r>
        <w:t xml:space="preserve">Despite PPL EU's use of </w:t>
      </w:r>
      <w:r w:rsidRPr="00C71F9D">
        <w:t xml:space="preserve"> r</w:t>
      </w:r>
      <w:r>
        <w:t>isk scoring, managed payment pla</w:t>
      </w:r>
      <w:r w:rsidRPr="00C71F9D">
        <w:t>ns, live-agent outbound calling</w:t>
      </w:r>
      <w:r>
        <w:t>,</w:t>
      </w:r>
      <w:r w:rsidRPr="00C71F9D">
        <w:t xml:space="preserve"> and field productivity improvements</w:t>
      </w:r>
      <w:r>
        <w:t xml:space="preserve"> which are </w:t>
      </w:r>
      <w:r w:rsidRPr="00C71F9D">
        <w:t xml:space="preserve">aimed at reducing overdue </w:t>
      </w:r>
      <w:r>
        <w:t xml:space="preserve">accounts receivable, </w:t>
      </w:r>
      <w:r w:rsidRPr="00C71F9D">
        <w:t xml:space="preserve"> </w:t>
      </w:r>
      <w:r>
        <w:t>Net Write-Offs continued to increase.</w:t>
      </w:r>
    </w:p>
    <w:p w:rsidR="00AC40FC" w:rsidRDefault="00AC40FC" w:rsidP="00BB665B">
      <w:pPr>
        <w:pStyle w:val="Heading-forToC"/>
      </w:pPr>
      <w:bookmarkStart w:id="100" w:name="_Toc462647850"/>
      <w:bookmarkStart w:id="101" w:name="_Toc464552089"/>
      <w:r>
        <w:t>recommendations</w:t>
      </w:r>
      <w:bookmarkEnd w:id="100"/>
      <w:bookmarkEnd w:id="101"/>
    </w:p>
    <w:p w:rsidR="00AC40FC" w:rsidRPr="009200F7" w:rsidRDefault="00AC40FC" w:rsidP="004F00E5">
      <w:pPr>
        <w:pStyle w:val="Findings"/>
        <w:numPr>
          <w:ilvl w:val="0"/>
          <w:numId w:val="51"/>
        </w:numPr>
      </w:pPr>
      <w:r>
        <w:t>Merge the Metering Operations and Revenue Protection functions to improve performance and reduce O&amp;M costs. (See Findings 1, 2 ,3, and 4)</w:t>
      </w:r>
    </w:p>
    <w:p w:rsidR="00AC40FC" w:rsidRDefault="00AC40FC" w:rsidP="00701DCF">
      <w:r>
        <w:t>Both groups have metering responsibilities that require metering knowledge and regional fieldwork.  Metering Operations staffing requirements will be reduced as the MeterVision 20/20 Project is implemented and the existing meters, data communication systems, and the MDM system are replaced.  Reduced metering errors and anomalies, improved revenue loss detection, and more efficient meter and account turn-on and turn-offs will change the nature and requirements of field work and the resulting FTE requirements.  Cross-training and other work force management techniques will help eliminate duplicative and unnecessary work and will help optimize FTE staffing.  Workforce management will be better at tracking performance, identifying performance improvement opportunities, and fine tuning forecasting models.  O&amp;M costs can be reduced and measured with appropriate performance indicators to ensure work quality, work productivity, and meeting internal stakeholder and external customer needs.</w:t>
      </w:r>
    </w:p>
    <w:p w:rsidR="00AC40FC" w:rsidRDefault="00AC40FC" w:rsidP="00701DCF">
      <w:r>
        <w:t>PPL EU estimates that a reduction of two Metering Operations and Revenue Protection FTEs would result in a savings of $250,000 per year.</w:t>
      </w:r>
    </w:p>
    <w:p w:rsidR="00AC40FC" w:rsidRDefault="00AC40FC" w:rsidP="004F00E5">
      <w:pPr>
        <w:pStyle w:val="Findings"/>
        <w:numPr>
          <w:ilvl w:val="0"/>
          <w:numId w:val="51"/>
        </w:numPr>
      </w:pPr>
      <w:r>
        <w:t xml:space="preserve">Modify billing metrics to focus attention on error rates instead of billing achievement rates.  </w:t>
      </w:r>
      <w:r w:rsidRPr="00F00575">
        <w:t>(</w:t>
      </w:r>
      <w:r>
        <w:t xml:space="preserve">See </w:t>
      </w:r>
      <w:r w:rsidRPr="00F00575">
        <w:t>Finding</w:t>
      </w:r>
      <w:r>
        <w:t xml:space="preserve"> 5</w:t>
      </w:r>
      <w:r w:rsidRPr="00F00575">
        <w:t>)</w:t>
      </w:r>
    </w:p>
    <w:p w:rsidR="00AC40FC" w:rsidRDefault="00AC40FC" w:rsidP="00701DCF">
      <w:r>
        <w:t>Customer Services should replace the existing Bills Issued Timely and the Bills Issued Accurately metrics to</w:t>
      </w:r>
      <w:r w:rsidRPr="007146F4">
        <w:t xml:space="preserve"> </w:t>
      </w:r>
      <w:r>
        <w:t xml:space="preserve">Bills Not Issued Timely and Adjusted Bills.  The current metrics are well above 99%.  Given that about 17 million bills are issued each year, a relatively small 0.01 percentage point change in Bills Not Issued Timely or Adjusted Bills represents 1,700 bills.  As reported in the October 2015 Customer Services Monthly Performance Indicators Report, 4,218 billing adjustments were required for that month. </w:t>
      </w:r>
    </w:p>
    <w:p w:rsidR="00AC40FC" w:rsidRDefault="00AC40FC" w:rsidP="00701DCF">
      <w:r>
        <w:lastRenderedPageBreak/>
        <w:t xml:space="preserve">Exception or error reporting </w:t>
      </w:r>
      <w:r w:rsidRPr="00E611AB">
        <w:t>focus</w:t>
      </w:r>
      <w:r>
        <w:t>es</w:t>
      </w:r>
      <w:r w:rsidRPr="00E611AB">
        <w:t xml:space="preserve"> attention </w:t>
      </w:r>
      <w:r>
        <w:t xml:space="preserve">on the magnitude of problems and more readily facilitates analysis of correction and improvement opportunities.  Error reporting, coupled with identifying the cost per error unit can lead to a more thorough analysis of the cost to correct errors versus the benefits derived.  </w:t>
      </w:r>
    </w:p>
    <w:p w:rsidR="00AC40FC" w:rsidRDefault="00AC40FC" w:rsidP="00701DCF">
      <w:r>
        <w:t>The contract for the billing function that is outsourced to the billing service vendor is governed by a service level agreement (SLA) that is mostly defined by error rates.  To whatever extent the billing error metrics are affected by the performance of the billing service vendor, Customer Services would more easily identify cause and effect.</w:t>
      </w:r>
    </w:p>
    <w:p w:rsidR="00AC40FC" w:rsidRDefault="00AC40FC" w:rsidP="004F00E5">
      <w:pPr>
        <w:pStyle w:val="Findings"/>
        <w:numPr>
          <w:ilvl w:val="0"/>
          <w:numId w:val="51"/>
        </w:numPr>
      </w:pPr>
      <w:r>
        <w:t xml:space="preserve">Analyze the bill printing practices for opportunities to improve efficiencies and reduce costs.  </w:t>
      </w:r>
      <w:r w:rsidRPr="00B05FEC">
        <w:t>(</w:t>
      </w:r>
      <w:r>
        <w:t xml:space="preserve">See </w:t>
      </w:r>
      <w:r w:rsidRPr="00B05FEC">
        <w:t xml:space="preserve">Finding </w:t>
      </w:r>
      <w:r>
        <w:t>6</w:t>
      </w:r>
      <w:r w:rsidRPr="00B05FEC">
        <w:t>)</w:t>
      </w:r>
    </w:p>
    <w:p w:rsidR="00AC40FC" w:rsidRDefault="00AC40FC" w:rsidP="00701DCF">
      <w:r>
        <w:t xml:space="preserve">The meter data print files are sent electronically to the bill-printing contractor located in Connecticut.  The contractor then prints, stuffs the envelopes, and trucks the bills to a U.S. Postal Service location in Lehigh, Pennsylvania.  This practice is inefficient and subject to weather, or other types of delays.  Customer Services should improve this bill delivery process.  Improvement alternatives may include mailing the bills directly from the bill-printing contractor to customers or locating the bill printing function near a central PPL EU territory location.  </w:t>
      </w:r>
    </w:p>
    <w:p w:rsidR="00AC40FC" w:rsidRDefault="00AC40FC" w:rsidP="00701DCF">
      <w:r>
        <w:t>Improvement alternatives that involve bringing the printing in-house or using a new bill printing contractor are facilitated by the fact the existing contract expired in February 2013 and apparently has not been formally extended.  The time may be opportune to issue a RFP or renegotiate the contract, including requirements for more efficient billing preparation and delivery practices.</w:t>
      </w:r>
    </w:p>
    <w:p w:rsidR="00AC40FC" w:rsidRPr="00AD1160" w:rsidRDefault="00AC40FC" w:rsidP="004F00E5">
      <w:pPr>
        <w:pStyle w:val="Findings"/>
        <w:numPr>
          <w:ilvl w:val="0"/>
          <w:numId w:val="51"/>
        </w:numPr>
      </w:pPr>
      <w:r>
        <w:t>Amend, update, or renegotiate the contracts with the two credit contractors to include service level agreements and performance metrics</w:t>
      </w:r>
      <w:r w:rsidRPr="002822AE">
        <w:t xml:space="preserve">.  </w:t>
      </w:r>
      <w:r w:rsidRPr="00AD1160">
        <w:t>(</w:t>
      </w:r>
      <w:r>
        <w:t xml:space="preserve">See </w:t>
      </w:r>
      <w:r w:rsidRPr="00AD1160">
        <w:t>Finding</w:t>
      </w:r>
      <w:r>
        <w:t> 7)</w:t>
      </w:r>
      <w:r w:rsidRPr="00AD1160">
        <w:t xml:space="preserve"> </w:t>
      </w:r>
    </w:p>
    <w:p w:rsidR="00AC40FC" w:rsidRDefault="00AC40FC" w:rsidP="00701DCF">
      <w:pPr>
        <w:rPr>
          <w:rFonts w:cs="Arial"/>
        </w:rPr>
      </w:pPr>
      <w:r>
        <w:rPr>
          <w:rFonts w:cs="Arial"/>
        </w:rPr>
        <w:t>Customer Services should establish performance standards and metrics for the contracts, with a focus on error rates, unit costs, and exception reporting.  Customer Services should then develop a tracking and reporting process to ensure adequate performance.  Customer Services should also consider developing unit costs that correlate to the performance metrics so that value received per unit cost of services can be analyzed.  The resulting data can be used for defining the requirements for future contract RFPs.</w:t>
      </w:r>
    </w:p>
    <w:p w:rsidR="00AC40FC" w:rsidRDefault="00AC40FC" w:rsidP="00701DCF">
      <w:pPr>
        <w:rPr>
          <w:rFonts w:cs="Arial"/>
        </w:rPr>
      </w:pPr>
      <w:r>
        <w:t xml:space="preserve">Please see related information in Section C: Customer Services Operations </w:t>
      </w:r>
      <w:r w:rsidRPr="00AD1160">
        <w:t xml:space="preserve">Recommendation </w:t>
      </w:r>
      <w:r>
        <w:t>1.</w:t>
      </w:r>
    </w:p>
    <w:p w:rsidR="00AC40FC" w:rsidRDefault="00AC40FC" w:rsidP="004F00E5">
      <w:pPr>
        <w:pStyle w:val="Findings"/>
        <w:numPr>
          <w:ilvl w:val="0"/>
          <w:numId w:val="51"/>
        </w:numPr>
      </w:pPr>
      <w:r>
        <w:t>Take actions to reduce the growth in net write-offs.  (Findings 9 and 10)</w:t>
      </w:r>
    </w:p>
    <w:p w:rsidR="00AC40FC" w:rsidRDefault="00AC40FC" w:rsidP="00701DCF">
      <w:r>
        <w:t xml:space="preserve">Customer Services should explicitly identify initiatives that are designed to reduce the growth in Net Write-Offs.  The initiatives should be linked with performance indicators so that the effectiveness of the initiatives can be measured in the short and long-term.   These performance indicators should be included in the Customer Services Monthly Performance Indicators Report, with the visibility and priority that are needed to focus management's attention. </w:t>
      </w:r>
    </w:p>
    <w:p w:rsidR="00AC40FC" w:rsidRDefault="00AC40FC" w:rsidP="00701DCF">
      <w:r>
        <w:lastRenderedPageBreak/>
        <w:t>As discussed in greater detail in the Customer Assistance Programs Chapter, the OnTrack program should be viewed as a tool to reduce Net Write-Offs.  Two of PPL EU's four OnTrack program objectives are to decrease uncollectible balances for program participants and to determine overall impact on PPL EU's overdue accounts receivable.  Both of these objectives, if achieved, should contribute to mitigating the growth in Net Write-Offs.  None of Customer Services' five performance indicators reported in the Customer Services Monthly Performance Indicators Report establish a relationship between the OnTrack program performance with Net Write-Offs.  That relationship should also be made clear.</w:t>
      </w:r>
    </w:p>
    <w:p w:rsidR="00AC40FC" w:rsidRDefault="00AC40FC" w:rsidP="00653584">
      <w:pPr>
        <w:jc w:val="left"/>
        <w:sectPr w:rsidR="00AC40FC" w:rsidSect="00BB665B">
          <w:footerReference w:type="default" r:id="rId41"/>
          <w:type w:val="continuous"/>
          <w:pgSz w:w="12240" w:h="15840"/>
          <w:pgMar w:top="1440" w:right="1440" w:bottom="1440" w:left="1440" w:header="720" w:footer="576" w:gutter="0"/>
          <w:pgNumType w:start="308"/>
          <w:cols w:space="720"/>
          <w:docGrid w:linePitch="360"/>
        </w:sectPr>
      </w:pPr>
      <w:r>
        <w:t>PPL EU estimates that h</w:t>
      </w:r>
      <w:r w:rsidRPr="00131EDE">
        <w:t>olding the net write-offs at the 2014 level will save $2,430,000 per year.</w:t>
      </w:r>
    </w:p>
    <w:p w:rsidR="00AC40FC" w:rsidRDefault="00AC40FC" w:rsidP="00701DCF"/>
    <w:p w:rsidR="00AC40FC" w:rsidRDefault="00AC40FC" w:rsidP="00AC40FC">
      <w:pPr>
        <w:pStyle w:val="Heading1"/>
        <w:ind w:left="720"/>
      </w:pPr>
      <w:bookmarkStart w:id="102" w:name="_Toc462647851"/>
      <w:bookmarkStart w:id="103" w:name="_Toc464552090"/>
      <w:r>
        <w:lastRenderedPageBreak/>
        <w:t>Customer Assistance programs</w:t>
      </w:r>
      <w:bookmarkEnd w:id="102"/>
      <w:bookmarkEnd w:id="103"/>
    </w:p>
    <w:p w:rsidR="00AC40FC" w:rsidRDefault="00AC40FC" w:rsidP="00440B39">
      <w:r>
        <w:t>The Customer Assistance Program (CAP) in Pennsylvania derives from the 1997 Competition Act for the purpose of providing affordability of electricity rates.  The Act requires the Pennsylvania Public Utility Commission (PUC) to ensure that universal service and energy conservation services are appropriately funded and available in each electric distribution territory. The PUC adopted its CAP Policy Statement to provide guidance on affordable payments to balance the interests of the customers who benefit from the CAP affordability programs with the interests of the customers who pay for the programs.  The PPL Electric Utilities Corporation (PPL EU) program that complies with the CAP requirements is named OnTrack.</w:t>
      </w:r>
    </w:p>
    <w:p w:rsidR="00AC40FC" w:rsidRDefault="00AC40FC" w:rsidP="00440B39">
      <w:r>
        <w:t xml:space="preserve">The PUC request for proposals (RFP) specifies that the Audit will: </w:t>
      </w:r>
    </w:p>
    <w:p w:rsidR="00AC40FC" w:rsidRPr="0094180E" w:rsidRDefault="00AC40FC" w:rsidP="00440B39">
      <w:pPr>
        <w:pStyle w:val="Quotation-Sage"/>
      </w:pPr>
      <w:r>
        <w:t xml:space="preserve">… </w:t>
      </w:r>
      <w:r w:rsidRPr="0094180E">
        <w:t>review and assess the effectiveness of PPL Electric Utilities’ customer assistance program(s) (CAP), particularly outsourcing activities with its CAP Agencies.  This evaluation is to include, but not be limited to, an assessment of the following:</w:t>
      </w:r>
    </w:p>
    <w:p w:rsidR="00AC40FC" w:rsidRPr="0094180E" w:rsidRDefault="00AC40FC" w:rsidP="00440B39">
      <w:pPr>
        <w:pStyle w:val="Quotation-Sage"/>
      </w:pPr>
      <w:r w:rsidRPr="0094180E">
        <w:t xml:space="preserve">A review of the coordination, communication, and information flow between the Company and CAP agencies including how the CAP agencies respond to CAP customer billing complaints and updates to household or income situations.  </w:t>
      </w:r>
    </w:p>
    <w:p w:rsidR="00AC40FC" w:rsidRPr="0094180E" w:rsidRDefault="00AC40FC" w:rsidP="00440B39">
      <w:pPr>
        <w:pStyle w:val="Quotation-Sage"/>
      </w:pPr>
      <w:r w:rsidRPr="0094180E">
        <w:t>The reasonableness of CAP agency staffing levels and customer service performance levels with respect to telephone coverage, callback timeframes, application/recertification processing timeframes, etc.</w:t>
      </w:r>
    </w:p>
    <w:p w:rsidR="00AC40FC" w:rsidRDefault="00AC40FC" w:rsidP="00440B39">
      <w:pPr>
        <w:pStyle w:val="Quotation-Sage"/>
      </w:pPr>
      <w:r w:rsidRPr="0094180E">
        <w:t>Review and assess the appropriateness of the training provided to CAP agency staff and evaluate the effectiveness of training in preparing staff to handle customers’ complaints or situational changes.</w:t>
      </w:r>
    </w:p>
    <w:p w:rsidR="00AC40FC" w:rsidRDefault="00AC40FC" w:rsidP="00440B39">
      <w:r>
        <w:t>This chapter is organized with the following topic areas:</w:t>
      </w:r>
    </w:p>
    <w:p w:rsidR="00AC40FC" w:rsidRPr="00DB7CBC" w:rsidRDefault="00AC40FC" w:rsidP="00DB7CBC">
      <w:pPr>
        <w:pStyle w:val="Normalindent"/>
      </w:pPr>
      <w:r>
        <w:t>A</w:t>
      </w:r>
      <w:r w:rsidRPr="00DB7CBC">
        <w:t>. OnTrack Program Overview</w:t>
      </w:r>
    </w:p>
    <w:p w:rsidR="00AC40FC" w:rsidRPr="00DB7CBC" w:rsidRDefault="00AC40FC" w:rsidP="00DB7CBC">
      <w:pPr>
        <w:pStyle w:val="Normalindent"/>
      </w:pPr>
      <w:r w:rsidRPr="00DB7CBC">
        <w:t>B. OnTrack Program Processes</w:t>
      </w:r>
    </w:p>
    <w:p w:rsidR="00AC40FC" w:rsidRPr="00DB7CBC" w:rsidRDefault="00AC40FC" w:rsidP="00DB7CBC">
      <w:pPr>
        <w:pStyle w:val="Normalindent"/>
      </w:pPr>
      <w:r w:rsidRPr="00DB7CBC">
        <w:t>C. PPL EU OnTrack Organization, Staffing, and Functions</w:t>
      </w:r>
    </w:p>
    <w:p w:rsidR="00AC40FC" w:rsidRPr="00DB7CBC" w:rsidRDefault="00AC40FC" w:rsidP="00DB7CBC">
      <w:pPr>
        <w:pStyle w:val="Normalindent"/>
      </w:pPr>
      <w:r w:rsidRPr="00DB7CBC">
        <w:t>D. OnTrack Agency Staffing and Functions</w:t>
      </w:r>
    </w:p>
    <w:p w:rsidR="00AC40FC" w:rsidRPr="00DB7CBC" w:rsidRDefault="00AC40FC" w:rsidP="00DB7CBC">
      <w:pPr>
        <w:pStyle w:val="Normalindent"/>
      </w:pPr>
      <w:r w:rsidRPr="00DB7CBC">
        <w:t>E. OnTrack Agency Contracting and Contract Management</w:t>
      </w:r>
    </w:p>
    <w:p w:rsidR="00AC40FC" w:rsidRDefault="00AC40FC" w:rsidP="00DB7CBC">
      <w:pPr>
        <w:pStyle w:val="Normalindent"/>
      </w:pPr>
      <w:r w:rsidRPr="00DB7CBC">
        <w:t>F. Performance</w:t>
      </w:r>
      <w:r>
        <w:t xml:space="preserve"> Management</w:t>
      </w:r>
    </w:p>
    <w:p w:rsidR="00AC40FC" w:rsidRPr="00DB21D4" w:rsidRDefault="00AC40FC" w:rsidP="00DB7CBC">
      <w:pPr>
        <w:spacing w:before="120"/>
      </w:pPr>
      <w:r>
        <w:t>Relevant background information, findings, and recommendations are included in each section after the Program Overview.</w:t>
      </w:r>
    </w:p>
    <w:p w:rsidR="00AC40FC" w:rsidRDefault="00AC40FC" w:rsidP="004F00E5">
      <w:pPr>
        <w:pStyle w:val="Heading2"/>
        <w:numPr>
          <w:ilvl w:val="0"/>
          <w:numId w:val="117"/>
        </w:numPr>
      </w:pPr>
      <w:bookmarkStart w:id="104" w:name="_Toc462647852"/>
      <w:bookmarkStart w:id="105" w:name="_Toc464552091"/>
      <w:r>
        <w:t>ontrack program overview</w:t>
      </w:r>
      <w:bookmarkEnd w:id="104"/>
      <w:bookmarkEnd w:id="105"/>
    </w:p>
    <w:p w:rsidR="00AC40FC" w:rsidRDefault="00AC40FC" w:rsidP="00BB665B">
      <w:pPr>
        <w:pStyle w:val="Heading30"/>
      </w:pPr>
      <w:r>
        <w:t>Background</w:t>
      </w:r>
    </w:p>
    <w:p w:rsidR="00AC40FC" w:rsidRDefault="00AC40FC" w:rsidP="00BB665B">
      <w:pPr>
        <w:pStyle w:val="Heading40"/>
      </w:pPr>
      <w:r>
        <w:t>OnTrack Program Objectives</w:t>
      </w:r>
    </w:p>
    <w:p w:rsidR="00AC40FC" w:rsidRDefault="00AC40FC" w:rsidP="00440B39">
      <w:pPr>
        <w:rPr>
          <w:bCs/>
        </w:rPr>
      </w:pPr>
      <w:r>
        <w:rPr>
          <w:bCs/>
        </w:rPr>
        <w:t>The PPL EU</w:t>
      </w:r>
      <w:r w:rsidRPr="00D620C6">
        <w:rPr>
          <w:bCs/>
        </w:rPr>
        <w:t xml:space="preserve"> objective</w:t>
      </w:r>
      <w:r>
        <w:rPr>
          <w:bCs/>
        </w:rPr>
        <w:t>s for its OnTrack program are to:</w:t>
      </w:r>
    </w:p>
    <w:p w:rsidR="00AC40FC" w:rsidRDefault="00AC40FC" w:rsidP="00786363">
      <w:pPr>
        <w:pStyle w:val="Bullet"/>
        <w:spacing w:before="120"/>
      </w:pPr>
      <w:r>
        <w:lastRenderedPageBreak/>
        <w:t>I</w:t>
      </w:r>
      <w:r w:rsidRPr="00D620C6">
        <w:t>mprove customers’ bil</w:t>
      </w:r>
      <w:r>
        <w:t>l payment habits and attitudes</w:t>
      </w:r>
    </w:p>
    <w:p w:rsidR="00AC40FC" w:rsidRDefault="00AC40FC" w:rsidP="00786363">
      <w:pPr>
        <w:pStyle w:val="Bullet"/>
        <w:spacing w:before="120"/>
      </w:pPr>
      <w:r>
        <w:t>S</w:t>
      </w:r>
      <w:r w:rsidRPr="00D620C6">
        <w:t xml:space="preserve">tabilize or </w:t>
      </w:r>
      <w:r>
        <w:t>reduce customers’ energy usage</w:t>
      </w:r>
    </w:p>
    <w:p w:rsidR="00AC40FC" w:rsidRDefault="00AC40FC" w:rsidP="00786363">
      <w:pPr>
        <w:pStyle w:val="Bullet"/>
        <w:spacing w:before="120"/>
      </w:pPr>
      <w:r>
        <w:t>D</w:t>
      </w:r>
      <w:r w:rsidRPr="00D620C6">
        <w:t>ecrease uncollectible balance</w:t>
      </w:r>
      <w:r>
        <w:t>s for program participants</w:t>
      </w:r>
    </w:p>
    <w:p w:rsidR="00AC40FC" w:rsidRPr="00D620C6" w:rsidRDefault="00AC40FC" w:rsidP="00786363">
      <w:pPr>
        <w:pStyle w:val="Bullet"/>
        <w:spacing w:before="120"/>
      </w:pPr>
      <w:r>
        <w:t>D</w:t>
      </w:r>
      <w:r w:rsidRPr="00D620C6">
        <w:t xml:space="preserve">etermine overall impact on </w:t>
      </w:r>
      <w:r>
        <w:t>PPL EU’s</w:t>
      </w:r>
      <w:r w:rsidRPr="00D620C6">
        <w:t xml:space="preserve"> overdue accounts r</w:t>
      </w:r>
      <w:r>
        <w:t>eceivable</w:t>
      </w:r>
    </w:p>
    <w:p w:rsidR="00AC40FC" w:rsidRDefault="00AC40FC" w:rsidP="00BB665B">
      <w:pPr>
        <w:pStyle w:val="Heading40"/>
      </w:pPr>
      <w:r>
        <w:t>OnTrack Program Description</w:t>
      </w:r>
    </w:p>
    <w:p w:rsidR="00AC40FC" w:rsidRPr="006915C9" w:rsidRDefault="00AC40FC" w:rsidP="00440B39">
      <w:r w:rsidRPr="00EA0124">
        <w:rPr>
          <w:bCs/>
        </w:rPr>
        <w:t xml:space="preserve">OnTrack </w:t>
      </w:r>
      <w:r w:rsidRPr="00EA0124">
        <w:t>is</w:t>
      </w:r>
      <w:r w:rsidRPr="006915C9">
        <w:t xml:space="preserve"> a special payment plan for PPL </w:t>
      </w:r>
      <w:r>
        <w:t xml:space="preserve">EU </w:t>
      </w:r>
      <w:r w:rsidRPr="006915C9">
        <w:t>customers with limited incomes who are struggling to pay the full cost of their electric service.</w:t>
      </w:r>
      <w:r>
        <w:t xml:space="preserve"> </w:t>
      </w:r>
      <w:r w:rsidRPr="006915C9">
        <w:t xml:space="preserve"> The program offers a special reduced monthly payment based on family size, income</w:t>
      </w:r>
      <w:r>
        <w:t>,</w:t>
      </w:r>
      <w:r w:rsidRPr="006915C9">
        <w:t xml:space="preserve"> and electric use and a chance to erase any </w:t>
      </w:r>
      <w:r>
        <w:t>pre-program arrears</w:t>
      </w:r>
      <w:r w:rsidRPr="006915C9">
        <w:t>.</w:t>
      </w:r>
      <w:r>
        <w:t xml:space="preserve">  For eligible customers who complete the application process and are enrolled, the OnTrack program will:</w:t>
      </w:r>
    </w:p>
    <w:p w:rsidR="00AC40FC" w:rsidRDefault="00AC40FC" w:rsidP="00786363">
      <w:pPr>
        <w:pStyle w:val="Bullet"/>
        <w:spacing w:before="120"/>
      </w:pPr>
      <w:r w:rsidRPr="006915C9">
        <w:t>Provide a reduced monthly payment</w:t>
      </w:r>
      <w:r>
        <w:t>, based on the household’s ability to pay</w:t>
      </w:r>
    </w:p>
    <w:p w:rsidR="00AC40FC" w:rsidRDefault="00AC40FC" w:rsidP="00786363">
      <w:pPr>
        <w:pStyle w:val="Bullet"/>
        <w:spacing w:before="120"/>
      </w:pPr>
      <w:r>
        <w:t>Waive late payment charges</w:t>
      </w:r>
    </w:p>
    <w:p w:rsidR="00AC40FC" w:rsidRDefault="00AC40FC" w:rsidP="00786363">
      <w:pPr>
        <w:pStyle w:val="Bullet"/>
        <w:spacing w:before="120"/>
      </w:pPr>
      <w:r w:rsidRPr="006915C9">
        <w:t xml:space="preserve">Cancel a portion of any </w:t>
      </w:r>
      <w:r>
        <w:t xml:space="preserve">pre-program arrears (“arrearage forgiveness”) </w:t>
      </w:r>
      <w:r w:rsidRPr="006915C9">
        <w:t>ever</w:t>
      </w:r>
      <w:r>
        <w:t>y month while in the program (with complete pre-program arrearage forgiveness after making 18 months of OnTrack Payments)</w:t>
      </w:r>
    </w:p>
    <w:p w:rsidR="00AC40FC" w:rsidRDefault="00AC40FC" w:rsidP="00786363">
      <w:pPr>
        <w:pStyle w:val="Bullet"/>
        <w:spacing w:before="120"/>
      </w:pPr>
      <w:r>
        <w:t>Protect from termination procedures</w:t>
      </w:r>
    </w:p>
    <w:p w:rsidR="00AC40FC" w:rsidRDefault="00AC40FC" w:rsidP="00786363">
      <w:pPr>
        <w:pStyle w:val="Bullet"/>
        <w:spacing w:before="120"/>
      </w:pPr>
      <w:r w:rsidRPr="006915C9">
        <w:t>Provide energy educati</w:t>
      </w:r>
      <w:r>
        <w:t>on and weatherization services</w:t>
      </w:r>
    </w:p>
    <w:p w:rsidR="00AC40FC" w:rsidRDefault="00AC40FC" w:rsidP="00786363">
      <w:pPr>
        <w:pStyle w:val="Bullet"/>
        <w:spacing w:before="120"/>
      </w:pPr>
      <w:r>
        <w:t>Provide referrals to other community programs and services</w:t>
      </w:r>
    </w:p>
    <w:p w:rsidR="00AC40FC" w:rsidRDefault="00AC40FC" w:rsidP="00440B39">
      <w:r w:rsidRPr="00171E40">
        <w:rPr>
          <w:b/>
        </w:rPr>
        <w:t>Program Organization Structure.</w:t>
      </w:r>
      <w:r>
        <w:t xml:space="preserve">  PPL EU’s OnTrack program enrollment process was originally outsourced to ten regional community-based organizations that also provide other non-PPL EU related services to lower income households.  As of May 2016, the number was reduced to eight.  These organizations are referred to as CAP agencies or OnTrack agencies.  PPL EU’s Regulatory Programs group, part of the Customer Services organization, uses Regulatory Program Specialists (RPSs) to oversee the program and the agencies.  The PPL EU, PPLSolutions, and an unaffiliated contractor’s call centers have program-related responsibilities.  </w:t>
      </w:r>
    </w:p>
    <w:p w:rsidR="00AC40FC" w:rsidRDefault="00AC40FC" w:rsidP="00BB665B">
      <w:pPr>
        <w:pStyle w:val="Heading40"/>
      </w:pPr>
      <w:r>
        <w:t>Eligibility Requirements</w:t>
      </w:r>
    </w:p>
    <w:p w:rsidR="00AC40FC" w:rsidRDefault="00AC40FC" w:rsidP="00440B39">
      <w:r>
        <w:t>Customers who are being considered for OnTrack must meet a number of requirements.</w:t>
      </w:r>
    </w:p>
    <w:p w:rsidR="00AC40FC" w:rsidRDefault="00AC40FC" w:rsidP="00786363">
      <w:pPr>
        <w:pStyle w:val="Bullet"/>
        <w:spacing w:before="120"/>
      </w:pPr>
      <w:r>
        <w:t>The customer must have a verifiable source of household income at or below 150% of the federally defined poverty level.  Customers do not have to provide proof of income if they previously received Low-Income Home Energy Assistance Program (LIHEAP) funds within the prior LIHEAP year.  For people already enrolled and going through recertification, and if the customer is on SSI (fixed) income, PPL EU does an auto-recertification at the recertification point.  The OnTrack agencies will reject program applications if the customer provides insufficient documentation of annual household income.  Customers with no household income are ineligible to participate in OnTrack.  Payment-troubled customers whose verified household income is not more than the following maximums may be eligible:</w:t>
      </w:r>
    </w:p>
    <w:p w:rsidR="00AC40FC" w:rsidRDefault="00AC40FC" w:rsidP="00ED6D61">
      <w:pPr>
        <w:pStyle w:val="Caption"/>
      </w:pPr>
      <w:bookmarkStart w:id="106" w:name="_Toc462648418"/>
      <w:bookmarkStart w:id="107" w:name="_Toc464553040"/>
      <w:r>
        <w:lastRenderedPageBreak/>
        <w:t xml:space="preserve">Exhibit </w:t>
      </w:r>
      <w:fldSimple w:instr=" STYLEREF 1 \s ">
        <w:r w:rsidR="00A24205">
          <w:rPr>
            <w:noProof/>
          </w:rPr>
          <w:t>X</w:t>
        </w:r>
      </w:fldSimple>
      <w:r w:rsidR="00264A1B">
        <w:noBreakHyphen/>
      </w:r>
      <w:fldSimple w:instr=" SEQ Exhibit \* ARABIC \s 1 ">
        <w:r w:rsidR="00A24205">
          <w:rPr>
            <w:noProof/>
          </w:rPr>
          <w:t>1</w:t>
        </w:r>
      </w:fldSimple>
      <w:r>
        <w:br/>
        <w:t>OnTrack Household Income Criteria</w:t>
      </w:r>
      <w:bookmarkEnd w:id="106"/>
      <w:bookmarkEnd w:id="10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8"/>
        <w:gridCol w:w="4004"/>
      </w:tblGrid>
      <w:tr w:rsidR="00AC40FC" w:rsidTr="00786363">
        <w:trPr>
          <w:cantSplit/>
          <w:tblHeader/>
          <w:jc w:val="center"/>
        </w:trPr>
        <w:tc>
          <w:tcPr>
            <w:tcW w:w="0" w:type="auto"/>
            <w:gridSpan w:val="2"/>
            <w:shd w:val="clear" w:color="auto" w:fill="A5CD7E"/>
            <w:vAlign w:val="center"/>
          </w:tcPr>
          <w:p w:rsidR="00AC40FC" w:rsidRPr="003C081D" w:rsidRDefault="00AC40FC" w:rsidP="00315869">
            <w:pPr>
              <w:spacing w:before="80" w:after="80"/>
              <w:jc w:val="center"/>
              <w:rPr>
                <w:b/>
              </w:rPr>
            </w:pPr>
            <w:r w:rsidRPr="003C081D">
              <w:rPr>
                <w:b/>
              </w:rPr>
              <w:t>2015 Income Limit</w:t>
            </w:r>
          </w:p>
        </w:tc>
      </w:tr>
      <w:tr w:rsidR="00AC40FC" w:rsidTr="00786363">
        <w:trPr>
          <w:cantSplit/>
          <w:tblHeader/>
          <w:jc w:val="center"/>
        </w:trPr>
        <w:tc>
          <w:tcPr>
            <w:tcW w:w="0" w:type="auto"/>
            <w:shd w:val="clear" w:color="auto" w:fill="A5CD7E"/>
            <w:vAlign w:val="center"/>
          </w:tcPr>
          <w:p w:rsidR="00AC40FC" w:rsidRPr="003C081D" w:rsidRDefault="00AC40FC" w:rsidP="00315869">
            <w:pPr>
              <w:spacing w:before="80" w:after="80"/>
              <w:jc w:val="center"/>
              <w:rPr>
                <w:b/>
              </w:rPr>
            </w:pPr>
            <w:r w:rsidRPr="003C081D">
              <w:rPr>
                <w:b/>
              </w:rPr>
              <w:t>Household Size</w:t>
            </w:r>
          </w:p>
        </w:tc>
        <w:tc>
          <w:tcPr>
            <w:tcW w:w="0" w:type="auto"/>
            <w:shd w:val="clear" w:color="auto" w:fill="A5CD7E"/>
            <w:vAlign w:val="center"/>
          </w:tcPr>
          <w:p w:rsidR="00AC40FC" w:rsidRPr="003C081D" w:rsidRDefault="00AC40FC" w:rsidP="00315869">
            <w:pPr>
              <w:spacing w:before="80" w:after="80"/>
              <w:jc w:val="center"/>
              <w:rPr>
                <w:b/>
              </w:rPr>
            </w:pPr>
            <w:r>
              <w:rPr>
                <w:b/>
              </w:rPr>
              <w:t>Gross Annual Household I</w:t>
            </w:r>
            <w:r w:rsidRPr="003C081D">
              <w:rPr>
                <w:b/>
              </w:rPr>
              <w:t>ncome</w:t>
            </w:r>
          </w:p>
        </w:tc>
      </w:tr>
      <w:tr w:rsidR="00AC40FC" w:rsidTr="00440B39">
        <w:trPr>
          <w:jc w:val="center"/>
        </w:trPr>
        <w:tc>
          <w:tcPr>
            <w:tcW w:w="0" w:type="auto"/>
            <w:shd w:val="clear" w:color="auto" w:fill="auto"/>
            <w:vAlign w:val="center"/>
          </w:tcPr>
          <w:p w:rsidR="00AC40FC" w:rsidRDefault="00AC40FC" w:rsidP="00440B39">
            <w:pPr>
              <w:spacing w:after="0"/>
              <w:jc w:val="center"/>
            </w:pPr>
            <w:r>
              <w:t>1 person</w:t>
            </w:r>
          </w:p>
        </w:tc>
        <w:tc>
          <w:tcPr>
            <w:tcW w:w="0" w:type="auto"/>
            <w:shd w:val="clear" w:color="auto" w:fill="auto"/>
            <w:vAlign w:val="center"/>
          </w:tcPr>
          <w:p w:rsidR="00AC40FC" w:rsidRDefault="00AC40FC" w:rsidP="00440B39">
            <w:pPr>
              <w:spacing w:after="0"/>
              <w:jc w:val="center"/>
            </w:pPr>
            <w:r>
              <w:t>$17,655</w:t>
            </w:r>
          </w:p>
        </w:tc>
      </w:tr>
      <w:tr w:rsidR="00AC40FC" w:rsidTr="00440B39">
        <w:trPr>
          <w:jc w:val="center"/>
        </w:trPr>
        <w:tc>
          <w:tcPr>
            <w:tcW w:w="0" w:type="auto"/>
            <w:shd w:val="clear" w:color="auto" w:fill="auto"/>
            <w:vAlign w:val="center"/>
          </w:tcPr>
          <w:p w:rsidR="00AC40FC" w:rsidRDefault="00AC40FC" w:rsidP="00440B39">
            <w:pPr>
              <w:spacing w:after="0"/>
              <w:jc w:val="center"/>
            </w:pPr>
            <w:r>
              <w:t>2 persons</w:t>
            </w:r>
          </w:p>
        </w:tc>
        <w:tc>
          <w:tcPr>
            <w:tcW w:w="0" w:type="auto"/>
            <w:shd w:val="clear" w:color="auto" w:fill="auto"/>
            <w:vAlign w:val="center"/>
          </w:tcPr>
          <w:p w:rsidR="00AC40FC" w:rsidRDefault="00AC40FC" w:rsidP="00440B39">
            <w:pPr>
              <w:spacing w:after="0"/>
              <w:jc w:val="center"/>
            </w:pPr>
            <w:r>
              <w:t>$23,895</w:t>
            </w:r>
          </w:p>
        </w:tc>
      </w:tr>
      <w:tr w:rsidR="00AC40FC" w:rsidTr="00440B39">
        <w:trPr>
          <w:jc w:val="center"/>
        </w:trPr>
        <w:tc>
          <w:tcPr>
            <w:tcW w:w="0" w:type="auto"/>
            <w:shd w:val="clear" w:color="auto" w:fill="auto"/>
            <w:vAlign w:val="center"/>
          </w:tcPr>
          <w:p w:rsidR="00AC40FC" w:rsidRDefault="00AC40FC" w:rsidP="00440B39">
            <w:pPr>
              <w:spacing w:after="0"/>
              <w:jc w:val="center"/>
            </w:pPr>
            <w:r>
              <w:t>3 persons</w:t>
            </w:r>
          </w:p>
        </w:tc>
        <w:tc>
          <w:tcPr>
            <w:tcW w:w="0" w:type="auto"/>
            <w:shd w:val="clear" w:color="auto" w:fill="auto"/>
            <w:vAlign w:val="center"/>
          </w:tcPr>
          <w:p w:rsidR="00AC40FC" w:rsidRDefault="00AC40FC" w:rsidP="00440B39">
            <w:pPr>
              <w:spacing w:after="0"/>
              <w:jc w:val="center"/>
            </w:pPr>
            <w:r>
              <w:t>$30,135</w:t>
            </w:r>
          </w:p>
        </w:tc>
      </w:tr>
      <w:tr w:rsidR="00AC40FC" w:rsidTr="00440B39">
        <w:trPr>
          <w:jc w:val="center"/>
        </w:trPr>
        <w:tc>
          <w:tcPr>
            <w:tcW w:w="0" w:type="auto"/>
            <w:shd w:val="clear" w:color="auto" w:fill="auto"/>
            <w:vAlign w:val="center"/>
          </w:tcPr>
          <w:p w:rsidR="00AC40FC" w:rsidRDefault="00AC40FC" w:rsidP="00440B39">
            <w:pPr>
              <w:spacing w:after="0"/>
              <w:jc w:val="center"/>
            </w:pPr>
            <w:r>
              <w:t>4 persons</w:t>
            </w:r>
          </w:p>
        </w:tc>
        <w:tc>
          <w:tcPr>
            <w:tcW w:w="0" w:type="auto"/>
            <w:shd w:val="clear" w:color="auto" w:fill="auto"/>
            <w:vAlign w:val="center"/>
          </w:tcPr>
          <w:p w:rsidR="00AC40FC" w:rsidRDefault="00AC40FC" w:rsidP="00440B39">
            <w:pPr>
              <w:spacing w:after="0"/>
              <w:jc w:val="center"/>
            </w:pPr>
            <w:r>
              <w:t>$36,375</w:t>
            </w:r>
          </w:p>
        </w:tc>
      </w:tr>
      <w:tr w:rsidR="00AC40FC" w:rsidTr="00440B39">
        <w:trPr>
          <w:jc w:val="center"/>
        </w:trPr>
        <w:tc>
          <w:tcPr>
            <w:tcW w:w="0" w:type="auto"/>
            <w:shd w:val="clear" w:color="auto" w:fill="auto"/>
            <w:vAlign w:val="center"/>
          </w:tcPr>
          <w:p w:rsidR="00AC40FC" w:rsidRDefault="00AC40FC" w:rsidP="00440B39">
            <w:pPr>
              <w:spacing w:after="0"/>
              <w:jc w:val="center"/>
            </w:pPr>
            <w:r>
              <w:t>5 persons</w:t>
            </w:r>
          </w:p>
        </w:tc>
        <w:tc>
          <w:tcPr>
            <w:tcW w:w="0" w:type="auto"/>
            <w:shd w:val="clear" w:color="auto" w:fill="auto"/>
            <w:vAlign w:val="center"/>
          </w:tcPr>
          <w:p w:rsidR="00AC40FC" w:rsidRDefault="00AC40FC" w:rsidP="00440B39">
            <w:pPr>
              <w:spacing w:after="0"/>
              <w:jc w:val="center"/>
            </w:pPr>
            <w:r>
              <w:t>$42,615</w:t>
            </w:r>
          </w:p>
        </w:tc>
      </w:tr>
      <w:tr w:rsidR="00AC40FC" w:rsidTr="00440B39">
        <w:trPr>
          <w:jc w:val="center"/>
        </w:trPr>
        <w:tc>
          <w:tcPr>
            <w:tcW w:w="0" w:type="auto"/>
            <w:shd w:val="clear" w:color="auto" w:fill="auto"/>
            <w:vAlign w:val="center"/>
          </w:tcPr>
          <w:p w:rsidR="00AC40FC" w:rsidRDefault="00AC40FC" w:rsidP="00440B39">
            <w:pPr>
              <w:spacing w:after="0"/>
              <w:jc w:val="center"/>
            </w:pPr>
            <w:r>
              <w:t>6 persons</w:t>
            </w:r>
          </w:p>
        </w:tc>
        <w:tc>
          <w:tcPr>
            <w:tcW w:w="0" w:type="auto"/>
            <w:shd w:val="clear" w:color="auto" w:fill="auto"/>
            <w:vAlign w:val="center"/>
          </w:tcPr>
          <w:p w:rsidR="00AC40FC" w:rsidRDefault="00AC40FC" w:rsidP="00440B39">
            <w:pPr>
              <w:spacing w:after="0"/>
              <w:jc w:val="center"/>
            </w:pPr>
            <w:r>
              <w:t>$48,855</w:t>
            </w:r>
          </w:p>
        </w:tc>
      </w:tr>
      <w:tr w:rsidR="00AC40FC" w:rsidTr="00440B39">
        <w:trPr>
          <w:jc w:val="center"/>
        </w:trPr>
        <w:tc>
          <w:tcPr>
            <w:tcW w:w="0" w:type="auto"/>
            <w:shd w:val="clear" w:color="auto" w:fill="auto"/>
            <w:vAlign w:val="center"/>
          </w:tcPr>
          <w:p w:rsidR="00AC40FC" w:rsidRDefault="00AC40FC" w:rsidP="00440B39">
            <w:pPr>
              <w:spacing w:after="0"/>
              <w:jc w:val="center"/>
            </w:pPr>
            <w:r>
              <w:t>Each additional person</w:t>
            </w:r>
          </w:p>
        </w:tc>
        <w:tc>
          <w:tcPr>
            <w:tcW w:w="0" w:type="auto"/>
            <w:shd w:val="clear" w:color="auto" w:fill="auto"/>
            <w:vAlign w:val="center"/>
          </w:tcPr>
          <w:p w:rsidR="00AC40FC" w:rsidRDefault="00AC40FC" w:rsidP="00440B39">
            <w:pPr>
              <w:spacing w:after="0"/>
              <w:jc w:val="center"/>
            </w:pPr>
            <w:r>
              <w:t>$6,240</w:t>
            </w:r>
          </w:p>
        </w:tc>
      </w:tr>
      <w:tr w:rsidR="00AC40FC" w:rsidTr="00440B39">
        <w:trPr>
          <w:jc w:val="center"/>
        </w:trPr>
        <w:tc>
          <w:tcPr>
            <w:tcW w:w="0" w:type="auto"/>
            <w:gridSpan w:val="2"/>
            <w:shd w:val="clear" w:color="auto" w:fill="auto"/>
            <w:vAlign w:val="center"/>
          </w:tcPr>
          <w:p w:rsidR="00AC40FC" w:rsidRDefault="00AC40FC" w:rsidP="00440B39">
            <w:pPr>
              <w:spacing w:after="0"/>
              <w:jc w:val="left"/>
            </w:pPr>
            <w:r>
              <w:t>Source:  DN 14-107</w:t>
            </w:r>
          </w:p>
        </w:tc>
      </w:tr>
    </w:tbl>
    <w:p w:rsidR="00AC40FC" w:rsidRDefault="00AC40FC" w:rsidP="00786363">
      <w:pPr>
        <w:pStyle w:val="Bullet"/>
        <w:spacing w:before="120"/>
      </w:pPr>
      <w:r>
        <w:t>The customer must be payment-troubled, which is defined as having one or more payment agreements with PPL EU in the prior 12 months.</w:t>
      </w:r>
    </w:p>
    <w:p w:rsidR="00AC40FC" w:rsidRDefault="00AC40FC" w:rsidP="00786363">
      <w:pPr>
        <w:pStyle w:val="Bullet"/>
        <w:spacing w:before="120"/>
      </w:pPr>
      <w:r>
        <w:t>The customer must p</w:t>
      </w:r>
      <w:r w:rsidRPr="00500987">
        <w:t>articipate in the</w:t>
      </w:r>
      <w:r>
        <w:t xml:space="preserve"> Winter Relief Assistance Program (</w:t>
      </w:r>
      <w:r w:rsidRPr="00500987">
        <w:t>WRAP</w:t>
      </w:r>
      <w:r>
        <w:t>)</w:t>
      </w:r>
      <w:r w:rsidRPr="00500987">
        <w:t xml:space="preserve"> program</w:t>
      </w:r>
      <w:r>
        <w:t>,</w:t>
      </w:r>
      <w:r w:rsidRPr="00500987">
        <w:t xml:space="preserve"> if eligible.</w:t>
      </w:r>
      <w:r>
        <w:t xml:space="preserve">  WRAP provides a free energy efficiency and conservation assessment of a customer’s premises.  If customers do not follow the post-enrollment instructions to participate in WRAP, PPL EU has a process to identify newly enrolled OnTrack customers and feed them into the WRAP program.  The OnTrack customer does not receive automatic preference over other WRAP customers that are in the pipeline.  However, if there is a need to move an OnTrack customer up in the process due to a special situation, e.g., high usage, PPL EU will escalate that customer through the WRAP process.</w:t>
      </w:r>
    </w:p>
    <w:p w:rsidR="00AC40FC" w:rsidRDefault="00AC40FC" w:rsidP="00BB665B">
      <w:pPr>
        <w:pStyle w:val="Heading40"/>
      </w:pPr>
      <w:r>
        <w:t>Arrearage Forgiveness and CAP Credits</w:t>
      </w:r>
    </w:p>
    <w:p w:rsidR="00AC40FC" w:rsidRDefault="00AC40FC" w:rsidP="00440B39">
      <w:r>
        <w:t>The two main benefits of the OnTrack program that are reflected in the bills of eligible customers are arrearage forgiveness and CAP credits.  Arrearage forgiveness is accomplished by forgiving 1/18</w:t>
      </w:r>
      <w:r w:rsidRPr="00D05A0E">
        <w:rPr>
          <w:vertAlign w:val="superscript"/>
        </w:rPr>
        <w:t>th</w:t>
      </w:r>
      <w:r>
        <w:t xml:space="preserve"> of pre-program arrears for each month that the customer makes a full and timely payment.  The customer pays a budget or installment amount each month.  The CAP (or OnTrack) credit represents an amount that offsets the customer’s actual usage versus OnTrack payments during the customer’s participation in the program. The customer’s OnTrack payments are calculated based on the customer’s ability to pay</w:t>
      </w:r>
      <w:r w:rsidRPr="002E2202">
        <w:t xml:space="preserve"> </w:t>
      </w:r>
      <w:r>
        <w:t xml:space="preserve">(determined by the gross annual household income limits and number of people in the household, as shown above) with CAP credits covering the remainder of the actual usage bill.  </w:t>
      </w:r>
      <w:r w:rsidRPr="007D2195">
        <w:t xml:space="preserve">The total CAP credit (maximum) amount is based on whether the customer has a heating or non-heating account. </w:t>
      </w:r>
      <w:r>
        <w:t xml:space="preserve"> At the beginning of 2016, t</w:t>
      </w:r>
      <w:r w:rsidRPr="007D2195">
        <w:t xml:space="preserve">he 18-month CAP credit limit </w:t>
      </w:r>
      <w:r>
        <w:t>was</w:t>
      </w:r>
      <w:r w:rsidRPr="007D2195">
        <w:t xml:space="preserve"> set at $3,</w:t>
      </w:r>
      <w:r>
        <w:t>328</w:t>
      </w:r>
      <w:r w:rsidRPr="007D2195">
        <w:t xml:space="preserve"> for electric heat customers and $1,</w:t>
      </w:r>
      <w:r>
        <w:t>310</w:t>
      </w:r>
      <w:r w:rsidRPr="007D2195">
        <w:t xml:space="preserve"> for non-electric heat customers.  If the customer does not adequately control the household usage, the credits may be exhausted before the end of the program and result in a “shortfall removal” from the program. Effective December 21, 2015, OnTrack customers who exceed their maximum credit amount are automatically shifted to their </w:t>
      </w:r>
      <w:r>
        <w:t xml:space="preserve">normal </w:t>
      </w:r>
      <w:r w:rsidRPr="007D2195">
        <w:t xml:space="preserve">budget billing </w:t>
      </w:r>
      <w:r>
        <w:t xml:space="preserve">adjustable </w:t>
      </w:r>
      <w:r w:rsidRPr="007D2195">
        <w:t>amount but remain active in the program</w:t>
      </w:r>
      <w:r w:rsidRPr="003A3F0C">
        <w:t>.</w:t>
      </w:r>
    </w:p>
    <w:p w:rsidR="00AC40FC" w:rsidRDefault="00AC40FC" w:rsidP="00BB665B">
      <w:pPr>
        <w:pStyle w:val="Heading40"/>
      </w:pPr>
      <w:r w:rsidRPr="00541205">
        <w:lastRenderedPageBreak/>
        <w:t>Payment Plans</w:t>
      </w:r>
    </w:p>
    <w:p w:rsidR="00AC40FC" w:rsidRDefault="00AC40FC" w:rsidP="00440B39">
      <w:r>
        <w:t>PPL EU provides guidelines that allow OnTrack agencies the flexibility to choose a payment plan to best meet the needs of customers.  PPL EU’s Customer Service System (CSS) calculates two OnTrack payment options at the time of enrollment and a third option is at the discretion of the enrolling case worker.  The payment options are:</w:t>
      </w:r>
    </w:p>
    <w:p w:rsidR="00AC40FC" w:rsidRDefault="00AC40FC" w:rsidP="00786363">
      <w:pPr>
        <w:pStyle w:val="Bullet"/>
        <w:spacing w:before="120"/>
      </w:pPr>
      <w:r w:rsidRPr="00BE0DD1">
        <w:t>Minimum Payment</w:t>
      </w:r>
      <w:r>
        <w:t xml:space="preserve">: This payment is equal to the estimated monthly budget amount minus the maximum monthly CAP credit ($185/month for electric heat and $73/month for non-electric heat) plus $60 annual arrearage co-payment divided by 12 months.  </w:t>
      </w:r>
    </w:p>
    <w:p w:rsidR="00AC40FC" w:rsidRPr="008F18E6" w:rsidRDefault="00AC40FC" w:rsidP="00786363">
      <w:pPr>
        <w:pStyle w:val="Bullet"/>
        <w:spacing w:before="120"/>
      </w:pPr>
      <w:r w:rsidRPr="008F18E6">
        <w:t xml:space="preserve">Percent of Bill Payment:  This payment is the estimated annual bill times the percent of bill amount plus $60 annual arrearage co-payment divided by 12 months. The percent of bill varies by poverty level. </w:t>
      </w:r>
    </w:p>
    <w:p w:rsidR="00AC40FC" w:rsidRPr="00734078" w:rsidRDefault="00AC40FC" w:rsidP="00786363">
      <w:pPr>
        <w:pStyle w:val="Bullet"/>
        <w:spacing w:before="120"/>
      </w:pPr>
      <w:r w:rsidRPr="00BE0DD1">
        <w:t>Agency Selected</w:t>
      </w:r>
      <w:r>
        <w:t>: This custom amount is set by the agency caseworker if the payment options that are calculated do not fit the customer’s ability to pay, there are extenuating circumstances, or the caseworker believes that the customer will not be successful in making on-time payments with one of the calculated options.</w:t>
      </w:r>
    </w:p>
    <w:p w:rsidR="00AC40FC" w:rsidRPr="00556DB8" w:rsidRDefault="00AC40FC" w:rsidP="00440B39">
      <w:pPr>
        <w:rPr>
          <w:szCs w:val="24"/>
        </w:rPr>
      </w:pPr>
      <w:r w:rsidRPr="00096D6D">
        <w:rPr>
          <w:szCs w:val="24"/>
        </w:rPr>
        <w:t>With regard to the Agency Selected option, most c</w:t>
      </w:r>
      <w:r w:rsidRPr="00556DB8">
        <w:rPr>
          <w:szCs w:val="24"/>
        </w:rPr>
        <w:t>aseworkers reported that they only choose a payment type other than that recom</w:t>
      </w:r>
      <w:r>
        <w:rPr>
          <w:szCs w:val="24"/>
        </w:rPr>
        <w:t xml:space="preserve">mended by PPL EU’s system in a </w:t>
      </w:r>
      <w:r w:rsidRPr="00556DB8">
        <w:rPr>
          <w:szCs w:val="24"/>
        </w:rPr>
        <w:t>minority of cases.</w:t>
      </w:r>
    </w:p>
    <w:p w:rsidR="00AC40FC" w:rsidRDefault="00AC40FC" w:rsidP="00440B39">
      <w:r>
        <w:t>Electric shopping (commodity purchased from a competitive supplier) choices made by OnTrack customers in the Percent of Bill Payment and Minimum Payment plan options will automatically be taken into account by the PPL EU system in calculating the OnTrack payment amount that is set at application and recertification.  For customers in the Agency Selected plans, the plan amounts are automatically adjusted based on prior shopping decisions and those shopping decisions will get worked into the plan amount.  The plan amount is an amount less than the Percent of Bill amount.</w:t>
      </w:r>
    </w:p>
    <w:p w:rsidR="00AC40FC" w:rsidRPr="00DA6DA5" w:rsidRDefault="00AC40FC" w:rsidP="00440B39">
      <w:pPr>
        <w:autoSpaceDE w:val="0"/>
        <w:autoSpaceDN w:val="0"/>
        <w:adjustRightInd w:val="0"/>
        <w:spacing w:after="0"/>
        <w:jc w:val="left"/>
        <w:rPr>
          <w:rFonts w:cs="Arial"/>
          <w:szCs w:val="24"/>
        </w:rPr>
      </w:pPr>
      <w:r w:rsidRPr="0074399D">
        <w:rPr>
          <w:rFonts w:cs="Arial"/>
          <w:szCs w:val="24"/>
        </w:rPr>
        <w:t>Each of the above payment options would also include a CAP Plus amount</w:t>
      </w:r>
      <w:r w:rsidRPr="00DA6DA5">
        <w:rPr>
          <w:rFonts w:cs="Arial"/>
          <w:szCs w:val="24"/>
        </w:rPr>
        <w:t>, which is a charge added to OnTrack customer’s bills as the result of the settlement agreement in PPL EU’</w:t>
      </w:r>
      <w:r w:rsidRPr="00F34721">
        <w:rPr>
          <w:rFonts w:cs="Arial"/>
          <w:szCs w:val="24"/>
        </w:rPr>
        <w:t>s 2010 distribution rate case at docket number D-2010-2161694.</w:t>
      </w:r>
      <w:r w:rsidRPr="00FA19F7">
        <w:rPr>
          <w:rFonts w:cs="Arial"/>
          <w:szCs w:val="24"/>
        </w:rPr>
        <w:t xml:space="preserve">  </w:t>
      </w:r>
      <w:r>
        <w:rPr>
          <w:rFonts w:cs="Arial"/>
          <w:szCs w:val="24"/>
        </w:rPr>
        <w:t>A formula is used to</w:t>
      </w:r>
      <w:r w:rsidRPr="00DA6DA5">
        <w:rPr>
          <w:rFonts w:cs="Arial"/>
          <w:szCs w:val="24"/>
        </w:rPr>
        <w:t xml:space="preserve"> calculated </w:t>
      </w:r>
      <w:r>
        <w:rPr>
          <w:rFonts w:cs="Arial"/>
          <w:szCs w:val="24"/>
        </w:rPr>
        <w:t>the CAP Plus charge annually, which is</w:t>
      </w:r>
      <w:r w:rsidRPr="0074399D">
        <w:rPr>
          <w:rFonts w:cs="Arial"/>
          <w:szCs w:val="24"/>
        </w:rPr>
        <w:t xml:space="preserve"> intended to </w:t>
      </w:r>
      <w:r w:rsidRPr="00DA6DA5">
        <w:rPr>
          <w:rFonts w:cs="Arial"/>
          <w:szCs w:val="24"/>
        </w:rPr>
        <w:t xml:space="preserve">help offset the CAP program expenses paid by all residential customers responsible for funding the OnTrack program through the Universal Service Rider. </w:t>
      </w:r>
    </w:p>
    <w:p w:rsidR="00AC40FC" w:rsidRDefault="00AC40FC" w:rsidP="00BB665B">
      <w:pPr>
        <w:pStyle w:val="Heading40"/>
      </w:pPr>
      <w:r>
        <w:t>Program Funding</w:t>
      </w:r>
    </w:p>
    <w:p w:rsidR="00AC40FC" w:rsidRDefault="00AC40FC" w:rsidP="00440B39">
      <w:r>
        <w:t>The Universal Service Rider (USR) included in the rates applied to customer bills funds the OnTrack program, and the consequences of cost performance management eventually flow back through to the Rider as an offset.  The USR is designed to recover the three main components of the program:  OnTrack Revenue Shortfall, Arrearage Forgiveness, and Agency Administration.</w:t>
      </w:r>
      <w:r w:rsidRPr="00440B39">
        <w:t xml:space="preserve"> </w:t>
      </w:r>
      <w:r>
        <w:t xml:space="preserve">  The fourth (and by far the smallest component at less than one percent) is the cost of Regulatory Programs staff that is allocated to the program and recovered through base rates.</w:t>
      </w:r>
    </w:p>
    <w:p w:rsidR="00AC40FC" w:rsidRPr="00534710" w:rsidRDefault="00AC40FC" w:rsidP="00440B39">
      <w:pPr>
        <w:rPr>
          <w:rFonts w:cs="Arial"/>
          <w:szCs w:val="24"/>
        </w:rPr>
      </w:pPr>
      <w:r>
        <w:rPr>
          <w:rFonts w:cs="Arial"/>
          <w:szCs w:val="24"/>
        </w:rPr>
        <w:t>The USR</w:t>
      </w:r>
      <w:r w:rsidRPr="00830A9E">
        <w:rPr>
          <w:rFonts w:cs="Arial"/>
          <w:szCs w:val="24"/>
        </w:rPr>
        <w:t xml:space="preserve"> provides for recovery of the associated </w:t>
      </w:r>
      <w:r>
        <w:rPr>
          <w:rFonts w:cs="Arial"/>
          <w:szCs w:val="24"/>
        </w:rPr>
        <w:t xml:space="preserve">costs </w:t>
      </w:r>
      <w:r w:rsidRPr="00830A9E">
        <w:rPr>
          <w:rFonts w:cs="Arial"/>
          <w:szCs w:val="24"/>
        </w:rPr>
        <w:t>with OnTrack and Winter Relief Assistance Program (WRAP)</w:t>
      </w:r>
      <w:r>
        <w:rPr>
          <w:rFonts w:cs="Arial"/>
          <w:szCs w:val="24"/>
        </w:rPr>
        <w:t xml:space="preserve"> (except internal administrative costs)</w:t>
      </w:r>
      <w:r w:rsidRPr="00830A9E">
        <w:rPr>
          <w:rFonts w:cs="Arial"/>
          <w:szCs w:val="24"/>
        </w:rPr>
        <w:t xml:space="preserve">, provided by PPL </w:t>
      </w:r>
      <w:r>
        <w:rPr>
          <w:rFonts w:cs="Arial"/>
          <w:szCs w:val="24"/>
        </w:rPr>
        <w:t>EU</w:t>
      </w:r>
      <w:r w:rsidRPr="00830A9E">
        <w:rPr>
          <w:rFonts w:cs="Arial"/>
          <w:szCs w:val="24"/>
        </w:rPr>
        <w:t xml:space="preserve"> to residential customers.  The </w:t>
      </w:r>
      <w:r>
        <w:rPr>
          <w:rFonts w:cs="Arial"/>
          <w:szCs w:val="24"/>
        </w:rPr>
        <w:t xml:space="preserve">USR </w:t>
      </w:r>
      <w:r w:rsidRPr="00830A9E">
        <w:rPr>
          <w:rFonts w:cs="Arial"/>
          <w:szCs w:val="24"/>
        </w:rPr>
        <w:t xml:space="preserve">rate includes estimated expenses for the projected </w:t>
      </w:r>
      <w:r w:rsidRPr="00830A9E">
        <w:rPr>
          <w:rFonts w:cs="Arial"/>
          <w:szCs w:val="24"/>
        </w:rPr>
        <w:lastRenderedPageBreak/>
        <w:t>year plus any over/under collection from the prior period.</w:t>
      </w:r>
      <w:r w:rsidRPr="00440B39">
        <w:t xml:space="preserve"> </w:t>
      </w:r>
      <w:r w:rsidRPr="00830A9E">
        <w:rPr>
          <w:rFonts w:cs="Arial"/>
          <w:szCs w:val="24"/>
        </w:rPr>
        <w:t xml:space="preserve">  The rate </w:t>
      </w:r>
      <w:r>
        <w:rPr>
          <w:rFonts w:cs="Arial"/>
          <w:szCs w:val="24"/>
        </w:rPr>
        <w:t xml:space="preserve">that is set </w:t>
      </w:r>
      <w:r w:rsidRPr="00830A9E">
        <w:rPr>
          <w:rFonts w:cs="Arial"/>
          <w:szCs w:val="24"/>
        </w:rPr>
        <w:t xml:space="preserve">is </w:t>
      </w:r>
      <w:r>
        <w:t>based on data for the December through November time period.</w:t>
      </w:r>
    </w:p>
    <w:p w:rsidR="00AC40FC" w:rsidRDefault="00AC40FC" w:rsidP="00440B39">
      <w:r>
        <w:t>The total 2015 OnTrack budget, recoverable through the USR, was $79,005,395.  The three components are defined as:</w:t>
      </w:r>
    </w:p>
    <w:p w:rsidR="00AC40FC" w:rsidRDefault="00AC40FC" w:rsidP="004F00E5">
      <w:pPr>
        <w:pStyle w:val="Numbering"/>
        <w:numPr>
          <w:ilvl w:val="0"/>
          <w:numId w:val="107"/>
        </w:numPr>
      </w:pPr>
      <w:r w:rsidRPr="00F1599B">
        <w:rPr>
          <w:b/>
        </w:rPr>
        <w:t>OnTrack Revenue Shortfall</w:t>
      </w:r>
      <w:r>
        <w:t>:  The difference between the actual bill and the OnTrack installment amount.  For example, if a customer is set up on an installment amount of $85 and receives an actual bill of $125, the revenue shortfall is $40 ($125 – $85 = $40).  Revenue shortfall is also referred to as CAP or OnTrack credits.  The 2015 budget for revenue shortfall was $53,881,619.</w:t>
      </w:r>
    </w:p>
    <w:p w:rsidR="00AC40FC" w:rsidRPr="00F1599B" w:rsidRDefault="00AC40FC" w:rsidP="004F00E5">
      <w:pPr>
        <w:pStyle w:val="Numbering"/>
        <w:numPr>
          <w:ilvl w:val="0"/>
          <w:numId w:val="107"/>
        </w:numPr>
      </w:pPr>
      <w:r w:rsidRPr="00F1599B">
        <w:rPr>
          <w:b/>
        </w:rPr>
        <w:t>OnTrack Arrearage Forgiveness</w:t>
      </w:r>
      <w:r>
        <w:t>:  The amount of pre-program overdue money that is forgiven over time.  For example, if a customer is enrolled in the program with an overdue balance of $1,400, that overdue amount is essentially “frozen” at that point in time.  Assuming the customer makes on-time payments and remains in the program for 18 months, the monthly forgiveness amount would be approximately $78 ($1,400/18 months = $78), beginning in the first month of enrollment.  The 2015 budget for arrears forgiveness was $22,393,304.</w:t>
      </w:r>
    </w:p>
    <w:p w:rsidR="00AC40FC" w:rsidRDefault="00AC40FC" w:rsidP="004F00E5">
      <w:pPr>
        <w:pStyle w:val="Numbering"/>
        <w:numPr>
          <w:ilvl w:val="0"/>
          <w:numId w:val="107"/>
        </w:numPr>
      </w:pPr>
      <w:r w:rsidRPr="00461983">
        <w:rPr>
          <w:b/>
        </w:rPr>
        <w:t xml:space="preserve">OnTrack </w:t>
      </w:r>
      <w:r>
        <w:rPr>
          <w:b/>
        </w:rPr>
        <w:t xml:space="preserve">Agency </w:t>
      </w:r>
      <w:r w:rsidRPr="00461983">
        <w:rPr>
          <w:b/>
        </w:rPr>
        <w:t>Administration</w:t>
      </w:r>
      <w:r>
        <w:t>:  Costs paid to the OnTrack agencies related to the administration of the program.  For example, the agencies complete specific work tasks associated with the enrollment/screening process. The 2015 budget for agency administration was $2,730,472.</w:t>
      </w:r>
    </w:p>
    <w:p w:rsidR="00AC40FC" w:rsidRDefault="00AC40FC" w:rsidP="00BB665B">
      <w:pPr>
        <w:pStyle w:val="Heading40"/>
      </w:pPr>
      <w:r>
        <w:t>Program Costs</w:t>
      </w:r>
    </w:p>
    <w:p w:rsidR="00AC40FC" w:rsidRDefault="00AC40FC" w:rsidP="00440B39">
      <w:r>
        <w:t>The following graph shows annual costs for each of the four components:</w:t>
      </w:r>
    </w:p>
    <w:p w:rsidR="00AC40FC" w:rsidRDefault="00AC40FC" w:rsidP="00285EC7">
      <w:pPr>
        <w:pStyle w:val="Caption"/>
      </w:pPr>
      <w:bookmarkStart w:id="108" w:name="_Toc462648419"/>
      <w:bookmarkStart w:id="109" w:name="_Toc464553041"/>
      <w:r>
        <w:t xml:space="preserve">Exhibit </w:t>
      </w:r>
      <w:fldSimple w:instr=" STYLEREF 1 \s ">
        <w:r w:rsidR="00A24205">
          <w:rPr>
            <w:noProof/>
          </w:rPr>
          <w:t>X</w:t>
        </w:r>
      </w:fldSimple>
      <w:r w:rsidR="00264A1B">
        <w:noBreakHyphen/>
      </w:r>
      <w:fldSimple w:instr=" SEQ Exhibit \* ARABIC \s 1 ">
        <w:r w:rsidR="00A24205">
          <w:rPr>
            <w:noProof/>
          </w:rPr>
          <w:t>2</w:t>
        </w:r>
      </w:fldSimple>
      <w:r>
        <w:br/>
        <w:t>OnTrack Annual Costs by Component</w:t>
      </w:r>
      <w:bookmarkEnd w:id="108"/>
      <w:bookmarkEnd w:id="109"/>
    </w:p>
    <w:p w:rsidR="00AC40FC" w:rsidRDefault="00AC40FC" w:rsidP="00440B39">
      <w:pPr>
        <w:jc w:val="center"/>
      </w:pPr>
      <w:r>
        <w:rPr>
          <w:noProof/>
        </w:rPr>
        <w:drawing>
          <wp:inline distT="0" distB="0" distL="0" distR="0">
            <wp:extent cx="4343399" cy="2076450"/>
            <wp:effectExtent l="0" t="0" r="635" b="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C40FC" w:rsidRDefault="00AC40FC">
      <w:pPr>
        <w:spacing w:after="0"/>
        <w:jc w:val="left"/>
      </w:pPr>
      <w:r>
        <w:br w:type="page"/>
      </w:r>
    </w:p>
    <w:tbl>
      <w:tblPr>
        <w:tblW w:w="9005" w:type="dxa"/>
        <w:jc w:val="center"/>
        <w:tblLook w:val="04A0"/>
      </w:tblPr>
      <w:tblGrid>
        <w:gridCol w:w="2160"/>
        <w:gridCol w:w="1217"/>
        <w:gridCol w:w="1217"/>
        <w:gridCol w:w="1217"/>
        <w:gridCol w:w="1217"/>
        <w:gridCol w:w="1217"/>
        <w:gridCol w:w="1260"/>
      </w:tblGrid>
      <w:tr w:rsidR="00AC40FC" w:rsidRPr="00473B3D" w:rsidTr="00155DDD">
        <w:trPr>
          <w:cantSplit/>
          <w:trHeight w:val="300"/>
          <w:tblHeader/>
          <w:jc w:val="center"/>
        </w:trPr>
        <w:tc>
          <w:tcPr>
            <w:tcW w:w="2160" w:type="dxa"/>
            <w:tcBorders>
              <w:top w:val="single" w:sz="4" w:space="0" w:color="auto"/>
              <w:left w:val="single" w:sz="4" w:space="0" w:color="auto"/>
              <w:bottom w:val="single" w:sz="4" w:space="0" w:color="auto"/>
              <w:right w:val="single" w:sz="4" w:space="0" w:color="auto"/>
            </w:tcBorders>
            <w:shd w:val="clear" w:color="auto" w:fill="A5CD7E"/>
            <w:noWrap/>
            <w:vAlign w:val="center"/>
            <w:hideMark/>
          </w:tcPr>
          <w:p w:rsidR="00AC40FC" w:rsidRPr="006717D4" w:rsidRDefault="00AC40FC" w:rsidP="00521E7D">
            <w:pPr>
              <w:spacing w:before="80" w:after="80"/>
              <w:jc w:val="center"/>
              <w:rPr>
                <w:rFonts w:cs="Arial"/>
                <w:b/>
                <w:color w:val="000000"/>
                <w:sz w:val="18"/>
                <w:szCs w:val="18"/>
              </w:rPr>
            </w:pPr>
            <w:r w:rsidRPr="006717D4">
              <w:rPr>
                <w:rFonts w:cs="Arial"/>
                <w:b/>
                <w:color w:val="000000"/>
                <w:sz w:val="18"/>
                <w:szCs w:val="18"/>
              </w:rPr>
              <w:lastRenderedPageBreak/>
              <w:t>Component</w:t>
            </w:r>
          </w:p>
        </w:tc>
        <w:tc>
          <w:tcPr>
            <w:tcW w:w="1117"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6717D4" w:rsidRDefault="00AC40FC" w:rsidP="00521E7D">
            <w:pPr>
              <w:spacing w:before="80" w:after="80"/>
              <w:jc w:val="center"/>
              <w:rPr>
                <w:rFonts w:cs="Arial"/>
                <w:b/>
                <w:color w:val="000000"/>
                <w:sz w:val="18"/>
                <w:szCs w:val="18"/>
              </w:rPr>
            </w:pPr>
            <w:r w:rsidRPr="006717D4">
              <w:rPr>
                <w:rFonts w:cs="Arial"/>
                <w:b/>
                <w:color w:val="000000"/>
                <w:sz w:val="18"/>
                <w:szCs w:val="18"/>
              </w:rPr>
              <w:t>2010</w:t>
            </w:r>
          </w:p>
        </w:tc>
        <w:tc>
          <w:tcPr>
            <w:tcW w:w="1117"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6717D4" w:rsidRDefault="00AC40FC" w:rsidP="00521E7D">
            <w:pPr>
              <w:spacing w:before="80" w:after="80"/>
              <w:jc w:val="center"/>
              <w:rPr>
                <w:rFonts w:cs="Arial"/>
                <w:b/>
                <w:color w:val="000000"/>
                <w:sz w:val="18"/>
                <w:szCs w:val="18"/>
              </w:rPr>
            </w:pPr>
            <w:r w:rsidRPr="006717D4">
              <w:rPr>
                <w:rFonts w:cs="Arial"/>
                <w:b/>
                <w:color w:val="000000"/>
                <w:sz w:val="18"/>
                <w:szCs w:val="18"/>
              </w:rPr>
              <w:t>2011</w:t>
            </w:r>
          </w:p>
        </w:tc>
        <w:tc>
          <w:tcPr>
            <w:tcW w:w="1117"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6717D4" w:rsidRDefault="00AC40FC" w:rsidP="00521E7D">
            <w:pPr>
              <w:spacing w:before="80" w:after="80"/>
              <w:jc w:val="center"/>
              <w:rPr>
                <w:rFonts w:cs="Arial"/>
                <w:b/>
                <w:color w:val="000000"/>
                <w:sz w:val="18"/>
                <w:szCs w:val="18"/>
              </w:rPr>
            </w:pPr>
            <w:r w:rsidRPr="006717D4">
              <w:rPr>
                <w:rFonts w:cs="Arial"/>
                <w:b/>
                <w:color w:val="000000"/>
                <w:sz w:val="18"/>
                <w:szCs w:val="18"/>
              </w:rPr>
              <w:t>2012</w:t>
            </w:r>
          </w:p>
        </w:tc>
        <w:tc>
          <w:tcPr>
            <w:tcW w:w="1117"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6717D4" w:rsidRDefault="00AC40FC" w:rsidP="00521E7D">
            <w:pPr>
              <w:spacing w:before="80" w:after="80"/>
              <w:jc w:val="center"/>
              <w:rPr>
                <w:rFonts w:cs="Arial"/>
                <w:b/>
                <w:color w:val="000000"/>
                <w:sz w:val="18"/>
                <w:szCs w:val="18"/>
              </w:rPr>
            </w:pPr>
            <w:r w:rsidRPr="006717D4">
              <w:rPr>
                <w:rFonts w:cs="Arial"/>
                <w:b/>
                <w:color w:val="000000"/>
                <w:sz w:val="18"/>
                <w:szCs w:val="18"/>
              </w:rPr>
              <w:t>2013</w:t>
            </w:r>
          </w:p>
        </w:tc>
        <w:tc>
          <w:tcPr>
            <w:tcW w:w="1117"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6717D4" w:rsidRDefault="00AC40FC" w:rsidP="00521E7D">
            <w:pPr>
              <w:spacing w:before="80" w:after="80"/>
              <w:jc w:val="center"/>
              <w:rPr>
                <w:rFonts w:cs="Arial"/>
                <w:b/>
                <w:color w:val="000000"/>
                <w:sz w:val="18"/>
                <w:szCs w:val="18"/>
              </w:rPr>
            </w:pPr>
            <w:r w:rsidRPr="006717D4">
              <w:rPr>
                <w:rFonts w:cs="Arial"/>
                <w:b/>
                <w:color w:val="000000"/>
                <w:sz w:val="18"/>
                <w:szCs w:val="18"/>
              </w:rPr>
              <w:t>2014</w:t>
            </w:r>
          </w:p>
        </w:tc>
        <w:tc>
          <w:tcPr>
            <w:tcW w:w="126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6717D4" w:rsidRDefault="00AC40FC" w:rsidP="00521E7D">
            <w:pPr>
              <w:spacing w:before="80" w:after="80"/>
              <w:jc w:val="center"/>
              <w:rPr>
                <w:rFonts w:cs="Arial"/>
                <w:b/>
                <w:color w:val="000000"/>
                <w:sz w:val="18"/>
                <w:szCs w:val="18"/>
              </w:rPr>
            </w:pPr>
            <w:r w:rsidRPr="006717D4">
              <w:rPr>
                <w:rFonts w:cs="Arial"/>
                <w:b/>
                <w:color w:val="000000"/>
                <w:sz w:val="18"/>
                <w:szCs w:val="18"/>
              </w:rPr>
              <w:t>2015</w:t>
            </w:r>
          </w:p>
        </w:tc>
      </w:tr>
      <w:tr w:rsidR="00AC40FC" w:rsidRPr="00473B3D" w:rsidTr="00155DDD">
        <w:trPr>
          <w:trHeight w:val="300"/>
          <w:jc w:val="center"/>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AC40FC" w:rsidRPr="00473B3D" w:rsidRDefault="00AC40FC" w:rsidP="00440B39">
            <w:pPr>
              <w:spacing w:after="0"/>
              <w:jc w:val="center"/>
              <w:rPr>
                <w:rFonts w:cs="Arial"/>
                <w:color w:val="000000"/>
                <w:sz w:val="18"/>
                <w:szCs w:val="18"/>
              </w:rPr>
            </w:pPr>
            <w:r w:rsidRPr="00473B3D">
              <w:rPr>
                <w:rFonts w:cs="Arial"/>
                <w:color w:val="000000"/>
                <w:sz w:val="18"/>
                <w:szCs w:val="18"/>
              </w:rPr>
              <w:t>Revenue Shortfall</w:t>
            </w:r>
          </w:p>
        </w:tc>
        <w:tc>
          <w:tcPr>
            <w:tcW w:w="1117" w:type="dxa"/>
            <w:tcBorders>
              <w:top w:val="nil"/>
              <w:left w:val="nil"/>
              <w:bottom w:val="single" w:sz="4" w:space="0" w:color="auto"/>
              <w:right w:val="single" w:sz="4" w:space="0" w:color="auto"/>
            </w:tcBorders>
            <w:shd w:val="clear" w:color="auto" w:fill="auto"/>
            <w:noWrap/>
            <w:vAlign w:val="center"/>
            <w:hideMark/>
          </w:tcPr>
          <w:p w:rsidR="00AC40FC" w:rsidRPr="00473B3D" w:rsidRDefault="00AC40FC" w:rsidP="00440B39">
            <w:pPr>
              <w:spacing w:after="0"/>
              <w:jc w:val="center"/>
              <w:rPr>
                <w:rFonts w:cs="Arial"/>
                <w:color w:val="000000"/>
                <w:sz w:val="18"/>
                <w:szCs w:val="18"/>
              </w:rPr>
            </w:pPr>
            <w:r>
              <w:rPr>
                <w:rFonts w:cs="Arial"/>
                <w:color w:val="000000"/>
                <w:sz w:val="18"/>
                <w:szCs w:val="18"/>
              </w:rPr>
              <w:t>$</w:t>
            </w:r>
            <w:r w:rsidRPr="00473B3D">
              <w:rPr>
                <w:rFonts w:cs="Arial"/>
                <w:color w:val="000000"/>
                <w:sz w:val="18"/>
                <w:szCs w:val="18"/>
              </w:rPr>
              <w:t>34,199,730</w:t>
            </w:r>
          </w:p>
        </w:tc>
        <w:tc>
          <w:tcPr>
            <w:tcW w:w="1117" w:type="dxa"/>
            <w:tcBorders>
              <w:top w:val="nil"/>
              <w:left w:val="nil"/>
              <w:bottom w:val="single" w:sz="4" w:space="0" w:color="auto"/>
              <w:right w:val="single" w:sz="4" w:space="0" w:color="auto"/>
            </w:tcBorders>
            <w:shd w:val="clear" w:color="auto" w:fill="auto"/>
            <w:noWrap/>
            <w:vAlign w:val="center"/>
            <w:hideMark/>
          </w:tcPr>
          <w:p w:rsidR="00AC40FC" w:rsidRPr="00473B3D" w:rsidRDefault="00AC40FC" w:rsidP="00440B39">
            <w:pPr>
              <w:spacing w:after="0"/>
              <w:jc w:val="center"/>
              <w:rPr>
                <w:rFonts w:cs="Arial"/>
                <w:color w:val="000000"/>
                <w:sz w:val="18"/>
                <w:szCs w:val="18"/>
              </w:rPr>
            </w:pPr>
            <w:r>
              <w:rPr>
                <w:rFonts w:cs="Arial"/>
                <w:color w:val="000000"/>
                <w:sz w:val="18"/>
                <w:szCs w:val="18"/>
              </w:rPr>
              <w:t>$</w:t>
            </w:r>
            <w:r w:rsidRPr="00473B3D">
              <w:rPr>
                <w:rFonts w:cs="Arial"/>
                <w:color w:val="000000"/>
                <w:sz w:val="18"/>
                <w:szCs w:val="18"/>
              </w:rPr>
              <w:t>36,405,855</w:t>
            </w:r>
          </w:p>
        </w:tc>
        <w:tc>
          <w:tcPr>
            <w:tcW w:w="1117" w:type="dxa"/>
            <w:tcBorders>
              <w:top w:val="nil"/>
              <w:left w:val="nil"/>
              <w:bottom w:val="single" w:sz="4" w:space="0" w:color="auto"/>
              <w:right w:val="single" w:sz="4" w:space="0" w:color="auto"/>
            </w:tcBorders>
            <w:shd w:val="clear" w:color="auto" w:fill="auto"/>
            <w:noWrap/>
            <w:vAlign w:val="center"/>
            <w:hideMark/>
          </w:tcPr>
          <w:p w:rsidR="00AC40FC" w:rsidRPr="00473B3D" w:rsidRDefault="00AC40FC" w:rsidP="00440B39">
            <w:pPr>
              <w:spacing w:after="0"/>
              <w:jc w:val="center"/>
              <w:rPr>
                <w:rFonts w:cs="Arial"/>
                <w:color w:val="000000"/>
                <w:sz w:val="18"/>
                <w:szCs w:val="18"/>
              </w:rPr>
            </w:pPr>
            <w:r>
              <w:rPr>
                <w:rFonts w:cs="Arial"/>
                <w:color w:val="000000"/>
                <w:sz w:val="18"/>
                <w:szCs w:val="18"/>
              </w:rPr>
              <w:t>$</w:t>
            </w:r>
            <w:r w:rsidRPr="00473B3D">
              <w:rPr>
                <w:rFonts w:cs="Arial"/>
                <w:color w:val="000000"/>
                <w:sz w:val="18"/>
                <w:szCs w:val="18"/>
              </w:rPr>
              <w:t>27,957,550</w:t>
            </w:r>
          </w:p>
        </w:tc>
        <w:tc>
          <w:tcPr>
            <w:tcW w:w="1117" w:type="dxa"/>
            <w:tcBorders>
              <w:top w:val="nil"/>
              <w:left w:val="nil"/>
              <w:bottom w:val="single" w:sz="4" w:space="0" w:color="auto"/>
              <w:right w:val="single" w:sz="4" w:space="0" w:color="auto"/>
            </w:tcBorders>
            <w:shd w:val="clear" w:color="auto" w:fill="auto"/>
            <w:noWrap/>
            <w:vAlign w:val="center"/>
            <w:hideMark/>
          </w:tcPr>
          <w:p w:rsidR="00AC40FC" w:rsidRPr="00473B3D" w:rsidRDefault="00AC40FC" w:rsidP="00440B39">
            <w:pPr>
              <w:spacing w:after="0"/>
              <w:jc w:val="center"/>
              <w:rPr>
                <w:rFonts w:cs="Arial"/>
                <w:color w:val="000000"/>
                <w:sz w:val="18"/>
                <w:szCs w:val="18"/>
              </w:rPr>
            </w:pPr>
            <w:r>
              <w:rPr>
                <w:rFonts w:cs="Arial"/>
                <w:color w:val="000000"/>
                <w:sz w:val="18"/>
                <w:szCs w:val="18"/>
              </w:rPr>
              <w:t>$</w:t>
            </w:r>
            <w:r w:rsidRPr="00473B3D">
              <w:rPr>
                <w:rFonts w:cs="Arial"/>
                <w:color w:val="000000"/>
                <w:sz w:val="18"/>
                <w:szCs w:val="18"/>
              </w:rPr>
              <w:t>36,408,445</w:t>
            </w:r>
          </w:p>
        </w:tc>
        <w:tc>
          <w:tcPr>
            <w:tcW w:w="1117" w:type="dxa"/>
            <w:tcBorders>
              <w:top w:val="nil"/>
              <w:left w:val="nil"/>
              <w:bottom w:val="single" w:sz="4" w:space="0" w:color="auto"/>
              <w:right w:val="single" w:sz="4" w:space="0" w:color="auto"/>
            </w:tcBorders>
            <w:shd w:val="clear" w:color="auto" w:fill="auto"/>
            <w:noWrap/>
            <w:vAlign w:val="center"/>
            <w:hideMark/>
          </w:tcPr>
          <w:p w:rsidR="00AC40FC" w:rsidRPr="00473B3D" w:rsidRDefault="00AC40FC" w:rsidP="00440B39">
            <w:pPr>
              <w:spacing w:after="0"/>
              <w:jc w:val="center"/>
              <w:rPr>
                <w:rFonts w:cs="Arial"/>
                <w:color w:val="000000"/>
                <w:sz w:val="18"/>
                <w:szCs w:val="18"/>
              </w:rPr>
            </w:pPr>
            <w:r>
              <w:rPr>
                <w:rFonts w:cs="Arial"/>
                <w:color w:val="000000"/>
                <w:sz w:val="18"/>
                <w:szCs w:val="18"/>
              </w:rPr>
              <w:t>$</w:t>
            </w:r>
            <w:r w:rsidRPr="00473B3D">
              <w:rPr>
                <w:rFonts w:cs="Arial"/>
                <w:color w:val="000000"/>
                <w:sz w:val="18"/>
                <w:szCs w:val="18"/>
              </w:rPr>
              <w:t>49,890,388</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473B3D" w:rsidRDefault="00AC40FC" w:rsidP="00440B39">
            <w:pPr>
              <w:spacing w:after="0"/>
              <w:jc w:val="center"/>
              <w:rPr>
                <w:rFonts w:cs="Arial"/>
                <w:color w:val="000000"/>
                <w:sz w:val="18"/>
                <w:szCs w:val="18"/>
              </w:rPr>
            </w:pPr>
            <w:r>
              <w:rPr>
                <w:rFonts w:cs="Arial"/>
                <w:color w:val="000000"/>
                <w:sz w:val="18"/>
                <w:szCs w:val="18"/>
              </w:rPr>
              <w:t>$54,358,922</w:t>
            </w:r>
          </w:p>
        </w:tc>
      </w:tr>
      <w:tr w:rsidR="00AC40FC" w:rsidRPr="00473B3D" w:rsidTr="00155DDD">
        <w:trPr>
          <w:trHeight w:val="300"/>
          <w:jc w:val="center"/>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AC40FC" w:rsidRPr="00473B3D" w:rsidRDefault="00AC40FC" w:rsidP="00440B39">
            <w:pPr>
              <w:spacing w:after="0"/>
              <w:jc w:val="center"/>
              <w:rPr>
                <w:rFonts w:cs="Arial"/>
                <w:color w:val="000000"/>
                <w:sz w:val="18"/>
                <w:szCs w:val="18"/>
              </w:rPr>
            </w:pPr>
            <w:r w:rsidRPr="00473B3D">
              <w:rPr>
                <w:rFonts w:cs="Arial"/>
                <w:color w:val="000000"/>
                <w:sz w:val="18"/>
                <w:szCs w:val="18"/>
              </w:rPr>
              <w:t>Arrearage Forgiveness</w:t>
            </w:r>
          </w:p>
        </w:tc>
        <w:tc>
          <w:tcPr>
            <w:tcW w:w="1117" w:type="dxa"/>
            <w:tcBorders>
              <w:top w:val="nil"/>
              <w:left w:val="nil"/>
              <w:bottom w:val="single" w:sz="4" w:space="0" w:color="auto"/>
              <w:right w:val="single" w:sz="4" w:space="0" w:color="auto"/>
            </w:tcBorders>
            <w:shd w:val="clear" w:color="auto" w:fill="auto"/>
            <w:noWrap/>
            <w:vAlign w:val="center"/>
            <w:hideMark/>
          </w:tcPr>
          <w:p w:rsidR="00AC40FC" w:rsidRPr="00473B3D" w:rsidRDefault="00AC40FC" w:rsidP="00440B39">
            <w:pPr>
              <w:spacing w:after="0"/>
              <w:jc w:val="center"/>
              <w:rPr>
                <w:rFonts w:cs="Arial"/>
                <w:color w:val="000000"/>
                <w:sz w:val="18"/>
                <w:szCs w:val="18"/>
              </w:rPr>
            </w:pPr>
            <w:r>
              <w:rPr>
                <w:rFonts w:cs="Arial"/>
                <w:color w:val="000000"/>
                <w:sz w:val="18"/>
                <w:szCs w:val="18"/>
              </w:rPr>
              <w:t>$</w:t>
            </w:r>
            <w:r w:rsidRPr="00473B3D">
              <w:rPr>
                <w:rFonts w:cs="Arial"/>
                <w:color w:val="000000"/>
                <w:sz w:val="18"/>
                <w:szCs w:val="18"/>
              </w:rPr>
              <w:t>10,340,863</w:t>
            </w:r>
          </w:p>
        </w:tc>
        <w:tc>
          <w:tcPr>
            <w:tcW w:w="1117" w:type="dxa"/>
            <w:tcBorders>
              <w:top w:val="nil"/>
              <w:left w:val="nil"/>
              <w:bottom w:val="single" w:sz="4" w:space="0" w:color="auto"/>
              <w:right w:val="single" w:sz="4" w:space="0" w:color="auto"/>
            </w:tcBorders>
            <w:shd w:val="clear" w:color="auto" w:fill="auto"/>
            <w:noWrap/>
            <w:vAlign w:val="center"/>
            <w:hideMark/>
          </w:tcPr>
          <w:p w:rsidR="00AC40FC" w:rsidRPr="00473B3D" w:rsidRDefault="00AC40FC" w:rsidP="00440B39">
            <w:pPr>
              <w:spacing w:after="0"/>
              <w:jc w:val="center"/>
              <w:rPr>
                <w:rFonts w:cs="Arial"/>
                <w:color w:val="000000"/>
                <w:sz w:val="18"/>
                <w:szCs w:val="18"/>
              </w:rPr>
            </w:pPr>
            <w:r>
              <w:rPr>
                <w:rFonts w:cs="Arial"/>
                <w:color w:val="000000"/>
                <w:sz w:val="18"/>
                <w:szCs w:val="18"/>
              </w:rPr>
              <w:t>$</w:t>
            </w:r>
            <w:r w:rsidRPr="00473B3D">
              <w:rPr>
                <w:rFonts w:cs="Arial"/>
                <w:color w:val="000000"/>
                <w:sz w:val="18"/>
                <w:szCs w:val="18"/>
              </w:rPr>
              <w:t>14,881,769</w:t>
            </w:r>
          </w:p>
        </w:tc>
        <w:tc>
          <w:tcPr>
            <w:tcW w:w="1117" w:type="dxa"/>
            <w:tcBorders>
              <w:top w:val="nil"/>
              <w:left w:val="nil"/>
              <w:bottom w:val="single" w:sz="4" w:space="0" w:color="auto"/>
              <w:right w:val="single" w:sz="4" w:space="0" w:color="auto"/>
            </w:tcBorders>
            <w:shd w:val="clear" w:color="auto" w:fill="auto"/>
            <w:noWrap/>
            <w:vAlign w:val="center"/>
            <w:hideMark/>
          </w:tcPr>
          <w:p w:rsidR="00AC40FC" w:rsidRPr="00473B3D" w:rsidRDefault="00AC40FC" w:rsidP="00440B39">
            <w:pPr>
              <w:spacing w:after="0"/>
              <w:jc w:val="center"/>
              <w:rPr>
                <w:rFonts w:cs="Arial"/>
                <w:color w:val="000000"/>
                <w:sz w:val="18"/>
                <w:szCs w:val="18"/>
              </w:rPr>
            </w:pPr>
            <w:r>
              <w:rPr>
                <w:rFonts w:cs="Arial"/>
                <w:color w:val="000000"/>
                <w:sz w:val="18"/>
                <w:szCs w:val="18"/>
              </w:rPr>
              <w:t>$</w:t>
            </w:r>
            <w:r w:rsidRPr="00473B3D">
              <w:rPr>
                <w:rFonts w:cs="Arial"/>
                <w:color w:val="000000"/>
                <w:sz w:val="18"/>
                <w:szCs w:val="18"/>
              </w:rPr>
              <w:t>16,906,808</w:t>
            </w:r>
          </w:p>
        </w:tc>
        <w:tc>
          <w:tcPr>
            <w:tcW w:w="1117" w:type="dxa"/>
            <w:tcBorders>
              <w:top w:val="nil"/>
              <w:left w:val="nil"/>
              <w:bottom w:val="single" w:sz="4" w:space="0" w:color="auto"/>
              <w:right w:val="single" w:sz="4" w:space="0" w:color="auto"/>
            </w:tcBorders>
            <w:shd w:val="clear" w:color="auto" w:fill="auto"/>
            <w:noWrap/>
            <w:vAlign w:val="center"/>
            <w:hideMark/>
          </w:tcPr>
          <w:p w:rsidR="00AC40FC" w:rsidRPr="00473B3D" w:rsidRDefault="00AC40FC" w:rsidP="00440B39">
            <w:pPr>
              <w:spacing w:after="0"/>
              <w:jc w:val="center"/>
              <w:rPr>
                <w:rFonts w:cs="Arial"/>
                <w:color w:val="000000"/>
                <w:sz w:val="18"/>
                <w:szCs w:val="18"/>
              </w:rPr>
            </w:pPr>
            <w:r>
              <w:rPr>
                <w:rFonts w:cs="Arial"/>
                <w:color w:val="000000"/>
                <w:sz w:val="18"/>
                <w:szCs w:val="18"/>
              </w:rPr>
              <w:t>$</w:t>
            </w:r>
            <w:r w:rsidRPr="00473B3D">
              <w:rPr>
                <w:rFonts w:cs="Arial"/>
                <w:color w:val="000000"/>
                <w:sz w:val="18"/>
                <w:szCs w:val="18"/>
              </w:rPr>
              <w:t>16,473,194</w:t>
            </w:r>
          </w:p>
        </w:tc>
        <w:tc>
          <w:tcPr>
            <w:tcW w:w="1117" w:type="dxa"/>
            <w:tcBorders>
              <w:top w:val="nil"/>
              <w:left w:val="nil"/>
              <w:bottom w:val="single" w:sz="4" w:space="0" w:color="auto"/>
              <w:right w:val="single" w:sz="4" w:space="0" w:color="auto"/>
            </w:tcBorders>
            <w:shd w:val="clear" w:color="auto" w:fill="auto"/>
            <w:noWrap/>
            <w:vAlign w:val="center"/>
            <w:hideMark/>
          </w:tcPr>
          <w:p w:rsidR="00AC40FC" w:rsidRPr="00473B3D" w:rsidRDefault="00AC40FC" w:rsidP="00440B39">
            <w:pPr>
              <w:spacing w:after="0"/>
              <w:jc w:val="center"/>
              <w:rPr>
                <w:rFonts w:cs="Arial"/>
                <w:color w:val="000000"/>
                <w:sz w:val="18"/>
                <w:szCs w:val="18"/>
              </w:rPr>
            </w:pPr>
            <w:r>
              <w:rPr>
                <w:rFonts w:cs="Arial"/>
                <w:color w:val="000000"/>
                <w:sz w:val="18"/>
                <w:szCs w:val="18"/>
              </w:rPr>
              <w:t>$</w:t>
            </w:r>
            <w:r w:rsidRPr="00473B3D">
              <w:rPr>
                <w:rFonts w:cs="Arial"/>
                <w:color w:val="000000"/>
                <w:sz w:val="18"/>
                <w:szCs w:val="18"/>
              </w:rPr>
              <w:t>19,643,249</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473B3D" w:rsidRDefault="00AC40FC" w:rsidP="00440B39">
            <w:pPr>
              <w:spacing w:after="0"/>
              <w:jc w:val="center"/>
              <w:rPr>
                <w:rFonts w:cs="Arial"/>
                <w:color w:val="000000"/>
                <w:sz w:val="18"/>
                <w:szCs w:val="18"/>
              </w:rPr>
            </w:pPr>
            <w:r>
              <w:rPr>
                <w:rFonts w:cs="Arial"/>
                <w:color w:val="000000"/>
                <w:sz w:val="18"/>
                <w:szCs w:val="18"/>
              </w:rPr>
              <w:t>$26,878,833</w:t>
            </w:r>
          </w:p>
        </w:tc>
      </w:tr>
      <w:tr w:rsidR="00AC40FC" w:rsidRPr="00473B3D" w:rsidTr="00155DDD">
        <w:trPr>
          <w:trHeight w:val="300"/>
          <w:jc w:val="center"/>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AC40FC" w:rsidRPr="00473B3D" w:rsidRDefault="00AC40FC" w:rsidP="00440B39">
            <w:pPr>
              <w:spacing w:after="0"/>
              <w:jc w:val="center"/>
              <w:rPr>
                <w:rFonts w:cs="Arial"/>
                <w:color w:val="000000"/>
                <w:sz w:val="18"/>
                <w:szCs w:val="18"/>
              </w:rPr>
            </w:pPr>
            <w:r w:rsidRPr="00473B3D">
              <w:rPr>
                <w:rFonts w:cs="Arial"/>
                <w:color w:val="000000"/>
                <w:sz w:val="18"/>
                <w:szCs w:val="18"/>
              </w:rPr>
              <w:t>Agency Administration</w:t>
            </w:r>
          </w:p>
        </w:tc>
        <w:tc>
          <w:tcPr>
            <w:tcW w:w="1117" w:type="dxa"/>
            <w:tcBorders>
              <w:top w:val="nil"/>
              <w:left w:val="nil"/>
              <w:bottom w:val="single" w:sz="4" w:space="0" w:color="auto"/>
              <w:right w:val="single" w:sz="4" w:space="0" w:color="auto"/>
            </w:tcBorders>
            <w:shd w:val="clear" w:color="auto" w:fill="auto"/>
            <w:noWrap/>
            <w:vAlign w:val="center"/>
            <w:hideMark/>
          </w:tcPr>
          <w:p w:rsidR="00AC40FC" w:rsidRPr="00473B3D" w:rsidRDefault="00AC40FC" w:rsidP="00440B39">
            <w:pPr>
              <w:spacing w:after="0"/>
              <w:jc w:val="center"/>
              <w:rPr>
                <w:rFonts w:cs="Arial"/>
                <w:color w:val="000000"/>
                <w:sz w:val="18"/>
                <w:szCs w:val="18"/>
              </w:rPr>
            </w:pPr>
            <w:r>
              <w:rPr>
                <w:rFonts w:cs="Arial"/>
                <w:color w:val="000000"/>
                <w:sz w:val="18"/>
                <w:szCs w:val="18"/>
              </w:rPr>
              <w:t>$</w:t>
            </w:r>
            <w:r w:rsidRPr="00473B3D">
              <w:rPr>
                <w:rFonts w:cs="Arial"/>
                <w:color w:val="000000"/>
                <w:sz w:val="18"/>
                <w:szCs w:val="18"/>
              </w:rPr>
              <w:t>2,114,798</w:t>
            </w:r>
          </w:p>
        </w:tc>
        <w:tc>
          <w:tcPr>
            <w:tcW w:w="1117" w:type="dxa"/>
            <w:tcBorders>
              <w:top w:val="nil"/>
              <w:left w:val="nil"/>
              <w:bottom w:val="single" w:sz="4" w:space="0" w:color="auto"/>
              <w:right w:val="single" w:sz="4" w:space="0" w:color="auto"/>
            </w:tcBorders>
            <w:shd w:val="clear" w:color="auto" w:fill="auto"/>
            <w:noWrap/>
            <w:vAlign w:val="center"/>
            <w:hideMark/>
          </w:tcPr>
          <w:p w:rsidR="00AC40FC" w:rsidRPr="00473B3D" w:rsidRDefault="00AC40FC" w:rsidP="00440B39">
            <w:pPr>
              <w:spacing w:after="0"/>
              <w:jc w:val="center"/>
              <w:rPr>
                <w:rFonts w:cs="Arial"/>
                <w:color w:val="000000"/>
                <w:sz w:val="18"/>
                <w:szCs w:val="18"/>
              </w:rPr>
            </w:pPr>
            <w:r>
              <w:rPr>
                <w:rFonts w:cs="Arial"/>
                <w:color w:val="000000"/>
                <w:sz w:val="18"/>
                <w:szCs w:val="18"/>
              </w:rPr>
              <w:t>$</w:t>
            </w:r>
            <w:r w:rsidRPr="00473B3D">
              <w:rPr>
                <w:rFonts w:cs="Arial"/>
                <w:color w:val="000000"/>
                <w:sz w:val="18"/>
                <w:szCs w:val="18"/>
              </w:rPr>
              <w:t>1,860,043</w:t>
            </w:r>
          </w:p>
        </w:tc>
        <w:tc>
          <w:tcPr>
            <w:tcW w:w="1117" w:type="dxa"/>
            <w:tcBorders>
              <w:top w:val="nil"/>
              <w:left w:val="nil"/>
              <w:bottom w:val="single" w:sz="4" w:space="0" w:color="auto"/>
              <w:right w:val="single" w:sz="4" w:space="0" w:color="auto"/>
            </w:tcBorders>
            <w:shd w:val="clear" w:color="auto" w:fill="auto"/>
            <w:noWrap/>
            <w:vAlign w:val="center"/>
            <w:hideMark/>
          </w:tcPr>
          <w:p w:rsidR="00AC40FC" w:rsidRPr="00473B3D" w:rsidRDefault="00AC40FC" w:rsidP="00440B39">
            <w:pPr>
              <w:spacing w:after="0"/>
              <w:jc w:val="center"/>
              <w:rPr>
                <w:rFonts w:cs="Arial"/>
                <w:color w:val="000000"/>
                <w:sz w:val="18"/>
                <w:szCs w:val="18"/>
              </w:rPr>
            </w:pPr>
            <w:r>
              <w:rPr>
                <w:rFonts w:cs="Arial"/>
                <w:color w:val="000000"/>
                <w:sz w:val="18"/>
                <w:szCs w:val="18"/>
              </w:rPr>
              <w:t>$</w:t>
            </w:r>
            <w:r w:rsidRPr="00473B3D">
              <w:rPr>
                <w:rFonts w:cs="Arial"/>
                <w:color w:val="000000"/>
                <w:sz w:val="18"/>
                <w:szCs w:val="18"/>
              </w:rPr>
              <w:t>2,241,857</w:t>
            </w:r>
          </w:p>
        </w:tc>
        <w:tc>
          <w:tcPr>
            <w:tcW w:w="1117" w:type="dxa"/>
            <w:tcBorders>
              <w:top w:val="nil"/>
              <w:left w:val="nil"/>
              <w:bottom w:val="single" w:sz="4" w:space="0" w:color="auto"/>
              <w:right w:val="single" w:sz="4" w:space="0" w:color="auto"/>
            </w:tcBorders>
            <w:shd w:val="clear" w:color="auto" w:fill="auto"/>
            <w:noWrap/>
            <w:vAlign w:val="center"/>
            <w:hideMark/>
          </w:tcPr>
          <w:p w:rsidR="00AC40FC" w:rsidRPr="00473B3D" w:rsidRDefault="00AC40FC" w:rsidP="00440B39">
            <w:pPr>
              <w:spacing w:after="0"/>
              <w:jc w:val="center"/>
              <w:rPr>
                <w:rFonts w:cs="Arial"/>
                <w:color w:val="000000"/>
                <w:sz w:val="18"/>
                <w:szCs w:val="18"/>
              </w:rPr>
            </w:pPr>
            <w:r>
              <w:rPr>
                <w:rFonts w:cs="Arial"/>
                <w:color w:val="000000"/>
                <w:sz w:val="18"/>
                <w:szCs w:val="18"/>
              </w:rPr>
              <w:t>$</w:t>
            </w:r>
            <w:r w:rsidRPr="00473B3D">
              <w:rPr>
                <w:rFonts w:cs="Arial"/>
                <w:color w:val="000000"/>
                <w:sz w:val="18"/>
                <w:szCs w:val="18"/>
              </w:rPr>
              <w:t>2,341,380</w:t>
            </w:r>
          </w:p>
        </w:tc>
        <w:tc>
          <w:tcPr>
            <w:tcW w:w="1117" w:type="dxa"/>
            <w:tcBorders>
              <w:top w:val="nil"/>
              <w:left w:val="nil"/>
              <w:bottom w:val="single" w:sz="4" w:space="0" w:color="auto"/>
              <w:right w:val="single" w:sz="4" w:space="0" w:color="auto"/>
            </w:tcBorders>
            <w:shd w:val="clear" w:color="auto" w:fill="auto"/>
            <w:noWrap/>
            <w:vAlign w:val="center"/>
            <w:hideMark/>
          </w:tcPr>
          <w:p w:rsidR="00AC40FC" w:rsidRPr="00473B3D" w:rsidRDefault="00AC40FC" w:rsidP="00440B39">
            <w:pPr>
              <w:spacing w:after="0"/>
              <w:jc w:val="center"/>
              <w:rPr>
                <w:rFonts w:cs="Arial"/>
                <w:color w:val="000000"/>
                <w:sz w:val="18"/>
                <w:szCs w:val="18"/>
              </w:rPr>
            </w:pPr>
            <w:r>
              <w:rPr>
                <w:rFonts w:cs="Arial"/>
                <w:color w:val="000000"/>
                <w:sz w:val="18"/>
                <w:szCs w:val="18"/>
              </w:rPr>
              <w:t>$</w:t>
            </w:r>
            <w:r w:rsidRPr="00473B3D">
              <w:rPr>
                <w:rFonts w:cs="Arial"/>
                <w:color w:val="000000"/>
                <w:sz w:val="18"/>
                <w:szCs w:val="18"/>
              </w:rPr>
              <w:t>2,483,220</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473B3D" w:rsidRDefault="00AC40FC" w:rsidP="00440B39">
            <w:pPr>
              <w:spacing w:after="0"/>
              <w:jc w:val="center"/>
              <w:rPr>
                <w:rFonts w:cs="Arial"/>
                <w:color w:val="000000"/>
                <w:sz w:val="18"/>
                <w:szCs w:val="18"/>
              </w:rPr>
            </w:pPr>
            <w:r>
              <w:rPr>
                <w:rFonts w:cs="Arial"/>
                <w:color w:val="000000"/>
                <w:sz w:val="18"/>
                <w:szCs w:val="18"/>
              </w:rPr>
              <w:t>$2,376,716</w:t>
            </w:r>
          </w:p>
        </w:tc>
      </w:tr>
      <w:tr w:rsidR="00AC40FC" w:rsidRPr="00473B3D" w:rsidTr="00155DDD">
        <w:trPr>
          <w:trHeight w:val="300"/>
          <w:jc w:val="center"/>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AC40FC" w:rsidRPr="00473B3D" w:rsidRDefault="00AC40FC" w:rsidP="00440B39">
            <w:pPr>
              <w:spacing w:after="0"/>
              <w:jc w:val="center"/>
              <w:rPr>
                <w:rFonts w:cs="Arial"/>
                <w:color w:val="000000"/>
                <w:sz w:val="18"/>
                <w:szCs w:val="18"/>
              </w:rPr>
            </w:pPr>
            <w:r w:rsidRPr="00473B3D">
              <w:rPr>
                <w:rFonts w:cs="Arial"/>
                <w:color w:val="000000"/>
                <w:sz w:val="18"/>
                <w:szCs w:val="18"/>
              </w:rPr>
              <w:t>PPL EU Administrative</w:t>
            </w:r>
          </w:p>
        </w:tc>
        <w:tc>
          <w:tcPr>
            <w:tcW w:w="1117" w:type="dxa"/>
            <w:tcBorders>
              <w:top w:val="nil"/>
              <w:left w:val="nil"/>
              <w:bottom w:val="single" w:sz="4" w:space="0" w:color="auto"/>
              <w:right w:val="single" w:sz="4" w:space="0" w:color="auto"/>
            </w:tcBorders>
            <w:shd w:val="clear" w:color="auto" w:fill="auto"/>
            <w:noWrap/>
            <w:vAlign w:val="center"/>
            <w:hideMark/>
          </w:tcPr>
          <w:p w:rsidR="00AC40FC" w:rsidRPr="00473B3D" w:rsidRDefault="00AC40FC" w:rsidP="00440B39">
            <w:pPr>
              <w:spacing w:after="0"/>
              <w:jc w:val="center"/>
              <w:rPr>
                <w:rFonts w:cs="Arial"/>
                <w:color w:val="000000"/>
                <w:sz w:val="18"/>
                <w:szCs w:val="18"/>
              </w:rPr>
            </w:pPr>
            <w:r w:rsidRPr="00473B3D">
              <w:rPr>
                <w:rFonts w:cs="Arial"/>
                <w:color w:val="000000"/>
                <w:sz w:val="18"/>
                <w:szCs w:val="18"/>
              </w:rPr>
              <w:t> </w:t>
            </w:r>
            <w:r>
              <w:rPr>
                <w:rFonts w:cs="Arial"/>
                <w:color w:val="000000"/>
                <w:sz w:val="18"/>
                <w:szCs w:val="18"/>
              </w:rPr>
              <w:t>NA</w:t>
            </w:r>
          </w:p>
        </w:tc>
        <w:tc>
          <w:tcPr>
            <w:tcW w:w="1117" w:type="dxa"/>
            <w:tcBorders>
              <w:top w:val="nil"/>
              <w:left w:val="nil"/>
              <w:bottom w:val="single" w:sz="4" w:space="0" w:color="auto"/>
              <w:right w:val="single" w:sz="4" w:space="0" w:color="auto"/>
            </w:tcBorders>
            <w:shd w:val="clear" w:color="auto" w:fill="auto"/>
            <w:noWrap/>
            <w:vAlign w:val="center"/>
            <w:hideMark/>
          </w:tcPr>
          <w:p w:rsidR="00AC40FC" w:rsidRPr="00473B3D" w:rsidRDefault="00AC40FC" w:rsidP="00440B39">
            <w:pPr>
              <w:spacing w:after="0"/>
              <w:jc w:val="center"/>
              <w:rPr>
                <w:rFonts w:cs="Arial"/>
                <w:color w:val="000000"/>
                <w:sz w:val="18"/>
                <w:szCs w:val="18"/>
              </w:rPr>
            </w:pPr>
            <w:r>
              <w:rPr>
                <w:rFonts w:cs="Arial"/>
                <w:color w:val="000000"/>
                <w:sz w:val="18"/>
                <w:szCs w:val="18"/>
              </w:rPr>
              <w:t>$</w:t>
            </w:r>
            <w:r w:rsidRPr="00473B3D">
              <w:rPr>
                <w:rFonts w:cs="Arial"/>
                <w:color w:val="000000"/>
                <w:sz w:val="18"/>
                <w:szCs w:val="18"/>
              </w:rPr>
              <w:t>285,075</w:t>
            </w:r>
          </w:p>
        </w:tc>
        <w:tc>
          <w:tcPr>
            <w:tcW w:w="1117" w:type="dxa"/>
            <w:tcBorders>
              <w:top w:val="nil"/>
              <w:left w:val="nil"/>
              <w:bottom w:val="single" w:sz="4" w:space="0" w:color="auto"/>
              <w:right w:val="single" w:sz="4" w:space="0" w:color="auto"/>
            </w:tcBorders>
            <w:shd w:val="clear" w:color="auto" w:fill="auto"/>
            <w:noWrap/>
            <w:vAlign w:val="center"/>
            <w:hideMark/>
          </w:tcPr>
          <w:p w:rsidR="00AC40FC" w:rsidRPr="00473B3D" w:rsidRDefault="00AC40FC" w:rsidP="00440B39">
            <w:pPr>
              <w:spacing w:after="0"/>
              <w:jc w:val="center"/>
              <w:rPr>
                <w:rFonts w:cs="Arial"/>
                <w:color w:val="000000"/>
                <w:sz w:val="18"/>
                <w:szCs w:val="18"/>
              </w:rPr>
            </w:pPr>
            <w:r>
              <w:rPr>
                <w:rFonts w:cs="Arial"/>
                <w:color w:val="000000"/>
                <w:sz w:val="18"/>
                <w:szCs w:val="18"/>
              </w:rPr>
              <w:t>$</w:t>
            </w:r>
            <w:r w:rsidRPr="00473B3D">
              <w:rPr>
                <w:rFonts w:cs="Arial"/>
                <w:color w:val="000000"/>
                <w:sz w:val="18"/>
                <w:szCs w:val="18"/>
              </w:rPr>
              <w:t>410,989</w:t>
            </w:r>
          </w:p>
        </w:tc>
        <w:tc>
          <w:tcPr>
            <w:tcW w:w="1117" w:type="dxa"/>
            <w:tcBorders>
              <w:top w:val="nil"/>
              <w:left w:val="nil"/>
              <w:bottom w:val="single" w:sz="4" w:space="0" w:color="auto"/>
              <w:right w:val="single" w:sz="4" w:space="0" w:color="auto"/>
            </w:tcBorders>
            <w:shd w:val="clear" w:color="auto" w:fill="auto"/>
            <w:noWrap/>
            <w:vAlign w:val="center"/>
            <w:hideMark/>
          </w:tcPr>
          <w:p w:rsidR="00AC40FC" w:rsidRPr="00473B3D" w:rsidRDefault="00AC40FC" w:rsidP="00440B39">
            <w:pPr>
              <w:spacing w:after="0"/>
              <w:jc w:val="center"/>
              <w:rPr>
                <w:rFonts w:cs="Arial"/>
                <w:color w:val="000000"/>
                <w:sz w:val="18"/>
                <w:szCs w:val="18"/>
              </w:rPr>
            </w:pPr>
            <w:r>
              <w:rPr>
                <w:rFonts w:cs="Arial"/>
                <w:color w:val="000000"/>
                <w:sz w:val="18"/>
                <w:szCs w:val="18"/>
              </w:rPr>
              <w:t>$</w:t>
            </w:r>
            <w:r w:rsidRPr="00473B3D">
              <w:rPr>
                <w:rFonts w:cs="Arial"/>
                <w:color w:val="000000"/>
                <w:sz w:val="18"/>
                <w:szCs w:val="18"/>
              </w:rPr>
              <w:t>557,030</w:t>
            </w:r>
          </w:p>
        </w:tc>
        <w:tc>
          <w:tcPr>
            <w:tcW w:w="1117" w:type="dxa"/>
            <w:tcBorders>
              <w:top w:val="nil"/>
              <w:left w:val="nil"/>
              <w:bottom w:val="single" w:sz="4" w:space="0" w:color="auto"/>
              <w:right w:val="single" w:sz="4" w:space="0" w:color="auto"/>
            </w:tcBorders>
            <w:shd w:val="clear" w:color="auto" w:fill="auto"/>
            <w:noWrap/>
            <w:vAlign w:val="center"/>
            <w:hideMark/>
          </w:tcPr>
          <w:p w:rsidR="00AC40FC" w:rsidRPr="00473B3D" w:rsidRDefault="00AC40FC" w:rsidP="00440B39">
            <w:pPr>
              <w:spacing w:after="0"/>
              <w:jc w:val="center"/>
              <w:rPr>
                <w:rFonts w:cs="Arial"/>
                <w:color w:val="000000"/>
                <w:sz w:val="18"/>
                <w:szCs w:val="18"/>
              </w:rPr>
            </w:pPr>
            <w:r>
              <w:rPr>
                <w:rFonts w:cs="Arial"/>
                <w:color w:val="000000"/>
                <w:sz w:val="18"/>
                <w:szCs w:val="18"/>
              </w:rPr>
              <w:t>$</w:t>
            </w:r>
            <w:r w:rsidRPr="00473B3D">
              <w:rPr>
                <w:rFonts w:cs="Arial"/>
                <w:color w:val="000000"/>
                <w:sz w:val="18"/>
                <w:szCs w:val="18"/>
              </w:rPr>
              <w:t>565,996</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473B3D" w:rsidRDefault="00AC40FC" w:rsidP="00BB665B">
            <w:pPr>
              <w:spacing w:after="0"/>
              <w:jc w:val="center"/>
              <w:rPr>
                <w:rFonts w:cs="Arial"/>
                <w:color w:val="000000"/>
                <w:sz w:val="18"/>
                <w:szCs w:val="18"/>
              </w:rPr>
            </w:pPr>
            <w:r>
              <w:rPr>
                <w:rFonts w:cs="Arial"/>
                <w:color w:val="000000"/>
                <w:sz w:val="18"/>
                <w:szCs w:val="18"/>
              </w:rPr>
              <w:t>$421,877</w:t>
            </w:r>
          </w:p>
        </w:tc>
      </w:tr>
      <w:tr w:rsidR="00AC40FC" w:rsidRPr="00473B3D" w:rsidTr="00155DDD">
        <w:trPr>
          <w:trHeight w:val="300"/>
          <w:jc w:val="center"/>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AC40FC" w:rsidRPr="00473B3D" w:rsidRDefault="00AC40FC" w:rsidP="00440B39">
            <w:pPr>
              <w:spacing w:after="0"/>
              <w:jc w:val="center"/>
              <w:rPr>
                <w:rFonts w:cs="Arial"/>
                <w:color w:val="000000"/>
                <w:sz w:val="18"/>
                <w:szCs w:val="18"/>
              </w:rPr>
            </w:pPr>
            <w:r w:rsidRPr="00473B3D">
              <w:rPr>
                <w:rFonts w:cs="Arial"/>
                <w:color w:val="000000"/>
                <w:sz w:val="18"/>
                <w:szCs w:val="18"/>
              </w:rPr>
              <w:t>Total</w:t>
            </w:r>
          </w:p>
        </w:tc>
        <w:tc>
          <w:tcPr>
            <w:tcW w:w="1117" w:type="dxa"/>
            <w:tcBorders>
              <w:top w:val="nil"/>
              <w:left w:val="nil"/>
              <w:bottom w:val="single" w:sz="4" w:space="0" w:color="auto"/>
              <w:right w:val="single" w:sz="4" w:space="0" w:color="auto"/>
            </w:tcBorders>
            <w:shd w:val="clear" w:color="auto" w:fill="auto"/>
            <w:noWrap/>
            <w:vAlign w:val="center"/>
            <w:hideMark/>
          </w:tcPr>
          <w:p w:rsidR="00AC40FC" w:rsidRPr="00473B3D" w:rsidRDefault="00AC40FC" w:rsidP="00440B39">
            <w:pPr>
              <w:spacing w:after="0"/>
              <w:jc w:val="center"/>
              <w:rPr>
                <w:rFonts w:cs="Arial"/>
                <w:color w:val="000000"/>
                <w:sz w:val="18"/>
                <w:szCs w:val="18"/>
              </w:rPr>
            </w:pPr>
            <w:r>
              <w:rPr>
                <w:rFonts w:cs="Arial"/>
                <w:color w:val="000000"/>
                <w:sz w:val="18"/>
                <w:szCs w:val="18"/>
              </w:rPr>
              <w:t>$</w:t>
            </w:r>
            <w:r w:rsidRPr="00473B3D">
              <w:rPr>
                <w:rFonts w:cs="Arial"/>
                <w:color w:val="000000"/>
                <w:sz w:val="18"/>
                <w:szCs w:val="18"/>
              </w:rPr>
              <w:t>46,655,391</w:t>
            </w:r>
          </w:p>
        </w:tc>
        <w:tc>
          <w:tcPr>
            <w:tcW w:w="1117" w:type="dxa"/>
            <w:tcBorders>
              <w:top w:val="nil"/>
              <w:left w:val="nil"/>
              <w:bottom w:val="single" w:sz="4" w:space="0" w:color="auto"/>
              <w:right w:val="single" w:sz="4" w:space="0" w:color="auto"/>
            </w:tcBorders>
            <w:shd w:val="clear" w:color="auto" w:fill="auto"/>
            <w:noWrap/>
            <w:vAlign w:val="center"/>
            <w:hideMark/>
          </w:tcPr>
          <w:p w:rsidR="00AC40FC" w:rsidRPr="00473B3D" w:rsidRDefault="00AC40FC" w:rsidP="00440B39">
            <w:pPr>
              <w:spacing w:after="0"/>
              <w:jc w:val="center"/>
              <w:rPr>
                <w:rFonts w:cs="Arial"/>
                <w:color w:val="000000"/>
                <w:sz w:val="18"/>
                <w:szCs w:val="18"/>
              </w:rPr>
            </w:pPr>
            <w:r>
              <w:rPr>
                <w:rFonts w:cs="Arial"/>
                <w:color w:val="000000"/>
                <w:sz w:val="18"/>
                <w:szCs w:val="18"/>
              </w:rPr>
              <w:t>$</w:t>
            </w:r>
            <w:r w:rsidRPr="00473B3D">
              <w:rPr>
                <w:rFonts w:cs="Arial"/>
                <w:color w:val="000000"/>
                <w:sz w:val="18"/>
                <w:szCs w:val="18"/>
              </w:rPr>
              <w:t>53,432,742</w:t>
            </w:r>
          </w:p>
        </w:tc>
        <w:tc>
          <w:tcPr>
            <w:tcW w:w="1117" w:type="dxa"/>
            <w:tcBorders>
              <w:top w:val="nil"/>
              <w:left w:val="nil"/>
              <w:bottom w:val="single" w:sz="4" w:space="0" w:color="auto"/>
              <w:right w:val="single" w:sz="4" w:space="0" w:color="auto"/>
            </w:tcBorders>
            <w:shd w:val="clear" w:color="auto" w:fill="auto"/>
            <w:noWrap/>
            <w:vAlign w:val="center"/>
            <w:hideMark/>
          </w:tcPr>
          <w:p w:rsidR="00AC40FC" w:rsidRPr="00473B3D" w:rsidRDefault="00AC40FC" w:rsidP="00440B39">
            <w:pPr>
              <w:spacing w:after="0"/>
              <w:jc w:val="center"/>
              <w:rPr>
                <w:rFonts w:cs="Arial"/>
                <w:color w:val="000000"/>
                <w:sz w:val="18"/>
                <w:szCs w:val="18"/>
              </w:rPr>
            </w:pPr>
            <w:r>
              <w:rPr>
                <w:rFonts w:cs="Arial"/>
                <w:color w:val="000000"/>
                <w:sz w:val="18"/>
                <w:szCs w:val="18"/>
              </w:rPr>
              <w:t>$</w:t>
            </w:r>
            <w:r w:rsidRPr="00473B3D">
              <w:rPr>
                <w:rFonts w:cs="Arial"/>
                <w:color w:val="000000"/>
                <w:sz w:val="18"/>
                <w:szCs w:val="18"/>
              </w:rPr>
              <w:t>47,517,204</w:t>
            </w:r>
          </w:p>
        </w:tc>
        <w:tc>
          <w:tcPr>
            <w:tcW w:w="1117" w:type="dxa"/>
            <w:tcBorders>
              <w:top w:val="nil"/>
              <w:left w:val="nil"/>
              <w:bottom w:val="single" w:sz="4" w:space="0" w:color="auto"/>
              <w:right w:val="single" w:sz="4" w:space="0" w:color="auto"/>
            </w:tcBorders>
            <w:shd w:val="clear" w:color="auto" w:fill="auto"/>
            <w:noWrap/>
            <w:vAlign w:val="center"/>
            <w:hideMark/>
          </w:tcPr>
          <w:p w:rsidR="00AC40FC" w:rsidRPr="00473B3D" w:rsidRDefault="00AC40FC" w:rsidP="00440B39">
            <w:pPr>
              <w:spacing w:after="0"/>
              <w:jc w:val="center"/>
              <w:rPr>
                <w:rFonts w:cs="Arial"/>
                <w:color w:val="000000"/>
                <w:sz w:val="18"/>
                <w:szCs w:val="18"/>
              </w:rPr>
            </w:pPr>
            <w:r>
              <w:rPr>
                <w:rFonts w:cs="Arial"/>
                <w:color w:val="000000"/>
                <w:sz w:val="18"/>
                <w:szCs w:val="18"/>
              </w:rPr>
              <w:t>$</w:t>
            </w:r>
            <w:r w:rsidRPr="00473B3D">
              <w:rPr>
                <w:rFonts w:cs="Arial"/>
                <w:color w:val="000000"/>
                <w:sz w:val="18"/>
                <w:szCs w:val="18"/>
              </w:rPr>
              <w:t>55,780,049</w:t>
            </w:r>
          </w:p>
        </w:tc>
        <w:tc>
          <w:tcPr>
            <w:tcW w:w="1117" w:type="dxa"/>
            <w:tcBorders>
              <w:top w:val="nil"/>
              <w:left w:val="nil"/>
              <w:bottom w:val="single" w:sz="4" w:space="0" w:color="auto"/>
              <w:right w:val="single" w:sz="4" w:space="0" w:color="auto"/>
            </w:tcBorders>
            <w:shd w:val="clear" w:color="auto" w:fill="auto"/>
            <w:noWrap/>
            <w:vAlign w:val="center"/>
            <w:hideMark/>
          </w:tcPr>
          <w:p w:rsidR="00AC40FC" w:rsidRPr="00473B3D" w:rsidRDefault="00AC40FC" w:rsidP="00440B39">
            <w:pPr>
              <w:spacing w:after="0"/>
              <w:jc w:val="center"/>
              <w:rPr>
                <w:rFonts w:cs="Arial"/>
                <w:color w:val="000000"/>
                <w:sz w:val="18"/>
                <w:szCs w:val="18"/>
              </w:rPr>
            </w:pPr>
            <w:r>
              <w:rPr>
                <w:rFonts w:cs="Arial"/>
                <w:color w:val="000000"/>
                <w:sz w:val="18"/>
                <w:szCs w:val="18"/>
              </w:rPr>
              <w:t>$</w:t>
            </w:r>
            <w:r w:rsidRPr="00473B3D">
              <w:rPr>
                <w:rFonts w:cs="Arial"/>
                <w:color w:val="000000"/>
                <w:sz w:val="18"/>
                <w:szCs w:val="18"/>
              </w:rPr>
              <w:t>72,582,853</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473B3D" w:rsidRDefault="00AC40FC" w:rsidP="00440B39">
            <w:pPr>
              <w:spacing w:after="0"/>
              <w:jc w:val="center"/>
              <w:rPr>
                <w:rFonts w:cs="Arial"/>
                <w:color w:val="000000"/>
                <w:sz w:val="18"/>
                <w:szCs w:val="18"/>
              </w:rPr>
            </w:pPr>
            <w:r>
              <w:rPr>
                <w:rFonts w:cs="Arial"/>
                <w:color w:val="000000"/>
                <w:sz w:val="18"/>
                <w:szCs w:val="18"/>
              </w:rPr>
              <w:t>$83,614,893</w:t>
            </w:r>
          </w:p>
        </w:tc>
      </w:tr>
      <w:tr w:rsidR="00AC40FC" w:rsidRPr="00473B3D" w:rsidTr="00155DDD">
        <w:trPr>
          <w:trHeight w:val="300"/>
          <w:jc w:val="center"/>
        </w:trPr>
        <w:tc>
          <w:tcPr>
            <w:tcW w:w="9005"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C40FC" w:rsidRPr="00473B3D" w:rsidRDefault="00AC40FC" w:rsidP="00440B39">
            <w:pPr>
              <w:spacing w:after="0"/>
              <w:jc w:val="left"/>
              <w:rPr>
                <w:rFonts w:cs="Arial"/>
                <w:color w:val="000000"/>
                <w:sz w:val="18"/>
                <w:szCs w:val="18"/>
              </w:rPr>
            </w:pPr>
            <w:r w:rsidRPr="00473B3D">
              <w:rPr>
                <w:rFonts w:cs="Arial"/>
                <w:color w:val="000000"/>
                <w:sz w:val="18"/>
                <w:szCs w:val="18"/>
              </w:rPr>
              <w:t>Source:  DN 14-171</w:t>
            </w:r>
          </w:p>
        </w:tc>
      </w:tr>
    </w:tbl>
    <w:p w:rsidR="00AC40FC" w:rsidRDefault="00AC40FC" w:rsidP="00440B39">
      <w:pPr>
        <w:pStyle w:val="Normal-aftertable"/>
      </w:pPr>
      <w:r w:rsidRPr="00500561">
        <w:t>The total program costs have been rising over the last several years, being driven by the two largest cost components:  Revenue Shortfall and Arrearage Forgiveness.</w:t>
      </w:r>
      <w:r>
        <w:t xml:space="preserve">  These costs have risen as enrollments have increased.</w:t>
      </w:r>
      <w:r w:rsidRPr="00500561">
        <w:t xml:space="preserve">  </w:t>
      </w:r>
      <w:r>
        <w:t xml:space="preserve">Total costs increased by 79%, while Revenue Shortfall and Arrearage Forgiveness increased by 59% and 160%, respectively. </w:t>
      </w:r>
      <w:r w:rsidRPr="00CE5FB6">
        <w:t xml:space="preserve">The following </w:t>
      </w:r>
      <w:r>
        <w:t>pie chart shows the 2014</w:t>
      </w:r>
      <w:r w:rsidRPr="00CE5FB6">
        <w:t xml:space="preserve"> cost components as a percent of the total program costs:</w:t>
      </w:r>
    </w:p>
    <w:p w:rsidR="00AC40FC" w:rsidRPr="00F85CC5" w:rsidRDefault="00AC40FC" w:rsidP="00285EC7">
      <w:pPr>
        <w:pStyle w:val="Caption"/>
      </w:pPr>
      <w:bookmarkStart w:id="110" w:name="_Toc462648420"/>
      <w:bookmarkStart w:id="111" w:name="_Toc464553042"/>
      <w:r>
        <w:t xml:space="preserve">Exhibit </w:t>
      </w:r>
      <w:fldSimple w:instr=" STYLEREF 1 \s ">
        <w:r w:rsidR="00A24205">
          <w:rPr>
            <w:noProof/>
          </w:rPr>
          <w:t>X</w:t>
        </w:r>
      </w:fldSimple>
      <w:r w:rsidR="00264A1B">
        <w:noBreakHyphen/>
      </w:r>
      <w:fldSimple w:instr=" SEQ Exhibit \* ARABIC \s 1 ">
        <w:r w:rsidR="00A24205">
          <w:rPr>
            <w:noProof/>
          </w:rPr>
          <w:t>3</w:t>
        </w:r>
      </w:fldSimple>
      <w:r>
        <w:br/>
      </w:r>
      <w:r w:rsidRPr="00CE5FB6">
        <w:t xml:space="preserve">OnTrack </w:t>
      </w:r>
      <w:r>
        <w:t xml:space="preserve">Component </w:t>
      </w:r>
      <w:r w:rsidRPr="00CE5FB6">
        <w:t>Costs by Percent for 2014</w:t>
      </w:r>
      <w:bookmarkEnd w:id="110"/>
      <w:bookmarkEnd w:id="111"/>
    </w:p>
    <w:p w:rsidR="00AC40FC" w:rsidRDefault="00AC40FC" w:rsidP="00440B39">
      <w:pPr>
        <w:jc w:val="center"/>
        <w:rPr>
          <w:highlight w:val="yellow"/>
        </w:rPr>
      </w:pPr>
      <w:r>
        <w:rPr>
          <w:noProof/>
        </w:rPr>
        <w:drawing>
          <wp:inline distT="0" distB="0" distL="0" distR="0">
            <wp:extent cx="3556000" cy="2743200"/>
            <wp:effectExtent l="0" t="0" r="25400" b="19050"/>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C40FC" w:rsidRPr="004A7575" w:rsidRDefault="00AC40FC" w:rsidP="00440B39">
      <w:pPr>
        <w:pStyle w:val="Normal-aftertable"/>
      </w:pPr>
      <w:r>
        <w:t>Revenue Shortfall (68.7%) and Arrearage Forgiveness (27.1%) represent the largest components.</w:t>
      </w:r>
    </w:p>
    <w:p w:rsidR="00AC40FC" w:rsidRDefault="00AC40FC" w:rsidP="00BB665B">
      <w:pPr>
        <w:pStyle w:val="Heading40"/>
      </w:pPr>
      <w:r>
        <w:t>Agencies</w:t>
      </w:r>
    </w:p>
    <w:p w:rsidR="00AC40FC" w:rsidRDefault="00AC40FC" w:rsidP="00440B39">
      <w:r>
        <w:t>The existing eight OnTrack agencies and the counties they serve are listed below:</w:t>
      </w:r>
    </w:p>
    <w:p w:rsidR="00AC40FC" w:rsidRDefault="00AC40FC">
      <w:pPr>
        <w:spacing w:after="0"/>
        <w:jc w:val="left"/>
        <w:rPr>
          <w:b/>
          <w:bCs/>
          <w:szCs w:val="18"/>
        </w:rPr>
      </w:pPr>
      <w:r>
        <w:br w:type="page"/>
      </w:r>
    </w:p>
    <w:p w:rsidR="00AC40FC" w:rsidRDefault="00AC40FC" w:rsidP="00285EC7">
      <w:pPr>
        <w:pStyle w:val="Caption"/>
      </w:pPr>
      <w:bookmarkStart w:id="112" w:name="_Toc462648421"/>
      <w:bookmarkStart w:id="113" w:name="_Toc464553043"/>
      <w:r>
        <w:lastRenderedPageBreak/>
        <w:t xml:space="preserve">Exhibit </w:t>
      </w:r>
      <w:fldSimple w:instr=" STYLEREF 1 \s ">
        <w:r w:rsidR="00A24205">
          <w:rPr>
            <w:noProof/>
          </w:rPr>
          <w:t>X</w:t>
        </w:r>
      </w:fldSimple>
      <w:r w:rsidR="00264A1B">
        <w:noBreakHyphen/>
      </w:r>
      <w:fldSimple w:instr=" SEQ Exhibit \* ARABIC \s 1 ">
        <w:r w:rsidR="00A24205">
          <w:rPr>
            <w:noProof/>
          </w:rPr>
          <w:t>4</w:t>
        </w:r>
      </w:fldSimple>
      <w:r>
        <w:br/>
        <w:t>PPL EU OnTrack</w:t>
      </w:r>
      <w:r w:rsidRPr="001D331B">
        <w:t xml:space="preserve"> Agencies</w:t>
      </w:r>
      <w:bookmarkEnd w:id="112"/>
      <w:bookmarkEnd w:id="1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tblPr>
      <w:tblGrid>
        <w:gridCol w:w="4153"/>
        <w:gridCol w:w="5232"/>
      </w:tblGrid>
      <w:tr w:rsidR="00AC40FC" w:rsidRPr="00EE6E15" w:rsidTr="00786363">
        <w:trPr>
          <w:cantSplit/>
          <w:tblHeader/>
          <w:jc w:val="center"/>
        </w:trPr>
        <w:tc>
          <w:tcPr>
            <w:tcW w:w="4153" w:type="dxa"/>
            <w:shd w:val="clear" w:color="auto" w:fill="A5CD7E"/>
            <w:vAlign w:val="center"/>
          </w:tcPr>
          <w:p w:rsidR="00AC40FC" w:rsidRPr="00EE6E15" w:rsidRDefault="00AC40FC" w:rsidP="00521E7D">
            <w:pPr>
              <w:spacing w:before="120"/>
              <w:jc w:val="center"/>
              <w:rPr>
                <w:b/>
                <w:szCs w:val="24"/>
              </w:rPr>
            </w:pPr>
            <w:r>
              <w:rPr>
                <w:b/>
                <w:szCs w:val="24"/>
              </w:rPr>
              <w:t>OnTrack</w:t>
            </w:r>
            <w:r w:rsidRPr="00EE6E15">
              <w:rPr>
                <w:b/>
                <w:szCs w:val="24"/>
              </w:rPr>
              <w:t xml:space="preserve"> Agency</w:t>
            </w:r>
          </w:p>
        </w:tc>
        <w:tc>
          <w:tcPr>
            <w:tcW w:w="5232" w:type="dxa"/>
            <w:shd w:val="clear" w:color="auto" w:fill="A5CD7E"/>
            <w:vAlign w:val="center"/>
          </w:tcPr>
          <w:p w:rsidR="00AC40FC" w:rsidRPr="00EE6E15" w:rsidRDefault="00AC40FC" w:rsidP="00521E7D">
            <w:pPr>
              <w:spacing w:before="120"/>
              <w:jc w:val="center"/>
              <w:rPr>
                <w:b/>
                <w:szCs w:val="24"/>
              </w:rPr>
            </w:pPr>
            <w:r w:rsidRPr="00EE6E15">
              <w:rPr>
                <w:b/>
                <w:szCs w:val="24"/>
              </w:rPr>
              <w:t>Counties Served</w:t>
            </w:r>
          </w:p>
        </w:tc>
      </w:tr>
      <w:tr w:rsidR="00AC40FC" w:rsidRPr="00EE6E15" w:rsidTr="00440B39">
        <w:trPr>
          <w:tblHeader/>
          <w:jc w:val="center"/>
        </w:trPr>
        <w:tc>
          <w:tcPr>
            <w:tcW w:w="4153" w:type="dxa"/>
            <w:shd w:val="clear" w:color="auto" w:fill="auto"/>
            <w:vAlign w:val="center"/>
          </w:tcPr>
          <w:p w:rsidR="00AC40FC" w:rsidRPr="00EE6E15" w:rsidRDefault="00AC40FC" w:rsidP="00440B39">
            <w:pPr>
              <w:spacing w:after="0"/>
              <w:jc w:val="center"/>
              <w:rPr>
                <w:szCs w:val="24"/>
              </w:rPr>
            </w:pPr>
            <w:r w:rsidRPr="00EE6E15">
              <w:rPr>
                <w:szCs w:val="24"/>
              </w:rPr>
              <w:t>Community Action Committee of the Lehigh Valley (CACLV)</w:t>
            </w:r>
          </w:p>
        </w:tc>
        <w:tc>
          <w:tcPr>
            <w:tcW w:w="5232" w:type="dxa"/>
            <w:shd w:val="clear" w:color="auto" w:fill="auto"/>
            <w:vAlign w:val="center"/>
          </w:tcPr>
          <w:p w:rsidR="00AC40FC" w:rsidRPr="00EE6E15" w:rsidRDefault="00AC40FC" w:rsidP="00440B39">
            <w:pPr>
              <w:spacing w:after="0"/>
              <w:jc w:val="center"/>
              <w:rPr>
                <w:szCs w:val="24"/>
              </w:rPr>
            </w:pPr>
            <w:r>
              <w:rPr>
                <w:rFonts w:cs="Arial"/>
                <w:szCs w:val="24"/>
              </w:rPr>
              <w:t>Lehigh,</w:t>
            </w:r>
            <w:r w:rsidRPr="00EE6E15">
              <w:rPr>
                <w:rFonts w:cs="Arial"/>
                <w:szCs w:val="24"/>
              </w:rPr>
              <w:t xml:space="preserve"> Northampton, Bucks, Montgomery</w:t>
            </w:r>
          </w:p>
        </w:tc>
      </w:tr>
      <w:tr w:rsidR="00AC40FC" w:rsidRPr="001B12A9" w:rsidTr="00440B39">
        <w:trPr>
          <w:tblHeader/>
          <w:jc w:val="center"/>
        </w:trPr>
        <w:tc>
          <w:tcPr>
            <w:tcW w:w="4153" w:type="dxa"/>
            <w:shd w:val="clear" w:color="auto" w:fill="auto"/>
            <w:vAlign w:val="center"/>
          </w:tcPr>
          <w:p w:rsidR="00AC40FC" w:rsidRPr="001B12A9" w:rsidRDefault="00AC40FC" w:rsidP="00440B39">
            <w:pPr>
              <w:spacing w:after="0"/>
              <w:jc w:val="center"/>
              <w:rPr>
                <w:szCs w:val="24"/>
              </w:rPr>
            </w:pPr>
            <w:r w:rsidRPr="001B12A9">
              <w:rPr>
                <w:szCs w:val="24"/>
              </w:rPr>
              <w:t>Community Action Commission of the Capital Region (CAC)</w:t>
            </w:r>
          </w:p>
        </w:tc>
        <w:tc>
          <w:tcPr>
            <w:tcW w:w="5232" w:type="dxa"/>
            <w:shd w:val="clear" w:color="auto" w:fill="auto"/>
            <w:vAlign w:val="center"/>
          </w:tcPr>
          <w:p w:rsidR="00AC40FC" w:rsidRPr="001B12A9" w:rsidRDefault="00AC40FC" w:rsidP="00440B39">
            <w:pPr>
              <w:spacing w:after="0"/>
              <w:jc w:val="center"/>
              <w:rPr>
                <w:szCs w:val="24"/>
              </w:rPr>
            </w:pPr>
            <w:r w:rsidRPr="001B12A9">
              <w:rPr>
                <w:rFonts w:cs="Arial"/>
                <w:szCs w:val="24"/>
              </w:rPr>
              <w:t>Dauphin, Juniata, Perry, Cumberland, York</w:t>
            </w:r>
          </w:p>
        </w:tc>
      </w:tr>
      <w:tr w:rsidR="00AC40FC" w:rsidRPr="001B12A9" w:rsidTr="00440B39">
        <w:trPr>
          <w:tblHeader/>
          <w:jc w:val="center"/>
        </w:trPr>
        <w:tc>
          <w:tcPr>
            <w:tcW w:w="4153" w:type="dxa"/>
            <w:shd w:val="clear" w:color="auto" w:fill="auto"/>
            <w:vAlign w:val="center"/>
          </w:tcPr>
          <w:p w:rsidR="00AC40FC" w:rsidRPr="001B12A9" w:rsidRDefault="00AC40FC" w:rsidP="00440B39">
            <w:pPr>
              <w:spacing w:after="0"/>
              <w:jc w:val="center"/>
              <w:rPr>
                <w:szCs w:val="24"/>
              </w:rPr>
            </w:pPr>
            <w:r w:rsidRPr="001B12A9">
              <w:rPr>
                <w:rFonts w:cs="Arial"/>
                <w:szCs w:val="24"/>
              </w:rPr>
              <w:t xml:space="preserve">Schuylkill Community Action </w:t>
            </w:r>
            <w:r>
              <w:rPr>
                <w:rFonts w:cs="Arial"/>
                <w:szCs w:val="24"/>
              </w:rPr>
              <w:t>(</w:t>
            </w:r>
            <w:r w:rsidRPr="001B12A9">
              <w:rPr>
                <w:rFonts w:cs="Arial"/>
                <w:szCs w:val="24"/>
              </w:rPr>
              <w:t>SCA)</w:t>
            </w:r>
          </w:p>
        </w:tc>
        <w:tc>
          <w:tcPr>
            <w:tcW w:w="5232" w:type="dxa"/>
            <w:shd w:val="clear" w:color="auto" w:fill="auto"/>
            <w:vAlign w:val="center"/>
          </w:tcPr>
          <w:p w:rsidR="00AC40FC" w:rsidRPr="001B12A9" w:rsidRDefault="00AC40FC" w:rsidP="00440B39">
            <w:pPr>
              <w:spacing w:after="0"/>
              <w:jc w:val="center"/>
              <w:rPr>
                <w:szCs w:val="24"/>
              </w:rPr>
            </w:pPr>
            <w:r w:rsidRPr="001B12A9">
              <w:rPr>
                <w:rFonts w:cs="Arial"/>
                <w:szCs w:val="24"/>
              </w:rPr>
              <w:t>Schuylkill</w:t>
            </w:r>
            <w:r>
              <w:rPr>
                <w:rFonts w:cs="Arial"/>
                <w:szCs w:val="24"/>
              </w:rPr>
              <w:t>, Columbia, Montour</w:t>
            </w:r>
          </w:p>
        </w:tc>
      </w:tr>
      <w:tr w:rsidR="00AC40FC" w:rsidRPr="001B12A9" w:rsidTr="00440B39">
        <w:trPr>
          <w:tblHeader/>
          <w:jc w:val="center"/>
        </w:trPr>
        <w:tc>
          <w:tcPr>
            <w:tcW w:w="4153" w:type="dxa"/>
            <w:shd w:val="clear" w:color="auto" w:fill="auto"/>
            <w:vAlign w:val="center"/>
          </w:tcPr>
          <w:p w:rsidR="00AC40FC" w:rsidRPr="001B12A9" w:rsidRDefault="00AC40FC" w:rsidP="00440B39">
            <w:pPr>
              <w:spacing w:after="0"/>
              <w:jc w:val="center"/>
              <w:rPr>
                <w:szCs w:val="24"/>
              </w:rPr>
            </w:pPr>
            <w:r w:rsidRPr="001B12A9">
              <w:rPr>
                <w:rFonts w:cs="Arial"/>
                <w:szCs w:val="24"/>
              </w:rPr>
              <w:t>TREHAB, Inc.</w:t>
            </w:r>
          </w:p>
        </w:tc>
        <w:tc>
          <w:tcPr>
            <w:tcW w:w="5232" w:type="dxa"/>
            <w:shd w:val="clear" w:color="auto" w:fill="auto"/>
            <w:vAlign w:val="center"/>
          </w:tcPr>
          <w:p w:rsidR="00AC40FC" w:rsidRPr="001B12A9" w:rsidRDefault="00AC40FC" w:rsidP="00440B39">
            <w:pPr>
              <w:spacing w:after="0"/>
              <w:jc w:val="center"/>
              <w:rPr>
                <w:szCs w:val="24"/>
              </w:rPr>
            </w:pPr>
            <w:r w:rsidRPr="001B12A9">
              <w:rPr>
                <w:rFonts w:cs="Arial"/>
                <w:szCs w:val="24"/>
              </w:rPr>
              <w:t>Susquehanna, Pike, Wayne, Wyoming, Lackawanna</w:t>
            </w:r>
            <w:r>
              <w:rPr>
                <w:rFonts w:cs="Arial"/>
                <w:szCs w:val="24"/>
              </w:rPr>
              <w:t>, Monroe</w:t>
            </w:r>
          </w:p>
        </w:tc>
      </w:tr>
      <w:tr w:rsidR="00AC40FC" w:rsidRPr="001B12A9" w:rsidTr="00440B39">
        <w:trPr>
          <w:tblHeader/>
          <w:jc w:val="center"/>
        </w:trPr>
        <w:tc>
          <w:tcPr>
            <w:tcW w:w="4153" w:type="dxa"/>
            <w:shd w:val="clear" w:color="auto" w:fill="auto"/>
            <w:vAlign w:val="center"/>
          </w:tcPr>
          <w:p w:rsidR="00AC40FC" w:rsidRPr="001B12A9" w:rsidRDefault="00AC40FC" w:rsidP="00440B39">
            <w:pPr>
              <w:spacing w:after="0"/>
              <w:jc w:val="center"/>
              <w:rPr>
                <w:szCs w:val="24"/>
              </w:rPr>
            </w:pPr>
            <w:r w:rsidRPr="001B12A9">
              <w:rPr>
                <w:rFonts w:cs="Arial"/>
                <w:szCs w:val="24"/>
              </w:rPr>
              <w:t>Community Action Program of Lancaster County (LANCAP)</w:t>
            </w:r>
          </w:p>
        </w:tc>
        <w:tc>
          <w:tcPr>
            <w:tcW w:w="5232" w:type="dxa"/>
            <w:shd w:val="clear" w:color="auto" w:fill="auto"/>
            <w:vAlign w:val="center"/>
          </w:tcPr>
          <w:p w:rsidR="00AC40FC" w:rsidRPr="001B12A9" w:rsidRDefault="00AC40FC" w:rsidP="00440B39">
            <w:pPr>
              <w:spacing w:after="0"/>
              <w:jc w:val="center"/>
              <w:rPr>
                <w:szCs w:val="24"/>
              </w:rPr>
            </w:pPr>
            <w:r w:rsidRPr="001B12A9">
              <w:rPr>
                <w:rFonts w:cs="Arial"/>
                <w:szCs w:val="24"/>
              </w:rPr>
              <w:t>Lancaster, Lebanon, Berks, Chester, York</w:t>
            </w:r>
          </w:p>
        </w:tc>
      </w:tr>
      <w:tr w:rsidR="00AC40FC" w:rsidRPr="00EE6E15" w:rsidTr="00440B39">
        <w:trPr>
          <w:tblHeader/>
          <w:jc w:val="center"/>
        </w:trPr>
        <w:tc>
          <w:tcPr>
            <w:tcW w:w="4153" w:type="dxa"/>
            <w:shd w:val="clear" w:color="auto" w:fill="auto"/>
            <w:vAlign w:val="center"/>
          </w:tcPr>
          <w:p w:rsidR="00AC40FC" w:rsidRPr="00EE6E15" w:rsidRDefault="00AC40FC" w:rsidP="00440B39">
            <w:pPr>
              <w:spacing w:after="0"/>
              <w:jc w:val="center"/>
              <w:rPr>
                <w:szCs w:val="24"/>
              </w:rPr>
            </w:pPr>
            <w:r w:rsidRPr="00EE6E15">
              <w:rPr>
                <w:rFonts w:cs="Arial"/>
                <w:szCs w:val="24"/>
              </w:rPr>
              <w:t>STEP, Inc.</w:t>
            </w:r>
          </w:p>
        </w:tc>
        <w:tc>
          <w:tcPr>
            <w:tcW w:w="5232" w:type="dxa"/>
            <w:shd w:val="clear" w:color="auto" w:fill="auto"/>
            <w:vAlign w:val="center"/>
          </w:tcPr>
          <w:p w:rsidR="00AC40FC" w:rsidRPr="00EE6E15" w:rsidRDefault="00AC40FC" w:rsidP="00440B39">
            <w:pPr>
              <w:spacing w:after="0"/>
              <w:jc w:val="center"/>
              <w:rPr>
                <w:szCs w:val="24"/>
              </w:rPr>
            </w:pPr>
            <w:r w:rsidRPr="00EE6E15">
              <w:rPr>
                <w:rFonts w:cs="Arial"/>
                <w:szCs w:val="24"/>
              </w:rPr>
              <w:t>Clinton, Lycoming</w:t>
            </w:r>
          </w:p>
        </w:tc>
      </w:tr>
      <w:tr w:rsidR="00AC40FC" w:rsidRPr="00EE6E15" w:rsidTr="00440B39">
        <w:trPr>
          <w:tblHeader/>
          <w:jc w:val="center"/>
        </w:trPr>
        <w:tc>
          <w:tcPr>
            <w:tcW w:w="4153" w:type="dxa"/>
            <w:shd w:val="clear" w:color="auto" w:fill="auto"/>
            <w:vAlign w:val="center"/>
          </w:tcPr>
          <w:p w:rsidR="00AC40FC" w:rsidRPr="00EE6E15" w:rsidRDefault="00AC40FC" w:rsidP="00440B39">
            <w:pPr>
              <w:spacing w:after="0"/>
              <w:jc w:val="center"/>
              <w:rPr>
                <w:szCs w:val="24"/>
              </w:rPr>
            </w:pPr>
            <w:r w:rsidRPr="00EE6E15">
              <w:rPr>
                <w:rFonts w:cs="Arial"/>
                <w:szCs w:val="24"/>
              </w:rPr>
              <w:t>Union-Snyder Community Action Agency (UNION)</w:t>
            </w:r>
          </w:p>
        </w:tc>
        <w:tc>
          <w:tcPr>
            <w:tcW w:w="5232" w:type="dxa"/>
            <w:shd w:val="clear" w:color="auto" w:fill="auto"/>
            <w:vAlign w:val="center"/>
          </w:tcPr>
          <w:p w:rsidR="00AC40FC" w:rsidRPr="00EE6E15" w:rsidRDefault="00AC40FC" w:rsidP="00440B39">
            <w:pPr>
              <w:spacing w:after="0"/>
              <w:jc w:val="center"/>
              <w:rPr>
                <w:szCs w:val="24"/>
              </w:rPr>
            </w:pPr>
            <w:r w:rsidRPr="00EE6E15">
              <w:rPr>
                <w:rFonts w:cs="Arial"/>
                <w:szCs w:val="24"/>
              </w:rPr>
              <w:t>Union, Snyder, Northumberland</w:t>
            </w:r>
          </w:p>
        </w:tc>
      </w:tr>
      <w:tr w:rsidR="00AC40FC" w:rsidRPr="001B12A9" w:rsidTr="00440B39">
        <w:trPr>
          <w:tblHeader/>
          <w:jc w:val="center"/>
        </w:trPr>
        <w:tc>
          <w:tcPr>
            <w:tcW w:w="4153" w:type="dxa"/>
            <w:shd w:val="clear" w:color="auto" w:fill="auto"/>
            <w:vAlign w:val="center"/>
          </w:tcPr>
          <w:p w:rsidR="00AC40FC" w:rsidRPr="001B12A9" w:rsidRDefault="00AC40FC" w:rsidP="00440B39">
            <w:pPr>
              <w:spacing w:after="0"/>
              <w:jc w:val="center"/>
              <w:rPr>
                <w:szCs w:val="24"/>
              </w:rPr>
            </w:pPr>
            <w:r w:rsidRPr="001B12A9">
              <w:rPr>
                <w:rFonts w:cs="Arial"/>
                <w:szCs w:val="24"/>
              </w:rPr>
              <w:t>Commission on Economic Opportunity (CEO)</w:t>
            </w:r>
          </w:p>
        </w:tc>
        <w:tc>
          <w:tcPr>
            <w:tcW w:w="5232" w:type="dxa"/>
            <w:shd w:val="clear" w:color="auto" w:fill="auto"/>
            <w:vAlign w:val="center"/>
          </w:tcPr>
          <w:p w:rsidR="00AC40FC" w:rsidRPr="001B12A9" w:rsidRDefault="00AC40FC" w:rsidP="00440B39">
            <w:pPr>
              <w:spacing w:after="0"/>
              <w:jc w:val="center"/>
              <w:rPr>
                <w:szCs w:val="24"/>
              </w:rPr>
            </w:pPr>
            <w:r w:rsidRPr="001B12A9">
              <w:rPr>
                <w:rFonts w:cs="Arial"/>
                <w:szCs w:val="24"/>
              </w:rPr>
              <w:t>Luzerne, Carbon</w:t>
            </w:r>
          </w:p>
        </w:tc>
      </w:tr>
      <w:tr w:rsidR="00AC40FC" w:rsidRPr="00904277" w:rsidTr="00440B39">
        <w:trPr>
          <w:jc w:val="center"/>
        </w:trPr>
        <w:tc>
          <w:tcPr>
            <w:tcW w:w="9385" w:type="dxa"/>
            <w:gridSpan w:val="2"/>
            <w:shd w:val="clear" w:color="auto" w:fill="auto"/>
            <w:vAlign w:val="center"/>
          </w:tcPr>
          <w:p w:rsidR="00AC40FC" w:rsidRPr="00904277" w:rsidRDefault="00AC40FC" w:rsidP="00440B39">
            <w:pPr>
              <w:spacing w:after="0"/>
              <w:rPr>
                <w:szCs w:val="24"/>
              </w:rPr>
            </w:pPr>
            <w:r w:rsidRPr="00EE6E15">
              <w:rPr>
                <w:szCs w:val="24"/>
              </w:rPr>
              <w:t>Source</w:t>
            </w:r>
            <w:r>
              <w:rPr>
                <w:szCs w:val="24"/>
              </w:rPr>
              <w:t>s</w:t>
            </w:r>
            <w:r w:rsidRPr="00EE6E15">
              <w:rPr>
                <w:szCs w:val="24"/>
              </w:rPr>
              <w:t>:  DN</w:t>
            </w:r>
            <w:r>
              <w:rPr>
                <w:szCs w:val="24"/>
              </w:rPr>
              <w:t xml:space="preserve"> </w:t>
            </w:r>
            <w:r w:rsidRPr="00EE6E15">
              <w:rPr>
                <w:szCs w:val="24"/>
              </w:rPr>
              <w:t>14-103</w:t>
            </w:r>
            <w:r>
              <w:rPr>
                <w:szCs w:val="24"/>
              </w:rPr>
              <w:t>; PPL EU edits</w:t>
            </w:r>
          </w:p>
        </w:tc>
      </w:tr>
    </w:tbl>
    <w:p w:rsidR="00AC40FC" w:rsidRDefault="00AC40FC" w:rsidP="00440B39">
      <w:pPr>
        <w:pStyle w:val="Normal-aftertable"/>
      </w:pPr>
      <w:r>
        <w:t>Two agencies, Montour County Department of Human Services (MCDHS) and Columbia County Department of Human Services (CCDHS), were eliminated in 2015 and 2016 and the counties they served were re-assigned to the remaining eight agencies, as shown above.</w:t>
      </w:r>
    </w:p>
    <w:p w:rsidR="00AC40FC" w:rsidRDefault="00AC40FC" w:rsidP="00BB665B">
      <w:pPr>
        <w:pStyle w:val="Heading40"/>
      </w:pPr>
      <w:r>
        <w:t>Agency Compensation</w:t>
      </w:r>
    </w:p>
    <w:p w:rsidR="00AC40FC" w:rsidRDefault="00AC40FC" w:rsidP="00440B39">
      <w:r>
        <w:t>The agencies are third-party contractors that are compensated by PPL EU for the hours expended for their work in the OnTrack program.  The work definitions and the hourly rates are described in each of the agency contracts.  The agencies are compensated for total monthly hours worked and billed, but the work includes tasks such as referral processing and income verification that does not necessarily result in enrollments.  The amounts paid to the agencies over the last several years are shown above in the “OnTrack Annual Costs by Component” chart and agency contract management issues are discussed later in this chapter.</w:t>
      </w:r>
    </w:p>
    <w:p w:rsidR="00AC40FC" w:rsidRDefault="00AC40FC" w:rsidP="00BB665B">
      <w:pPr>
        <w:pStyle w:val="Heading40"/>
      </w:pPr>
      <w:r>
        <w:t>Previous Assessment of Meeting Program Objectives</w:t>
      </w:r>
    </w:p>
    <w:p w:rsidR="00AC40FC" w:rsidRDefault="00AC40FC" w:rsidP="00440B39">
      <w:r>
        <w:t>In 2006, PPL EU worked with an independent consultant to evaluate the payment behaviors of low-income customers who participated in OnTrack.  The purpose of the study was to look at customers’ payment behaviors before enrollment, after enrollment, and post-enrollment.  The evaluation included approximately 10,000 customers who enrolled in OnTrack between January 2002 and October 2005.</w:t>
      </w:r>
    </w:p>
    <w:p w:rsidR="00AC40FC" w:rsidRDefault="00AC40FC" w:rsidP="00440B39">
      <w:r>
        <w:t>The study showed that providing CAP credits and pre-program arrearage forgiveness for OnTrack participants helped to reduce PPL EU’s aged accounts receivable and, ultimately, its future write-offs.  The evaluation also concluded that OnTrack administrative expenses directly offset collection expenses that otherwise would have been incurred if customers were not enrolled in the program.</w:t>
      </w:r>
    </w:p>
    <w:p w:rsidR="00AC40FC" w:rsidRDefault="00AC40FC" w:rsidP="00440B39">
      <w:r>
        <w:lastRenderedPageBreak/>
        <w:t>Customers’ payment frequency went from 43.7% (pre-enrollment) to 70.9% (post-enrollment) – an increase of 62.2%.  Similarly, billed/paid amounts went from 48.0% (pre-enrollment) to 90.5% (post-enrollment) – an increase of 88.5%.  Once enrolled in OnTrack, customers paid more frequently and paid a higher proportion of their billed amount.  However, the evaluation also showed that before enrolling in OnTrack, customers had paid 17.7% more than after their enrollment in the program.</w:t>
      </w:r>
    </w:p>
    <w:p w:rsidR="00AC40FC" w:rsidRDefault="00AC40FC" w:rsidP="00440B39">
      <w:r>
        <w:t xml:space="preserve">The study also examined what happened to customers’ payment behaviors after they left OnTrack, either through graduation or for other reasons.  PPL EU typically “graduates” customers from OnTrack if their pre-program arrearages are at zero and they are paying within 10% of their normal budget billing amounts.  For OnTrack graduates, their frequency of paying was 57.4% prior to enrolling in the program and increased to 76.5% after they left the program.  Surprisingly, there were similar results for customers who left OnTrack for other reasons.  Their pre-program payment frequency was 38.6% and increased to 56.5% after they left OnTrack.  There were similar increases regarding billed/paid amounts.  For graduates, their billed/paid amounts went from 60.7% (before OnTrack) to 87.5% (after OnTrack).  For customers who left the program for other reasons, their percentages went from 42.8% (before OnTrack) to 78.3% (after OnTrack).    </w:t>
      </w:r>
    </w:p>
    <w:p w:rsidR="00AC40FC" w:rsidRDefault="00AC40FC" w:rsidP="00440B39">
      <w:r>
        <w:t>PPL EU believes there are other benefits as well to customers’ participation in OnTrack.  As noted above, participation in OnTrack helps to lower accounts receivable and future write-offs.  The Universal Service Rider allows for more timely and accurate recovery of program expenses.  OnTrack also reduces collection costs and encourages better payment behaviors.  PPL EU also believes that OnTrack reduces PUC complaints (mediations and informal complaints) and enhances customer satisfaction by providing customers with affordable bills, by eliminating collection activities and by providing them access to other assistance programs (e.g., WRAP).</w:t>
      </w:r>
    </w:p>
    <w:p w:rsidR="00AC40FC" w:rsidRPr="00D6792D" w:rsidRDefault="00AC40FC" w:rsidP="00440B39">
      <w:r w:rsidRPr="00D6792D">
        <w:t xml:space="preserve">The </w:t>
      </w:r>
      <w:r>
        <w:t>consultant’s</w:t>
      </w:r>
      <w:r w:rsidRPr="00D6792D">
        <w:t xml:space="preserve"> report conclusions about costs and benefits </w:t>
      </w:r>
      <w:r>
        <w:t>includ</w:t>
      </w:r>
      <w:r w:rsidRPr="00D6792D">
        <w:t>e</w:t>
      </w:r>
      <w:r>
        <w:t>d</w:t>
      </w:r>
      <w:r w:rsidRPr="00D6792D">
        <w:t>:</w:t>
      </w:r>
    </w:p>
    <w:p w:rsidR="00AC40FC" w:rsidRDefault="00AC40FC" w:rsidP="00786363">
      <w:pPr>
        <w:pStyle w:val="Bullet"/>
        <w:spacing w:before="120"/>
      </w:pPr>
      <w:r>
        <w:t>OnTrack program costs are not incremental expenses but, rather, reclassifications of what would otherwise be included in aged receivables, write-offs, and collection expenses.  Therefore, the costs and benefits of OnTrack are better gauged by the amount and frequency of customer payments.</w:t>
      </w:r>
    </w:p>
    <w:p w:rsidR="00AC40FC" w:rsidRDefault="00AC40FC" w:rsidP="00786363">
      <w:pPr>
        <w:pStyle w:val="Bullet"/>
        <w:spacing w:before="120"/>
      </w:pPr>
      <w:r>
        <w:t>Struggling payers get the help they need and pay very well while in the program.</w:t>
      </w:r>
    </w:p>
    <w:p w:rsidR="00AC40FC" w:rsidRDefault="00AC40FC" w:rsidP="00786363">
      <w:pPr>
        <w:pStyle w:val="Bullet"/>
        <w:spacing w:before="120"/>
      </w:pPr>
      <w:r>
        <w:t>OnTrack graduates pay like the regular population of non-OnTrack customers once they leave the program.</w:t>
      </w:r>
    </w:p>
    <w:p w:rsidR="00AC40FC" w:rsidRDefault="00AC40FC" w:rsidP="00786363">
      <w:pPr>
        <w:pStyle w:val="Bullet"/>
        <w:spacing w:before="120"/>
      </w:pPr>
      <w:r>
        <w:t>Even non-graduates, who leave the program, pay better than they paid prior to participation.</w:t>
      </w:r>
    </w:p>
    <w:p w:rsidR="00AC40FC" w:rsidRDefault="00AC40FC" w:rsidP="00786363">
      <w:pPr>
        <w:pStyle w:val="Bullet"/>
        <w:spacing w:before="120"/>
      </w:pPr>
      <w:r>
        <w:t>Participation increases payment performance dramatically:  44% for graduates and 84% for non-graduates.</w:t>
      </w:r>
    </w:p>
    <w:p w:rsidR="00AC40FC" w:rsidRDefault="00AC40FC" w:rsidP="00786363">
      <w:pPr>
        <w:pStyle w:val="Bullet"/>
        <w:spacing w:before="120"/>
      </w:pPr>
      <w:r>
        <w:t>Customers pay 17.7% less after enrolling when compared to an equal time period prior to participation.</w:t>
      </w:r>
    </w:p>
    <w:p w:rsidR="00AC40FC" w:rsidRDefault="00AC40FC" w:rsidP="004F00E5">
      <w:pPr>
        <w:pStyle w:val="Heading2"/>
        <w:numPr>
          <w:ilvl w:val="0"/>
          <w:numId w:val="108"/>
        </w:numPr>
      </w:pPr>
      <w:bookmarkStart w:id="114" w:name="_Toc462647853"/>
      <w:bookmarkStart w:id="115" w:name="_Toc464552092"/>
      <w:r>
        <w:lastRenderedPageBreak/>
        <w:t>OnTrack program processes</w:t>
      </w:r>
      <w:bookmarkEnd w:id="114"/>
      <w:bookmarkEnd w:id="115"/>
    </w:p>
    <w:p w:rsidR="00AC40FC" w:rsidRPr="00EA0124" w:rsidRDefault="00AC40FC" w:rsidP="00BB665B">
      <w:pPr>
        <w:pStyle w:val="Heading-forToC"/>
      </w:pPr>
      <w:bookmarkStart w:id="116" w:name="_Toc462647854"/>
      <w:bookmarkStart w:id="117" w:name="_Toc464552093"/>
      <w:r>
        <w:t>background</w:t>
      </w:r>
      <w:bookmarkEnd w:id="116"/>
      <w:bookmarkEnd w:id="117"/>
    </w:p>
    <w:p w:rsidR="00AC40FC" w:rsidRDefault="00AC40FC" w:rsidP="00440B39">
      <w:pPr>
        <w:pStyle w:val="Heading40"/>
      </w:pPr>
      <w:r>
        <w:t>PPL EU Referrals to OnTrack Agencies</w:t>
      </w:r>
    </w:p>
    <w:p w:rsidR="00AC40FC" w:rsidRDefault="00AC40FC" w:rsidP="00440B39">
      <w:r>
        <w:t>Most referrals from PPL EU to the OnTrack agencies for enrollment come from customers who call PPL EU to discuss overdue balances and/or to set up payment agreements.  The PPL EU customer service representatives (CSRs) attempt to obtain full payment of the balances or to establish payment agreements.  When establishing payment agreements, the CSRs ask customers about their annual level of household income and the number of household occupants.  Their level of incomes helps determine the amount of the payment agreement.</w:t>
      </w:r>
    </w:p>
    <w:p w:rsidR="00AC40FC" w:rsidRDefault="00AC40FC" w:rsidP="00440B39">
      <w:r>
        <w:t>During this process, the CSRs explain the OnTrack program and ask customers if they are interested.  PPL EU’s CSS is automatically checking in the background (for previous payment arrangements) to determine if the customer is eligible to enroll in OnTrack based on household income and other criteria and if there is already an existing referral to the program.</w:t>
      </w:r>
    </w:p>
    <w:p w:rsidR="00AC40FC" w:rsidRDefault="00AC40FC" w:rsidP="00440B39">
      <w:r>
        <w:t>If the customer is eligible for a referral, the PPL EU CSR alerts the customer that an application is being sent and the system electronically sends the referral application packet to the customer.  The packet includes a cover letter, the OnTrack application form, and a postage-paid return envelope.  The return envelope is pre-addressed to one of the OnTrack agencies, depending upon the customer’s location.  At the same time, the system automatically issues a work order to that OnTrack agency to follow up with the customer</w:t>
      </w:r>
      <w:r w:rsidRPr="00C419B3">
        <w:t>.  In 2014, PPL E</w:t>
      </w:r>
      <w:r>
        <w:t>U</w:t>
      </w:r>
      <w:r w:rsidRPr="00C419B3">
        <w:t xml:space="preserve"> issued an average of nearly 16,000 referrals monthly to the OnTrack program.  In 2015, the monthly average </w:t>
      </w:r>
      <w:r>
        <w:t>was</w:t>
      </w:r>
      <w:r w:rsidRPr="00C419B3">
        <w:t xml:space="preserve"> nearly 19,000 referrals.</w:t>
      </w:r>
      <w:r>
        <w:t xml:space="preserve">  </w:t>
      </w:r>
    </w:p>
    <w:p w:rsidR="00AC40FC" w:rsidRDefault="00AC40FC" w:rsidP="00440B39">
      <w:pPr>
        <w:pStyle w:val="Heading40"/>
      </w:pPr>
      <w:r>
        <w:t>Household Income Verification</w:t>
      </w:r>
    </w:p>
    <w:p w:rsidR="00AC40FC" w:rsidRPr="00454617" w:rsidRDefault="00AC40FC" w:rsidP="00440B39">
      <w:pPr>
        <w:rPr>
          <w:rFonts w:cs="Arial"/>
          <w:szCs w:val="24"/>
        </w:rPr>
      </w:pPr>
      <w:r>
        <w:rPr>
          <w:rFonts w:cs="Arial"/>
          <w:szCs w:val="24"/>
        </w:rPr>
        <w:t xml:space="preserve">To qualify for OnTrack, applicants must meet the annual household income guidelines of 150% of the federal poverty level and must have a payment agreement with PPL EU.  Applicants must send proof of annual household income to their OnTrack administering agency.  Proof of income may include federal income tax returns, pay stubs, copies of governmental assistance payments stubs (e.g., Supplemental Security Income (SSI), </w:t>
      </w:r>
      <w:r w:rsidRPr="00BC4D0B">
        <w:rPr>
          <w:rFonts w:cs="Arial"/>
          <w:color w:val="1A1A1A"/>
          <w:szCs w:val="24"/>
        </w:rPr>
        <w:t>Temporary Assistance for Needy Families</w:t>
      </w:r>
      <w:r>
        <w:rPr>
          <w:rFonts w:cs="Arial"/>
          <w:color w:val="1A1A1A"/>
          <w:szCs w:val="24"/>
        </w:rPr>
        <w:t xml:space="preserve"> (T</w:t>
      </w:r>
      <w:r>
        <w:rPr>
          <w:rFonts w:cs="Arial"/>
          <w:szCs w:val="24"/>
        </w:rPr>
        <w:t xml:space="preserve">ANF), and child support).  The OnTrack agencies will reject program applications if the customer provides insufficient documentation of annual household income.  Customers with no household income are ineligible to participate in PPL EU’s OnTrack.      </w:t>
      </w:r>
    </w:p>
    <w:p w:rsidR="00AC40FC" w:rsidRDefault="00AC40FC" w:rsidP="00440B39">
      <w:pPr>
        <w:pStyle w:val="Heading40"/>
      </w:pPr>
      <w:r>
        <w:t>Post-Referral Follow-up by the OnTrack Agencies</w:t>
      </w:r>
    </w:p>
    <w:p w:rsidR="00AC40FC" w:rsidRDefault="00AC40FC" w:rsidP="00440B39">
      <w:pPr>
        <w:rPr>
          <w:sz w:val="23"/>
          <w:szCs w:val="23"/>
        </w:rPr>
      </w:pPr>
      <w:r>
        <w:t xml:space="preserve">If the customer does not return the application to the agency, PPL EU sends the customer a reminder letter.  The agency has access to the PPL EU Work Flow Management (WFM) system that tracks the referral date and enables the caseworker to follow up.  </w:t>
      </w:r>
      <w:r w:rsidRPr="004F1A77">
        <w:t xml:space="preserve">If the application is received, but is </w:t>
      </w:r>
      <w:r w:rsidRPr="00B52C00">
        <w:t xml:space="preserve">incomplete or does not include the required income documentation, the agency caseworker will contact the customer.  If the application is not received within ten days after the contact, the agency closes the referral as “no response.”  </w:t>
      </w:r>
    </w:p>
    <w:p w:rsidR="00AC40FC" w:rsidRDefault="00AC40FC" w:rsidP="00440B39">
      <w:r>
        <w:lastRenderedPageBreak/>
        <w:t>Caseworkers use a variety of measures if income verification is missing from the application, including:</w:t>
      </w:r>
    </w:p>
    <w:p w:rsidR="00AC40FC" w:rsidRDefault="00AC40FC" w:rsidP="00786363">
      <w:pPr>
        <w:pStyle w:val="Bullet"/>
        <w:spacing w:before="120"/>
      </w:pPr>
      <w:r>
        <w:t>Returning the application by mail with a letter detailing what is needed and a return envelope.</w:t>
      </w:r>
    </w:p>
    <w:p w:rsidR="00AC40FC" w:rsidRDefault="00AC40FC" w:rsidP="00786363">
      <w:pPr>
        <w:pStyle w:val="Bullet"/>
        <w:spacing w:before="120"/>
      </w:pPr>
      <w:r>
        <w:t>Calling the customer directly and then sending a follow-up letter.</w:t>
      </w:r>
    </w:p>
    <w:p w:rsidR="00AC40FC" w:rsidRDefault="00AC40FC" w:rsidP="00786363">
      <w:pPr>
        <w:pStyle w:val="Bullet"/>
        <w:spacing w:before="120"/>
      </w:pPr>
      <w:r>
        <w:t>Using LIHEAP-related income information if available to process the application.</w:t>
      </w:r>
    </w:p>
    <w:p w:rsidR="00AC40FC" w:rsidRDefault="00AC40FC" w:rsidP="00BB665B">
      <w:pPr>
        <w:pStyle w:val="Normal-aftertable"/>
      </w:pPr>
      <w:r>
        <w:t xml:space="preserve">If the heat source listed does not reflect the usage or is inconsistent with the PPL EU database information, caseworkers create a WFM work item for investigation.  All agencies reported that they follow up by both phone and mail.  Mail is preferred by most agencies as a more effective way of receiving all the information that is needed. </w:t>
      </w:r>
    </w:p>
    <w:p w:rsidR="00AC40FC" w:rsidRDefault="00AC40FC" w:rsidP="00440B39">
      <w:pPr>
        <w:pStyle w:val="Heading40"/>
      </w:pPr>
      <w:r>
        <w:t>Completing Enrollment</w:t>
      </w:r>
    </w:p>
    <w:p w:rsidR="00AC40FC" w:rsidRDefault="00AC40FC" w:rsidP="00440B39">
      <w:r w:rsidRPr="00AC1C15">
        <w:t>P</w:t>
      </w:r>
      <w:r>
        <w:t>rior to completing the enrollment, the agency must log on to PPL EU’s CSS and complete the following steps:</w:t>
      </w:r>
    </w:p>
    <w:p w:rsidR="00AC40FC" w:rsidRDefault="00AC40FC" w:rsidP="00786363">
      <w:pPr>
        <w:pStyle w:val="Bullet"/>
        <w:spacing w:before="120"/>
      </w:pPr>
      <w:r>
        <w:t>Verify that the customer is income-eligible for the program.</w:t>
      </w:r>
    </w:p>
    <w:p w:rsidR="00AC40FC" w:rsidRDefault="00AC40FC" w:rsidP="00786363">
      <w:pPr>
        <w:pStyle w:val="Bullet"/>
        <w:spacing w:before="120"/>
      </w:pPr>
      <w:r>
        <w:t>Verify the customer’s payment-troubled status. The customer must have had at least one payment arrangement in the past twelve months.</w:t>
      </w:r>
    </w:p>
    <w:p w:rsidR="00AC40FC" w:rsidRDefault="00AC40FC" w:rsidP="00786363">
      <w:pPr>
        <w:pStyle w:val="Bullet"/>
        <w:spacing w:before="120"/>
      </w:pPr>
      <w:r>
        <w:t>Update the customer’s financial statement.</w:t>
      </w:r>
    </w:p>
    <w:p w:rsidR="00AC40FC" w:rsidRDefault="00AC40FC" w:rsidP="00786363">
      <w:pPr>
        <w:pStyle w:val="Bullet"/>
        <w:spacing w:before="120"/>
      </w:pPr>
      <w:r>
        <w:t>Request budget billing removal if applicable – this must be done before the customer is enrolled.</w:t>
      </w:r>
    </w:p>
    <w:p w:rsidR="00AC40FC" w:rsidRDefault="00AC40FC" w:rsidP="00786363">
      <w:pPr>
        <w:pStyle w:val="Bullet"/>
        <w:spacing w:before="120"/>
      </w:pPr>
      <w:r>
        <w:t>Request a security deposit waiver if applicable – if there is a security deposit on file, it will be returned to the customer.</w:t>
      </w:r>
    </w:p>
    <w:p w:rsidR="00AC40FC" w:rsidRDefault="00AC40FC" w:rsidP="00786363">
      <w:pPr>
        <w:pStyle w:val="Bullet"/>
        <w:spacing w:before="120"/>
      </w:pPr>
      <w:r>
        <w:t>Remove from bill extender if applicable. There may be a bill extender on the customer’s account if the customer had previously asked to make a payment a couple of days late.</w:t>
      </w:r>
    </w:p>
    <w:p w:rsidR="00AC40FC" w:rsidRDefault="00AC40FC" w:rsidP="00786363">
      <w:pPr>
        <w:pStyle w:val="Bullet"/>
        <w:spacing w:before="120"/>
      </w:pPr>
      <w:r>
        <w:t>Offer the due date change option to the customer if the customer has a bill extender on the account.</w:t>
      </w:r>
    </w:p>
    <w:p w:rsidR="00AC40FC" w:rsidRDefault="00AC40FC" w:rsidP="00786363">
      <w:pPr>
        <w:pStyle w:val="Bullet"/>
        <w:spacing w:before="120"/>
      </w:pPr>
      <w:r>
        <w:t>Cancel active payment agreements or collection arrangements if applicable, including PUC payment agreements.</w:t>
      </w:r>
    </w:p>
    <w:p w:rsidR="00AC40FC" w:rsidRDefault="00AC40FC" w:rsidP="00786363">
      <w:pPr>
        <w:pStyle w:val="Bullet"/>
        <w:spacing w:before="120"/>
      </w:pPr>
      <w:r>
        <w:t>Check for PUC Informal or Formal complaints and any payment agreements.  Payment agreements must be removed before the customer can be enrolled in OnTrack.</w:t>
      </w:r>
    </w:p>
    <w:p w:rsidR="00AC40FC" w:rsidRDefault="00AC40FC" w:rsidP="00440B39">
      <w:pPr>
        <w:pStyle w:val="Normal-aftertable"/>
      </w:pPr>
      <w:r>
        <w:t>After these tasks have been completed, the agency can enroll the customer in OnTrack. The enrollment process includes the following steps:</w:t>
      </w:r>
    </w:p>
    <w:p w:rsidR="00AC40FC" w:rsidRDefault="00AC40FC" w:rsidP="00786363">
      <w:pPr>
        <w:pStyle w:val="Bullet"/>
        <w:spacing w:before="120"/>
      </w:pPr>
      <w:r>
        <w:t>The agency caseworker enters the OnTrack payment amount directly into the CSS.</w:t>
      </w:r>
    </w:p>
    <w:p w:rsidR="00AC40FC" w:rsidRDefault="00AC40FC" w:rsidP="00786363">
      <w:pPr>
        <w:pStyle w:val="Bullet"/>
        <w:spacing w:before="120"/>
      </w:pPr>
      <w:r>
        <w:t>The agency creates a contact in the CSS that informs the PPL EU collections center that the customer has been enrolled in OnTrack.</w:t>
      </w:r>
    </w:p>
    <w:p w:rsidR="00AC40FC" w:rsidRDefault="00AC40FC" w:rsidP="00786363">
      <w:pPr>
        <w:pStyle w:val="Bullet"/>
        <w:spacing w:before="120"/>
      </w:pPr>
      <w:r>
        <w:lastRenderedPageBreak/>
        <w:t>The agency must create a file with the customer’s OnTrack application, proof of income, and a copy of the customer agreement.</w:t>
      </w:r>
    </w:p>
    <w:p w:rsidR="00AC40FC" w:rsidRDefault="00AC40FC" w:rsidP="00440B39">
      <w:pPr>
        <w:pStyle w:val="Normal-aftertable"/>
      </w:pPr>
      <w:r>
        <w:t>Customers receive the OnTrack bill with the next bill cycle after enrollment.</w:t>
      </w:r>
    </w:p>
    <w:p w:rsidR="00AC40FC" w:rsidRDefault="00AC40FC" w:rsidP="00440B39">
      <w:pPr>
        <w:pStyle w:val="Heading40"/>
      </w:pPr>
      <w:r>
        <w:t>OnTrack Post-Enrollment Mailing</w:t>
      </w:r>
    </w:p>
    <w:p w:rsidR="00AC40FC" w:rsidRDefault="00AC40FC" w:rsidP="00440B39">
      <w:r>
        <w:t xml:space="preserve">After a customer is enrolled in OnTrack, the agency sends a post-enrollment package to the customer.  This package contains a one-page customer agreement form and a short brochure.  The customer agreement form shows the installment amount, the maximum credit amount, how much PPL EU will forgive every month, and other information.  The brochure explains the program benefits and how the program works.  Included within the brochure is “Who to Call” information.  The customer is instructed to call the assigned caseworker if there are changes within the household (income or household size).  For all other matters, including payment and billing issues, the customer is instructed to call PPL EU. </w:t>
      </w:r>
    </w:p>
    <w:p w:rsidR="00AC40FC" w:rsidRPr="00D33EF3" w:rsidRDefault="00AC40FC" w:rsidP="00440B39">
      <w:pPr>
        <w:pStyle w:val="Heading40"/>
      </w:pPr>
      <w:r w:rsidRPr="00D33EF3">
        <w:t>Household Income Updates</w:t>
      </w:r>
    </w:p>
    <w:p w:rsidR="00AC40FC" w:rsidRDefault="00AC40FC" w:rsidP="00440B39">
      <w:r>
        <w:t>During the 18-month-long program, customers are encouraged to update their income with   documentation, but the process is essentially voluntary self-reporting.  The caseworkers, however, may have intelligence about customers gleaned from other community and low-income programs and can use that information to update the CSS records.  The CSS system will calculate or re-calculate possible OnTrack payment amounts based on the most recent financial and household information.</w:t>
      </w:r>
    </w:p>
    <w:p w:rsidR="00AC40FC" w:rsidRDefault="00AC40FC" w:rsidP="00440B39">
      <w:r>
        <w:t>PPL EU has started an informal effort to match OnTrack customers with PPL EU employee lists to confirm income accuracy for those employees who are also OnTrack customers.</w:t>
      </w:r>
    </w:p>
    <w:p w:rsidR="00AC40FC" w:rsidRDefault="00AC40FC" w:rsidP="00440B39">
      <w:pPr>
        <w:pStyle w:val="Heading40"/>
      </w:pPr>
      <w:r w:rsidRPr="007528E7">
        <w:t>Post-</w:t>
      </w:r>
      <w:r>
        <w:t>E</w:t>
      </w:r>
      <w:r w:rsidRPr="007528E7">
        <w:t>nrollment Customer Communications</w:t>
      </w:r>
    </w:p>
    <w:p w:rsidR="00AC40FC" w:rsidRPr="004D47B8" w:rsidRDefault="00AC40FC" w:rsidP="00440B39">
      <w:r w:rsidRPr="004D47B8">
        <w:t xml:space="preserve">To help facilitate awareness and education regarding a customer’s CAP credit usage level, the </w:t>
      </w:r>
      <w:r>
        <w:t>PPL EU’s</w:t>
      </w:r>
      <w:r w:rsidRPr="004D47B8">
        <w:t xml:space="preserve"> system automatically sends letters to OnTrack customers at specific points in time. </w:t>
      </w:r>
      <w:r>
        <w:t xml:space="preserve"> </w:t>
      </w:r>
      <w:r w:rsidRPr="004D47B8">
        <w:t>The first letter is sent when an OnTrack customer reaches 50</w:t>
      </w:r>
      <w:r>
        <w:t>%</w:t>
      </w:r>
      <w:r w:rsidRPr="004D47B8">
        <w:t xml:space="preserve"> of his or her CAP credit maximum. </w:t>
      </w:r>
      <w:r>
        <w:t xml:space="preserve"> </w:t>
      </w:r>
      <w:r w:rsidRPr="004D47B8">
        <w:t>A second</w:t>
      </w:r>
      <w:r>
        <w:t xml:space="preserve"> letter is sent when the customer reaches 80% of his or her CAP credit maximum</w:t>
      </w:r>
      <w:r w:rsidRPr="004D47B8">
        <w:t xml:space="preserve">.  </w:t>
      </w:r>
      <w:r>
        <w:t>Until December 20, 2015, a third letter had been</w:t>
      </w:r>
      <w:r w:rsidRPr="004D47B8">
        <w:t xml:space="preserve"> sent to t</w:t>
      </w:r>
      <w:r>
        <w:t>he customer if the account reached</w:t>
      </w:r>
      <w:r w:rsidRPr="004D47B8">
        <w:t xml:space="preserve"> the CAP credit maximum</w:t>
      </w:r>
      <w:r>
        <w:t>, informing the customer of removal</w:t>
      </w:r>
      <w:r w:rsidRPr="004D47B8">
        <w:t xml:space="preserve"> from the program</w:t>
      </w:r>
      <w:r>
        <w:t>.</w:t>
      </w:r>
      <w:r w:rsidRPr="004D47B8">
        <w:t xml:space="preserve"> </w:t>
      </w:r>
      <w:r>
        <w:t xml:space="preserve"> After that date, t</w:t>
      </w:r>
      <w:r w:rsidRPr="004D47B8">
        <w:t xml:space="preserve">his </w:t>
      </w:r>
      <w:r>
        <w:t>100% warning letter was eliminated and PPL EU transitioned the customer to OnTrack budget billing.  The OnTrack budget billing status in the program is still beneficial because the customer receives debt forgiveness and OnTrack credits (if applicable), but the customer’s fixed monthly payment amount is increased from the normal OnTrack amount to the budget billing amount.</w:t>
      </w:r>
    </w:p>
    <w:p w:rsidR="00AC40FC" w:rsidRDefault="00AC40FC" w:rsidP="00440B39">
      <w:pPr>
        <w:rPr>
          <w:rFonts w:cs="Arial"/>
          <w:szCs w:val="24"/>
        </w:rPr>
      </w:pPr>
      <w:r>
        <w:rPr>
          <w:rFonts w:cs="Arial"/>
          <w:szCs w:val="24"/>
        </w:rPr>
        <w:t xml:space="preserve">As of August 17, 2015, a new pilot process was initiated for all customers who are actively enrolled in OnTrack and have identified via the interactive voice response (IVR) process that they have pay assist questions (the active OnTrack status is “authenticated” and the system has confirmed ownership of the account).  The calls are now routed to the </w:t>
      </w:r>
      <w:r w:rsidRPr="005B40D7">
        <w:rPr>
          <w:rFonts w:cs="Arial"/>
          <w:szCs w:val="24"/>
        </w:rPr>
        <w:t>PPLSolutions</w:t>
      </w:r>
      <w:r>
        <w:rPr>
          <w:rFonts w:cs="Arial"/>
          <w:szCs w:val="24"/>
        </w:rPr>
        <w:t xml:space="preserve"> call center, located in Hazle Township, PA.  Previously, the calls were routed to a PPL EU call center.  If an active OnTrack customer calls PPL EU and the customer or system fails to authenticate, the call will go to a PPL EU CSR </w:t>
      </w:r>
      <w:r>
        <w:rPr>
          <w:rFonts w:cs="Arial"/>
          <w:szCs w:val="24"/>
        </w:rPr>
        <w:lastRenderedPageBreak/>
        <w:t xml:space="preserve">and, as soon as the CSR confirms that the customer is in the OnTrack program, the call is manually transferred to a PPLSolutions CSR.  OnTrack-related inbound calls to PPL EU are not routed to the OnTrack agencies. </w:t>
      </w:r>
    </w:p>
    <w:p w:rsidR="00AC40FC" w:rsidRPr="00023648" w:rsidRDefault="00AC40FC" w:rsidP="00440B39">
      <w:r w:rsidRPr="00945B4A">
        <w:t xml:space="preserve">If the </w:t>
      </w:r>
      <w:r>
        <w:t xml:space="preserve">OnTrack </w:t>
      </w:r>
      <w:r w:rsidRPr="00945B4A">
        <w:t>customer calls about something other than pay assist, like start/stop service</w:t>
      </w:r>
      <w:r>
        <w:t xml:space="preserve"> or</w:t>
      </w:r>
      <w:r w:rsidRPr="00945B4A">
        <w:t xml:space="preserve"> energy education</w:t>
      </w:r>
      <w:r>
        <w:t xml:space="preserve">, the call will be </w:t>
      </w:r>
      <w:r w:rsidRPr="00945B4A">
        <w:t xml:space="preserve">routed in a normal manner </w:t>
      </w:r>
      <w:r>
        <w:t>to either a PPL EU CSR or a call center contractor CSR with</w:t>
      </w:r>
      <w:r w:rsidRPr="00945B4A">
        <w:t xml:space="preserve"> that skill</w:t>
      </w:r>
      <w:r>
        <w:t>set</w:t>
      </w:r>
      <w:r w:rsidRPr="00945B4A">
        <w:t>.  The IVR</w:t>
      </w:r>
      <w:r>
        <w:t xml:space="preserve"> is designed to route the call based on the </w:t>
      </w:r>
      <w:r w:rsidRPr="00945B4A">
        <w:t>options select</w:t>
      </w:r>
      <w:r>
        <w:t>ed</w:t>
      </w:r>
      <w:r w:rsidRPr="00945B4A">
        <w:t xml:space="preserve"> </w:t>
      </w:r>
      <w:r>
        <w:t>within the IVR flow.</w:t>
      </w:r>
    </w:p>
    <w:p w:rsidR="00AC40FC" w:rsidRDefault="00AC40FC" w:rsidP="00440B39">
      <w:pPr>
        <w:pStyle w:val="Heading40"/>
      </w:pPr>
      <w:r>
        <w:t>OnTrack Re-Certification</w:t>
      </w:r>
    </w:p>
    <w:p w:rsidR="00AC40FC" w:rsidRDefault="00AC40FC" w:rsidP="00440B39">
      <w:r>
        <w:t>T</w:t>
      </w:r>
      <w:r w:rsidRPr="00B27002">
        <w:t xml:space="preserve">he recertification timeline </w:t>
      </w:r>
      <w:r>
        <w:t xml:space="preserve">is </w:t>
      </w:r>
      <w:r w:rsidRPr="00B27002">
        <w:t>18 months for all OnTrack customers</w:t>
      </w:r>
      <w:r>
        <w:t>.  OnTrack a</w:t>
      </w:r>
      <w:r w:rsidRPr="00B27002">
        <w:t>greements</w:t>
      </w:r>
      <w:r>
        <w:t xml:space="preserve"> are</w:t>
      </w:r>
      <w:r w:rsidRPr="00B27002">
        <w:t xml:space="preserve"> review</w:t>
      </w:r>
      <w:r>
        <w:t>ed</w:t>
      </w:r>
      <w:r w:rsidRPr="00B27002">
        <w:t xml:space="preserve"> for recertification twice (first at month 17 and again at month 18).</w:t>
      </w:r>
      <w:r>
        <w:t xml:space="preserve">  Auto-recertification kicks in if the customer received LIHEAP funds within the past 16 months or the customer is on fixed income.  An OnTrack account is not permitted to auto-recertify two times in a row.</w:t>
      </w:r>
    </w:p>
    <w:p w:rsidR="00AC40FC" w:rsidRDefault="00AC40FC" w:rsidP="00440B39">
      <w:r>
        <w:t xml:space="preserve">The </w:t>
      </w:r>
      <w:r w:rsidRPr="00B27002">
        <w:t>system review</w:t>
      </w:r>
      <w:r>
        <w:t>s</w:t>
      </w:r>
      <w:r w:rsidRPr="00B27002">
        <w:t xml:space="preserve"> agreements for auto-recertification at month 17.  If the customer is not eligible for auto-recertification, a</w:t>
      </w:r>
      <w:r>
        <w:t xml:space="preserve"> work order in the Work Flow Management (</w:t>
      </w:r>
      <w:r w:rsidRPr="00B27002">
        <w:t>WFM</w:t>
      </w:r>
      <w:r>
        <w:t>)</w:t>
      </w:r>
      <w:r w:rsidRPr="00B27002">
        <w:t xml:space="preserve"> </w:t>
      </w:r>
      <w:r>
        <w:t xml:space="preserve">system </w:t>
      </w:r>
      <w:r w:rsidRPr="00B27002">
        <w:t xml:space="preserve">for manual recertification </w:t>
      </w:r>
      <w:r>
        <w:t xml:space="preserve">is </w:t>
      </w:r>
      <w:r w:rsidRPr="00B27002">
        <w:t>created</w:t>
      </w:r>
      <w:r>
        <w:t xml:space="preserve"> and sent to the agency caseworker</w:t>
      </w:r>
      <w:r w:rsidRPr="00B27002">
        <w:t xml:space="preserve">.  If the customer is eligible for auto-recertification, neither a </w:t>
      </w:r>
      <w:r>
        <w:t>work order</w:t>
      </w:r>
      <w:r w:rsidRPr="00B27002">
        <w:t xml:space="preserve"> nor auto-recertification will occur at month 17.  In month 18, the agreement will review for auto-recertification again.  If the agreement is still eligible for auto-recertification, </w:t>
      </w:r>
      <w:r>
        <w:t>the OnTrack agreement will be automatically recertified</w:t>
      </w:r>
      <w:r w:rsidRPr="00B27002">
        <w:t xml:space="preserve">.  If the agreement is no longer eligible (for example, the LIHEAP payment is no longer within the valid range), the </w:t>
      </w:r>
      <w:r>
        <w:t>work order</w:t>
      </w:r>
      <w:r w:rsidRPr="00B27002">
        <w:t xml:space="preserve"> for </w:t>
      </w:r>
      <w:r>
        <w:t xml:space="preserve">manual </w:t>
      </w:r>
      <w:r w:rsidRPr="00B27002">
        <w:t>recertification is created</w:t>
      </w:r>
      <w:r>
        <w:t xml:space="preserve"> and sent to the agency caseworker.</w:t>
      </w:r>
    </w:p>
    <w:p w:rsidR="00AC40FC" w:rsidRDefault="00AC40FC" w:rsidP="00440B39">
      <w:r>
        <w:t>When manually recertifying customers for OnTrack, the agency caseworker is required to take the following steps:</w:t>
      </w:r>
    </w:p>
    <w:p w:rsidR="00AC40FC" w:rsidRDefault="00AC40FC" w:rsidP="00786363">
      <w:pPr>
        <w:pStyle w:val="Bullet"/>
        <w:spacing w:before="120"/>
      </w:pPr>
      <w:r>
        <w:t>Verify household income.</w:t>
      </w:r>
    </w:p>
    <w:p w:rsidR="00AC40FC" w:rsidRDefault="00AC40FC" w:rsidP="00786363">
      <w:pPr>
        <w:pStyle w:val="Bullet"/>
        <w:spacing w:before="120"/>
      </w:pPr>
      <w:r>
        <w:t>Review collection status. If the customer is in a collections status, the overdue amount must be satisfied before the customer can be recertified.</w:t>
      </w:r>
    </w:p>
    <w:p w:rsidR="00AC40FC" w:rsidRDefault="00AC40FC" w:rsidP="00786363">
      <w:pPr>
        <w:pStyle w:val="Bullet"/>
        <w:spacing w:before="120"/>
      </w:pPr>
      <w:r>
        <w:t>Review kilowatt hour (kWh) use and determine if there was an increase after initial enrollment, as this can lead to a change in customer payment (credit) amounts, depending upon the reasons.</w:t>
      </w:r>
    </w:p>
    <w:p w:rsidR="00AC40FC" w:rsidRDefault="00AC40FC" w:rsidP="00786363">
      <w:pPr>
        <w:pStyle w:val="Bullet"/>
        <w:spacing w:before="120"/>
      </w:pPr>
      <w:r>
        <w:t>Update the customer’s financial statement.</w:t>
      </w:r>
    </w:p>
    <w:p w:rsidR="00AC40FC" w:rsidRDefault="00AC40FC" w:rsidP="00786363">
      <w:pPr>
        <w:pStyle w:val="Bullet"/>
        <w:spacing w:before="120"/>
      </w:pPr>
      <w:r>
        <w:t>Determine if customer is eligible to graduate (for example, the customer’s income has improved - see below for discussion).</w:t>
      </w:r>
    </w:p>
    <w:p w:rsidR="00AC40FC" w:rsidRDefault="00AC40FC" w:rsidP="00786363">
      <w:pPr>
        <w:pStyle w:val="Bullet"/>
        <w:spacing w:before="120"/>
      </w:pPr>
      <w:r>
        <w:t>Enter the new OnTrack payment agreement into PPL EU’s system.</w:t>
      </w:r>
    </w:p>
    <w:p w:rsidR="00AC40FC" w:rsidRPr="005F1F3F" w:rsidRDefault="00AC40FC" w:rsidP="00786363">
      <w:pPr>
        <w:pStyle w:val="Bullet"/>
        <w:spacing w:before="120"/>
      </w:pPr>
      <w:r>
        <w:t xml:space="preserve">Send the customer the Post-Enrollment package, which includes the payment agreement and the OnTrack booklet. </w:t>
      </w:r>
    </w:p>
    <w:p w:rsidR="00AC40FC" w:rsidRDefault="00AC40FC" w:rsidP="00440B39">
      <w:pPr>
        <w:pStyle w:val="Normal-aftertable"/>
        <w:rPr>
          <w:sz w:val="23"/>
          <w:szCs w:val="23"/>
        </w:rPr>
      </w:pPr>
      <w:r>
        <w:t xml:space="preserve">When determining the customer’s payment amount at the time of re-certification, agency caseworkers are instructed to consider the following:  </w:t>
      </w:r>
      <w:r w:rsidRPr="004C48EE">
        <w:t>income, usage history, payment history, expenses, electric bill, household composition, and extenuating circumstances.</w:t>
      </w:r>
    </w:p>
    <w:p w:rsidR="00AC40FC" w:rsidRDefault="00AC40FC" w:rsidP="00440B39">
      <w:r>
        <w:lastRenderedPageBreak/>
        <w:t>Conditions which can lead to more significant increases in customer payment levels include:  increases in customer energy usage and increases in the customer’s income or circumstances that would allow them to better afford their bill.</w:t>
      </w:r>
    </w:p>
    <w:p w:rsidR="00AC40FC" w:rsidRDefault="00AC40FC" w:rsidP="00440B39">
      <w:r>
        <w:t xml:space="preserve">Participants are encouraged to maintain or reduce their pre-program energy usage. Failure to maintain pre-program kWh consumption can lead to dismissal from the program.  Exceptions apply when there are extenuating circumstances, such as:   </w:t>
      </w:r>
    </w:p>
    <w:p w:rsidR="00AC40FC" w:rsidRDefault="00AC40FC" w:rsidP="00786363">
      <w:pPr>
        <w:pStyle w:val="Bullet"/>
        <w:spacing w:before="120"/>
      </w:pPr>
      <w:r>
        <w:t>Addition of a family member</w:t>
      </w:r>
    </w:p>
    <w:p w:rsidR="00AC40FC" w:rsidRDefault="00AC40FC" w:rsidP="00786363">
      <w:pPr>
        <w:pStyle w:val="Bullet"/>
        <w:spacing w:before="120"/>
      </w:pPr>
      <w:r>
        <w:t>Serious illness or medical condition</w:t>
      </w:r>
    </w:p>
    <w:p w:rsidR="00AC40FC" w:rsidRDefault="00AC40FC" w:rsidP="00786363">
      <w:pPr>
        <w:pStyle w:val="Bullet"/>
        <w:spacing w:before="120"/>
      </w:pPr>
      <w:r>
        <w:t>kWh consumption increase beyond control of customer</w:t>
      </w:r>
    </w:p>
    <w:p w:rsidR="00AC40FC" w:rsidRPr="00F14CF7" w:rsidRDefault="00AC40FC" w:rsidP="00786363">
      <w:pPr>
        <w:pStyle w:val="Bullet"/>
        <w:spacing w:before="120"/>
        <w:rPr>
          <w:sz w:val="23"/>
        </w:rPr>
      </w:pPr>
      <w:r>
        <w:t>Severe weather conditions</w:t>
      </w:r>
    </w:p>
    <w:p w:rsidR="00AC40FC" w:rsidRPr="00F14CF7" w:rsidRDefault="00AC40FC" w:rsidP="00786363">
      <w:pPr>
        <w:pStyle w:val="Bullet"/>
        <w:spacing w:before="120"/>
        <w:rPr>
          <w:sz w:val="23"/>
        </w:rPr>
      </w:pPr>
      <w:r>
        <w:t>Structural damage to home</w:t>
      </w:r>
    </w:p>
    <w:p w:rsidR="00AC40FC" w:rsidRPr="00F73F99" w:rsidRDefault="00AC40FC" w:rsidP="00440B39">
      <w:pPr>
        <w:pStyle w:val="Normal-aftertable"/>
      </w:pPr>
      <w:r>
        <w:t>At re-certification time, customers may be graduated if their OnTrack payment is within ten percent of their budget billing and all of their arrearages have been forgiven.  Other considerations include that the customer is not on fixed income and the customer’s income is sufficient enough to cover all expenses.  The caseworker talks to the customer first to determine if OnTrack removal will cause a hardship.  The caseworker then makes the determination of whether to graduate the customer from OnTrack.  Customers that graduate from OnTrack are often returned to budget billing, because they have been paying their OnTrack amount that is close to a budgeting billing amount.</w:t>
      </w:r>
    </w:p>
    <w:p w:rsidR="00AC40FC" w:rsidRPr="00F73F99" w:rsidRDefault="00AC40FC" w:rsidP="00440B39">
      <w:r w:rsidRPr="00F73F99">
        <w:t>Some customers may remain in the program beyond the point where all of their arrearages have been forgiven, based on ability to pay the full budget amount.  PPL EU refers to these customers as “OnTrack current bill.”  If a customer has graduated from OnTrack and then has another broken payment arrangement, the customer may return to the program.</w:t>
      </w:r>
    </w:p>
    <w:p w:rsidR="00AC40FC" w:rsidRDefault="00AC40FC" w:rsidP="00440B39">
      <w:r w:rsidRPr="00F73F99">
        <w:t>If the cu</w:t>
      </w:r>
      <w:r>
        <w:t>stomer is not ready to graduate</w:t>
      </w:r>
      <w:r w:rsidRPr="00F73F99">
        <w:t xml:space="preserve"> at the time of recertification, the agency caseworker must determine the customer’s OnTrack payment for the next year. The caseworker reviews the payment options and selects a plan based on the customer’s circumstances.  In most cases, the new plan will be more than the prior plan amount.  The idea is to bridge the gap between their OnTrack payment and the budget bill amount.</w:t>
      </w:r>
    </w:p>
    <w:p w:rsidR="00AC40FC" w:rsidRDefault="00AC40FC" w:rsidP="00440B39">
      <w:pPr>
        <w:pStyle w:val="Heading40"/>
      </w:pPr>
      <w:r w:rsidRPr="004B5388">
        <w:t>Follow-up and Removal from the Program</w:t>
      </w:r>
    </w:p>
    <w:p w:rsidR="00AC40FC" w:rsidRDefault="00AC40FC" w:rsidP="00440B39">
      <w:r>
        <w:t>Customers must meet the following requirements to remain active OnTrack participants:</w:t>
      </w:r>
    </w:p>
    <w:p w:rsidR="00AC40FC" w:rsidRDefault="00AC40FC" w:rsidP="00786363">
      <w:pPr>
        <w:pStyle w:val="Bullet"/>
        <w:spacing w:before="120"/>
      </w:pPr>
      <w:r>
        <w:t xml:space="preserve">Make timely OnTrack monthly payments.  If one payment is missed, the customer will receive an automated letter that payment was not received.  There is a five-day account review process after the due date.  If the payment is received before that review is completed, the bill's "Pay This Amount" will be satisfied and no collection activity will initiate.  If the payment is not received during this five-day "grace" period, the customer will enter the collections process.  After the second consecutive missed payment, the customer is removed from OnTrack.  If the customer does not make these payments, the </w:t>
      </w:r>
      <w:r>
        <w:lastRenderedPageBreak/>
        <w:t>customer can enter a collection payment agreement.  After the winter moratorium, the customer can be shut off.</w:t>
      </w:r>
    </w:p>
    <w:p w:rsidR="00AC40FC" w:rsidRDefault="00AC40FC" w:rsidP="00786363">
      <w:pPr>
        <w:pStyle w:val="Bullet"/>
        <w:spacing w:before="120"/>
      </w:pPr>
      <w:r>
        <w:t>Remain within the CAP credit limit.  If a customer exceeds the CAP credit limit prior to 18 months, the customer is automatically transitioned to the OnTrack Budget Billing (OTBB) status.  When this occurs, the OTBB activation letter is sent to the customer and it explains this change in status.  The letter tells the customer that the OnTrack installment amount is being changed to what would be the current budget billing amount, referred to as the OTBB amount.  The OTBB amount will remain fixed for the remainder of the 18-month program period.  The OTBB activation letter explains that the customer will continue to receive program benefits, such as arrearage forgiveness and revenue shortfall.  The letter also informs the customer that PPL EU will automatically send a program application for recertification, 18 months from the original enrollment date.</w:t>
      </w:r>
    </w:p>
    <w:p w:rsidR="00AC40FC" w:rsidRDefault="00AC40FC" w:rsidP="00786363">
      <w:pPr>
        <w:pStyle w:val="Bullet"/>
        <w:spacing w:before="120"/>
      </w:pPr>
      <w:r>
        <w:t>Provide access to electric meters.</w:t>
      </w:r>
    </w:p>
    <w:p w:rsidR="00AC40FC" w:rsidRDefault="00AC40FC" w:rsidP="00786363">
      <w:pPr>
        <w:pStyle w:val="Bullet"/>
        <w:spacing w:before="120"/>
      </w:pPr>
      <w:r>
        <w:t>Verify household income (at enrollment and recertification). The exception is for customers who receive LIHEAP or SSI.  Customers who do not respond to the recertification application will be removed from OnTrack and sent a letter that states the reason for removal.  Customers can be reinstated when they send in their application and documentation.</w:t>
      </w:r>
    </w:p>
    <w:p w:rsidR="00AC40FC" w:rsidRDefault="00AC40FC" w:rsidP="00786363">
      <w:pPr>
        <w:pStyle w:val="Bullet"/>
        <w:spacing w:before="120"/>
      </w:pPr>
      <w:r>
        <w:t>Report changes in the household income or number of household members that occur at any point after enrollment.</w:t>
      </w:r>
    </w:p>
    <w:p w:rsidR="00AC40FC" w:rsidRDefault="00AC40FC" w:rsidP="00786363">
      <w:pPr>
        <w:pStyle w:val="Bullet"/>
        <w:spacing w:before="120"/>
      </w:pPr>
      <w:r>
        <w:t>P</w:t>
      </w:r>
      <w:r w:rsidRPr="00500987">
        <w:t>articipate in the</w:t>
      </w:r>
      <w:r>
        <w:t xml:space="preserve"> Winter Relief Assistance Program (</w:t>
      </w:r>
      <w:r w:rsidRPr="00500987">
        <w:t>WRAP</w:t>
      </w:r>
      <w:r>
        <w:t>)</w:t>
      </w:r>
      <w:r w:rsidRPr="00500987">
        <w:t xml:space="preserve"> program if eligible.</w:t>
      </w:r>
      <w:r>
        <w:t xml:space="preserve">  WRAP provides a free energy efficiency and conservation assessment of a customer’s premises.</w:t>
      </w:r>
      <w:r w:rsidRPr="00500987">
        <w:t xml:space="preserve"> An OnTrack customer may be removed for failure to comply with </w:t>
      </w:r>
      <w:r>
        <w:t xml:space="preserve">the </w:t>
      </w:r>
      <w:r w:rsidRPr="00500987">
        <w:t xml:space="preserve">WRAP </w:t>
      </w:r>
      <w:r>
        <w:t xml:space="preserve">assessment </w:t>
      </w:r>
      <w:r w:rsidRPr="00500987">
        <w:t>and will remain ineligible for OnTrack until the WRAP process is completed.</w:t>
      </w:r>
      <w:r w:rsidRPr="00440B39">
        <w:t xml:space="preserve"> </w:t>
      </w:r>
    </w:p>
    <w:p w:rsidR="00AC40FC" w:rsidRDefault="00AC40FC" w:rsidP="00440B39">
      <w:pPr>
        <w:pStyle w:val="Normal-aftertable"/>
      </w:pPr>
      <w:r>
        <w:t>Customers will automatically be reinstated in OnTrack, have late payment charges reversed, and have all past credits applied when they make up all of their missed payments within six months after missing their second consecutive payment.</w:t>
      </w:r>
    </w:p>
    <w:p w:rsidR="00AC40FC" w:rsidRDefault="00AC40FC" w:rsidP="00440B39">
      <w:pPr>
        <w:pStyle w:val="Heading40"/>
      </w:pPr>
      <w:r>
        <w:t>Customer Complaint Handling Process</w:t>
      </w:r>
    </w:p>
    <w:p w:rsidR="00AC40FC" w:rsidRPr="00BA2B05" w:rsidRDefault="00AC40FC" w:rsidP="00440B39">
      <w:r>
        <w:t>Regulatory Programs receives PUC informal complaints, including ones related to the OnTrack program.  When an OnTrack complaint is received, the assigned RPS follows up with the specific OnTrack agency.</w:t>
      </w:r>
    </w:p>
    <w:p w:rsidR="00AC40FC" w:rsidRDefault="00AC40FC" w:rsidP="00440B39">
      <w:pPr>
        <w:rPr>
          <w:rFonts w:cs="Arial"/>
          <w:szCs w:val="24"/>
        </w:rPr>
      </w:pPr>
      <w:r>
        <w:rPr>
          <w:rFonts w:cs="Arial"/>
          <w:szCs w:val="24"/>
        </w:rPr>
        <w:t>A</w:t>
      </w:r>
      <w:r w:rsidRPr="00BA2B05">
        <w:rPr>
          <w:rFonts w:cs="Arial"/>
          <w:szCs w:val="24"/>
        </w:rPr>
        <w:t>gency caseworkers do not have the same knowledge level or understanding as PPL EU</w:t>
      </w:r>
      <w:r>
        <w:rPr>
          <w:rFonts w:cs="Arial"/>
          <w:szCs w:val="24"/>
        </w:rPr>
        <w:t xml:space="preserve"> or contractor CSRs with the necessary skill sets, and the OnTrack agencies are instructed to refer the customer to PPL EU if contacted about any information not directly pertaining to the OnTrack program.  Account maintenance questions related to billing, payment, and usage are handled by PPL EU CSRs.  According to PPL EU, there may be a small number of occurrences throughout the year where agency caseworkers come face-to-face with OnTrack customers or are on the phone with an OnTrack customer who “demands” some type of explanation.  During those instances, the caseworker will attempt to provide an explanation or information to the customer, based </w:t>
      </w:r>
      <w:r>
        <w:rPr>
          <w:rFonts w:cs="Arial"/>
          <w:szCs w:val="24"/>
        </w:rPr>
        <w:lastRenderedPageBreak/>
        <w:t>on his/her limited knowledge about PPL EU’s billing and payment processes.  But the caseworker is instructed to tell the customer to contact PPL EU for answers to these types of questions.</w:t>
      </w:r>
    </w:p>
    <w:p w:rsidR="00AC40FC" w:rsidRPr="00A946D3" w:rsidRDefault="00AC40FC" w:rsidP="00440B39">
      <w:pPr>
        <w:pStyle w:val="Normal-aftertable"/>
        <w:rPr>
          <w:rFonts w:cs="Arial"/>
          <w:szCs w:val="24"/>
        </w:rPr>
      </w:pPr>
      <w:r>
        <w:rPr>
          <w:rFonts w:cs="Arial"/>
          <w:szCs w:val="24"/>
        </w:rPr>
        <w:t>Based on the PUC’s regulations, PPL EU must respond to PUC informal complaints within 30 calendar days.  A complaint remains open until the PUC issues a final decision.  T</w:t>
      </w:r>
      <w:r w:rsidRPr="00877827">
        <w:rPr>
          <w:rFonts w:cs="Arial"/>
          <w:szCs w:val="24"/>
        </w:rPr>
        <w:t xml:space="preserve">he PUC typically issues decisions 120 to 150 days after the customer has filed the complaint.  If required, </w:t>
      </w:r>
      <w:r>
        <w:rPr>
          <w:rFonts w:cs="Arial"/>
          <w:szCs w:val="24"/>
        </w:rPr>
        <w:t xml:space="preserve">Customer Services </w:t>
      </w:r>
      <w:r w:rsidRPr="00877827">
        <w:rPr>
          <w:rFonts w:cs="Arial"/>
          <w:szCs w:val="24"/>
        </w:rPr>
        <w:t>will take action based on the PUC’s decision.</w:t>
      </w:r>
    </w:p>
    <w:p w:rsidR="00AC40FC" w:rsidRDefault="00AC40FC" w:rsidP="00BB665B">
      <w:pPr>
        <w:pStyle w:val="Heading-forToC"/>
      </w:pPr>
      <w:bookmarkStart w:id="118" w:name="_Toc462647855"/>
      <w:bookmarkStart w:id="119" w:name="_Toc464552094"/>
      <w:r w:rsidRPr="00E304E3">
        <w:t>findings</w:t>
      </w:r>
      <w:bookmarkEnd w:id="118"/>
      <w:bookmarkEnd w:id="119"/>
      <w:r w:rsidRPr="00E304E3">
        <w:t xml:space="preserve"> </w:t>
      </w:r>
    </w:p>
    <w:p w:rsidR="00AC40FC" w:rsidRDefault="00AC40FC" w:rsidP="004F00E5">
      <w:pPr>
        <w:pStyle w:val="Findings"/>
        <w:numPr>
          <w:ilvl w:val="0"/>
          <w:numId w:val="52"/>
        </w:numPr>
      </w:pPr>
      <w:r>
        <w:t xml:space="preserve">PPL EU, unlike some other Pennsylvania utilities with a CAP, does not take OnTrack phone applications. </w:t>
      </w:r>
    </w:p>
    <w:p w:rsidR="00AC40FC" w:rsidRDefault="00AC40FC" w:rsidP="00440B39">
      <w:r w:rsidRPr="00DF63C5">
        <w:t xml:space="preserve">PPL EU does not have the capability to initiate </w:t>
      </w:r>
      <w:r>
        <w:t>an applicat</w:t>
      </w:r>
      <w:r w:rsidRPr="00DF63C5">
        <w:t xml:space="preserve">ion for </w:t>
      </w:r>
      <w:r>
        <w:t>enroll</w:t>
      </w:r>
      <w:r w:rsidRPr="00DF63C5">
        <w:t>me</w:t>
      </w:r>
      <w:r>
        <w:t xml:space="preserve">nt via the phone.  By the third quarter of 2016, PPL EU will complete an IT order of magnitude estimate on what it would take in terms of system changes to have PPL EU CSRs enroll customers in OnTrack.  PPL EU would target customers who had received LIHEAP energy assistance because the Pennsylvania Department of Human Services would have already confirmed their household income.  To enroll in OnTrack, customers must provide verification of their household income.  The household income guidelines for LIHEAP and OnTrack are both at 150% of the federal poverty level.  </w:t>
      </w:r>
    </w:p>
    <w:p w:rsidR="00AC40FC" w:rsidRDefault="00AC40FC" w:rsidP="00440B39">
      <w:r>
        <w:t>Regulatory Programs is also thinking about developing an online self-service screening/enrollment system as the preferred system and US Mail as a secondary option.</w:t>
      </w:r>
    </w:p>
    <w:p w:rsidR="00AC40FC" w:rsidRDefault="00AC40FC" w:rsidP="00440B39">
      <w:r>
        <w:t>PPL EU plans to identify and evaluate the required regulatory policy and process changes needed to implement any new enrollment process initiative.</w:t>
      </w:r>
    </w:p>
    <w:p w:rsidR="00AC40FC" w:rsidRDefault="00AC40FC" w:rsidP="004F00E5">
      <w:pPr>
        <w:pStyle w:val="Findings"/>
        <w:numPr>
          <w:ilvl w:val="0"/>
          <w:numId w:val="52"/>
        </w:numPr>
      </w:pPr>
      <w:r>
        <w:t xml:space="preserve">The validation of pre-enrollment, post-enrollment, and recertification of income eligibility is labor intensive, often cumbersome, and there is a potential for fraud. </w:t>
      </w:r>
    </w:p>
    <w:p w:rsidR="00AC40FC" w:rsidRDefault="00AC40FC" w:rsidP="00440B39">
      <w:r>
        <w:t>There are a number of steps that the agency caseworkers must take that require accurate and verifiable information provided by the customer as part of the eligibility process.  One of the more crucial steps is income verification for enrollment and recertification. If the customer has less than the minimum income amount or no income at all, the customer is not eligible because the program is premised on an expectation that the customer will be able to pay the monthly OnTrack billed (reduced) amount of their electric bill.  The OnTrack agencies need to rely on customer communications and customer-supplied income evidence that may not be accurate, not easily verifiable, and, in any case, not audited.  The potential for customer fraud exists at each of the above steps.</w:t>
      </w:r>
    </w:p>
    <w:p w:rsidR="00AC40FC" w:rsidRDefault="00AC40FC" w:rsidP="00440B39">
      <w:r>
        <w:t>Customers are instructed to contact the agency to provide changes to income level or number of household members during the 18-month program.  Unless customers choose to report changes, they are not easily discoverable.</w:t>
      </w:r>
    </w:p>
    <w:p w:rsidR="00AC40FC" w:rsidRDefault="00AC40FC" w:rsidP="004F00E5">
      <w:pPr>
        <w:pStyle w:val="Findings"/>
        <w:keepNext/>
        <w:numPr>
          <w:ilvl w:val="0"/>
          <w:numId w:val="52"/>
        </w:numPr>
      </w:pPr>
      <w:r>
        <w:lastRenderedPageBreak/>
        <w:t>Changes in post-enrollment energy consumption could affect eligibility but the reasons for the changes are difficult to discover and analyze.</w:t>
      </w:r>
    </w:p>
    <w:p w:rsidR="00AC40FC" w:rsidRDefault="00AC40FC" w:rsidP="00440B39">
      <w:r>
        <w:t xml:space="preserve">One of the objectives of the OnTrack program is that customers will “stabilize or reduce” energy usage (e.g., with the help of WRAP).  Some type of energy/usage review will occur if the customer receives WRAP services.  As previously discussed, WRAP may or may not occur for some customers based on previous WRAP services, landlord consent, etc.  </w:t>
      </w:r>
    </w:p>
    <w:p w:rsidR="00AC40FC" w:rsidRDefault="00AC40FC" w:rsidP="00440B39">
      <w:r>
        <w:t>There is no requirement to have an energy assessment completed at the recertification point.  However, at the recertification point, prior consumption and shopping decisions are taken into consideration when the new OnTrack installment amount is calculated.  If a customer is with a lower-priced Electric Generation Supplier (EGS), the resulting Ontrack installment amount will be lower, as compared to being paired with a higher-priced EGS.  Consumption will follow similar logic.  If consumption is high or out-of-control over the last year, the system will take that into account when a new OnTrack installment amount is presented.</w:t>
      </w:r>
    </w:p>
    <w:p w:rsidR="00AC40FC" w:rsidRPr="008C07BC" w:rsidRDefault="00AC40FC" w:rsidP="00440B39">
      <w:r>
        <w:t>Changes that could affect energy consumption are “not easy to operationalize.”  Even if customers have acted on energy conservation recommendations from a WRAP assessment, usage could increase if they add electric appliances, increase usage of existing appliances, or increase usage because of changes in the number of household members.  Usage could decrease without conservation measures, for example, reduced number of household members.  Caseworkers are not typically able to identify the reasons for changes in usage.</w:t>
      </w:r>
    </w:p>
    <w:p w:rsidR="00AC40FC" w:rsidRDefault="00AC40FC" w:rsidP="004F00E5">
      <w:pPr>
        <w:pStyle w:val="Findings"/>
        <w:numPr>
          <w:ilvl w:val="0"/>
          <w:numId w:val="52"/>
        </w:numPr>
      </w:pPr>
      <w:r>
        <w:t>Regulatory Programs has been examining two OnTrack process improvement options, one “low tech” and the other “high tech.”</w:t>
      </w:r>
    </w:p>
    <w:p w:rsidR="00AC40FC" w:rsidRPr="00B47A51" w:rsidRDefault="00AC40FC" w:rsidP="00440B39">
      <w:r>
        <w:t>U</w:t>
      </w:r>
      <w:r w:rsidRPr="00B47A51">
        <w:t xml:space="preserve">nder </w:t>
      </w:r>
      <w:r>
        <w:t>the “low tech”</w:t>
      </w:r>
      <w:r w:rsidRPr="00B47A51">
        <w:t xml:space="preserve"> option, the existing Work Assignment Tracking Tool (WATT) system </w:t>
      </w:r>
      <w:r>
        <w:t xml:space="preserve">would be used </w:t>
      </w:r>
      <w:r w:rsidRPr="00B47A51">
        <w:t>during the enrollment/screening process</w:t>
      </w:r>
      <w:r>
        <w:t xml:space="preserve"> and would include the following steps:  (1) </w:t>
      </w:r>
      <w:r w:rsidRPr="00B47A51">
        <w:t xml:space="preserve">OnTrack referral is created via </w:t>
      </w:r>
      <w:r>
        <w:t>the existing payment process, (2) C</w:t>
      </w:r>
      <w:r w:rsidRPr="00B47A51">
        <w:t>ustomer receives the OnTra</w:t>
      </w:r>
      <w:r>
        <w:t>ck cover letter and application, (3) c</w:t>
      </w:r>
      <w:r w:rsidRPr="00B47A51">
        <w:t>ustomer submits the completed paperwork to PPL</w:t>
      </w:r>
      <w:r>
        <w:t xml:space="preserve"> EU, (4) p</w:t>
      </w:r>
      <w:r w:rsidRPr="00B47A51">
        <w:t>aperwork is immediate</w:t>
      </w:r>
      <w:r>
        <w:t>ly scanned into the WATT system, (5) the agency w</w:t>
      </w:r>
      <w:r w:rsidRPr="00B47A51">
        <w:t>ork managers and/or administrative staff organize, sort, and assign the paperwork to the casewor</w:t>
      </w:r>
      <w:r>
        <w:t xml:space="preserve">ker, (6) the caseworker </w:t>
      </w:r>
      <w:r w:rsidRPr="00B47A51">
        <w:t>completes</w:t>
      </w:r>
      <w:r>
        <w:t xml:space="preserve"> the enrollment/screening steps, and (7) the c</w:t>
      </w:r>
      <w:r w:rsidRPr="00B47A51">
        <w:t>ustomer’s paperwork is saved/stored online and available for all users to view.</w:t>
      </w:r>
    </w:p>
    <w:p w:rsidR="00AC40FC" w:rsidRDefault="00AC40FC" w:rsidP="00440B39">
      <w:r w:rsidRPr="00B47A51">
        <w:t>The “high tech” option</w:t>
      </w:r>
      <w:r>
        <w:t xml:space="preserve"> </w:t>
      </w:r>
      <w:r w:rsidRPr="00B47A51">
        <w:t xml:space="preserve">would mirror </w:t>
      </w:r>
      <w:r>
        <w:t xml:space="preserve">the </w:t>
      </w:r>
      <w:r w:rsidRPr="00B47A51">
        <w:t>existing Low-Income Energy Assistance Program</w:t>
      </w:r>
      <w:r>
        <w:t xml:space="preserve">s (LEAP) system.  </w:t>
      </w:r>
      <w:r w:rsidRPr="00B47A51">
        <w:t>LEAP provides a total view of all WRAP cases planned, underway</w:t>
      </w:r>
      <w:r>
        <w:t>,</w:t>
      </w:r>
      <w:r w:rsidRPr="00B47A51">
        <w:t xml:space="preserve"> and complet</w:t>
      </w:r>
      <w:r>
        <w:t xml:space="preserve">ed.  The LEAP system allows all authorized </w:t>
      </w:r>
      <w:r w:rsidRPr="00B47A51">
        <w:t>employees and contractors to view the st</w:t>
      </w:r>
      <w:r>
        <w:t xml:space="preserve">atus of a case and make updates. </w:t>
      </w:r>
      <w:r w:rsidRPr="00B47A51">
        <w:t xml:space="preserve"> One of the main benefits of a LEAP</w:t>
      </w:r>
      <w:r>
        <w:t>-type system</w:t>
      </w:r>
      <w:r w:rsidRPr="00B47A51">
        <w:t xml:space="preserve"> is the transparency it would provide.  In addition, </w:t>
      </w:r>
      <w:r>
        <w:t xml:space="preserve">this option </w:t>
      </w:r>
      <w:r w:rsidRPr="00B47A51">
        <w:t xml:space="preserve">would allow </w:t>
      </w:r>
      <w:r>
        <w:t>PPL EU t</w:t>
      </w:r>
      <w:r w:rsidRPr="00B47A51">
        <w:t xml:space="preserve">o incorporate “push-pull” data features from other existing systems, such as the Customer Service System (CSS).  This system would </w:t>
      </w:r>
      <w:r>
        <w:t xml:space="preserve">also </w:t>
      </w:r>
      <w:r w:rsidRPr="00B47A51">
        <w:t>provide a richer data set</w:t>
      </w:r>
      <w:r>
        <w:t xml:space="preserve"> for OnTrack</w:t>
      </w:r>
      <w:r w:rsidRPr="00B47A51">
        <w:t xml:space="preserve">, </w:t>
      </w:r>
      <w:r>
        <w:t>leading to</w:t>
      </w:r>
      <w:r w:rsidRPr="00B47A51">
        <w:t xml:space="preserve"> better analytics and reporting capabilities.</w:t>
      </w:r>
    </w:p>
    <w:p w:rsidR="00AC40FC" w:rsidRDefault="00AC40FC" w:rsidP="00BB665B">
      <w:pPr>
        <w:pStyle w:val="Heading-forToC"/>
      </w:pPr>
      <w:bookmarkStart w:id="120" w:name="_Toc462647856"/>
      <w:bookmarkStart w:id="121" w:name="_Toc464552095"/>
      <w:r>
        <w:lastRenderedPageBreak/>
        <w:t>recommendations</w:t>
      </w:r>
      <w:bookmarkEnd w:id="120"/>
      <w:bookmarkEnd w:id="121"/>
      <w:r>
        <w:t xml:space="preserve"> </w:t>
      </w:r>
    </w:p>
    <w:p w:rsidR="00AC40FC" w:rsidRDefault="00AC40FC" w:rsidP="004F00E5">
      <w:pPr>
        <w:pStyle w:val="Findings"/>
        <w:numPr>
          <w:ilvl w:val="0"/>
          <w:numId w:val="53"/>
        </w:numPr>
      </w:pPr>
      <w:r>
        <w:t xml:space="preserve">Accelerate the evaluation of the system changes and other implementation requirements that are needed to have phone agents enroll customers in OnTrack.  </w:t>
      </w:r>
      <w:r w:rsidRPr="00457D03">
        <w:t>(</w:t>
      </w:r>
      <w:r>
        <w:t xml:space="preserve">See </w:t>
      </w:r>
      <w:r w:rsidRPr="00457D03">
        <w:t xml:space="preserve">Finding </w:t>
      </w:r>
      <w:r>
        <w:t>1</w:t>
      </w:r>
      <w:r w:rsidRPr="00457D03">
        <w:t>)</w:t>
      </w:r>
    </w:p>
    <w:p w:rsidR="00AC40FC" w:rsidRDefault="00AC40FC" w:rsidP="00440B39">
      <w:r>
        <w:t>In addition to the systems examination currently planned, PPL EU should conduct a more comprehensive costs and benefits analysis to have phone agents enroll customers in OnTrack.  The existing program is paper-intensive and should be streamlined through system automation.  The costs of systems changes and employee assignment and training could be mitigated or exceeded by the benefits that include the potential for increased enrollments, improved customer payment behavior, better customer experience and service, and mitigation of uncollectible expenses and write-offs.</w:t>
      </w:r>
    </w:p>
    <w:p w:rsidR="00AC40FC" w:rsidRDefault="00AC40FC" w:rsidP="00440B39">
      <w:r>
        <w:t>PPL EU estimates that eliminating $.40 postage on approximately half of the 222,000 referrals per year results in savings of approximately $44,000 per year.</w:t>
      </w:r>
    </w:p>
    <w:p w:rsidR="00AC40FC" w:rsidRDefault="00AC40FC" w:rsidP="004F00E5">
      <w:pPr>
        <w:pStyle w:val="Findings"/>
        <w:numPr>
          <w:ilvl w:val="0"/>
          <w:numId w:val="53"/>
        </w:numPr>
      </w:pPr>
      <w:r>
        <w:t xml:space="preserve">Continue to explore methods to streamline and reduce fraud risk from the OnTrack household income validation process and then expedite implementation of the improvements.  </w:t>
      </w:r>
      <w:r w:rsidRPr="00457D03">
        <w:t>(</w:t>
      </w:r>
      <w:r>
        <w:t xml:space="preserve">See </w:t>
      </w:r>
      <w:r w:rsidRPr="00457D03">
        <w:t xml:space="preserve">Finding </w:t>
      </w:r>
      <w:r>
        <w:t>2</w:t>
      </w:r>
      <w:r w:rsidRPr="00457D03">
        <w:t>)</w:t>
      </w:r>
    </w:p>
    <w:p w:rsidR="00AC40FC" w:rsidRDefault="00AC40FC" w:rsidP="00440B39">
      <w:r>
        <w:t xml:space="preserve">The Regulatory Programs team has discussed methods to streamline enrollment, such as </w:t>
      </w:r>
      <w:r w:rsidRPr="004766DA">
        <w:t>allowing</w:t>
      </w:r>
      <w:r>
        <w:t xml:space="preserve"> and encouraging</w:t>
      </w:r>
      <w:r w:rsidRPr="004766DA">
        <w:t xml:space="preserve"> customers to email </w:t>
      </w:r>
      <w:r>
        <w:t xml:space="preserve">photographed or scanned </w:t>
      </w:r>
      <w:r w:rsidRPr="004766DA">
        <w:t>income d</w:t>
      </w:r>
      <w:r>
        <w:t>ocumentation/pay stubs to the caseworker.</w:t>
      </w:r>
      <w:r w:rsidRPr="004766DA">
        <w:t xml:space="preserve">  </w:t>
      </w:r>
      <w:r>
        <w:t xml:space="preserve">There are no </w:t>
      </w:r>
      <w:r w:rsidRPr="004766DA">
        <w:t xml:space="preserve">formal plans in place to implement these ideas.  </w:t>
      </w:r>
      <w:r>
        <w:t>This or other approaches would shorten the enrollment cycle for the customer.  Fraud risk may never be zero, but fraud can be mitigated through process improvements and by implementation of standardized and more rigorous auditing of the agencies’ performance, as recommended later in this Chapter.</w:t>
      </w:r>
    </w:p>
    <w:p w:rsidR="00AC40FC" w:rsidRDefault="00AC40FC" w:rsidP="004F00E5">
      <w:pPr>
        <w:pStyle w:val="Findings"/>
        <w:numPr>
          <w:ilvl w:val="0"/>
          <w:numId w:val="53"/>
        </w:numPr>
      </w:pPr>
      <w:r>
        <w:t>Implement improvements that will enable PPL EU and its OnTrack agencies to simplify the electricity usage criterion for the eligibility and re-certification processes.  (See Finding 3)</w:t>
      </w:r>
    </w:p>
    <w:p w:rsidR="00AC40FC" w:rsidRDefault="00AC40FC" w:rsidP="00440B39">
      <w:r>
        <w:t>Although energy conservation is one of the program’s four objectives, eligibility requirements related to electricity usage are difficult and often impossible for the agency caseworker to evaluate.  Regulatory Programs should seek a more, effective, simplified, and consistently applied approach.  If the energy conservation objective to “stabilize or reduce” energy usage is measurable, a metric should be established.  If it is not measurable, PPL EU should reconsider this objective.</w:t>
      </w:r>
    </w:p>
    <w:p w:rsidR="00AC40FC" w:rsidRDefault="00AC40FC" w:rsidP="004F00E5">
      <w:pPr>
        <w:pStyle w:val="Findings"/>
        <w:numPr>
          <w:ilvl w:val="0"/>
          <w:numId w:val="53"/>
        </w:numPr>
      </w:pPr>
      <w:r w:rsidRPr="003B79B9">
        <w:t>Implement a Low-Income Energy Assistance Programs (LEAP)-type system to streamline the O</w:t>
      </w:r>
      <w:r>
        <w:t>nTrack</w:t>
      </w:r>
      <w:r w:rsidRPr="003B79B9">
        <w:t xml:space="preserve"> referral and enrollment processes.  </w:t>
      </w:r>
      <w:r w:rsidRPr="00101BDF">
        <w:t>(</w:t>
      </w:r>
      <w:r>
        <w:t xml:space="preserve">See </w:t>
      </w:r>
      <w:r w:rsidRPr="00101BDF">
        <w:t>Finding</w:t>
      </w:r>
      <w:r>
        <w:t> 4</w:t>
      </w:r>
      <w:r w:rsidRPr="00101BDF">
        <w:t>)</w:t>
      </w:r>
    </w:p>
    <w:p w:rsidR="00AC40FC" w:rsidRPr="003B79B9" w:rsidRDefault="00AC40FC" w:rsidP="00440B39">
      <w:r w:rsidRPr="003B79B9">
        <w:t>The LEAP system has streamlined</w:t>
      </w:r>
      <w:r>
        <w:t xml:space="preserve"> the Winter Relief Assistance P</w:t>
      </w:r>
      <w:r w:rsidRPr="003B79B9">
        <w:t xml:space="preserve">rogram </w:t>
      </w:r>
      <w:r>
        <w:t xml:space="preserve">(WRAP) </w:t>
      </w:r>
      <w:r w:rsidRPr="003B79B9">
        <w:t>and could serve as a model for a similar system for OnTrack.</w:t>
      </w:r>
      <w:r>
        <w:t xml:space="preserve">  Combining the system with a Web portal would give authorized employees and contractors access to useful information</w:t>
      </w:r>
      <w:r w:rsidRPr="00440F93">
        <w:t xml:space="preserve"> </w:t>
      </w:r>
      <w:r>
        <w:t xml:space="preserve">and which will allow for </w:t>
      </w:r>
      <w:r w:rsidRPr="00B47A51">
        <w:t>better analytics and reporting capabilities</w:t>
      </w:r>
      <w:r>
        <w:t xml:space="preserve">.  </w:t>
      </w:r>
    </w:p>
    <w:p w:rsidR="00AC40FC" w:rsidRDefault="00AC40FC" w:rsidP="004F00E5">
      <w:pPr>
        <w:pStyle w:val="Heading2"/>
        <w:numPr>
          <w:ilvl w:val="0"/>
          <w:numId w:val="108"/>
        </w:numPr>
      </w:pPr>
      <w:bookmarkStart w:id="122" w:name="_Toc462647857"/>
      <w:bookmarkStart w:id="123" w:name="_Toc464552096"/>
      <w:r>
        <w:lastRenderedPageBreak/>
        <w:t xml:space="preserve">PPL EU </w:t>
      </w:r>
      <w:r w:rsidR="006376F4">
        <w:t>ontrack organization, staffing,</w:t>
      </w:r>
      <w:r>
        <w:br/>
        <w:t>and functions</w:t>
      </w:r>
      <w:bookmarkEnd w:id="122"/>
      <w:bookmarkEnd w:id="123"/>
    </w:p>
    <w:p w:rsidR="00AC40FC" w:rsidRDefault="00AC40FC" w:rsidP="00BB665B">
      <w:pPr>
        <w:pStyle w:val="Heading-forToC"/>
      </w:pPr>
      <w:bookmarkStart w:id="124" w:name="_Toc462647858"/>
      <w:bookmarkStart w:id="125" w:name="_Toc464552097"/>
      <w:r>
        <w:t>background</w:t>
      </w:r>
      <w:bookmarkEnd w:id="124"/>
      <w:bookmarkEnd w:id="125"/>
    </w:p>
    <w:p w:rsidR="00AC40FC" w:rsidRDefault="00AC40FC" w:rsidP="00440B39">
      <w:pPr>
        <w:pStyle w:val="Heading40"/>
      </w:pPr>
      <w:r>
        <w:t xml:space="preserve">Organization </w:t>
      </w:r>
    </w:p>
    <w:p w:rsidR="00AC40FC" w:rsidRDefault="00AC40FC" w:rsidP="00440B39">
      <w:r>
        <w:t>Regulatory Programs, part of the Customer Services organization, is responsible for several PUC-required programs, including OnTrack.  (Please see the Customer Services chapter of this report for discussion of non-OnTrack programs).  The OnTrack Program Manager and the five Regulatory Programs Specialists (RPSs) have oversight responsibilities for the OnTrack program, including the outsourced OnTrack enrollment work done by the OnTrack agencies.  The RPSs are assisted by the Universal Service Representatives.  The following organization chart depicts the staffing associated with OnTrack responsibilities:</w:t>
      </w:r>
    </w:p>
    <w:p w:rsidR="00AC40FC" w:rsidRDefault="00AC40FC" w:rsidP="002B3172">
      <w:pPr>
        <w:pStyle w:val="Caption"/>
      </w:pPr>
      <w:bookmarkStart w:id="126" w:name="_Toc462648422"/>
      <w:bookmarkStart w:id="127" w:name="_Toc464553044"/>
      <w:r>
        <w:t xml:space="preserve">Exhibit </w:t>
      </w:r>
      <w:fldSimple w:instr=" STYLEREF 1 \s ">
        <w:r w:rsidR="00A24205">
          <w:rPr>
            <w:noProof/>
          </w:rPr>
          <w:t>X</w:t>
        </w:r>
      </w:fldSimple>
      <w:r w:rsidR="00264A1B">
        <w:noBreakHyphen/>
      </w:r>
      <w:fldSimple w:instr=" SEQ Exhibit \* ARABIC \s 1 ">
        <w:r w:rsidR="00A24205">
          <w:rPr>
            <w:noProof/>
          </w:rPr>
          <w:t>5</w:t>
        </w:r>
      </w:fldSimple>
      <w:r>
        <w:br/>
        <w:t>PPL EU Staff with OnTrack Responsibilities</w:t>
      </w:r>
      <w:bookmarkEnd w:id="126"/>
      <w:bookmarkEnd w:id="127"/>
    </w:p>
    <w:p w:rsidR="00AC40FC" w:rsidRDefault="00AC40FC" w:rsidP="00440B39">
      <w:pPr>
        <w:jc w:val="center"/>
      </w:pPr>
      <w:r>
        <w:rPr>
          <w:noProof/>
        </w:rPr>
        <w:drawing>
          <wp:inline distT="0" distB="0" distL="0" distR="0">
            <wp:extent cx="4648996" cy="300037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PL-EU_01071-OnTrack_page117_v2.jpg"/>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54191" cy="3003728"/>
                    </a:xfrm>
                    <a:prstGeom prst="rect">
                      <a:avLst/>
                    </a:prstGeom>
                  </pic:spPr>
                </pic:pic>
              </a:graphicData>
            </a:graphic>
          </wp:inline>
        </w:drawing>
      </w:r>
    </w:p>
    <w:p w:rsidR="00AC40FC" w:rsidRDefault="00AC40FC" w:rsidP="00440B39">
      <w:pPr>
        <w:pStyle w:val="Normal-aftertable"/>
      </w:pPr>
      <w:r>
        <w:t>Source:  DN 01-071</w:t>
      </w:r>
    </w:p>
    <w:p w:rsidR="00AC40FC" w:rsidRDefault="00AC40FC" w:rsidP="00440B39">
      <w:r>
        <w:t>The staff with OnTrack responsibilities is shown above.  The OnTrack Program Manager has the official title of Customer Relations Specialist, as shown above.  Although this person is not shown as a direct line supervisor of the RPSs, this matrix arrangement establishes this person as having coordinating, planning, and analytic responsibilities for the part-time OnTrack work performed by the RPSs.</w:t>
      </w:r>
    </w:p>
    <w:p w:rsidR="00AC40FC" w:rsidRDefault="00AC40FC" w:rsidP="00440B39">
      <w:pPr>
        <w:pStyle w:val="Heading40"/>
      </w:pPr>
      <w:r>
        <w:t>Staffing</w:t>
      </w:r>
    </w:p>
    <w:p w:rsidR="00AC40FC" w:rsidRDefault="00AC40FC" w:rsidP="00440B39">
      <w:r>
        <w:t xml:space="preserve">The Regulatory Programs unit, under the direction of a Manager, has a total staff of 21 employees.  The OnTrack Program Manager coordinates the OnTrack-related work of the five RPSs who are located throughout the PPL EU territory with regional responsibilities.  The RPSs also handle other program work, including WRAP, </w:t>
      </w:r>
      <w:r w:rsidRPr="00300826">
        <w:rPr>
          <w:rFonts w:cs="Arial"/>
        </w:rPr>
        <w:t xml:space="preserve">LIHEAP, </w:t>
      </w:r>
      <w:r w:rsidRPr="00300826">
        <w:rPr>
          <w:rFonts w:cs="Arial"/>
        </w:rPr>
        <w:lastRenderedPageBreak/>
        <w:t>Operation HELP</w:t>
      </w:r>
      <w:r>
        <w:rPr>
          <w:rFonts w:cs="Arial"/>
        </w:rPr>
        <w:t xml:space="preserve"> (not an acronym),</w:t>
      </w:r>
      <w:r w:rsidRPr="00300826">
        <w:rPr>
          <w:rFonts w:cs="Arial"/>
        </w:rPr>
        <w:t xml:space="preserve"> Grants</w:t>
      </w:r>
      <w:r>
        <w:rPr>
          <w:rFonts w:cs="Arial"/>
        </w:rPr>
        <w:t xml:space="preserve"> (emergency bill-payment aid for customers with financial hardships)</w:t>
      </w:r>
      <w:r w:rsidRPr="00300826">
        <w:rPr>
          <w:rFonts w:cs="Arial"/>
        </w:rPr>
        <w:t xml:space="preserve">, </w:t>
      </w:r>
      <w:r>
        <w:rPr>
          <w:rFonts w:cs="Arial"/>
        </w:rPr>
        <w:t xml:space="preserve">and </w:t>
      </w:r>
      <w:r w:rsidRPr="00300826">
        <w:rPr>
          <w:rFonts w:cs="Arial"/>
        </w:rPr>
        <w:t>Customer Assistance and Referra</w:t>
      </w:r>
      <w:r>
        <w:rPr>
          <w:rFonts w:cs="Arial"/>
        </w:rPr>
        <w:t>l Services (CARES).</w:t>
      </w:r>
    </w:p>
    <w:p w:rsidR="00AC40FC" w:rsidRDefault="00AC40FC" w:rsidP="00440B39">
      <w:r>
        <w:t>The OnTrack program full-time equivalent (FTE) employees staffing is as follows:</w:t>
      </w:r>
    </w:p>
    <w:p w:rsidR="00AC40FC" w:rsidRPr="004376E7" w:rsidRDefault="00AC40FC" w:rsidP="002B3172">
      <w:pPr>
        <w:pStyle w:val="Caption"/>
      </w:pPr>
      <w:bookmarkStart w:id="128" w:name="_Toc462648423"/>
      <w:bookmarkStart w:id="129" w:name="_Toc464553045"/>
      <w:r>
        <w:t xml:space="preserve">Exhibit </w:t>
      </w:r>
      <w:fldSimple w:instr=" STYLEREF 1 \s ">
        <w:r w:rsidR="00A24205">
          <w:rPr>
            <w:noProof/>
          </w:rPr>
          <w:t>X</w:t>
        </w:r>
      </w:fldSimple>
      <w:r w:rsidR="00264A1B">
        <w:noBreakHyphen/>
      </w:r>
      <w:fldSimple w:instr=" SEQ Exhibit \* ARABIC \s 1 ">
        <w:r w:rsidR="00A24205">
          <w:rPr>
            <w:noProof/>
          </w:rPr>
          <w:t>6</w:t>
        </w:r>
      </w:fldSimple>
      <w:r>
        <w:br/>
      </w:r>
      <w:r w:rsidRPr="00EC05E7">
        <w:t>OnTrack Program PPL EU Staff</w:t>
      </w:r>
      <w:bookmarkEnd w:id="128"/>
      <w:bookmarkEnd w:id="1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1236"/>
        <w:gridCol w:w="1464"/>
        <w:gridCol w:w="1464"/>
      </w:tblGrid>
      <w:tr w:rsidR="00AC40FC" w:rsidRPr="00284392" w:rsidTr="00440B39">
        <w:trPr>
          <w:cantSplit/>
          <w:tblHeader/>
          <w:jc w:val="center"/>
        </w:trPr>
        <w:tc>
          <w:tcPr>
            <w:tcW w:w="5148" w:type="dxa"/>
            <w:shd w:val="clear" w:color="auto" w:fill="A5CD7E"/>
            <w:vAlign w:val="center"/>
          </w:tcPr>
          <w:p w:rsidR="00AC40FC" w:rsidRPr="00284392" w:rsidRDefault="00AC40FC" w:rsidP="00521E7D">
            <w:pPr>
              <w:spacing w:before="120"/>
              <w:jc w:val="center"/>
              <w:rPr>
                <w:b/>
              </w:rPr>
            </w:pPr>
            <w:r w:rsidRPr="00284392">
              <w:rPr>
                <w:b/>
              </w:rPr>
              <w:t>Job Title</w:t>
            </w:r>
          </w:p>
        </w:tc>
        <w:tc>
          <w:tcPr>
            <w:tcW w:w="1236" w:type="dxa"/>
            <w:shd w:val="clear" w:color="auto" w:fill="A5CD7E"/>
            <w:vAlign w:val="center"/>
          </w:tcPr>
          <w:p w:rsidR="00AC40FC" w:rsidRPr="00284392" w:rsidRDefault="00AC40FC" w:rsidP="00521E7D">
            <w:pPr>
              <w:spacing w:before="120"/>
              <w:jc w:val="center"/>
              <w:rPr>
                <w:b/>
              </w:rPr>
            </w:pPr>
            <w:r w:rsidRPr="00284392">
              <w:rPr>
                <w:b/>
              </w:rPr>
              <w:t>Number</w:t>
            </w:r>
          </w:p>
        </w:tc>
        <w:tc>
          <w:tcPr>
            <w:tcW w:w="1464" w:type="dxa"/>
            <w:shd w:val="clear" w:color="auto" w:fill="A5CD7E"/>
            <w:vAlign w:val="center"/>
          </w:tcPr>
          <w:p w:rsidR="00AC40FC" w:rsidRPr="00284392" w:rsidRDefault="00AC40FC" w:rsidP="00521E7D">
            <w:pPr>
              <w:spacing w:before="120"/>
              <w:jc w:val="center"/>
              <w:rPr>
                <w:b/>
              </w:rPr>
            </w:pPr>
            <w:r w:rsidRPr="00284392">
              <w:rPr>
                <w:b/>
              </w:rPr>
              <w:t>OnTrack % of Time</w:t>
            </w:r>
          </w:p>
        </w:tc>
        <w:tc>
          <w:tcPr>
            <w:tcW w:w="1464" w:type="dxa"/>
            <w:shd w:val="clear" w:color="auto" w:fill="A5CD7E"/>
          </w:tcPr>
          <w:p w:rsidR="00AC40FC" w:rsidRPr="00284392" w:rsidRDefault="00AC40FC" w:rsidP="00521E7D">
            <w:pPr>
              <w:spacing w:before="120"/>
              <w:jc w:val="center"/>
              <w:rPr>
                <w:b/>
              </w:rPr>
            </w:pPr>
            <w:r>
              <w:rPr>
                <w:b/>
              </w:rPr>
              <w:t>OnTrack FTEs</w:t>
            </w:r>
          </w:p>
        </w:tc>
      </w:tr>
      <w:tr w:rsidR="00AC40FC" w:rsidTr="00440B39">
        <w:trPr>
          <w:cantSplit/>
          <w:jc w:val="center"/>
        </w:trPr>
        <w:tc>
          <w:tcPr>
            <w:tcW w:w="5148" w:type="dxa"/>
            <w:shd w:val="clear" w:color="auto" w:fill="auto"/>
            <w:vAlign w:val="center"/>
          </w:tcPr>
          <w:p w:rsidR="00AC40FC" w:rsidRDefault="00AC40FC" w:rsidP="00440B39">
            <w:pPr>
              <w:spacing w:after="0"/>
              <w:jc w:val="center"/>
            </w:pPr>
            <w:r>
              <w:t>Regulatory Program Specialist</w:t>
            </w:r>
          </w:p>
        </w:tc>
        <w:tc>
          <w:tcPr>
            <w:tcW w:w="1236" w:type="dxa"/>
            <w:shd w:val="clear" w:color="auto" w:fill="auto"/>
            <w:vAlign w:val="center"/>
          </w:tcPr>
          <w:p w:rsidR="00AC40FC" w:rsidRDefault="00AC40FC" w:rsidP="00440B39">
            <w:pPr>
              <w:spacing w:after="0"/>
              <w:jc w:val="center"/>
            </w:pPr>
            <w:r>
              <w:t>5</w:t>
            </w:r>
          </w:p>
        </w:tc>
        <w:tc>
          <w:tcPr>
            <w:tcW w:w="1464" w:type="dxa"/>
            <w:shd w:val="clear" w:color="auto" w:fill="auto"/>
            <w:vAlign w:val="center"/>
          </w:tcPr>
          <w:p w:rsidR="00AC40FC" w:rsidRDefault="00AC40FC" w:rsidP="00440B39">
            <w:pPr>
              <w:spacing w:after="0"/>
              <w:jc w:val="center"/>
            </w:pPr>
            <w:r>
              <w:t>30%</w:t>
            </w:r>
          </w:p>
        </w:tc>
        <w:tc>
          <w:tcPr>
            <w:tcW w:w="1464" w:type="dxa"/>
          </w:tcPr>
          <w:p w:rsidR="00AC40FC" w:rsidRDefault="00AC40FC" w:rsidP="00440B39">
            <w:pPr>
              <w:spacing w:after="0"/>
              <w:jc w:val="center"/>
            </w:pPr>
            <w:r>
              <w:t>1.50</w:t>
            </w:r>
          </w:p>
        </w:tc>
      </w:tr>
      <w:tr w:rsidR="00AC40FC" w:rsidTr="00440B39">
        <w:trPr>
          <w:cantSplit/>
          <w:jc w:val="center"/>
        </w:trPr>
        <w:tc>
          <w:tcPr>
            <w:tcW w:w="5148" w:type="dxa"/>
            <w:shd w:val="clear" w:color="auto" w:fill="auto"/>
            <w:vAlign w:val="center"/>
          </w:tcPr>
          <w:p w:rsidR="00AC40FC" w:rsidRDefault="00AC40FC" w:rsidP="00440B39">
            <w:pPr>
              <w:spacing w:after="0"/>
              <w:jc w:val="center"/>
            </w:pPr>
            <w:r>
              <w:t>Customer Relations Specialist</w:t>
            </w:r>
          </w:p>
        </w:tc>
        <w:tc>
          <w:tcPr>
            <w:tcW w:w="1236" w:type="dxa"/>
            <w:shd w:val="clear" w:color="auto" w:fill="auto"/>
            <w:vAlign w:val="center"/>
          </w:tcPr>
          <w:p w:rsidR="00AC40FC" w:rsidRDefault="00AC40FC" w:rsidP="00440B39">
            <w:pPr>
              <w:spacing w:after="0"/>
              <w:jc w:val="center"/>
            </w:pPr>
            <w:r>
              <w:t>1</w:t>
            </w:r>
          </w:p>
        </w:tc>
        <w:tc>
          <w:tcPr>
            <w:tcW w:w="1464" w:type="dxa"/>
            <w:shd w:val="clear" w:color="auto" w:fill="auto"/>
            <w:vAlign w:val="center"/>
          </w:tcPr>
          <w:p w:rsidR="00AC40FC" w:rsidRDefault="00AC40FC" w:rsidP="00440B39">
            <w:pPr>
              <w:spacing w:after="0"/>
              <w:jc w:val="center"/>
            </w:pPr>
            <w:r>
              <w:t>100%</w:t>
            </w:r>
          </w:p>
        </w:tc>
        <w:tc>
          <w:tcPr>
            <w:tcW w:w="1464" w:type="dxa"/>
          </w:tcPr>
          <w:p w:rsidR="00AC40FC" w:rsidRDefault="00AC40FC" w:rsidP="00440B39">
            <w:pPr>
              <w:spacing w:after="0"/>
              <w:jc w:val="center"/>
            </w:pPr>
            <w:r>
              <w:t>1.00</w:t>
            </w:r>
          </w:p>
        </w:tc>
      </w:tr>
      <w:tr w:rsidR="00AC40FC" w:rsidTr="00440B39">
        <w:trPr>
          <w:cantSplit/>
          <w:jc w:val="center"/>
        </w:trPr>
        <w:tc>
          <w:tcPr>
            <w:tcW w:w="5148" w:type="dxa"/>
            <w:shd w:val="clear" w:color="auto" w:fill="auto"/>
            <w:vAlign w:val="center"/>
          </w:tcPr>
          <w:p w:rsidR="00AC40FC" w:rsidRDefault="00AC40FC" w:rsidP="00440B39">
            <w:pPr>
              <w:spacing w:after="0"/>
              <w:jc w:val="center"/>
            </w:pPr>
            <w:r>
              <w:t>Universal Service Representative</w:t>
            </w:r>
          </w:p>
        </w:tc>
        <w:tc>
          <w:tcPr>
            <w:tcW w:w="1236" w:type="dxa"/>
            <w:shd w:val="clear" w:color="auto" w:fill="auto"/>
            <w:vAlign w:val="center"/>
          </w:tcPr>
          <w:p w:rsidR="00AC40FC" w:rsidRDefault="00AC40FC" w:rsidP="00440B39">
            <w:pPr>
              <w:spacing w:after="0"/>
              <w:jc w:val="center"/>
            </w:pPr>
            <w:r>
              <w:t>10</w:t>
            </w:r>
          </w:p>
        </w:tc>
        <w:tc>
          <w:tcPr>
            <w:tcW w:w="1464" w:type="dxa"/>
            <w:shd w:val="clear" w:color="auto" w:fill="auto"/>
            <w:vAlign w:val="center"/>
          </w:tcPr>
          <w:p w:rsidR="00AC40FC" w:rsidRDefault="00AC40FC" w:rsidP="00440B39">
            <w:pPr>
              <w:spacing w:after="0"/>
              <w:jc w:val="center"/>
            </w:pPr>
            <w:r>
              <w:t>5%</w:t>
            </w:r>
          </w:p>
        </w:tc>
        <w:tc>
          <w:tcPr>
            <w:tcW w:w="1464" w:type="dxa"/>
          </w:tcPr>
          <w:p w:rsidR="00AC40FC" w:rsidRDefault="00AC40FC" w:rsidP="00440B39">
            <w:pPr>
              <w:spacing w:after="0"/>
              <w:jc w:val="center"/>
            </w:pPr>
            <w:r>
              <w:t>0.50</w:t>
            </w:r>
          </w:p>
        </w:tc>
      </w:tr>
      <w:tr w:rsidR="00AC40FC" w:rsidTr="00440B39">
        <w:trPr>
          <w:cantSplit/>
          <w:jc w:val="center"/>
        </w:trPr>
        <w:tc>
          <w:tcPr>
            <w:tcW w:w="5148" w:type="dxa"/>
            <w:shd w:val="clear" w:color="auto" w:fill="auto"/>
            <w:vAlign w:val="center"/>
          </w:tcPr>
          <w:p w:rsidR="00AC40FC" w:rsidRDefault="00AC40FC" w:rsidP="00440B39">
            <w:pPr>
              <w:spacing w:after="0"/>
              <w:jc w:val="center"/>
            </w:pPr>
            <w:r>
              <w:t>Manager</w:t>
            </w:r>
          </w:p>
        </w:tc>
        <w:tc>
          <w:tcPr>
            <w:tcW w:w="1236" w:type="dxa"/>
            <w:shd w:val="clear" w:color="auto" w:fill="auto"/>
            <w:vAlign w:val="center"/>
          </w:tcPr>
          <w:p w:rsidR="00AC40FC" w:rsidRDefault="00AC40FC" w:rsidP="00440B39">
            <w:pPr>
              <w:spacing w:after="0"/>
              <w:jc w:val="center"/>
            </w:pPr>
            <w:r>
              <w:t>1</w:t>
            </w:r>
          </w:p>
        </w:tc>
        <w:tc>
          <w:tcPr>
            <w:tcW w:w="1464" w:type="dxa"/>
            <w:shd w:val="clear" w:color="auto" w:fill="auto"/>
            <w:vAlign w:val="center"/>
          </w:tcPr>
          <w:p w:rsidR="00AC40FC" w:rsidRDefault="00AC40FC" w:rsidP="00440B39">
            <w:pPr>
              <w:spacing w:after="0"/>
              <w:jc w:val="center"/>
            </w:pPr>
            <w:r>
              <w:t>15%</w:t>
            </w:r>
          </w:p>
        </w:tc>
        <w:tc>
          <w:tcPr>
            <w:tcW w:w="1464" w:type="dxa"/>
          </w:tcPr>
          <w:p w:rsidR="00AC40FC" w:rsidRDefault="00AC40FC" w:rsidP="00440B39">
            <w:pPr>
              <w:spacing w:after="0"/>
              <w:jc w:val="center"/>
            </w:pPr>
            <w:r>
              <w:t>0.15</w:t>
            </w:r>
          </w:p>
        </w:tc>
      </w:tr>
      <w:tr w:rsidR="00AC40FC" w:rsidTr="00440B39">
        <w:trPr>
          <w:cantSplit/>
          <w:jc w:val="center"/>
        </w:trPr>
        <w:tc>
          <w:tcPr>
            <w:tcW w:w="5148" w:type="dxa"/>
            <w:shd w:val="clear" w:color="auto" w:fill="auto"/>
            <w:vAlign w:val="center"/>
          </w:tcPr>
          <w:p w:rsidR="00AC40FC" w:rsidRPr="006558B7" w:rsidRDefault="00AC40FC" w:rsidP="00440B39">
            <w:pPr>
              <w:spacing w:after="0"/>
              <w:jc w:val="center"/>
              <w:rPr>
                <w:b/>
              </w:rPr>
            </w:pPr>
            <w:r w:rsidRPr="006558B7">
              <w:rPr>
                <w:b/>
              </w:rPr>
              <w:t>Total</w:t>
            </w:r>
          </w:p>
        </w:tc>
        <w:tc>
          <w:tcPr>
            <w:tcW w:w="1236" w:type="dxa"/>
            <w:shd w:val="clear" w:color="auto" w:fill="auto"/>
            <w:vAlign w:val="center"/>
          </w:tcPr>
          <w:p w:rsidR="00AC40FC" w:rsidRPr="006558B7" w:rsidRDefault="00AC40FC" w:rsidP="00440B39">
            <w:pPr>
              <w:spacing w:after="0"/>
              <w:jc w:val="center"/>
              <w:rPr>
                <w:b/>
              </w:rPr>
            </w:pPr>
            <w:r w:rsidRPr="006558B7">
              <w:rPr>
                <w:b/>
              </w:rPr>
              <w:t>17</w:t>
            </w:r>
          </w:p>
        </w:tc>
        <w:tc>
          <w:tcPr>
            <w:tcW w:w="1464" w:type="dxa"/>
            <w:shd w:val="clear" w:color="auto" w:fill="auto"/>
            <w:vAlign w:val="center"/>
          </w:tcPr>
          <w:p w:rsidR="00AC40FC" w:rsidRPr="006558B7" w:rsidRDefault="00AC40FC" w:rsidP="00440B39">
            <w:pPr>
              <w:spacing w:after="0"/>
              <w:jc w:val="center"/>
              <w:rPr>
                <w:b/>
              </w:rPr>
            </w:pPr>
            <w:r w:rsidRPr="006558B7">
              <w:rPr>
                <w:b/>
              </w:rPr>
              <w:t>-</w:t>
            </w:r>
          </w:p>
        </w:tc>
        <w:tc>
          <w:tcPr>
            <w:tcW w:w="1464" w:type="dxa"/>
          </w:tcPr>
          <w:p w:rsidR="00AC40FC" w:rsidRPr="006558B7" w:rsidRDefault="00AC40FC" w:rsidP="00440B39">
            <w:pPr>
              <w:spacing w:after="0"/>
              <w:jc w:val="center"/>
              <w:rPr>
                <w:b/>
              </w:rPr>
            </w:pPr>
            <w:r w:rsidRPr="006558B7">
              <w:rPr>
                <w:b/>
              </w:rPr>
              <w:t>3.15</w:t>
            </w:r>
          </w:p>
        </w:tc>
      </w:tr>
      <w:tr w:rsidR="00AC40FC" w:rsidRPr="004E2401" w:rsidTr="00440B39">
        <w:trPr>
          <w:cantSplit/>
          <w:jc w:val="center"/>
        </w:trPr>
        <w:tc>
          <w:tcPr>
            <w:tcW w:w="7848" w:type="dxa"/>
            <w:gridSpan w:val="3"/>
            <w:shd w:val="clear" w:color="auto" w:fill="auto"/>
            <w:vAlign w:val="center"/>
          </w:tcPr>
          <w:p w:rsidR="00AC40FC" w:rsidRPr="004E2401" w:rsidRDefault="00AC40FC" w:rsidP="00440B39">
            <w:pPr>
              <w:spacing w:after="0"/>
              <w:jc w:val="left"/>
              <w:rPr>
                <w:szCs w:val="24"/>
              </w:rPr>
            </w:pPr>
            <w:r>
              <w:rPr>
                <w:szCs w:val="24"/>
              </w:rPr>
              <w:t xml:space="preserve">Source:  DN </w:t>
            </w:r>
            <w:r w:rsidRPr="004E2401">
              <w:rPr>
                <w:szCs w:val="24"/>
              </w:rPr>
              <w:t>14-148</w:t>
            </w:r>
          </w:p>
        </w:tc>
        <w:tc>
          <w:tcPr>
            <w:tcW w:w="1464" w:type="dxa"/>
          </w:tcPr>
          <w:p w:rsidR="00AC40FC" w:rsidRDefault="00AC40FC" w:rsidP="00440B39">
            <w:pPr>
              <w:spacing w:after="0"/>
              <w:jc w:val="left"/>
              <w:rPr>
                <w:szCs w:val="24"/>
              </w:rPr>
            </w:pPr>
          </w:p>
        </w:tc>
      </w:tr>
    </w:tbl>
    <w:p w:rsidR="00AC40FC" w:rsidRDefault="00AC40FC" w:rsidP="00440B39">
      <w:pPr>
        <w:pStyle w:val="Normal-aftertable"/>
      </w:pPr>
      <w:r>
        <w:t xml:space="preserve">The five RPSs are assigned to coordinate one or more of the ten CAP agencies within their region.  </w:t>
      </w:r>
      <w:r w:rsidRPr="00AF3840">
        <w:t xml:space="preserve">The </w:t>
      </w:r>
      <w:r>
        <w:t xml:space="preserve">Customer Relations Specialist title shown in the above table is the OnTrack Program Manager.  The Universal Service Representatives provide administrative and clerical support to the five RPS and the Program Manager.  The last title is the Manager of the Regulatory Programs group.  </w:t>
      </w:r>
      <w:r w:rsidRPr="00C825E0">
        <w:t>The remaining FTEs (</w:t>
      </w:r>
      <w:r>
        <w:t xml:space="preserve">out </w:t>
      </w:r>
      <w:r w:rsidRPr="00C825E0">
        <w:t>of the to</w:t>
      </w:r>
      <w:r>
        <w:t>t</w:t>
      </w:r>
      <w:r w:rsidRPr="00C825E0">
        <w:t>al 21</w:t>
      </w:r>
      <w:r>
        <w:t>)</w:t>
      </w:r>
      <w:r w:rsidRPr="00C825E0">
        <w:t xml:space="preserve"> </w:t>
      </w:r>
      <w:r w:rsidRPr="001B61D4">
        <w:t>charge their time to PUC regulatory matters</w:t>
      </w:r>
      <w:r>
        <w:t xml:space="preserve">, including </w:t>
      </w:r>
      <w:r w:rsidRPr="001B61D4">
        <w:t>responding to PUC informal complaints.</w:t>
      </w:r>
      <w:r>
        <w:rPr>
          <w:rFonts w:ascii="Bookman Old Style" w:hAnsi="Bookman Old Style"/>
          <w:szCs w:val="24"/>
        </w:rPr>
        <w:t xml:space="preserve">  </w:t>
      </w:r>
    </w:p>
    <w:p w:rsidR="00AC40FC" w:rsidRDefault="00AC40FC" w:rsidP="00440B39">
      <w:r>
        <w:t xml:space="preserve">The percent of time and FTEs columns represent an administrative accounting allocation.  The actual percent of total time for OnTrack work for the RPSs is likely between 10% and 20%.  Much of the remaining time is associated with WRAP work, primarily managing WRAP contractors.  The OnTrack day-to-day work done by the RPSs is therefore overstated and less than 1.5 FTEs as shown in the table, and likely closer to 1.0 FTE.  </w:t>
      </w:r>
    </w:p>
    <w:p w:rsidR="00AC40FC" w:rsidRDefault="00AC40FC" w:rsidP="00440B39">
      <w:pPr>
        <w:pStyle w:val="Heading40"/>
      </w:pPr>
      <w:r>
        <w:t>Functions</w:t>
      </w:r>
    </w:p>
    <w:p w:rsidR="00AC40FC" w:rsidRDefault="00AC40FC" w:rsidP="00440B39">
      <w:r>
        <w:t>The OnTrack Program Manager is responsible for:</w:t>
      </w:r>
    </w:p>
    <w:p w:rsidR="00AC40FC" w:rsidRDefault="00AC40FC" w:rsidP="00786363">
      <w:pPr>
        <w:pStyle w:val="Bullet"/>
        <w:spacing w:before="120"/>
      </w:pPr>
      <w:r>
        <w:t>Overseeing the annual OnTrack budget</w:t>
      </w:r>
    </w:p>
    <w:p w:rsidR="00AC40FC" w:rsidRDefault="00AC40FC" w:rsidP="00786363">
      <w:pPr>
        <w:pStyle w:val="Bullet"/>
        <w:spacing w:before="120"/>
      </w:pPr>
      <w:r>
        <w:t>Resolving day-to-day problems, both internally and externally</w:t>
      </w:r>
    </w:p>
    <w:p w:rsidR="00AC40FC" w:rsidRDefault="00AC40FC" w:rsidP="00786363">
      <w:pPr>
        <w:pStyle w:val="Bullet"/>
        <w:spacing w:before="120"/>
      </w:pPr>
      <w:r>
        <w:t>Writing policies and procedures for the program</w:t>
      </w:r>
    </w:p>
    <w:p w:rsidR="00AC40FC" w:rsidRDefault="00AC40FC" w:rsidP="00786363">
      <w:pPr>
        <w:pStyle w:val="Bullet"/>
        <w:spacing w:before="120"/>
      </w:pPr>
      <w:r>
        <w:t>Writing the three-year plan for the program</w:t>
      </w:r>
    </w:p>
    <w:p w:rsidR="00AC40FC" w:rsidRDefault="00AC40FC" w:rsidP="00786363">
      <w:pPr>
        <w:pStyle w:val="Bullet"/>
        <w:spacing w:before="120"/>
      </w:pPr>
      <w:r>
        <w:t>Generating and reviewing monthly program reports</w:t>
      </w:r>
    </w:p>
    <w:p w:rsidR="00AC40FC" w:rsidRDefault="00AC40FC" w:rsidP="00786363">
      <w:pPr>
        <w:pStyle w:val="Bullet"/>
        <w:spacing w:before="120"/>
      </w:pPr>
      <w:r>
        <w:t>Providing program information to agencies and the PPL EU call center</w:t>
      </w:r>
    </w:p>
    <w:p w:rsidR="00AC40FC" w:rsidRDefault="00AC40FC" w:rsidP="00786363">
      <w:pPr>
        <w:pStyle w:val="Bullet"/>
        <w:spacing w:before="120"/>
      </w:pPr>
      <w:r>
        <w:t>Ensuring eligible participants are referred to WRAP</w:t>
      </w:r>
    </w:p>
    <w:p w:rsidR="00AC40FC" w:rsidRDefault="00AC40FC" w:rsidP="00786363">
      <w:pPr>
        <w:pStyle w:val="Bullet"/>
        <w:spacing w:before="120"/>
      </w:pPr>
      <w:r>
        <w:t>Working with PPL EU’s IT Department on program enhancements</w:t>
      </w:r>
    </w:p>
    <w:p w:rsidR="00AC40FC" w:rsidRDefault="00AC40FC" w:rsidP="00440B39">
      <w:pPr>
        <w:pStyle w:val="Normal-aftertable"/>
      </w:pPr>
      <w:r>
        <w:t>The RPSs are responsible for overseeing the OnTrack agencies within their regions.  Their responsibilities include:</w:t>
      </w:r>
    </w:p>
    <w:p w:rsidR="00AC40FC" w:rsidRDefault="00AC40FC" w:rsidP="00786363">
      <w:pPr>
        <w:pStyle w:val="Bullet"/>
        <w:spacing w:before="120"/>
      </w:pPr>
      <w:r>
        <w:lastRenderedPageBreak/>
        <w:t>Agency contract negotiations</w:t>
      </w:r>
    </w:p>
    <w:p w:rsidR="00AC40FC" w:rsidRDefault="00AC40FC" w:rsidP="00786363">
      <w:pPr>
        <w:pStyle w:val="Bullet"/>
        <w:spacing w:before="120"/>
      </w:pPr>
      <w:r>
        <w:t>Review of agency invoices</w:t>
      </w:r>
    </w:p>
    <w:p w:rsidR="00AC40FC" w:rsidRDefault="00AC40FC" w:rsidP="00786363">
      <w:pPr>
        <w:pStyle w:val="Bullet"/>
        <w:spacing w:before="120"/>
      </w:pPr>
      <w:r>
        <w:t>The annual audit of agency OnTrack administration</w:t>
      </w:r>
    </w:p>
    <w:p w:rsidR="00AC40FC" w:rsidRDefault="00AC40FC" w:rsidP="00786363">
      <w:pPr>
        <w:pStyle w:val="Bullet"/>
        <w:spacing w:before="120"/>
      </w:pPr>
      <w:r>
        <w:t>Resolving day-to-day problems with the agencies</w:t>
      </w:r>
    </w:p>
    <w:p w:rsidR="00AC40FC" w:rsidRDefault="00AC40FC" w:rsidP="00786363">
      <w:pPr>
        <w:pStyle w:val="Bullet"/>
        <w:spacing w:before="120"/>
      </w:pPr>
      <w:r>
        <w:t>Resolving customer issues</w:t>
      </w:r>
    </w:p>
    <w:p w:rsidR="00AC40FC" w:rsidRDefault="00AC40FC" w:rsidP="00440B39">
      <w:pPr>
        <w:pStyle w:val="Normal-aftertable"/>
      </w:pPr>
      <w:r>
        <w:t>The Regulatory Programs Manager and the OnTrack Program Manager prepare the OnTrack segment of the PPL EU tri-annual Universal Service and Energy Conservation Plan submitted to the PUC.  The existing Plan runs from 2014 through 2016.  Regulatory Programs is beginning to prepare the next plan that will run from 2017 through 2019.  An update to the existing plan was filed in April 2015 which described the status of program changes and improvements.  The update identified three projects requiring IT work that enable PPL EU to comply with recent PUC-mandated changes:</w:t>
      </w:r>
    </w:p>
    <w:p w:rsidR="00AC40FC" w:rsidRPr="00214F22" w:rsidRDefault="00AC40FC" w:rsidP="00786363">
      <w:pPr>
        <w:pStyle w:val="Bullet"/>
        <w:spacing w:before="120"/>
      </w:pPr>
      <w:r>
        <w:t xml:space="preserve">Remain in Program on Budget Billing after Exceeding Credit Limit (project #15294).  </w:t>
      </w:r>
      <w:r w:rsidRPr="00214F22">
        <w:t xml:space="preserve">This </w:t>
      </w:r>
      <w:r>
        <w:t>will</w:t>
      </w:r>
      <w:r w:rsidRPr="00214F22">
        <w:t xml:space="preserve"> increase program retention by allowing households to remain in the program after exceeding the</w:t>
      </w:r>
      <w:r>
        <w:t xml:space="preserve"> 18-month OnTrack</w:t>
      </w:r>
      <w:r w:rsidRPr="00214F22">
        <w:t xml:space="preserve"> credit limit</w:t>
      </w:r>
      <w:r>
        <w:t>, thus modifying the program, as described earlier.</w:t>
      </w:r>
      <w:r w:rsidRPr="00214F22">
        <w:t xml:space="preserve"> </w:t>
      </w:r>
      <w:r>
        <w:t xml:space="preserve"> </w:t>
      </w:r>
      <w:r w:rsidRPr="00214F22">
        <w:t>Under the 2014</w:t>
      </w:r>
      <w:r>
        <w:t>–</w:t>
      </w:r>
      <w:r w:rsidRPr="00214F22">
        <w:t>2016 Plan, those credit limits are $3,240 for homes with electric heat and $1,275 for non-electric heat.</w:t>
      </w:r>
      <w:r>
        <w:t xml:space="preserve">  This project is now referred to as OnTrack Budget Billing and was </w:t>
      </w:r>
      <w:r w:rsidR="00E32117">
        <w:t>implemented</w:t>
      </w:r>
      <w:r>
        <w:t xml:space="preserve"> in December 2015.</w:t>
      </w:r>
    </w:p>
    <w:p w:rsidR="00AC40FC" w:rsidRPr="008C546A" w:rsidRDefault="00AC40FC" w:rsidP="00786363">
      <w:pPr>
        <w:pStyle w:val="Bullet"/>
        <w:spacing w:before="120"/>
      </w:pPr>
      <w:r>
        <w:t xml:space="preserve">Remain in Program after Relocating within PPL EU’s Service Territory (project #15295).  </w:t>
      </w:r>
      <w:r w:rsidRPr="008C546A">
        <w:t xml:space="preserve">This will increase program retention and customer satisfaction by enabling the program to “follow” the participant as </w:t>
      </w:r>
      <w:r>
        <w:t>t</w:t>
      </w:r>
      <w:r w:rsidRPr="008C546A">
        <w:t xml:space="preserve">he </w:t>
      </w:r>
      <w:r>
        <w:t xml:space="preserve">person </w:t>
      </w:r>
      <w:r w:rsidRPr="008C546A">
        <w:t>moves within PPL</w:t>
      </w:r>
      <w:r>
        <w:t xml:space="preserve"> EU’s service territory</w:t>
      </w:r>
      <w:r w:rsidRPr="008C546A">
        <w:t>. Currently, when a customer moves from one location to another</w:t>
      </w:r>
      <w:r>
        <w:t>,</w:t>
      </w:r>
      <w:r w:rsidRPr="008C546A">
        <w:t xml:space="preserve"> </w:t>
      </w:r>
      <w:r>
        <w:t>the customer must</w:t>
      </w:r>
      <w:r w:rsidRPr="00B27723">
        <w:t xml:space="preserve"> re-apply to the program.</w:t>
      </w:r>
      <w:r>
        <w:t xml:space="preserve">  The project is now referred to as the OnTrack Seamless Move and was implemented in December 2015.</w:t>
      </w:r>
    </w:p>
    <w:p w:rsidR="00AC40FC" w:rsidRDefault="00AC40FC" w:rsidP="00786363">
      <w:pPr>
        <w:pStyle w:val="Bullet"/>
        <w:spacing w:before="120"/>
      </w:pPr>
      <w:r w:rsidRPr="00B27723">
        <w:t>App</w:t>
      </w:r>
      <w:r>
        <w:t>lication of Excess OnTrack P</w:t>
      </w:r>
      <w:r w:rsidRPr="00B27723">
        <w:t xml:space="preserve">ayments (project #15298).  This program change will re-define how </w:t>
      </w:r>
      <w:r>
        <w:t xml:space="preserve">the </w:t>
      </w:r>
      <w:r w:rsidRPr="00B27723">
        <w:t>system applies excess payments to OnTrack accounts.</w:t>
      </w:r>
      <w:r>
        <w:t xml:space="preserve">  The project is now referred to as OnTrack Overpayment Credit and was implemented in December 2015.  If the account balance drops to below $0 and an overpayment is received, the system creates a credit and applies it to future scheduled payments.</w:t>
      </w:r>
    </w:p>
    <w:p w:rsidR="00AC40FC" w:rsidRDefault="00AC40FC" w:rsidP="00BB665B">
      <w:pPr>
        <w:pStyle w:val="Heading-forToC"/>
      </w:pPr>
      <w:bookmarkStart w:id="130" w:name="_Toc462647859"/>
      <w:bookmarkStart w:id="131" w:name="_Toc464552098"/>
      <w:r>
        <w:t>finding</w:t>
      </w:r>
      <w:bookmarkEnd w:id="130"/>
      <w:bookmarkEnd w:id="131"/>
      <w:r>
        <w:t xml:space="preserve"> </w:t>
      </w:r>
    </w:p>
    <w:p w:rsidR="00AC40FC" w:rsidRDefault="00AC40FC" w:rsidP="004F00E5">
      <w:pPr>
        <w:pStyle w:val="Findings"/>
        <w:numPr>
          <w:ilvl w:val="0"/>
          <w:numId w:val="54"/>
        </w:numPr>
      </w:pPr>
      <w:r>
        <w:t>Regulatory Programs does not have sufficient staff resources to effectively and efficiently manage the OnTrack program.</w:t>
      </w:r>
    </w:p>
    <w:p w:rsidR="00AC40FC" w:rsidRDefault="00AC40FC" w:rsidP="00440B39">
      <w:pPr>
        <w:rPr>
          <w:rFonts w:cs="Arial"/>
          <w:szCs w:val="24"/>
        </w:rPr>
      </w:pPr>
      <w:r>
        <w:rPr>
          <w:rFonts w:cs="Arial"/>
          <w:szCs w:val="24"/>
        </w:rPr>
        <w:t>The OnTrack FTE levels appear to be inadequate, in view of the importance of OnTrack to customers in need of payment assistance, the magnitude of the $80 million budget and its impact on ratepayer bills, and the efforts needed to appropriately manage the OnTrack agencies.</w:t>
      </w:r>
    </w:p>
    <w:p w:rsidR="00AC40FC" w:rsidRDefault="00AC40FC" w:rsidP="00440B39">
      <w:pPr>
        <w:rPr>
          <w:rFonts w:cs="Arial"/>
          <w:szCs w:val="24"/>
        </w:rPr>
      </w:pPr>
      <w:r>
        <w:rPr>
          <w:rFonts w:cs="Arial"/>
          <w:szCs w:val="24"/>
        </w:rPr>
        <w:t xml:space="preserve">The Regulatory Programs staff oversees the OnTrack agencies for contract performance, auditing the hours that are billed, ensuring enrollment targets are achieved, resolving process problems, assessing the quality of the customer </w:t>
      </w:r>
      <w:r>
        <w:rPr>
          <w:rFonts w:cs="Arial"/>
          <w:szCs w:val="24"/>
        </w:rPr>
        <w:lastRenderedPageBreak/>
        <w:t>experience, taking corrective actions, assisting in training of caseworkers as needed, and identifying performance improvement opportunities.  The five RPSs that have direct contact with the agencies also have other non-OnTrack responsibilities, and devote a small portion of their time on average to their OnTrack responsibilities.  Only the Program Manager is essentially full-time (1.0 FTE) and the total Regulatory Programs resources are optimistically at 3.15 FTEs; however, given the other responsibilities performed by the RPSs, total Regulatory Program resources are more likely at 2.65 FTEs.  The following table presents the scope and scale of Regulatory Programs staff responsibilities, on a per FTE basis in 2015.</w:t>
      </w:r>
    </w:p>
    <w:p w:rsidR="00AC40FC" w:rsidRDefault="00AC40FC" w:rsidP="002B3172">
      <w:pPr>
        <w:pStyle w:val="Caption"/>
      </w:pPr>
      <w:bookmarkStart w:id="132" w:name="_Toc462648424"/>
      <w:bookmarkStart w:id="133" w:name="_Toc464553046"/>
      <w:r>
        <w:t xml:space="preserve">Exhibit </w:t>
      </w:r>
      <w:fldSimple w:instr=" STYLEREF 1 \s ">
        <w:r w:rsidR="00A24205">
          <w:rPr>
            <w:noProof/>
          </w:rPr>
          <w:t>X</w:t>
        </w:r>
      </w:fldSimple>
      <w:r w:rsidR="00264A1B">
        <w:noBreakHyphen/>
      </w:r>
      <w:fldSimple w:instr=" SEQ Exhibit \* ARABIC \s 1 ">
        <w:r w:rsidR="00A24205">
          <w:rPr>
            <w:noProof/>
          </w:rPr>
          <w:t>7</w:t>
        </w:r>
      </w:fldSimple>
      <w:r>
        <w:br/>
        <w:t>Regulatory Programs Responsibilities per OnTrack FTE</w:t>
      </w:r>
      <w:bookmarkEnd w:id="132"/>
      <w:bookmarkEnd w:id="133"/>
    </w:p>
    <w:tbl>
      <w:tblPr>
        <w:tblW w:w="9450" w:type="dxa"/>
        <w:jc w:val="center"/>
        <w:tblLayout w:type="fixed"/>
        <w:tblLook w:val="04A0"/>
      </w:tblPr>
      <w:tblGrid>
        <w:gridCol w:w="1166"/>
        <w:gridCol w:w="724"/>
        <w:gridCol w:w="1260"/>
        <w:gridCol w:w="1080"/>
        <w:gridCol w:w="1350"/>
        <w:gridCol w:w="1350"/>
        <w:gridCol w:w="1260"/>
        <w:gridCol w:w="1260"/>
      </w:tblGrid>
      <w:tr w:rsidR="00AC40FC" w:rsidRPr="00363B63" w:rsidTr="00786363">
        <w:trPr>
          <w:cantSplit/>
          <w:trHeight w:val="740"/>
          <w:tblHeader/>
          <w:jc w:val="center"/>
        </w:trPr>
        <w:tc>
          <w:tcPr>
            <w:tcW w:w="1166" w:type="dxa"/>
            <w:tcBorders>
              <w:top w:val="single" w:sz="8" w:space="0" w:color="auto"/>
              <w:left w:val="single" w:sz="8" w:space="0" w:color="auto"/>
              <w:bottom w:val="single" w:sz="8" w:space="0" w:color="auto"/>
              <w:right w:val="single" w:sz="8" w:space="0" w:color="auto"/>
            </w:tcBorders>
            <w:shd w:val="clear" w:color="auto" w:fill="A5CD7E"/>
            <w:noWrap/>
            <w:vAlign w:val="center"/>
            <w:hideMark/>
          </w:tcPr>
          <w:p w:rsidR="00AC40FC" w:rsidRPr="00521E7D" w:rsidRDefault="00AC40FC" w:rsidP="00521E7D">
            <w:pPr>
              <w:spacing w:before="80" w:after="80"/>
              <w:jc w:val="left"/>
              <w:rPr>
                <w:rFonts w:cs="Arial"/>
                <w:b/>
                <w:color w:val="000000"/>
                <w:sz w:val="18"/>
                <w:szCs w:val="18"/>
              </w:rPr>
            </w:pPr>
            <w:r w:rsidRPr="00521E7D">
              <w:rPr>
                <w:rFonts w:cs="Arial"/>
                <w:b/>
                <w:color w:val="000000"/>
                <w:sz w:val="18"/>
                <w:szCs w:val="18"/>
              </w:rPr>
              <w:t>Program</w:t>
            </w:r>
          </w:p>
        </w:tc>
        <w:tc>
          <w:tcPr>
            <w:tcW w:w="724" w:type="dxa"/>
            <w:tcBorders>
              <w:top w:val="single" w:sz="8" w:space="0" w:color="auto"/>
              <w:left w:val="nil"/>
              <w:bottom w:val="single" w:sz="8" w:space="0" w:color="auto"/>
              <w:right w:val="single" w:sz="8" w:space="0" w:color="auto"/>
            </w:tcBorders>
            <w:shd w:val="clear" w:color="auto" w:fill="A5CD7E"/>
            <w:vAlign w:val="center"/>
            <w:hideMark/>
          </w:tcPr>
          <w:p w:rsidR="00AC40FC" w:rsidRPr="00363B63" w:rsidRDefault="00AC40FC" w:rsidP="00521E7D">
            <w:pPr>
              <w:spacing w:before="80" w:after="80"/>
              <w:jc w:val="center"/>
              <w:rPr>
                <w:rFonts w:cs="Arial"/>
                <w:b/>
                <w:bCs/>
                <w:color w:val="000000"/>
                <w:sz w:val="18"/>
                <w:szCs w:val="18"/>
              </w:rPr>
            </w:pPr>
            <w:r w:rsidRPr="00363B63">
              <w:rPr>
                <w:rFonts w:cs="Arial"/>
                <w:b/>
                <w:bCs/>
                <w:color w:val="000000"/>
                <w:sz w:val="18"/>
                <w:szCs w:val="18"/>
              </w:rPr>
              <w:t>Total FTEs</w:t>
            </w:r>
          </w:p>
        </w:tc>
        <w:tc>
          <w:tcPr>
            <w:tcW w:w="1260" w:type="dxa"/>
            <w:tcBorders>
              <w:top w:val="single" w:sz="8" w:space="0" w:color="auto"/>
              <w:left w:val="nil"/>
              <w:bottom w:val="single" w:sz="8" w:space="0" w:color="auto"/>
              <w:right w:val="single" w:sz="8" w:space="0" w:color="auto"/>
            </w:tcBorders>
            <w:shd w:val="clear" w:color="auto" w:fill="A5CD7E"/>
            <w:vAlign w:val="center"/>
            <w:hideMark/>
          </w:tcPr>
          <w:p w:rsidR="00AC40FC" w:rsidRPr="00363B63" w:rsidRDefault="00AC40FC" w:rsidP="00521E7D">
            <w:pPr>
              <w:spacing w:before="80" w:after="80"/>
              <w:jc w:val="center"/>
              <w:rPr>
                <w:rFonts w:cs="Arial"/>
                <w:b/>
                <w:bCs/>
                <w:color w:val="000000"/>
                <w:sz w:val="18"/>
                <w:szCs w:val="18"/>
              </w:rPr>
            </w:pPr>
            <w:r w:rsidRPr="00363B63">
              <w:rPr>
                <w:rFonts w:cs="Arial"/>
                <w:b/>
                <w:bCs/>
                <w:color w:val="000000"/>
                <w:sz w:val="18"/>
                <w:szCs w:val="18"/>
              </w:rPr>
              <w:t>Total Annual Program Costs (Note)</w:t>
            </w:r>
          </w:p>
        </w:tc>
        <w:tc>
          <w:tcPr>
            <w:tcW w:w="1080" w:type="dxa"/>
            <w:tcBorders>
              <w:top w:val="single" w:sz="8" w:space="0" w:color="auto"/>
              <w:left w:val="nil"/>
              <w:bottom w:val="single" w:sz="8" w:space="0" w:color="auto"/>
              <w:right w:val="single" w:sz="8" w:space="0" w:color="auto"/>
            </w:tcBorders>
            <w:shd w:val="clear" w:color="auto" w:fill="A5CD7E"/>
            <w:vAlign w:val="center"/>
            <w:hideMark/>
          </w:tcPr>
          <w:p w:rsidR="00AC40FC" w:rsidRPr="00363B63" w:rsidRDefault="00AC40FC" w:rsidP="00521E7D">
            <w:pPr>
              <w:spacing w:before="80" w:after="80"/>
              <w:jc w:val="center"/>
              <w:rPr>
                <w:rFonts w:cs="Arial"/>
                <w:b/>
                <w:bCs/>
                <w:color w:val="000000"/>
                <w:sz w:val="18"/>
                <w:szCs w:val="18"/>
              </w:rPr>
            </w:pPr>
            <w:r w:rsidRPr="00363B63">
              <w:rPr>
                <w:rFonts w:cs="Arial"/>
                <w:b/>
                <w:bCs/>
                <w:color w:val="000000"/>
                <w:sz w:val="18"/>
                <w:szCs w:val="18"/>
              </w:rPr>
              <w:t xml:space="preserve">Number of Agencies </w:t>
            </w:r>
          </w:p>
        </w:tc>
        <w:tc>
          <w:tcPr>
            <w:tcW w:w="1350" w:type="dxa"/>
            <w:tcBorders>
              <w:top w:val="single" w:sz="8" w:space="0" w:color="auto"/>
              <w:left w:val="nil"/>
              <w:bottom w:val="single" w:sz="8" w:space="0" w:color="auto"/>
              <w:right w:val="single" w:sz="8" w:space="0" w:color="auto"/>
            </w:tcBorders>
            <w:shd w:val="clear" w:color="auto" w:fill="A5CD7E"/>
            <w:vAlign w:val="center"/>
            <w:hideMark/>
          </w:tcPr>
          <w:p w:rsidR="00AC40FC" w:rsidRPr="00363B63" w:rsidRDefault="00AC40FC" w:rsidP="00521E7D">
            <w:pPr>
              <w:spacing w:before="80" w:after="80"/>
              <w:jc w:val="center"/>
              <w:rPr>
                <w:rFonts w:cs="Arial"/>
                <w:b/>
                <w:bCs/>
                <w:color w:val="000000"/>
                <w:sz w:val="18"/>
                <w:szCs w:val="18"/>
              </w:rPr>
            </w:pPr>
            <w:r w:rsidRPr="00363B63">
              <w:rPr>
                <w:rFonts w:cs="Arial"/>
                <w:b/>
                <w:bCs/>
                <w:color w:val="000000"/>
                <w:sz w:val="18"/>
                <w:szCs w:val="18"/>
              </w:rPr>
              <w:t>Agency Caseworkers</w:t>
            </w:r>
          </w:p>
        </w:tc>
        <w:tc>
          <w:tcPr>
            <w:tcW w:w="1350" w:type="dxa"/>
            <w:tcBorders>
              <w:top w:val="single" w:sz="8" w:space="0" w:color="auto"/>
              <w:left w:val="nil"/>
              <w:bottom w:val="single" w:sz="8" w:space="0" w:color="auto"/>
              <w:right w:val="single" w:sz="8" w:space="0" w:color="auto"/>
            </w:tcBorders>
            <w:shd w:val="clear" w:color="auto" w:fill="A5CD7E"/>
            <w:vAlign w:val="center"/>
            <w:hideMark/>
          </w:tcPr>
          <w:p w:rsidR="00AC40FC" w:rsidRPr="00363B63" w:rsidRDefault="00AC40FC" w:rsidP="00521E7D">
            <w:pPr>
              <w:spacing w:before="80" w:after="80"/>
              <w:jc w:val="center"/>
              <w:rPr>
                <w:rFonts w:cs="Arial"/>
                <w:b/>
                <w:bCs/>
                <w:color w:val="000000"/>
                <w:sz w:val="18"/>
                <w:szCs w:val="18"/>
              </w:rPr>
            </w:pPr>
            <w:r w:rsidRPr="00363B63">
              <w:rPr>
                <w:rFonts w:cs="Arial"/>
                <w:b/>
                <w:bCs/>
                <w:color w:val="000000"/>
                <w:sz w:val="18"/>
                <w:szCs w:val="18"/>
              </w:rPr>
              <w:t>Agency Annual Admin Dollars</w:t>
            </w:r>
          </w:p>
        </w:tc>
        <w:tc>
          <w:tcPr>
            <w:tcW w:w="1260" w:type="dxa"/>
            <w:tcBorders>
              <w:top w:val="single" w:sz="8" w:space="0" w:color="auto"/>
              <w:left w:val="nil"/>
              <w:bottom w:val="single" w:sz="8" w:space="0" w:color="auto"/>
              <w:right w:val="single" w:sz="8" w:space="0" w:color="auto"/>
            </w:tcBorders>
            <w:shd w:val="clear" w:color="auto" w:fill="A5CD7E"/>
            <w:vAlign w:val="center"/>
            <w:hideMark/>
          </w:tcPr>
          <w:p w:rsidR="00AC40FC" w:rsidRPr="00363B63" w:rsidRDefault="00AC40FC" w:rsidP="00521E7D">
            <w:pPr>
              <w:spacing w:before="80" w:after="80"/>
              <w:jc w:val="center"/>
              <w:rPr>
                <w:rFonts w:cs="Arial"/>
                <w:b/>
                <w:bCs/>
                <w:color w:val="000000"/>
                <w:sz w:val="18"/>
                <w:szCs w:val="18"/>
              </w:rPr>
            </w:pPr>
            <w:r w:rsidRPr="00363B63">
              <w:rPr>
                <w:rFonts w:cs="Arial"/>
                <w:b/>
                <w:bCs/>
                <w:color w:val="000000"/>
                <w:sz w:val="18"/>
                <w:szCs w:val="18"/>
              </w:rPr>
              <w:t>New Annual Enrollments</w:t>
            </w:r>
          </w:p>
        </w:tc>
        <w:tc>
          <w:tcPr>
            <w:tcW w:w="1260" w:type="dxa"/>
            <w:tcBorders>
              <w:top w:val="single" w:sz="8" w:space="0" w:color="auto"/>
              <w:left w:val="nil"/>
              <w:bottom w:val="single" w:sz="8" w:space="0" w:color="auto"/>
              <w:right w:val="single" w:sz="8" w:space="0" w:color="auto"/>
            </w:tcBorders>
            <w:shd w:val="clear" w:color="auto" w:fill="A5CD7E"/>
            <w:vAlign w:val="center"/>
            <w:hideMark/>
          </w:tcPr>
          <w:p w:rsidR="00AC40FC" w:rsidRPr="00363B63" w:rsidRDefault="00AC40FC" w:rsidP="00521E7D">
            <w:pPr>
              <w:spacing w:before="80" w:after="80"/>
              <w:jc w:val="center"/>
              <w:rPr>
                <w:rFonts w:cs="Arial"/>
                <w:b/>
                <w:bCs/>
                <w:color w:val="000000"/>
                <w:sz w:val="18"/>
                <w:szCs w:val="18"/>
              </w:rPr>
            </w:pPr>
            <w:r w:rsidRPr="00363B63">
              <w:rPr>
                <w:rFonts w:cs="Arial"/>
                <w:b/>
                <w:bCs/>
                <w:color w:val="000000"/>
                <w:sz w:val="18"/>
                <w:szCs w:val="18"/>
              </w:rPr>
              <w:t>Average Monthly Participants</w:t>
            </w:r>
          </w:p>
        </w:tc>
      </w:tr>
      <w:tr w:rsidR="00AC40FC" w:rsidRPr="00363B63" w:rsidTr="00440B39">
        <w:trPr>
          <w:trHeight w:val="340"/>
          <w:jc w:val="center"/>
        </w:trPr>
        <w:tc>
          <w:tcPr>
            <w:tcW w:w="1166" w:type="dxa"/>
            <w:tcBorders>
              <w:top w:val="nil"/>
              <w:left w:val="single" w:sz="8" w:space="0" w:color="auto"/>
              <w:bottom w:val="single" w:sz="8" w:space="0" w:color="auto"/>
              <w:right w:val="single" w:sz="8" w:space="0" w:color="auto"/>
            </w:tcBorders>
            <w:shd w:val="clear" w:color="auto" w:fill="auto"/>
            <w:noWrap/>
            <w:vAlign w:val="center"/>
            <w:hideMark/>
          </w:tcPr>
          <w:p w:rsidR="00AC40FC" w:rsidRPr="00363B63" w:rsidRDefault="00AC40FC" w:rsidP="00440B39">
            <w:pPr>
              <w:spacing w:after="0"/>
              <w:jc w:val="center"/>
              <w:rPr>
                <w:rFonts w:cs="Arial"/>
                <w:color w:val="000000"/>
                <w:sz w:val="18"/>
                <w:szCs w:val="18"/>
              </w:rPr>
            </w:pPr>
            <w:r w:rsidRPr="00363B63">
              <w:rPr>
                <w:rFonts w:cs="Arial"/>
                <w:color w:val="000000"/>
                <w:sz w:val="18"/>
                <w:szCs w:val="18"/>
              </w:rPr>
              <w:t>Total OnTrack Program</w:t>
            </w:r>
          </w:p>
        </w:tc>
        <w:tc>
          <w:tcPr>
            <w:tcW w:w="724" w:type="dxa"/>
            <w:tcBorders>
              <w:top w:val="nil"/>
              <w:left w:val="nil"/>
              <w:bottom w:val="single" w:sz="8" w:space="0" w:color="auto"/>
              <w:right w:val="single" w:sz="8" w:space="0" w:color="auto"/>
            </w:tcBorders>
            <w:shd w:val="clear" w:color="000000" w:fill="F2F2F2"/>
            <w:noWrap/>
            <w:vAlign w:val="center"/>
            <w:hideMark/>
          </w:tcPr>
          <w:p w:rsidR="00AC40FC" w:rsidRPr="00363B63" w:rsidRDefault="00AC40FC" w:rsidP="00440B39">
            <w:pPr>
              <w:spacing w:after="0"/>
              <w:jc w:val="center"/>
              <w:rPr>
                <w:rFonts w:cs="Arial"/>
                <w:color w:val="000000"/>
                <w:sz w:val="18"/>
                <w:szCs w:val="18"/>
              </w:rPr>
            </w:pPr>
            <w:r w:rsidRPr="00363B63">
              <w:rPr>
                <w:rFonts w:cs="Arial"/>
                <w:color w:val="000000"/>
                <w:sz w:val="18"/>
                <w:szCs w:val="18"/>
              </w:rPr>
              <w:t>3.15</w:t>
            </w:r>
          </w:p>
        </w:tc>
        <w:tc>
          <w:tcPr>
            <w:tcW w:w="1260" w:type="dxa"/>
            <w:tcBorders>
              <w:top w:val="nil"/>
              <w:left w:val="nil"/>
              <w:bottom w:val="single" w:sz="8" w:space="0" w:color="auto"/>
              <w:right w:val="single" w:sz="8" w:space="0" w:color="auto"/>
            </w:tcBorders>
            <w:shd w:val="clear" w:color="000000" w:fill="F2F2F2"/>
            <w:noWrap/>
            <w:vAlign w:val="center"/>
            <w:hideMark/>
          </w:tcPr>
          <w:p w:rsidR="00AC40FC" w:rsidRPr="00363B63" w:rsidRDefault="00AC40FC" w:rsidP="00440B39">
            <w:pPr>
              <w:spacing w:after="0"/>
              <w:jc w:val="center"/>
              <w:rPr>
                <w:rFonts w:cs="Arial"/>
                <w:color w:val="000000"/>
                <w:sz w:val="18"/>
                <w:szCs w:val="18"/>
              </w:rPr>
            </w:pPr>
            <w:r w:rsidRPr="00363B63">
              <w:rPr>
                <w:rFonts w:cs="Arial"/>
                <w:color w:val="000000"/>
                <w:sz w:val="18"/>
                <w:szCs w:val="18"/>
              </w:rPr>
              <w:t xml:space="preserve">$81,237,755 </w:t>
            </w:r>
          </w:p>
        </w:tc>
        <w:tc>
          <w:tcPr>
            <w:tcW w:w="1080" w:type="dxa"/>
            <w:tcBorders>
              <w:top w:val="nil"/>
              <w:left w:val="nil"/>
              <w:bottom w:val="single" w:sz="8" w:space="0" w:color="auto"/>
              <w:right w:val="single" w:sz="8" w:space="0" w:color="auto"/>
            </w:tcBorders>
            <w:shd w:val="clear" w:color="000000" w:fill="F2F2F2"/>
            <w:noWrap/>
            <w:vAlign w:val="center"/>
            <w:hideMark/>
          </w:tcPr>
          <w:p w:rsidR="00AC40FC" w:rsidRPr="00363B63" w:rsidRDefault="00AC40FC" w:rsidP="00440B39">
            <w:pPr>
              <w:spacing w:after="0"/>
              <w:jc w:val="center"/>
              <w:rPr>
                <w:rFonts w:cs="Arial"/>
                <w:color w:val="000000"/>
                <w:sz w:val="18"/>
                <w:szCs w:val="18"/>
              </w:rPr>
            </w:pPr>
            <w:r w:rsidRPr="00363B63">
              <w:rPr>
                <w:rFonts w:cs="Arial"/>
                <w:color w:val="000000"/>
                <w:sz w:val="18"/>
                <w:szCs w:val="18"/>
              </w:rPr>
              <w:t>8</w:t>
            </w:r>
          </w:p>
        </w:tc>
        <w:tc>
          <w:tcPr>
            <w:tcW w:w="1350" w:type="dxa"/>
            <w:tcBorders>
              <w:top w:val="nil"/>
              <w:left w:val="nil"/>
              <w:bottom w:val="single" w:sz="8" w:space="0" w:color="auto"/>
              <w:right w:val="single" w:sz="8" w:space="0" w:color="auto"/>
            </w:tcBorders>
            <w:shd w:val="clear" w:color="000000" w:fill="F2F2F2"/>
            <w:noWrap/>
            <w:vAlign w:val="center"/>
            <w:hideMark/>
          </w:tcPr>
          <w:p w:rsidR="00AC40FC" w:rsidRPr="00363B63" w:rsidRDefault="00AC40FC" w:rsidP="00440B39">
            <w:pPr>
              <w:spacing w:after="0"/>
              <w:jc w:val="center"/>
              <w:rPr>
                <w:rFonts w:cs="Arial"/>
                <w:color w:val="000000"/>
                <w:sz w:val="18"/>
                <w:szCs w:val="18"/>
              </w:rPr>
            </w:pPr>
            <w:r w:rsidRPr="00363B63">
              <w:rPr>
                <w:rFonts w:cs="Arial"/>
                <w:color w:val="000000"/>
                <w:sz w:val="18"/>
                <w:szCs w:val="18"/>
              </w:rPr>
              <w:t>51</w:t>
            </w:r>
          </w:p>
        </w:tc>
        <w:tc>
          <w:tcPr>
            <w:tcW w:w="1350" w:type="dxa"/>
            <w:tcBorders>
              <w:top w:val="nil"/>
              <w:left w:val="nil"/>
              <w:bottom w:val="single" w:sz="8" w:space="0" w:color="auto"/>
              <w:right w:val="single" w:sz="8" w:space="0" w:color="auto"/>
            </w:tcBorders>
            <w:shd w:val="clear" w:color="000000" w:fill="F2F2F2"/>
            <w:noWrap/>
            <w:vAlign w:val="center"/>
            <w:hideMark/>
          </w:tcPr>
          <w:p w:rsidR="00AC40FC" w:rsidRPr="00363B63" w:rsidRDefault="00AC40FC" w:rsidP="00440B39">
            <w:pPr>
              <w:spacing w:after="0"/>
              <w:jc w:val="center"/>
              <w:rPr>
                <w:rFonts w:cs="Arial"/>
                <w:color w:val="000000"/>
                <w:sz w:val="18"/>
                <w:szCs w:val="18"/>
              </w:rPr>
            </w:pPr>
            <w:r w:rsidRPr="00363B63">
              <w:rPr>
                <w:rFonts w:cs="Arial"/>
                <w:color w:val="000000"/>
                <w:sz w:val="18"/>
                <w:szCs w:val="18"/>
              </w:rPr>
              <w:t xml:space="preserve">$2,736,716 </w:t>
            </w:r>
          </w:p>
        </w:tc>
        <w:tc>
          <w:tcPr>
            <w:tcW w:w="1260" w:type="dxa"/>
            <w:tcBorders>
              <w:top w:val="nil"/>
              <w:left w:val="nil"/>
              <w:bottom w:val="single" w:sz="8" w:space="0" w:color="auto"/>
              <w:right w:val="single" w:sz="8" w:space="0" w:color="auto"/>
            </w:tcBorders>
            <w:shd w:val="clear" w:color="000000" w:fill="F2F2F2"/>
            <w:noWrap/>
            <w:vAlign w:val="center"/>
            <w:hideMark/>
          </w:tcPr>
          <w:p w:rsidR="00AC40FC" w:rsidRPr="00363B63" w:rsidRDefault="00AC40FC" w:rsidP="00440B39">
            <w:pPr>
              <w:spacing w:after="0"/>
              <w:jc w:val="center"/>
              <w:rPr>
                <w:rFonts w:cs="Arial"/>
                <w:color w:val="000000"/>
                <w:sz w:val="18"/>
                <w:szCs w:val="18"/>
              </w:rPr>
            </w:pPr>
            <w:r w:rsidRPr="00363B63">
              <w:rPr>
                <w:rFonts w:cs="Arial"/>
                <w:color w:val="000000"/>
                <w:sz w:val="18"/>
                <w:szCs w:val="18"/>
              </w:rPr>
              <w:t>38,024</w:t>
            </w:r>
          </w:p>
        </w:tc>
        <w:tc>
          <w:tcPr>
            <w:tcW w:w="1260" w:type="dxa"/>
            <w:tcBorders>
              <w:top w:val="nil"/>
              <w:left w:val="nil"/>
              <w:bottom w:val="single" w:sz="8" w:space="0" w:color="auto"/>
              <w:right w:val="single" w:sz="8" w:space="0" w:color="auto"/>
            </w:tcBorders>
            <w:shd w:val="clear" w:color="000000" w:fill="F2F2F2"/>
            <w:noWrap/>
            <w:vAlign w:val="center"/>
            <w:hideMark/>
          </w:tcPr>
          <w:p w:rsidR="00AC40FC" w:rsidRPr="00363B63" w:rsidRDefault="00AC40FC" w:rsidP="00440B39">
            <w:pPr>
              <w:spacing w:after="0"/>
              <w:jc w:val="center"/>
              <w:rPr>
                <w:rFonts w:cs="Arial"/>
                <w:color w:val="000000"/>
                <w:sz w:val="18"/>
                <w:szCs w:val="18"/>
              </w:rPr>
            </w:pPr>
            <w:r w:rsidRPr="00363B63">
              <w:rPr>
                <w:rFonts w:cs="Arial"/>
                <w:color w:val="000000"/>
                <w:sz w:val="18"/>
                <w:szCs w:val="18"/>
              </w:rPr>
              <w:t>45,801</w:t>
            </w:r>
          </w:p>
        </w:tc>
      </w:tr>
      <w:tr w:rsidR="00AC40FC" w:rsidRPr="00363B63" w:rsidTr="00440B39">
        <w:trPr>
          <w:trHeight w:val="340"/>
          <w:jc w:val="center"/>
        </w:trPr>
        <w:tc>
          <w:tcPr>
            <w:tcW w:w="1166" w:type="dxa"/>
            <w:tcBorders>
              <w:top w:val="nil"/>
              <w:left w:val="single" w:sz="8" w:space="0" w:color="auto"/>
              <w:bottom w:val="single" w:sz="8" w:space="0" w:color="auto"/>
              <w:right w:val="single" w:sz="8" w:space="0" w:color="auto"/>
            </w:tcBorders>
            <w:shd w:val="clear" w:color="auto" w:fill="auto"/>
            <w:noWrap/>
            <w:vAlign w:val="center"/>
            <w:hideMark/>
          </w:tcPr>
          <w:p w:rsidR="00AC40FC" w:rsidRPr="00363B63" w:rsidRDefault="00AC40FC" w:rsidP="00440B39">
            <w:pPr>
              <w:spacing w:after="0"/>
              <w:jc w:val="center"/>
              <w:rPr>
                <w:rFonts w:cs="Arial"/>
                <w:color w:val="000000"/>
                <w:sz w:val="18"/>
                <w:szCs w:val="18"/>
              </w:rPr>
            </w:pPr>
            <w:r w:rsidRPr="00363B63">
              <w:rPr>
                <w:rFonts w:cs="Arial"/>
                <w:color w:val="000000"/>
                <w:sz w:val="18"/>
                <w:szCs w:val="18"/>
              </w:rPr>
              <w:t>Per FTE Calculation</w:t>
            </w:r>
          </w:p>
        </w:tc>
        <w:tc>
          <w:tcPr>
            <w:tcW w:w="724" w:type="dxa"/>
            <w:tcBorders>
              <w:top w:val="nil"/>
              <w:left w:val="nil"/>
              <w:bottom w:val="single" w:sz="8" w:space="0" w:color="auto"/>
              <w:right w:val="single" w:sz="8" w:space="0" w:color="auto"/>
            </w:tcBorders>
            <w:shd w:val="clear" w:color="000000" w:fill="F2F2F2"/>
            <w:noWrap/>
            <w:vAlign w:val="center"/>
            <w:hideMark/>
          </w:tcPr>
          <w:p w:rsidR="00AC40FC" w:rsidRPr="00363B63" w:rsidRDefault="00AC40FC" w:rsidP="00440B39">
            <w:pPr>
              <w:spacing w:after="0"/>
              <w:jc w:val="center"/>
              <w:rPr>
                <w:rFonts w:cs="Arial"/>
                <w:color w:val="000000"/>
                <w:sz w:val="18"/>
                <w:szCs w:val="18"/>
              </w:rPr>
            </w:pPr>
            <w:r w:rsidRPr="00363B63">
              <w:rPr>
                <w:rFonts w:cs="Arial"/>
                <w:color w:val="000000"/>
                <w:sz w:val="18"/>
                <w:szCs w:val="18"/>
              </w:rPr>
              <w:t>1.00</w:t>
            </w:r>
          </w:p>
        </w:tc>
        <w:tc>
          <w:tcPr>
            <w:tcW w:w="1260" w:type="dxa"/>
            <w:tcBorders>
              <w:top w:val="nil"/>
              <w:left w:val="nil"/>
              <w:bottom w:val="single" w:sz="8" w:space="0" w:color="auto"/>
              <w:right w:val="single" w:sz="8" w:space="0" w:color="auto"/>
            </w:tcBorders>
            <w:shd w:val="clear" w:color="000000" w:fill="F2F2F2"/>
            <w:noWrap/>
            <w:vAlign w:val="center"/>
            <w:hideMark/>
          </w:tcPr>
          <w:p w:rsidR="00AC40FC" w:rsidRPr="00363B63" w:rsidRDefault="00AC40FC" w:rsidP="00440B39">
            <w:pPr>
              <w:spacing w:after="0"/>
              <w:jc w:val="center"/>
              <w:rPr>
                <w:rFonts w:cs="Arial"/>
                <w:color w:val="000000"/>
                <w:sz w:val="18"/>
                <w:szCs w:val="18"/>
              </w:rPr>
            </w:pPr>
            <w:r w:rsidRPr="00363B63">
              <w:rPr>
                <w:rFonts w:cs="Arial"/>
                <w:color w:val="000000"/>
                <w:sz w:val="18"/>
                <w:szCs w:val="18"/>
              </w:rPr>
              <w:t xml:space="preserve">$25,789,763 </w:t>
            </w:r>
          </w:p>
        </w:tc>
        <w:tc>
          <w:tcPr>
            <w:tcW w:w="1080" w:type="dxa"/>
            <w:tcBorders>
              <w:top w:val="nil"/>
              <w:left w:val="nil"/>
              <w:bottom w:val="single" w:sz="8" w:space="0" w:color="auto"/>
              <w:right w:val="single" w:sz="8" w:space="0" w:color="auto"/>
            </w:tcBorders>
            <w:shd w:val="clear" w:color="000000" w:fill="F2F2F2"/>
            <w:noWrap/>
            <w:vAlign w:val="center"/>
            <w:hideMark/>
          </w:tcPr>
          <w:p w:rsidR="00AC40FC" w:rsidRPr="00363B63" w:rsidRDefault="00AC40FC" w:rsidP="00440B39">
            <w:pPr>
              <w:spacing w:after="0"/>
              <w:jc w:val="center"/>
              <w:rPr>
                <w:rFonts w:cs="Arial"/>
                <w:color w:val="000000"/>
                <w:sz w:val="18"/>
                <w:szCs w:val="18"/>
              </w:rPr>
            </w:pPr>
            <w:r w:rsidRPr="00363B63">
              <w:rPr>
                <w:rFonts w:cs="Arial"/>
                <w:color w:val="000000"/>
                <w:sz w:val="18"/>
                <w:szCs w:val="18"/>
              </w:rPr>
              <w:t>2.5</w:t>
            </w:r>
          </w:p>
        </w:tc>
        <w:tc>
          <w:tcPr>
            <w:tcW w:w="1350" w:type="dxa"/>
            <w:tcBorders>
              <w:top w:val="nil"/>
              <w:left w:val="nil"/>
              <w:bottom w:val="single" w:sz="8" w:space="0" w:color="auto"/>
              <w:right w:val="single" w:sz="8" w:space="0" w:color="auto"/>
            </w:tcBorders>
            <w:shd w:val="clear" w:color="000000" w:fill="F2F2F2"/>
            <w:noWrap/>
            <w:vAlign w:val="center"/>
            <w:hideMark/>
          </w:tcPr>
          <w:p w:rsidR="00AC40FC" w:rsidRPr="00363B63" w:rsidRDefault="00AC40FC" w:rsidP="00440B39">
            <w:pPr>
              <w:spacing w:after="0"/>
              <w:jc w:val="center"/>
              <w:rPr>
                <w:rFonts w:cs="Arial"/>
                <w:color w:val="000000"/>
                <w:sz w:val="18"/>
                <w:szCs w:val="18"/>
              </w:rPr>
            </w:pPr>
            <w:r w:rsidRPr="00363B63">
              <w:rPr>
                <w:rFonts w:cs="Arial"/>
                <w:color w:val="000000"/>
                <w:sz w:val="18"/>
                <w:szCs w:val="18"/>
              </w:rPr>
              <w:t>$868,799</w:t>
            </w:r>
          </w:p>
        </w:tc>
        <w:tc>
          <w:tcPr>
            <w:tcW w:w="1350" w:type="dxa"/>
            <w:tcBorders>
              <w:top w:val="nil"/>
              <w:left w:val="nil"/>
              <w:bottom w:val="single" w:sz="8" w:space="0" w:color="auto"/>
              <w:right w:val="single" w:sz="8" w:space="0" w:color="auto"/>
            </w:tcBorders>
            <w:shd w:val="clear" w:color="000000" w:fill="F2F2F2"/>
            <w:noWrap/>
            <w:vAlign w:val="center"/>
            <w:hideMark/>
          </w:tcPr>
          <w:p w:rsidR="00AC40FC" w:rsidRPr="00363B63" w:rsidRDefault="00AC40FC" w:rsidP="00440B39">
            <w:pPr>
              <w:spacing w:after="0"/>
              <w:jc w:val="center"/>
              <w:rPr>
                <w:rFonts w:cs="Arial"/>
                <w:color w:val="000000"/>
                <w:sz w:val="18"/>
                <w:szCs w:val="18"/>
              </w:rPr>
            </w:pPr>
            <w:r w:rsidRPr="00363B63">
              <w:rPr>
                <w:rFonts w:cs="Arial"/>
                <w:color w:val="000000"/>
                <w:sz w:val="18"/>
                <w:szCs w:val="18"/>
              </w:rPr>
              <w:t xml:space="preserve">$868,799 </w:t>
            </w:r>
          </w:p>
        </w:tc>
        <w:tc>
          <w:tcPr>
            <w:tcW w:w="1260" w:type="dxa"/>
            <w:tcBorders>
              <w:top w:val="nil"/>
              <w:left w:val="nil"/>
              <w:bottom w:val="single" w:sz="8" w:space="0" w:color="auto"/>
              <w:right w:val="single" w:sz="8" w:space="0" w:color="auto"/>
            </w:tcBorders>
            <w:shd w:val="clear" w:color="000000" w:fill="F2F2F2"/>
            <w:noWrap/>
            <w:vAlign w:val="center"/>
            <w:hideMark/>
          </w:tcPr>
          <w:p w:rsidR="00AC40FC" w:rsidRPr="00363B63" w:rsidRDefault="00AC40FC" w:rsidP="00440B39">
            <w:pPr>
              <w:spacing w:after="0"/>
              <w:jc w:val="center"/>
              <w:rPr>
                <w:rFonts w:cs="Arial"/>
                <w:color w:val="000000"/>
                <w:sz w:val="18"/>
                <w:szCs w:val="18"/>
              </w:rPr>
            </w:pPr>
            <w:r w:rsidRPr="00363B63">
              <w:rPr>
                <w:rFonts w:cs="Arial"/>
                <w:color w:val="000000"/>
                <w:sz w:val="18"/>
                <w:szCs w:val="18"/>
              </w:rPr>
              <w:t>12,071</w:t>
            </w:r>
          </w:p>
        </w:tc>
        <w:tc>
          <w:tcPr>
            <w:tcW w:w="1260" w:type="dxa"/>
            <w:tcBorders>
              <w:top w:val="nil"/>
              <w:left w:val="nil"/>
              <w:bottom w:val="single" w:sz="8" w:space="0" w:color="auto"/>
              <w:right w:val="single" w:sz="8" w:space="0" w:color="auto"/>
            </w:tcBorders>
            <w:shd w:val="clear" w:color="000000" w:fill="F2F2F2"/>
            <w:noWrap/>
            <w:vAlign w:val="center"/>
            <w:hideMark/>
          </w:tcPr>
          <w:p w:rsidR="00AC40FC" w:rsidRPr="00363B63" w:rsidRDefault="00AC40FC" w:rsidP="00440B39">
            <w:pPr>
              <w:spacing w:after="0"/>
              <w:jc w:val="center"/>
              <w:rPr>
                <w:rFonts w:cs="Arial"/>
                <w:color w:val="000000"/>
                <w:sz w:val="18"/>
                <w:szCs w:val="18"/>
              </w:rPr>
            </w:pPr>
            <w:r w:rsidRPr="00363B63">
              <w:rPr>
                <w:rFonts w:cs="Arial"/>
                <w:color w:val="000000"/>
                <w:sz w:val="18"/>
                <w:szCs w:val="18"/>
              </w:rPr>
              <w:t>14,540</w:t>
            </w:r>
          </w:p>
        </w:tc>
      </w:tr>
      <w:tr w:rsidR="00AC40FC" w:rsidRPr="00363B63" w:rsidTr="00440B39">
        <w:trPr>
          <w:trHeight w:val="340"/>
          <w:jc w:val="center"/>
        </w:trPr>
        <w:tc>
          <w:tcPr>
            <w:tcW w:w="945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C40FC" w:rsidRPr="00363B63" w:rsidRDefault="00AC40FC" w:rsidP="00440B39">
            <w:pPr>
              <w:spacing w:after="0"/>
              <w:jc w:val="left"/>
              <w:rPr>
                <w:rFonts w:cs="Arial"/>
                <w:color w:val="000000"/>
                <w:sz w:val="18"/>
                <w:szCs w:val="18"/>
              </w:rPr>
            </w:pPr>
            <w:r w:rsidRPr="00363B63">
              <w:rPr>
                <w:rFonts w:cs="Arial"/>
                <w:color w:val="000000"/>
                <w:sz w:val="18"/>
                <w:szCs w:val="18"/>
              </w:rPr>
              <w:t>Sou</w:t>
            </w:r>
            <w:r>
              <w:rPr>
                <w:rFonts w:cs="Arial"/>
                <w:color w:val="000000"/>
                <w:sz w:val="18"/>
                <w:szCs w:val="18"/>
              </w:rPr>
              <w:t>rce:  PPL EU edits</w:t>
            </w:r>
            <w:r w:rsidRPr="00363B63">
              <w:rPr>
                <w:rFonts w:cs="Arial"/>
                <w:color w:val="000000"/>
                <w:sz w:val="18"/>
                <w:szCs w:val="18"/>
              </w:rPr>
              <w:t>;  Note:  Excludes Agency Admin Dollars</w:t>
            </w:r>
          </w:p>
        </w:tc>
      </w:tr>
    </w:tbl>
    <w:p w:rsidR="00AC40FC" w:rsidRDefault="00AC40FC" w:rsidP="00440B39">
      <w:pPr>
        <w:pStyle w:val="Normal-aftertable"/>
      </w:pPr>
      <w:r>
        <w:t>These FTE ratios suggest that the Regulatory Programs staff individuals are overly leveraged given the scale and scope of their OnTrack work responsibilities.</w:t>
      </w:r>
    </w:p>
    <w:p w:rsidR="00AC40FC" w:rsidRPr="00F77372" w:rsidRDefault="00AC40FC" w:rsidP="00440B39">
      <w:r>
        <w:rPr>
          <w:rFonts w:cs="Arial"/>
          <w:szCs w:val="24"/>
        </w:rPr>
        <w:t>Additionally, t</w:t>
      </w:r>
      <w:r>
        <w:t>he OnTrack program lacks dedicated support staff with analytic and performance measurement skills.  There are no OnTrack staff with Analyst titles who are familiar with the program and who are trained and experienced in data analysis to support the program.  During the Audit, a Measurement &amp; Data Analytics work unit was created within Customer Services Operations, another Customer Services group, and was tasked with providing analytical support to all of Customer Services.  It was undemonstrated how this newly consolidated function would assist Regulatory Programs and the OnTrack program.</w:t>
      </w:r>
    </w:p>
    <w:p w:rsidR="00AC40FC" w:rsidRDefault="00AC40FC" w:rsidP="00BB665B">
      <w:pPr>
        <w:pStyle w:val="Heading-forToC"/>
      </w:pPr>
      <w:bookmarkStart w:id="134" w:name="_Toc462647860"/>
      <w:bookmarkStart w:id="135" w:name="_Toc464552099"/>
      <w:r>
        <w:t>recommendation</w:t>
      </w:r>
      <w:bookmarkEnd w:id="134"/>
      <w:bookmarkEnd w:id="135"/>
      <w:r>
        <w:t xml:space="preserve"> </w:t>
      </w:r>
    </w:p>
    <w:p w:rsidR="00AC40FC" w:rsidRDefault="00AC40FC" w:rsidP="004F00E5">
      <w:pPr>
        <w:pStyle w:val="Findings"/>
        <w:numPr>
          <w:ilvl w:val="0"/>
          <w:numId w:val="55"/>
        </w:numPr>
      </w:pPr>
      <w:r>
        <w:t>Re-evaluate the staff resources that are dedicated to and support the OnTrack program.  (See Finding 1)</w:t>
      </w:r>
    </w:p>
    <w:p w:rsidR="00AC40FC" w:rsidRDefault="00AC40FC" w:rsidP="00440B39">
      <w:r>
        <w:t>OnTrack is an important program for customers, Pennsylvania’s Universal Service objectives, and for PPL EU as an integral part of its customer experience goals.  Staff resources should be re-evaluated, in conjunction with other V&amp;A recommendations for program re-assessment, process improvements, contract management, and performance management.  Customer Service should ensure that there are adequate staff with data analysis skills available to Regulatory Programs as necessary to support on-going work and changes that are needed to enhance the program.</w:t>
      </w:r>
    </w:p>
    <w:p w:rsidR="00AC40FC" w:rsidRDefault="00AC40FC" w:rsidP="004F00E5">
      <w:pPr>
        <w:pStyle w:val="Heading2"/>
        <w:numPr>
          <w:ilvl w:val="0"/>
          <w:numId w:val="108"/>
        </w:numPr>
      </w:pPr>
      <w:bookmarkStart w:id="136" w:name="_Toc462647861"/>
      <w:bookmarkStart w:id="137" w:name="_Toc464552100"/>
      <w:r>
        <w:lastRenderedPageBreak/>
        <w:t>OnTrack agency staffing and functions</w:t>
      </w:r>
      <w:bookmarkEnd w:id="136"/>
      <w:bookmarkEnd w:id="137"/>
    </w:p>
    <w:p w:rsidR="00AC40FC" w:rsidRDefault="00AC40FC" w:rsidP="00BB665B">
      <w:pPr>
        <w:pStyle w:val="Heading-forToC"/>
      </w:pPr>
      <w:bookmarkStart w:id="138" w:name="_Toc462647862"/>
      <w:bookmarkStart w:id="139" w:name="_Toc464552101"/>
      <w:r>
        <w:t>background</w:t>
      </w:r>
      <w:bookmarkEnd w:id="138"/>
      <w:bookmarkEnd w:id="139"/>
    </w:p>
    <w:p w:rsidR="00AC40FC" w:rsidRDefault="00AC40FC" w:rsidP="00440B39">
      <w:pPr>
        <w:pStyle w:val="Heading40"/>
      </w:pPr>
      <w:r>
        <w:t>OnTrack Agency Functions</w:t>
      </w:r>
    </w:p>
    <w:p w:rsidR="00AC40FC" w:rsidRDefault="00AC40FC" w:rsidP="00440B39">
      <w:r>
        <w:t>The OnTrack agencies are responsible for working with customers in program enrollment, follow-up, recertification, removal, and graduation.  As part of the OnTrack program processes described above, the functions of the agencies and their caseworkers are included.  A short list of the functions includes the following:</w:t>
      </w:r>
    </w:p>
    <w:p w:rsidR="00AC40FC" w:rsidRDefault="00AC40FC" w:rsidP="00786363">
      <w:pPr>
        <w:pStyle w:val="Bullet"/>
        <w:spacing w:before="120"/>
      </w:pPr>
      <w:r>
        <w:t>Processing referrals</w:t>
      </w:r>
    </w:p>
    <w:p w:rsidR="00AC40FC" w:rsidRDefault="00AC40FC" w:rsidP="00786363">
      <w:pPr>
        <w:pStyle w:val="Bullet"/>
        <w:spacing w:before="120"/>
      </w:pPr>
      <w:r>
        <w:t>Screening and enrolling customers</w:t>
      </w:r>
    </w:p>
    <w:p w:rsidR="00AC40FC" w:rsidRDefault="00AC40FC" w:rsidP="00786363">
      <w:pPr>
        <w:pStyle w:val="Bullet"/>
        <w:spacing w:before="120"/>
      </w:pPr>
      <w:r>
        <w:t>Setting up the customer’s OnTrack payment plan</w:t>
      </w:r>
    </w:p>
    <w:p w:rsidR="00AC40FC" w:rsidRDefault="00AC40FC" w:rsidP="00786363">
      <w:pPr>
        <w:pStyle w:val="Bullet"/>
        <w:spacing w:before="120"/>
      </w:pPr>
      <w:r>
        <w:t>Communicating program responsibilities and guidelines to the customer</w:t>
      </w:r>
    </w:p>
    <w:p w:rsidR="00AC40FC" w:rsidRDefault="00AC40FC" w:rsidP="00786363">
      <w:pPr>
        <w:pStyle w:val="Bullet"/>
        <w:spacing w:before="120"/>
      </w:pPr>
      <w:r>
        <w:t>Recertifying and graduating customers</w:t>
      </w:r>
    </w:p>
    <w:p w:rsidR="00AC40FC" w:rsidRDefault="00AC40FC" w:rsidP="00786363">
      <w:pPr>
        <w:pStyle w:val="Bullet"/>
        <w:spacing w:before="120"/>
      </w:pPr>
      <w:r>
        <w:t>Documenting changes in household circumstances and updating the OnTrack payment when impacted by those changes</w:t>
      </w:r>
    </w:p>
    <w:p w:rsidR="00AC40FC" w:rsidRDefault="00AC40FC" w:rsidP="00440B39">
      <w:pPr>
        <w:pStyle w:val="Normal-aftertable"/>
      </w:pPr>
      <w:r>
        <w:t>The agencies have different multi-lingual capabilities.  About half of the agencies have one to five staff members who could communicate in Spanish.  Additionally, one agency had a staff member able to provide services in American Sign Language and another in German.</w:t>
      </w:r>
    </w:p>
    <w:p w:rsidR="00AC40FC" w:rsidRDefault="00AC40FC" w:rsidP="00440B39">
      <w:pPr>
        <w:pStyle w:val="Heading40"/>
      </w:pPr>
      <w:r>
        <w:t>OnTrack Agency Staffing Levels</w:t>
      </w:r>
    </w:p>
    <w:p w:rsidR="00AC40FC" w:rsidRDefault="00AC40FC" w:rsidP="00440B39">
      <w:r>
        <w:t>The agencies have the responsibility to evaluate, hire, train, and supervise the OnTrack caseworkers.  PPL EU is not involved in the hiring of the individual caseworkers who manage the enrollment process.</w:t>
      </w:r>
    </w:p>
    <w:p w:rsidR="00AC40FC" w:rsidRDefault="00AC40FC" w:rsidP="00440B39">
      <w:r>
        <w:t>PPL EU provides historical and targeted enrollment workload as one of the inputs for how staffing levels could be set by agency managers.   When establishing enrollment goals for the agencies, PPL EU considers the following factors:</w:t>
      </w:r>
    </w:p>
    <w:p w:rsidR="00AC40FC" w:rsidRDefault="00AC40FC" w:rsidP="00786363">
      <w:pPr>
        <w:pStyle w:val="Bullet"/>
        <w:spacing w:before="120"/>
      </w:pPr>
      <w:r>
        <w:t>Historical numbers of referrals to and enrollment in OnTrack</w:t>
      </w:r>
    </w:p>
    <w:p w:rsidR="00AC40FC" w:rsidRDefault="00AC40FC" w:rsidP="00786363">
      <w:pPr>
        <w:pStyle w:val="Bullet"/>
        <w:spacing w:before="120"/>
      </w:pPr>
      <w:r>
        <w:t>Trend in the number of overdue residential customers</w:t>
      </w:r>
    </w:p>
    <w:p w:rsidR="00AC40FC" w:rsidRDefault="00AC40FC" w:rsidP="00786363">
      <w:pPr>
        <w:pStyle w:val="Bullet"/>
        <w:spacing w:before="120"/>
      </w:pPr>
      <w:r>
        <w:t>Credit and collection objectives</w:t>
      </w:r>
    </w:p>
    <w:p w:rsidR="00AC40FC" w:rsidRDefault="00AC40FC" w:rsidP="00786363">
      <w:pPr>
        <w:pStyle w:val="Bullet"/>
        <w:spacing w:before="120"/>
      </w:pPr>
      <w:r>
        <w:t xml:space="preserve">The capacity of the OnTrack agencies to process timely additional referrals to the program.  </w:t>
      </w:r>
    </w:p>
    <w:p w:rsidR="00AC40FC" w:rsidRPr="006A418D" w:rsidRDefault="00AC40FC" w:rsidP="00440B39">
      <w:pPr>
        <w:pStyle w:val="Normal-aftertable"/>
      </w:pPr>
      <w:r>
        <w:t xml:space="preserve">The agencies consider the following to determine the appropriate levels of staffing to review and process OnTrack applications: (1) historic pattern of customer referrals to their agencies and (2) annual OnTrack enrollment targets established by PPL EU.  </w:t>
      </w:r>
    </w:p>
    <w:p w:rsidR="00AC40FC" w:rsidRDefault="00AC40FC" w:rsidP="00440B39">
      <w:pPr>
        <w:pStyle w:val="Heading40"/>
      </w:pPr>
      <w:r>
        <w:t>OnTrack Agency Training</w:t>
      </w:r>
    </w:p>
    <w:p w:rsidR="00AC40FC" w:rsidRDefault="00AC40FC" w:rsidP="00440B39">
      <w:r>
        <w:t xml:space="preserve">As discussed below, the agencies are mainly responsible for caseworker training.  The PPL EU Regulatory Programs Specialists (RPSs) are responsible for providing training to new agencies, identifying additional or one-on-one training needs, and assessing the </w:t>
      </w:r>
      <w:r>
        <w:lastRenderedPageBreak/>
        <w:t>quality of the agencies’ work that may require additional training.</w:t>
      </w:r>
      <w:r w:rsidRPr="00F5743F">
        <w:t xml:space="preserve"> </w:t>
      </w:r>
      <w:r>
        <w:t xml:space="preserve"> These responsibilities are primarily achieved through the daily or weekly interaction the RPSs have with the agency supervisors or the caseworkers.  Case files are reviewed and emails and telephone calls are primarily used to provide non-quantifiable feedback on the quality of the agencies’ work in general and individual caseworkers, as necessary.  The RPSs will also periodically spot check OnTrack accounts and/or review larger lists of accounts to subjectively (non-quantifiably) identify training needs.</w:t>
      </w:r>
    </w:p>
    <w:p w:rsidR="00AC40FC" w:rsidRDefault="00AC40FC" w:rsidP="00440B39">
      <w:pPr>
        <w:rPr>
          <w:rFonts w:cs="Arial"/>
          <w:szCs w:val="24"/>
        </w:rPr>
      </w:pPr>
      <w:r>
        <w:t xml:space="preserve">It is the responsibility of the agency to train new caseworkers and to improve the performance of existing caseworkers.  New caseworker training includes:  </w:t>
      </w:r>
      <w:r>
        <w:rPr>
          <w:rFonts w:cs="Arial"/>
          <w:szCs w:val="24"/>
        </w:rPr>
        <w:t>information about the purpose and objectives of the program, the type of work tasks (e.g., enrollment and re-certification), and the process for completing the required duties.  A new caseworker learns how to use PPL EU’s CSS in order to analyze an applicant’s status/eligibility (e.g., payment history and energy usage) and to establish an OnTrack payment agreement.  Agency caseworkers have access to a PPL EU SharePoint site that includes background information about OnTrack, procedural updates, and other announcements about the program.</w:t>
      </w:r>
    </w:p>
    <w:p w:rsidR="00AC40FC" w:rsidRPr="001C0035" w:rsidRDefault="00AC40FC" w:rsidP="00440B39">
      <w:r>
        <w:t>Regulatory Programs has supplied procedures, process flowcharts, and instructions for using the PPL EU CSS to guide the caseworkers in performing their OnTrack responsibilities.  The number of new agency caseworkers in a calendar year is typically very limited, and PPL EU has not required formalized training procedures.</w:t>
      </w:r>
    </w:p>
    <w:p w:rsidR="00AC40FC" w:rsidRDefault="00AC40FC" w:rsidP="00440B39">
      <w:pPr>
        <w:rPr>
          <w:rFonts w:cs="Arial"/>
          <w:szCs w:val="24"/>
        </w:rPr>
      </w:pPr>
      <w:r>
        <w:rPr>
          <w:rFonts w:cs="Arial"/>
          <w:szCs w:val="24"/>
        </w:rPr>
        <w:t>The RPSs and agency caseworkers coordinate weekly to identify issues and shortcomings that may require additional training.  This feedback loop also identifies what is running smoothly in the program.  This communications and coordination process, as well as customer feedback and situational changes, will identify any need for corrective actions.</w:t>
      </w:r>
    </w:p>
    <w:p w:rsidR="00AC40FC" w:rsidRPr="00B366C6" w:rsidRDefault="00AC40FC" w:rsidP="00440B39">
      <w:r>
        <w:t xml:space="preserve">The Regulatory Programs management team also holds more formal status meetings, which are typically every two weeks.  It is at these meetings where the team identifies best practices among the agencies and resolves specific or widespread customer issues.  </w:t>
      </w:r>
      <w:r w:rsidRPr="00B366C6">
        <w:t>Regulatory Programs periodically holds an OnTrack Forum where the entire agency network is invited.  These forums review existing policies, recent changes, and changes on the horizon.</w:t>
      </w:r>
    </w:p>
    <w:p w:rsidR="00AC40FC" w:rsidRDefault="00AC40FC" w:rsidP="00440B39">
      <w:pPr>
        <w:pStyle w:val="Heading40"/>
      </w:pPr>
      <w:r>
        <w:t>OnTrack Agency Management</w:t>
      </w:r>
    </w:p>
    <w:p w:rsidR="00AC40FC" w:rsidRDefault="00AC40FC" w:rsidP="00440B39">
      <w:r>
        <w:t xml:space="preserve">Agency supervisors monitor the performance of caseworkers.  The Regulatory Programs management team plays a supporting role in this area.  The agency caseworkers have very specific tasks, so interaction with the OnTrack customer is limited to, at most, the enrollment/screening process, the recertification process, graduation from the program, and/or a change in income or household situation.  OnTrack customers who call PPL EU with questions about their accounts are directed via the IVR to the PPLSolutions call center, if the customer has provided info via the IVR that authenticates that the customer is an On-Track participant.  If not, the call is routed to a contractor call center.  All other non-OnTrack customer inquiries or requests are </w:t>
      </w:r>
      <w:r w:rsidRPr="00945B4A">
        <w:t xml:space="preserve">routed in a normal manner </w:t>
      </w:r>
      <w:r>
        <w:t xml:space="preserve">by the IVR to the appropriate PPL EU or contractor CSR.  </w:t>
      </w:r>
    </w:p>
    <w:p w:rsidR="00AC40FC" w:rsidRDefault="00AC40FC" w:rsidP="00440B39">
      <w:r>
        <w:lastRenderedPageBreak/>
        <w:t>Most of the time, the points in the program process where the agency is involved are completed without any verbal interaction between the agency caseworker and the customer.  For example, the caseworker may receive information from the customer, such as a completed application and income documentation, based on material that was mailed to the customer.  The caseworker will complete the enrollment steps and send the customer a post enrollment package of information.</w:t>
      </w:r>
    </w:p>
    <w:p w:rsidR="00AC40FC" w:rsidRDefault="00AC40FC" w:rsidP="00440B39">
      <w:pPr>
        <w:rPr>
          <w:rFonts w:cs="Arial"/>
          <w:szCs w:val="24"/>
        </w:rPr>
      </w:pPr>
      <w:r>
        <w:rPr>
          <w:rFonts w:cs="Arial"/>
          <w:szCs w:val="24"/>
        </w:rPr>
        <w:t>The agency supervisors manage telephone coverage and callback timeframes (including follow-up calls to customers for securing eligibility documentation).  PPL EU does not provide an exact number of days or hours in which a customer will be called back. However, according to PPL EU, agencies place a high priority on following up with customer inquiries during the processes described above.  Application and recertification processing turnaround times vary throughout the season, based on the number of referrals being generated.  In general, the turnaround time will be longer during the beginning of the winter moratorium period and the start of cut season.  PPL EU has given the agency a turnaround time target of approximately two weeks.  Agency supervisors communicate with the RPSs regarding this turnaround time and if a backlog develops (or appears to be growing), the two parties will work together to minimize the backlog.  According to PPL EU, possible solutions for reducing the backlog include hiring additional agency staff (temporary or permanent), working overtime, and/or shifting work to an agency that has excess capacity to handle additional work.</w:t>
      </w:r>
    </w:p>
    <w:p w:rsidR="00AC40FC" w:rsidRDefault="00AC40FC" w:rsidP="00440B39">
      <w:r>
        <w:t xml:space="preserve">Most of the OnTrack agencies exceeded their targets for new enrollments in 2014.  </w:t>
      </w:r>
      <w:r w:rsidRPr="00EB6333">
        <w:t xml:space="preserve">The </w:t>
      </w:r>
      <w:r>
        <w:t xml:space="preserve">table and graph </w:t>
      </w:r>
      <w:r w:rsidRPr="00EB6333">
        <w:t>below show new enrollments for each agency in 2014:</w:t>
      </w:r>
    </w:p>
    <w:p w:rsidR="00AC40FC" w:rsidRDefault="00AC40FC" w:rsidP="002B3172">
      <w:pPr>
        <w:pStyle w:val="Caption"/>
      </w:pPr>
      <w:bookmarkStart w:id="140" w:name="_Toc462648425"/>
      <w:bookmarkStart w:id="141" w:name="_Toc464553047"/>
      <w:r>
        <w:t xml:space="preserve">Exhibit </w:t>
      </w:r>
      <w:fldSimple w:instr=" STYLEREF 1 \s ">
        <w:r w:rsidR="00A24205">
          <w:rPr>
            <w:noProof/>
          </w:rPr>
          <w:t>X</w:t>
        </w:r>
      </w:fldSimple>
      <w:r w:rsidR="00264A1B">
        <w:noBreakHyphen/>
      </w:r>
      <w:fldSimple w:instr=" SEQ Exhibit \* ARABIC \s 1 ">
        <w:r w:rsidR="00A24205">
          <w:rPr>
            <w:noProof/>
          </w:rPr>
          <w:t>8</w:t>
        </w:r>
      </w:fldSimple>
      <w:r>
        <w:br/>
        <w:t>New Enrollments by Agency for 2014</w:t>
      </w:r>
      <w:bookmarkEnd w:id="140"/>
      <w:bookmarkEnd w:id="141"/>
    </w:p>
    <w:p w:rsidR="00AC40FC" w:rsidRDefault="00AC40FC" w:rsidP="00BB665B">
      <w:pPr>
        <w:jc w:val="center"/>
      </w:pPr>
      <w:r>
        <w:rPr>
          <w:noProof/>
        </w:rPr>
        <w:drawing>
          <wp:inline distT="0" distB="0" distL="0" distR="0">
            <wp:extent cx="4572000" cy="2266950"/>
            <wp:effectExtent l="0" t="0" r="0" b="0"/>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C40FC" w:rsidRDefault="00AC40FC">
      <w:r>
        <w:br w:type="page"/>
      </w:r>
    </w:p>
    <w:tbl>
      <w:tblPr>
        <w:tblW w:w="6400" w:type="dxa"/>
        <w:jc w:val="center"/>
        <w:tblCellMar>
          <w:top w:w="14" w:type="dxa"/>
          <w:left w:w="115" w:type="dxa"/>
          <w:bottom w:w="14" w:type="dxa"/>
          <w:right w:w="115" w:type="dxa"/>
        </w:tblCellMar>
        <w:tblLook w:val="04A0"/>
      </w:tblPr>
      <w:tblGrid>
        <w:gridCol w:w="1400"/>
        <w:gridCol w:w="1620"/>
        <w:gridCol w:w="1620"/>
        <w:gridCol w:w="1760"/>
      </w:tblGrid>
      <w:tr w:rsidR="00AC40FC" w:rsidRPr="00AA5E07" w:rsidTr="00440B39">
        <w:trPr>
          <w:cantSplit/>
          <w:trHeight w:val="197"/>
          <w:tblHeader/>
          <w:jc w:val="center"/>
        </w:trPr>
        <w:tc>
          <w:tcPr>
            <w:tcW w:w="1400" w:type="dxa"/>
            <w:tcBorders>
              <w:top w:val="single" w:sz="4" w:space="0" w:color="auto"/>
              <w:left w:val="single" w:sz="4" w:space="0" w:color="auto"/>
              <w:bottom w:val="single" w:sz="4" w:space="0" w:color="auto"/>
              <w:right w:val="single" w:sz="4" w:space="0" w:color="auto"/>
            </w:tcBorders>
            <w:shd w:val="clear" w:color="auto" w:fill="A5CD7E"/>
            <w:noWrap/>
            <w:vAlign w:val="center"/>
            <w:hideMark/>
          </w:tcPr>
          <w:p w:rsidR="00AC40FC" w:rsidRPr="004C4E0C" w:rsidRDefault="00AC40FC" w:rsidP="00521E7D">
            <w:pPr>
              <w:spacing w:before="120"/>
              <w:jc w:val="center"/>
              <w:rPr>
                <w:rFonts w:cs="Arial"/>
                <w:b/>
                <w:color w:val="000000"/>
                <w:sz w:val="22"/>
              </w:rPr>
            </w:pPr>
            <w:r w:rsidRPr="004C4E0C">
              <w:rPr>
                <w:rFonts w:cs="Arial"/>
                <w:b/>
                <w:color w:val="000000"/>
                <w:sz w:val="22"/>
              </w:rPr>
              <w:lastRenderedPageBreak/>
              <w:t>Agency</w:t>
            </w:r>
          </w:p>
        </w:tc>
        <w:tc>
          <w:tcPr>
            <w:tcW w:w="162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4C4E0C" w:rsidRDefault="00AC40FC" w:rsidP="00521E7D">
            <w:pPr>
              <w:spacing w:before="120"/>
              <w:jc w:val="center"/>
              <w:rPr>
                <w:rFonts w:cs="Arial"/>
                <w:b/>
                <w:color w:val="000000"/>
                <w:sz w:val="22"/>
              </w:rPr>
            </w:pPr>
            <w:r w:rsidRPr="004C4E0C">
              <w:rPr>
                <w:rFonts w:cs="Arial"/>
                <w:b/>
                <w:color w:val="000000"/>
                <w:sz w:val="22"/>
              </w:rPr>
              <w:t>Actual New</w:t>
            </w:r>
          </w:p>
        </w:tc>
        <w:tc>
          <w:tcPr>
            <w:tcW w:w="162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4C4E0C" w:rsidRDefault="00AC40FC" w:rsidP="00521E7D">
            <w:pPr>
              <w:spacing w:before="120"/>
              <w:jc w:val="center"/>
              <w:rPr>
                <w:rFonts w:cs="Arial"/>
                <w:b/>
                <w:color w:val="000000"/>
                <w:sz w:val="22"/>
              </w:rPr>
            </w:pPr>
            <w:r w:rsidRPr="004C4E0C">
              <w:rPr>
                <w:rFonts w:cs="Arial"/>
                <w:b/>
                <w:color w:val="000000"/>
                <w:sz w:val="22"/>
              </w:rPr>
              <w:t>Target New</w:t>
            </w:r>
          </w:p>
        </w:tc>
        <w:tc>
          <w:tcPr>
            <w:tcW w:w="176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4C4E0C" w:rsidRDefault="00AC40FC" w:rsidP="00521E7D">
            <w:pPr>
              <w:spacing w:before="120"/>
              <w:jc w:val="center"/>
              <w:rPr>
                <w:rFonts w:cs="Arial"/>
                <w:b/>
                <w:color w:val="000000"/>
                <w:sz w:val="22"/>
              </w:rPr>
            </w:pPr>
            <w:r w:rsidRPr="004C4E0C">
              <w:rPr>
                <w:rFonts w:cs="Arial"/>
                <w:b/>
                <w:color w:val="000000"/>
                <w:sz w:val="22"/>
              </w:rPr>
              <w:t>% Over Target</w:t>
            </w:r>
          </w:p>
        </w:tc>
      </w:tr>
      <w:tr w:rsidR="00AC40FC" w:rsidRPr="00AA5E07" w:rsidTr="00440B39">
        <w:trPr>
          <w:cantSplit/>
          <w:trHeight w:val="242"/>
          <w:jc w:val="center"/>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AC40FC" w:rsidRPr="004C4E0C" w:rsidRDefault="00AC40FC" w:rsidP="00440B39">
            <w:pPr>
              <w:spacing w:after="0"/>
              <w:jc w:val="center"/>
              <w:rPr>
                <w:rFonts w:cs="Arial"/>
                <w:color w:val="000000"/>
                <w:sz w:val="22"/>
              </w:rPr>
            </w:pPr>
            <w:r w:rsidRPr="004C4E0C">
              <w:rPr>
                <w:rFonts w:cs="Arial"/>
                <w:color w:val="000000"/>
                <w:sz w:val="22"/>
              </w:rPr>
              <w:t>CACLV</w:t>
            </w:r>
          </w:p>
        </w:tc>
        <w:tc>
          <w:tcPr>
            <w:tcW w:w="1620" w:type="dxa"/>
            <w:tcBorders>
              <w:top w:val="nil"/>
              <w:left w:val="nil"/>
              <w:bottom w:val="single" w:sz="4" w:space="0" w:color="auto"/>
              <w:right w:val="single" w:sz="4" w:space="0" w:color="auto"/>
            </w:tcBorders>
            <w:shd w:val="clear" w:color="auto" w:fill="auto"/>
            <w:noWrap/>
            <w:vAlign w:val="center"/>
            <w:hideMark/>
          </w:tcPr>
          <w:p w:rsidR="00AC40FC" w:rsidRPr="004C4E0C" w:rsidRDefault="00AC40FC" w:rsidP="00440B39">
            <w:pPr>
              <w:spacing w:after="0"/>
              <w:jc w:val="center"/>
              <w:rPr>
                <w:rFonts w:cs="Arial"/>
                <w:color w:val="000000"/>
                <w:sz w:val="22"/>
              </w:rPr>
            </w:pPr>
            <w:r w:rsidRPr="004C4E0C">
              <w:rPr>
                <w:rFonts w:cs="Arial"/>
                <w:color w:val="000000"/>
                <w:sz w:val="22"/>
              </w:rPr>
              <w:t>8845</w:t>
            </w:r>
          </w:p>
        </w:tc>
        <w:tc>
          <w:tcPr>
            <w:tcW w:w="1620" w:type="dxa"/>
            <w:tcBorders>
              <w:top w:val="nil"/>
              <w:left w:val="nil"/>
              <w:bottom w:val="single" w:sz="4" w:space="0" w:color="auto"/>
              <w:right w:val="single" w:sz="4" w:space="0" w:color="auto"/>
            </w:tcBorders>
            <w:shd w:val="clear" w:color="auto" w:fill="auto"/>
            <w:noWrap/>
            <w:vAlign w:val="center"/>
            <w:hideMark/>
          </w:tcPr>
          <w:p w:rsidR="00AC40FC" w:rsidRPr="004C4E0C" w:rsidRDefault="00AC40FC" w:rsidP="00440B39">
            <w:pPr>
              <w:spacing w:after="0"/>
              <w:jc w:val="center"/>
              <w:rPr>
                <w:rFonts w:cs="Arial"/>
                <w:color w:val="000000"/>
                <w:sz w:val="22"/>
              </w:rPr>
            </w:pPr>
            <w:r w:rsidRPr="004C4E0C">
              <w:rPr>
                <w:rFonts w:cs="Arial"/>
                <w:color w:val="000000"/>
                <w:sz w:val="22"/>
              </w:rPr>
              <w:t>7342</w:t>
            </w:r>
          </w:p>
        </w:tc>
        <w:tc>
          <w:tcPr>
            <w:tcW w:w="1760" w:type="dxa"/>
            <w:tcBorders>
              <w:top w:val="nil"/>
              <w:left w:val="nil"/>
              <w:bottom w:val="single" w:sz="4" w:space="0" w:color="auto"/>
              <w:right w:val="single" w:sz="4" w:space="0" w:color="auto"/>
            </w:tcBorders>
            <w:shd w:val="clear" w:color="auto" w:fill="auto"/>
            <w:noWrap/>
            <w:vAlign w:val="center"/>
            <w:hideMark/>
          </w:tcPr>
          <w:p w:rsidR="00AC40FC" w:rsidRPr="004C4E0C" w:rsidRDefault="00AC40FC" w:rsidP="00440B39">
            <w:pPr>
              <w:spacing w:after="0"/>
              <w:jc w:val="center"/>
              <w:rPr>
                <w:rFonts w:cs="Arial"/>
                <w:color w:val="000000"/>
                <w:sz w:val="22"/>
              </w:rPr>
            </w:pPr>
            <w:r w:rsidRPr="004C4E0C">
              <w:rPr>
                <w:rFonts w:cs="Arial"/>
                <w:color w:val="000000"/>
                <w:sz w:val="22"/>
              </w:rPr>
              <w:t>17%</w:t>
            </w:r>
          </w:p>
        </w:tc>
      </w:tr>
      <w:tr w:rsidR="00AC40FC" w:rsidRPr="00AA5E07" w:rsidTr="00440B39">
        <w:trPr>
          <w:cantSplit/>
          <w:trHeight w:val="152"/>
          <w:jc w:val="center"/>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AC40FC" w:rsidRPr="004C4E0C" w:rsidRDefault="00AC40FC" w:rsidP="00440B39">
            <w:pPr>
              <w:spacing w:after="0"/>
              <w:jc w:val="center"/>
              <w:rPr>
                <w:rFonts w:cs="Arial"/>
                <w:color w:val="000000"/>
                <w:sz w:val="22"/>
              </w:rPr>
            </w:pPr>
            <w:r w:rsidRPr="004C4E0C">
              <w:rPr>
                <w:rFonts w:cs="Arial"/>
                <w:color w:val="000000"/>
                <w:sz w:val="22"/>
              </w:rPr>
              <w:t>CAC</w:t>
            </w:r>
          </w:p>
        </w:tc>
        <w:tc>
          <w:tcPr>
            <w:tcW w:w="1620" w:type="dxa"/>
            <w:tcBorders>
              <w:top w:val="nil"/>
              <w:left w:val="nil"/>
              <w:bottom w:val="single" w:sz="4" w:space="0" w:color="auto"/>
              <w:right w:val="single" w:sz="4" w:space="0" w:color="auto"/>
            </w:tcBorders>
            <w:shd w:val="clear" w:color="auto" w:fill="auto"/>
            <w:noWrap/>
            <w:vAlign w:val="center"/>
            <w:hideMark/>
          </w:tcPr>
          <w:p w:rsidR="00AC40FC" w:rsidRPr="004C4E0C" w:rsidRDefault="00AC40FC" w:rsidP="00440B39">
            <w:pPr>
              <w:spacing w:after="0"/>
              <w:jc w:val="center"/>
              <w:rPr>
                <w:rFonts w:cs="Arial"/>
                <w:color w:val="000000"/>
                <w:sz w:val="22"/>
              </w:rPr>
            </w:pPr>
            <w:r w:rsidRPr="004C4E0C">
              <w:rPr>
                <w:rFonts w:cs="Arial"/>
                <w:color w:val="000000"/>
                <w:sz w:val="22"/>
              </w:rPr>
              <w:t>6647</w:t>
            </w:r>
          </w:p>
        </w:tc>
        <w:tc>
          <w:tcPr>
            <w:tcW w:w="1620" w:type="dxa"/>
            <w:tcBorders>
              <w:top w:val="nil"/>
              <w:left w:val="nil"/>
              <w:bottom w:val="single" w:sz="4" w:space="0" w:color="auto"/>
              <w:right w:val="single" w:sz="4" w:space="0" w:color="auto"/>
            </w:tcBorders>
            <w:shd w:val="clear" w:color="auto" w:fill="auto"/>
            <w:noWrap/>
            <w:vAlign w:val="center"/>
            <w:hideMark/>
          </w:tcPr>
          <w:p w:rsidR="00AC40FC" w:rsidRPr="004C4E0C" w:rsidRDefault="00AC40FC" w:rsidP="00440B39">
            <w:pPr>
              <w:spacing w:after="0"/>
              <w:jc w:val="center"/>
              <w:rPr>
                <w:rFonts w:cs="Arial"/>
                <w:color w:val="000000"/>
                <w:sz w:val="22"/>
              </w:rPr>
            </w:pPr>
            <w:r w:rsidRPr="004C4E0C">
              <w:rPr>
                <w:rFonts w:cs="Arial"/>
                <w:color w:val="000000"/>
                <w:sz w:val="22"/>
              </w:rPr>
              <w:t>6168</w:t>
            </w:r>
          </w:p>
        </w:tc>
        <w:tc>
          <w:tcPr>
            <w:tcW w:w="1760" w:type="dxa"/>
            <w:tcBorders>
              <w:top w:val="nil"/>
              <w:left w:val="nil"/>
              <w:bottom w:val="single" w:sz="4" w:space="0" w:color="auto"/>
              <w:right w:val="single" w:sz="4" w:space="0" w:color="auto"/>
            </w:tcBorders>
            <w:shd w:val="clear" w:color="auto" w:fill="auto"/>
            <w:noWrap/>
            <w:vAlign w:val="center"/>
            <w:hideMark/>
          </w:tcPr>
          <w:p w:rsidR="00AC40FC" w:rsidRPr="004C4E0C" w:rsidRDefault="00AC40FC" w:rsidP="00440B39">
            <w:pPr>
              <w:spacing w:after="0"/>
              <w:jc w:val="center"/>
              <w:rPr>
                <w:rFonts w:cs="Arial"/>
                <w:color w:val="000000"/>
                <w:sz w:val="22"/>
              </w:rPr>
            </w:pPr>
            <w:r w:rsidRPr="004C4E0C">
              <w:rPr>
                <w:rFonts w:cs="Arial"/>
                <w:color w:val="000000"/>
                <w:sz w:val="22"/>
              </w:rPr>
              <w:t>7%</w:t>
            </w:r>
          </w:p>
        </w:tc>
      </w:tr>
      <w:tr w:rsidR="00AC40FC" w:rsidRPr="00AA5E07" w:rsidTr="00440B39">
        <w:trPr>
          <w:cantSplit/>
          <w:trHeight w:val="80"/>
          <w:jc w:val="center"/>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AC40FC" w:rsidRPr="004C4E0C" w:rsidRDefault="00AC40FC" w:rsidP="00440B39">
            <w:pPr>
              <w:spacing w:after="0"/>
              <w:jc w:val="center"/>
              <w:rPr>
                <w:rFonts w:cs="Arial"/>
                <w:color w:val="000000"/>
                <w:sz w:val="22"/>
              </w:rPr>
            </w:pPr>
            <w:r w:rsidRPr="004C4E0C">
              <w:rPr>
                <w:rFonts w:cs="Arial"/>
                <w:color w:val="000000"/>
                <w:sz w:val="22"/>
              </w:rPr>
              <w:t>CAPLANC</w:t>
            </w:r>
          </w:p>
        </w:tc>
        <w:tc>
          <w:tcPr>
            <w:tcW w:w="1620" w:type="dxa"/>
            <w:tcBorders>
              <w:top w:val="nil"/>
              <w:left w:val="nil"/>
              <w:bottom w:val="single" w:sz="4" w:space="0" w:color="auto"/>
              <w:right w:val="single" w:sz="4" w:space="0" w:color="auto"/>
            </w:tcBorders>
            <w:shd w:val="clear" w:color="auto" w:fill="auto"/>
            <w:noWrap/>
            <w:vAlign w:val="center"/>
            <w:hideMark/>
          </w:tcPr>
          <w:p w:rsidR="00AC40FC" w:rsidRPr="004C4E0C" w:rsidRDefault="00AC40FC" w:rsidP="00440B39">
            <w:pPr>
              <w:spacing w:after="0"/>
              <w:jc w:val="center"/>
              <w:rPr>
                <w:rFonts w:cs="Arial"/>
                <w:color w:val="000000"/>
                <w:sz w:val="22"/>
              </w:rPr>
            </w:pPr>
            <w:r w:rsidRPr="004C4E0C">
              <w:rPr>
                <w:rFonts w:cs="Arial"/>
                <w:color w:val="000000"/>
                <w:sz w:val="22"/>
              </w:rPr>
              <w:t>5235</w:t>
            </w:r>
          </w:p>
        </w:tc>
        <w:tc>
          <w:tcPr>
            <w:tcW w:w="1620" w:type="dxa"/>
            <w:tcBorders>
              <w:top w:val="nil"/>
              <w:left w:val="nil"/>
              <w:bottom w:val="single" w:sz="4" w:space="0" w:color="auto"/>
              <w:right w:val="single" w:sz="4" w:space="0" w:color="auto"/>
            </w:tcBorders>
            <w:shd w:val="clear" w:color="auto" w:fill="auto"/>
            <w:noWrap/>
            <w:vAlign w:val="center"/>
            <w:hideMark/>
          </w:tcPr>
          <w:p w:rsidR="00AC40FC" w:rsidRPr="004C4E0C" w:rsidRDefault="00AC40FC" w:rsidP="00440B39">
            <w:pPr>
              <w:spacing w:after="0"/>
              <w:jc w:val="center"/>
              <w:rPr>
                <w:rFonts w:cs="Arial"/>
                <w:color w:val="000000"/>
                <w:sz w:val="22"/>
              </w:rPr>
            </w:pPr>
            <w:r w:rsidRPr="004C4E0C">
              <w:rPr>
                <w:rFonts w:cs="Arial"/>
                <w:color w:val="000000"/>
                <w:sz w:val="22"/>
              </w:rPr>
              <w:t>5316</w:t>
            </w:r>
          </w:p>
        </w:tc>
        <w:tc>
          <w:tcPr>
            <w:tcW w:w="1760" w:type="dxa"/>
            <w:tcBorders>
              <w:top w:val="nil"/>
              <w:left w:val="nil"/>
              <w:bottom w:val="single" w:sz="4" w:space="0" w:color="auto"/>
              <w:right w:val="single" w:sz="4" w:space="0" w:color="auto"/>
            </w:tcBorders>
            <w:shd w:val="clear" w:color="auto" w:fill="auto"/>
            <w:noWrap/>
            <w:vAlign w:val="center"/>
            <w:hideMark/>
          </w:tcPr>
          <w:p w:rsidR="00AC40FC" w:rsidRPr="004C4E0C" w:rsidRDefault="00AC40FC" w:rsidP="00440B39">
            <w:pPr>
              <w:spacing w:after="0"/>
              <w:jc w:val="center"/>
              <w:rPr>
                <w:rFonts w:cs="Arial"/>
                <w:color w:val="000000"/>
                <w:sz w:val="22"/>
              </w:rPr>
            </w:pPr>
            <w:r w:rsidRPr="004C4E0C">
              <w:rPr>
                <w:rFonts w:cs="Arial"/>
                <w:color w:val="000000"/>
                <w:sz w:val="22"/>
              </w:rPr>
              <w:t>-2%</w:t>
            </w:r>
          </w:p>
        </w:tc>
      </w:tr>
      <w:tr w:rsidR="00AC40FC" w:rsidRPr="00AA5E07" w:rsidTr="00440B39">
        <w:trPr>
          <w:cantSplit/>
          <w:trHeight w:val="80"/>
          <w:jc w:val="center"/>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AC40FC" w:rsidRPr="004C4E0C" w:rsidRDefault="00AC40FC" w:rsidP="00440B39">
            <w:pPr>
              <w:spacing w:after="0"/>
              <w:jc w:val="center"/>
              <w:rPr>
                <w:rFonts w:cs="Arial"/>
                <w:color w:val="000000"/>
                <w:sz w:val="22"/>
              </w:rPr>
            </w:pPr>
            <w:r w:rsidRPr="004C4E0C">
              <w:rPr>
                <w:rFonts w:cs="Arial"/>
                <w:color w:val="000000"/>
                <w:sz w:val="22"/>
              </w:rPr>
              <w:t>CEO</w:t>
            </w:r>
          </w:p>
        </w:tc>
        <w:tc>
          <w:tcPr>
            <w:tcW w:w="1620" w:type="dxa"/>
            <w:tcBorders>
              <w:top w:val="nil"/>
              <w:left w:val="nil"/>
              <w:bottom w:val="single" w:sz="4" w:space="0" w:color="auto"/>
              <w:right w:val="single" w:sz="4" w:space="0" w:color="auto"/>
            </w:tcBorders>
            <w:shd w:val="clear" w:color="auto" w:fill="auto"/>
            <w:noWrap/>
            <w:vAlign w:val="center"/>
            <w:hideMark/>
          </w:tcPr>
          <w:p w:rsidR="00AC40FC" w:rsidRPr="004C4E0C" w:rsidRDefault="00AC40FC" w:rsidP="00440B39">
            <w:pPr>
              <w:spacing w:after="0"/>
              <w:jc w:val="center"/>
              <w:rPr>
                <w:rFonts w:cs="Arial"/>
                <w:color w:val="000000"/>
                <w:sz w:val="22"/>
              </w:rPr>
            </w:pPr>
            <w:r w:rsidRPr="004C4E0C">
              <w:rPr>
                <w:rFonts w:cs="Arial"/>
                <w:color w:val="000000"/>
                <w:sz w:val="22"/>
              </w:rPr>
              <w:t>3806</w:t>
            </w:r>
          </w:p>
        </w:tc>
        <w:tc>
          <w:tcPr>
            <w:tcW w:w="1620" w:type="dxa"/>
            <w:tcBorders>
              <w:top w:val="nil"/>
              <w:left w:val="nil"/>
              <w:bottom w:val="single" w:sz="4" w:space="0" w:color="auto"/>
              <w:right w:val="single" w:sz="4" w:space="0" w:color="auto"/>
            </w:tcBorders>
            <w:shd w:val="clear" w:color="auto" w:fill="auto"/>
            <w:noWrap/>
            <w:vAlign w:val="center"/>
            <w:hideMark/>
          </w:tcPr>
          <w:p w:rsidR="00AC40FC" w:rsidRPr="004C4E0C" w:rsidRDefault="00AC40FC" w:rsidP="00440B39">
            <w:pPr>
              <w:spacing w:after="0"/>
              <w:jc w:val="center"/>
              <w:rPr>
                <w:rFonts w:cs="Arial"/>
                <w:color w:val="000000"/>
                <w:sz w:val="22"/>
              </w:rPr>
            </w:pPr>
            <w:r w:rsidRPr="004C4E0C">
              <w:rPr>
                <w:rFonts w:cs="Arial"/>
                <w:color w:val="000000"/>
                <w:sz w:val="22"/>
              </w:rPr>
              <w:t>3789</w:t>
            </w:r>
          </w:p>
        </w:tc>
        <w:tc>
          <w:tcPr>
            <w:tcW w:w="1760" w:type="dxa"/>
            <w:tcBorders>
              <w:top w:val="nil"/>
              <w:left w:val="nil"/>
              <w:bottom w:val="single" w:sz="4" w:space="0" w:color="auto"/>
              <w:right w:val="single" w:sz="4" w:space="0" w:color="auto"/>
            </w:tcBorders>
            <w:shd w:val="clear" w:color="auto" w:fill="auto"/>
            <w:noWrap/>
            <w:vAlign w:val="center"/>
            <w:hideMark/>
          </w:tcPr>
          <w:p w:rsidR="00AC40FC" w:rsidRPr="004C4E0C" w:rsidRDefault="00AC40FC" w:rsidP="00440B39">
            <w:pPr>
              <w:spacing w:after="0"/>
              <w:jc w:val="center"/>
              <w:rPr>
                <w:rFonts w:cs="Arial"/>
                <w:color w:val="000000"/>
                <w:sz w:val="22"/>
              </w:rPr>
            </w:pPr>
            <w:r w:rsidRPr="004C4E0C">
              <w:rPr>
                <w:rFonts w:cs="Arial"/>
                <w:color w:val="000000"/>
                <w:sz w:val="22"/>
              </w:rPr>
              <w:t>0%</w:t>
            </w:r>
          </w:p>
        </w:tc>
      </w:tr>
      <w:tr w:rsidR="00AC40FC" w:rsidRPr="00AA5E07" w:rsidTr="00440B39">
        <w:trPr>
          <w:cantSplit/>
          <w:trHeight w:val="70"/>
          <w:jc w:val="center"/>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AC40FC" w:rsidRPr="004C4E0C" w:rsidRDefault="00AC40FC" w:rsidP="00440B39">
            <w:pPr>
              <w:spacing w:after="0"/>
              <w:jc w:val="center"/>
              <w:rPr>
                <w:rFonts w:cs="Arial"/>
                <w:color w:val="000000"/>
                <w:sz w:val="22"/>
              </w:rPr>
            </w:pPr>
            <w:r w:rsidRPr="004C4E0C">
              <w:rPr>
                <w:rFonts w:cs="Arial"/>
                <w:color w:val="000000"/>
                <w:sz w:val="22"/>
              </w:rPr>
              <w:t>TREHAB</w:t>
            </w:r>
          </w:p>
        </w:tc>
        <w:tc>
          <w:tcPr>
            <w:tcW w:w="1620" w:type="dxa"/>
            <w:tcBorders>
              <w:top w:val="nil"/>
              <w:left w:val="nil"/>
              <w:bottom w:val="single" w:sz="4" w:space="0" w:color="auto"/>
              <w:right w:val="single" w:sz="4" w:space="0" w:color="auto"/>
            </w:tcBorders>
            <w:shd w:val="clear" w:color="auto" w:fill="auto"/>
            <w:noWrap/>
            <w:vAlign w:val="center"/>
            <w:hideMark/>
          </w:tcPr>
          <w:p w:rsidR="00AC40FC" w:rsidRPr="004C4E0C" w:rsidRDefault="00AC40FC" w:rsidP="00440B39">
            <w:pPr>
              <w:spacing w:after="0"/>
              <w:jc w:val="center"/>
              <w:rPr>
                <w:rFonts w:cs="Arial"/>
                <w:color w:val="000000"/>
                <w:sz w:val="22"/>
              </w:rPr>
            </w:pPr>
            <w:r w:rsidRPr="004C4E0C">
              <w:rPr>
                <w:rFonts w:cs="Arial"/>
                <w:color w:val="000000"/>
                <w:sz w:val="22"/>
              </w:rPr>
              <w:t>3992</w:t>
            </w:r>
          </w:p>
        </w:tc>
        <w:tc>
          <w:tcPr>
            <w:tcW w:w="1620" w:type="dxa"/>
            <w:tcBorders>
              <w:top w:val="nil"/>
              <w:left w:val="nil"/>
              <w:bottom w:val="single" w:sz="4" w:space="0" w:color="auto"/>
              <w:right w:val="single" w:sz="4" w:space="0" w:color="auto"/>
            </w:tcBorders>
            <w:shd w:val="clear" w:color="auto" w:fill="auto"/>
            <w:noWrap/>
            <w:vAlign w:val="center"/>
            <w:hideMark/>
          </w:tcPr>
          <w:p w:rsidR="00AC40FC" w:rsidRPr="004C4E0C" w:rsidRDefault="00AC40FC" w:rsidP="00440B39">
            <w:pPr>
              <w:spacing w:after="0"/>
              <w:jc w:val="center"/>
              <w:rPr>
                <w:rFonts w:cs="Arial"/>
                <w:color w:val="000000"/>
                <w:sz w:val="22"/>
              </w:rPr>
            </w:pPr>
            <w:r w:rsidRPr="004C4E0C">
              <w:rPr>
                <w:rFonts w:cs="Arial"/>
                <w:color w:val="000000"/>
                <w:sz w:val="22"/>
              </w:rPr>
              <w:t>3671</w:t>
            </w:r>
          </w:p>
        </w:tc>
        <w:tc>
          <w:tcPr>
            <w:tcW w:w="1760" w:type="dxa"/>
            <w:tcBorders>
              <w:top w:val="nil"/>
              <w:left w:val="nil"/>
              <w:bottom w:val="single" w:sz="4" w:space="0" w:color="auto"/>
              <w:right w:val="single" w:sz="4" w:space="0" w:color="auto"/>
            </w:tcBorders>
            <w:shd w:val="clear" w:color="auto" w:fill="auto"/>
            <w:noWrap/>
            <w:vAlign w:val="center"/>
            <w:hideMark/>
          </w:tcPr>
          <w:p w:rsidR="00AC40FC" w:rsidRPr="004C4E0C" w:rsidRDefault="00AC40FC" w:rsidP="00440B39">
            <w:pPr>
              <w:spacing w:after="0"/>
              <w:jc w:val="center"/>
              <w:rPr>
                <w:rFonts w:cs="Arial"/>
                <w:color w:val="000000"/>
                <w:sz w:val="22"/>
              </w:rPr>
            </w:pPr>
            <w:r w:rsidRPr="004C4E0C">
              <w:rPr>
                <w:rFonts w:cs="Arial"/>
                <w:color w:val="000000"/>
                <w:sz w:val="22"/>
              </w:rPr>
              <w:t>8%</w:t>
            </w:r>
          </w:p>
        </w:tc>
      </w:tr>
      <w:tr w:rsidR="00AC40FC" w:rsidRPr="00AA5E07" w:rsidTr="00440B39">
        <w:trPr>
          <w:cantSplit/>
          <w:trHeight w:val="70"/>
          <w:jc w:val="center"/>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AC40FC" w:rsidRPr="004C4E0C" w:rsidRDefault="00AC40FC" w:rsidP="00440B39">
            <w:pPr>
              <w:spacing w:after="0"/>
              <w:jc w:val="center"/>
              <w:rPr>
                <w:rFonts w:cs="Arial"/>
                <w:color w:val="000000"/>
                <w:sz w:val="22"/>
              </w:rPr>
            </w:pPr>
            <w:r w:rsidRPr="004C4E0C">
              <w:rPr>
                <w:rFonts w:cs="Arial"/>
                <w:color w:val="000000"/>
                <w:sz w:val="22"/>
              </w:rPr>
              <w:t>SCA</w:t>
            </w:r>
          </w:p>
        </w:tc>
        <w:tc>
          <w:tcPr>
            <w:tcW w:w="1620" w:type="dxa"/>
            <w:tcBorders>
              <w:top w:val="nil"/>
              <w:left w:val="nil"/>
              <w:bottom w:val="single" w:sz="4" w:space="0" w:color="auto"/>
              <w:right w:val="single" w:sz="4" w:space="0" w:color="auto"/>
            </w:tcBorders>
            <w:shd w:val="clear" w:color="auto" w:fill="auto"/>
            <w:noWrap/>
            <w:vAlign w:val="center"/>
            <w:hideMark/>
          </w:tcPr>
          <w:p w:rsidR="00AC40FC" w:rsidRPr="004C4E0C" w:rsidRDefault="00AC40FC" w:rsidP="00440B39">
            <w:pPr>
              <w:spacing w:after="0"/>
              <w:jc w:val="center"/>
              <w:rPr>
                <w:rFonts w:cs="Arial"/>
                <w:color w:val="000000"/>
                <w:sz w:val="22"/>
              </w:rPr>
            </w:pPr>
            <w:r w:rsidRPr="004C4E0C">
              <w:rPr>
                <w:rFonts w:cs="Arial"/>
                <w:color w:val="000000"/>
                <w:sz w:val="22"/>
              </w:rPr>
              <w:t>2712</w:t>
            </w:r>
          </w:p>
        </w:tc>
        <w:tc>
          <w:tcPr>
            <w:tcW w:w="1620" w:type="dxa"/>
            <w:tcBorders>
              <w:top w:val="nil"/>
              <w:left w:val="nil"/>
              <w:bottom w:val="single" w:sz="4" w:space="0" w:color="auto"/>
              <w:right w:val="single" w:sz="4" w:space="0" w:color="auto"/>
            </w:tcBorders>
            <w:shd w:val="clear" w:color="auto" w:fill="auto"/>
            <w:noWrap/>
            <w:vAlign w:val="center"/>
            <w:hideMark/>
          </w:tcPr>
          <w:p w:rsidR="00AC40FC" w:rsidRPr="004C4E0C" w:rsidRDefault="00AC40FC" w:rsidP="00440B39">
            <w:pPr>
              <w:spacing w:after="0"/>
              <w:jc w:val="center"/>
              <w:rPr>
                <w:rFonts w:cs="Arial"/>
                <w:color w:val="000000"/>
                <w:sz w:val="22"/>
              </w:rPr>
            </w:pPr>
            <w:r w:rsidRPr="004C4E0C">
              <w:rPr>
                <w:rFonts w:cs="Arial"/>
                <w:color w:val="000000"/>
                <w:sz w:val="22"/>
              </w:rPr>
              <w:t>2224</w:t>
            </w:r>
          </w:p>
        </w:tc>
        <w:tc>
          <w:tcPr>
            <w:tcW w:w="1760" w:type="dxa"/>
            <w:tcBorders>
              <w:top w:val="nil"/>
              <w:left w:val="nil"/>
              <w:bottom w:val="single" w:sz="4" w:space="0" w:color="auto"/>
              <w:right w:val="single" w:sz="4" w:space="0" w:color="auto"/>
            </w:tcBorders>
            <w:shd w:val="clear" w:color="auto" w:fill="auto"/>
            <w:noWrap/>
            <w:vAlign w:val="center"/>
            <w:hideMark/>
          </w:tcPr>
          <w:p w:rsidR="00AC40FC" w:rsidRPr="004C4E0C" w:rsidRDefault="00AC40FC" w:rsidP="00440B39">
            <w:pPr>
              <w:spacing w:after="0"/>
              <w:jc w:val="center"/>
              <w:rPr>
                <w:rFonts w:cs="Arial"/>
                <w:color w:val="000000"/>
                <w:sz w:val="22"/>
              </w:rPr>
            </w:pPr>
            <w:r w:rsidRPr="004C4E0C">
              <w:rPr>
                <w:rFonts w:cs="Arial"/>
                <w:color w:val="000000"/>
                <w:sz w:val="22"/>
              </w:rPr>
              <w:t>18%</w:t>
            </w:r>
          </w:p>
        </w:tc>
      </w:tr>
      <w:tr w:rsidR="00AC40FC" w:rsidRPr="00AA5E07" w:rsidTr="00440B39">
        <w:trPr>
          <w:cantSplit/>
          <w:trHeight w:val="70"/>
          <w:jc w:val="center"/>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AC40FC" w:rsidRPr="004C4E0C" w:rsidRDefault="00AC40FC" w:rsidP="00440B39">
            <w:pPr>
              <w:spacing w:after="0"/>
              <w:jc w:val="center"/>
              <w:rPr>
                <w:rFonts w:cs="Arial"/>
                <w:color w:val="000000"/>
                <w:sz w:val="22"/>
              </w:rPr>
            </w:pPr>
            <w:r w:rsidRPr="004C4E0C">
              <w:rPr>
                <w:rFonts w:cs="Arial"/>
                <w:color w:val="000000"/>
                <w:sz w:val="22"/>
              </w:rPr>
              <w:t>STEP Inc.</w:t>
            </w:r>
          </w:p>
        </w:tc>
        <w:tc>
          <w:tcPr>
            <w:tcW w:w="1620" w:type="dxa"/>
            <w:tcBorders>
              <w:top w:val="nil"/>
              <w:left w:val="nil"/>
              <w:bottom w:val="single" w:sz="4" w:space="0" w:color="auto"/>
              <w:right w:val="single" w:sz="4" w:space="0" w:color="auto"/>
            </w:tcBorders>
            <w:shd w:val="clear" w:color="auto" w:fill="auto"/>
            <w:noWrap/>
            <w:vAlign w:val="center"/>
            <w:hideMark/>
          </w:tcPr>
          <w:p w:rsidR="00AC40FC" w:rsidRPr="004C4E0C" w:rsidRDefault="00AC40FC" w:rsidP="00440B39">
            <w:pPr>
              <w:spacing w:after="0"/>
              <w:jc w:val="center"/>
              <w:rPr>
                <w:rFonts w:cs="Arial"/>
                <w:color w:val="000000"/>
                <w:sz w:val="22"/>
              </w:rPr>
            </w:pPr>
            <w:r w:rsidRPr="004C4E0C">
              <w:rPr>
                <w:rFonts w:cs="Arial"/>
                <w:color w:val="000000"/>
                <w:sz w:val="22"/>
              </w:rPr>
              <w:t>2547</w:t>
            </w:r>
          </w:p>
        </w:tc>
        <w:tc>
          <w:tcPr>
            <w:tcW w:w="1620" w:type="dxa"/>
            <w:tcBorders>
              <w:top w:val="nil"/>
              <w:left w:val="nil"/>
              <w:bottom w:val="single" w:sz="4" w:space="0" w:color="auto"/>
              <w:right w:val="single" w:sz="4" w:space="0" w:color="auto"/>
            </w:tcBorders>
            <w:shd w:val="clear" w:color="auto" w:fill="auto"/>
            <w:noWrap/>
            <w:vAlign w:val="center"/>
            <w:hideMark/>
          </w:tcPr>
          <w:p w:rsidR="00AC40FC" w:rsidRPr="004C4E0C" w:rsidRDefault="00AC40FC" w:rsidP="00440B39">
            <w:pPr>
              <w:spacing w:after="0"/>
              <w:jc w:val="center"/>
              <w:rPr>
                <w:rFonts w:cs="Arial"/>
                <w:color w:val="000000"/>
                <w:sz w:val="22"/>
              </w:rPr>
            </w:pPr>
            <w:r w:rsidRPr="004C4E0C">
              <w:rPr>
                <w:rFonts w:cs="Arial"/>
                <w:color w:val="000000"/>
                <w:sz w:val="22"/>
              </w:rPr>
              <w:t>2125</w:t>
            </w:r>
          </w:p>
        </w:tc>
        <w:tc>
          <w:tcPr>
            <w:tcW w:w="1760" w:type="dxa"/>
            <w:tcBorders>
              <w:top w:val="nil"/>
              <w:left w:val="nil"/>
              <w:bottom w:val="single" w:sz="4" w:space="0" w:color="auto"/>
              <w:right w:val="single" w:sz="4" w:space="0" w:color="auto"/>
            </w:tcBorders>
            <w:shd w:val="clear" w:color="auto" w:fill="auto"/>
            <w:noWrap/>
            <w:vAlign w:val="center"/>
            <w:hideMark/>
          </w:tcPr>
          <w:p w:rsidR="00AC40FC" w:rsidRPr="004C4E0C" w:rsidRDefault="00AC40FC" w:rsidP="00440B39">
            <w:pPr>
              <w:spacing w:after="0"/>
              <w:jc w:val="center"/>
              <w:rPr>
                <w:rFonts w:cs="Arial"/>
                <w:color w:val="000000"/>
                <w:sz w:val="22"/>
              </w:rPr>
            </w:pPr>
            <w:r w:rsidRPr="004C4E0C">
              <w:rPr>
                <w:rFonts w:cs="Arial"/>
                <w:color w:val="000000"/>
                <w:sz w:val="22"/>
              </w:rPr>
              <w:t>17%</w:t>
            </w:r>
          </w:p>
        </w:tc>
      </w:tr>
      <w:tr w:rsidR="00AC40FC" w:rsidRPr="00AA5E07" w:rsidTr="00440B39">
        <w:trPr>
          <w:cantSplit/>
          <w:trHeight w:val="70"/>
          <w:jc w:val="center"/>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AC40FC" w:rsidRPr="004C4E0C" w:rsidRDefault="00AC40FC" w:rsidP="00440B39">
            <w:pPr>
              <w:spacing w:after="0"/>
              <w:jc w:val="center"/>
              <w:rPr>
                <w:rFonts w:cs="Arial"/>
                <w:color w:val="000000"/>
                <w:sz w:val="22"/>
              </w:rPr>
            </w:pPr>
            <w:r w:rsidRPr="004C4E0C">
              <w:rPr>
                <w:rFonts w:cs="Arial"/>
                <w:color w:val="000000"/>
                <w:sz w:val="22"/>
              </w:rPr>
              <w:t>USCAA</w:t>
            </w:r>
          </w:p>
        </w:tc>
        <w:tc>
          <w:tcPr>
            <w:tcW w:w="1620" w:type="dxa"/>
            <w:tcBorders>
              <w:top w:val="nil"/>
              <w:left w:val="nil"/>
              <w:bottom w:val="single" w:sz="4" w:space="0" w:color="auto"/>
              <w:right w:val="single" w:sz="4" w:space="0" w:color="auto"/>
            </w:tcBorders>
            <w:shd w:val="clear" w:color="auto" w:fill="auto"/>
            <w:noWrap/>
            <w:vAlign w:val="center"/>
            <w:hideMark/>
          </w:tcPr>
          <w:p w:rsidR="00AC40FC" w:rsidRPr="004C4E0C" w:rsidRDefault="00AC40FC" w:rsidP="00440B39">
            <w:pPr>
              <w:spacing w:after="0"/>
              <w:jc w:val="center"/>
              <w:rPr>
                <w:rFonts w:cs="Arial"/>
                <w:color w:val="000000"/>
                <w:sz w:val="22"/>
              </w:rPr>
            </w:pPr>
            <w:r w:rsidRPr="004C4E0C">
              <w:rPr>
                <w:rFonts w:cs="Arial"/>
                <w:color w:val="000000"/>
                <w:sz w:val="22"/>
              </w:rPr>
              <w:t>1383</w:t>
            </w:r>
          </w:p>
        </w:tc>
        <w:tc>
          <w:tcPr>
            <w:tcW w:w="1620" w:type="dxa"/>
            <w:tcBorders>
              <w:top w:val="nil"/>
              <w:left w:val="nil"/>
              <w:bottom w:val="single" w:sz="4" w:space="0" w:color="auto"/>
              <w:right w:val="single" w:sz="4" w:space="0" w:color="auto"/>
            </w:tcBorders>
            <w:shd w:val="clear" w:color="auto" w:fill="auto"/>
            <w:noWrap/>
            <w:vAlign w:val="center"/>
            <w:hideMark/>
          </w:tcPr>
          <w:p w:rsidR="00AC40FC" w:rsidRPr="004C4E0C" w:rsidRDefault="00AC40FC" w:rsidP="00440B39">
            <w:pPr>
              <w:spacing w:after="0"/>
              <w:jc w:val="center"/>
              <w:rPr>
                <w:rFonts w:cs="Arial"/>
                <w:color w:val="000000"/>
                <w:sz w:val="22"/>
              </w:rPr>
            </w:pPr>
            <w:r w:rsidRPr="004C4E0C">
              <w:rPr>
                <w:rFonts w:cs="Arial"/>
                <w:color w:val="000000"/>
                <w:sz w:val="22"/>
              </w:rPr>
              <w:t>1762</w:t>
            </w:r>
          </w:p>
        </w:tc>
        <w:tc>
          <w:tcPr>
            <w:tcW w:w="1760" w:type="dxa"/>
            <w:tcBorders>
              <w:top w:val="nil"/>
              <w:left w:val="nil"/>
              <w:bottom w:val="single" w:sz="4" w:space="0" w:color="auto"/>
              <w:right w:val="single" w:sz="4" w:space="0" w:color="auto"/>
            </w:tcBorders>
            <w:shd w:val="clear" w:color="auto" w:fill="auto"/>
            <w:noWrap/>
            <w:vAlign w:val="center"/>
            <w:hideMark/>
          </w:tcPr>
          <w:p w:rsidR="00AC40FC" w:rsidRPr="004C4E0C" w:rsidRDefault="00AC40FC" w:rsidP="00440B39">
            <w:pPr>
              <w:spacing w:after="0"/>
              <w:jc w:val="center"/>
              <w:rPr>
                <w:rFonts w:cs="Arial"/>
                <w:color w:val="000000"/>
                <w:sz w:val="22"/>
              </w:rPr>
            </w:pPr>
            <w:r w:rsidRPr="004C4E0C">
              <w:rPr>
                <w:rFonts w:cs="Arial"/>
                <w:color w:val="000000"/>
                <w:sz w:val="22"/>
              </w:rPr>
              <w:t>-27%</w:t>
            </w:r>
          </w:p>
        </w:tc>
      </w:tr>
      <w:tr w:rsidR="00AC40FC" w:rsidRPr="00AA5E07" w:rsidTr="00440B39">
        <w:trPr>
          <w:cantSplit/>
          <w:trHeight w:val="170"/>
          <w:jc w:val="center"/>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AC40FC" w:rsidRPr="004C4E0C" w:rsidRDefault="00AC40FC" w:rsidP="00440B39">
            <w:pPr>
              <w:spacing w:after="0"/>
              <w:jc w:val="center"/>
              <w:rPr>
                <w:rFonts w:cs="Arial"/>
                <w:color w:val="000000"/>
                <w:sz w:val="22"/>
              </w:rPr>
            </w:pPr>
            <w:r w:rsidRPr="004C4E0C">
              <w:rPr>
                <w:rFonts w:cs="Arial"/>
                <w:color w:val="000000"/>
                <w:sz w:val="22"/>
              </w:rPr>
              <w:t>CCDHS</w:t>
            </w:r>
          </w:p>
        </w:tc>
        <w:tc>
          <w:tcPr>
            <w:tcW w:w="1620" w:type="dxa"/>
            <w:tcBorders>
              <w:top w:val="nil"/>
              <w:left w:val="nil"/>
              <w:bottom w:val="single" w:sz="4" w:space="0" w:color="auto"/>
              <w:right w:val="single" w:sz="4" w:space="0" w:color="auto"/>
            </w:tcBorders>
            <w:shd w:val="clear" w:color="auto" w:fill="auto"/>
            <w:noWrap/>
            <w:vAlign w:val="center"/>
            <w:hideMark/>
          </w:tcPr>
          <w:p w:rsidR="00AC40FC" w:rsidRPr="004C4E0C" w:rsidRDefault="00AC40FC" w:rsidP="00440B39">
            <w:pPr>
              <w:spacing w:after="0"/>
              <w:jc w:val="center"/>
              <w:rPr>
                <w:rFonts w:cs="Arial"/>
                <w:color w:val="000000"/>
                <w:sz w:val="22"/>
              </w:rPr>
            </w:pPr>
            <w:r w:rsidRPr="004C4E0C">
              <w:rPr>
                <w:rFonts w:cs="Arial"/>
                <w:color w:val="000000"/>
                <w:sz w:val="22"/>
              </w:rPr>
              <w:t>926</w:t>
            </w:r>
          </w:p>
        </w:tc>
        <w:tc>
          <w:tcPr>
            <w:tcW w:w="1620" w:type="dxa"/>
            <w:tcBorders>
              <w:top w:val="nil"/>
              <w:left w:val="nil"/>
              <w:bottom w:val="single" w:sz="4" w:space="0" w:color="auto"/>
              <w:right w:val="single" w:sz="4" w:space="0" w:color="auto"/>
            </w:tcBorders>
            <w:shd w:val="clear" w:color="auto" w:fill="auto"/>
            <w:noWrap/>
            <w:vAlign w:val="center"/>
            <w:hideMark/>
          </w:tcPr>
          <w:p w:rsidR="00AC40FC" w:rsidRPr="004C4E0C" w:rsidRDefault="00AC40FC" w:rsidP="00440B39">
            <w:pPr>
              <w:spacing w:after="0"/>
              <w:jc w:val="center"/>
              <w:rPr>
                <w:rFonts w:cs="Arial"/>
                <w:color w:val="000000"/>
                <w:sz w:val="22"/>
              </w:rPr>
            </w:pPr>
            <w:r w:rsidRPr="004C4E0C">
              <w:rPr>
                <w:rFonts w:cs="Arial"/>
                <w:color w:val="000000"/>
                <w:sz w:val="22"/>
              </w:rPr>
              <w:t>781</w:t>
            </w:r>
          </w:p>
        </w:tc>
        <w:tc>
          <w:tcPr>
            <w:tcW w:w="1760" w:type="dxa"/>
            <w:tcBorders>
              <w:top w:val="nil"/>
              <w:left w:val="nil"/>
              <w:bottom w:val="single" w:sz="4" w:space="0" w:color="auto"/>
              <w:right w:val="single" w:sz="4" w:space="0" w:color="auto"/>
            </w:tcBorders>
            <w:shd w:val="clear" w:color="auto" w:fill="auto"/>
            <w:noWrap/>
            <w:vAlign w:val="center"/>
            <w:hideMark/>
          </w:tcPr>
          <w:p w:rsidR="00AC40FC" w:rsidRPr="004C4E0C" w:rsidRDefault="00AC40FC" w:rsidP="00440B39">
            <w:pPr>
              <w:spacing w:after="0"/>
              <w:jc w:val="center"/>
              <w:rPr>
                <w:rFonts w:cs="Arial"/>
                <w:color w:val="000000"/>
                <w:sz w:val="22"/>
              </w:rPr>
            </w:pPr>
            <w:r w:rsidRPr="004C4E0C">
              <w:rPr>
                <w:rFonts w:cs="Arial"/>
                <w:color w:val="000000"/>
                <w:sz w:val="22"/>
              </w:rPr>
              <w:t>16%</w:t>
            </w:r>
          </w:p>
        </w:tc>
      </w:tr>
      <w:tr w:rsidR="00AC40FC" w:rsidRPr="00AA5E07" w:rsidTr="00440B39">
        <w:trPr>
          <w:cantSplit/>
          <w:trHeight w:val="80"/>
          <w:jc w:val="center"/>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AC40FC" w:rsidRPr="004C4E0C" w:rsidRDefault="00AC40FC" w:rsidP="00440B39">
            <w:pPr>
              <w:spacing w:after="0"/>
              <w:jc w:val="center"/>
              <w:rPr>
                <w:rFonts w:cs="Arial"/>
                <w:color w:val="000000"/>
                <w:sz w:val="22"/>
              </w:rPr>
            </w:pPr>
            <w:r w:rsidRPr="004C4E0C">
              <w:rPr>
                <w:rFonts w:cs="Arial"/>
                <w:color w:val="000000"/>
                <w:sz w:val="22"/>
              </w:rPr>
              <w:t>MCDHS</w:t>
            </w:r>
          </w:p>
        </w:tc>
        <w:tc>
          <w:tcPr>
            <w:tcW w:w="1620" w:type="dxa"/>
            <w:tcBorders>
              <w:top w:val="nil"/>
              <w:left w:val="nil"/>
              <w:bottom w:val="single" w:sz="4" w:space="0" w:color="auto"/>
              <w:right w:val="single" w:sz="4" w:space="0" w:color="auto"/>
            </w:tcBorders>
            <w:shd w:val="clear" w:color="auto" w:fill="auto"/>
            <w:noWrap/>
            <w:vAlign w:val="center"/>
            <w:hideMark/>
          </w:tcPr>
          <w:p w:rsidR="00AC40FC" w:rsidRPr="004C4E0C" w:rsidRDefault="00AC40FC" w:rsidP="00440B39">
            <w:pPr>
              <w:spacing w:after="0"/>
              <w:jc w:val="center"/>
              <w:rPr>
                <w:rFonts w:cs="Arial"/>
                <w:color w:val="000000"/>
                <w:sz w:val="22"/>
              </w:rPr>
            </w:pPr>
            <w:r w:rsidRPr="004C4E0C">
              <w:rPr>
                <w:rFonts w:cs="Arial"/>
                <w:color w:val="000000"/>
                <w:sz w:val="22"/>
              </w:rPr>
              <w:t>102</w:t>
            </w:r>
          </w:p>
        </w:tc>
        <w:tc>
          <w:tcPr>
            <w:tcW w:w="1620" w:type="dxa"/>
            <w:tcBorders>
              <w:top w:val="nil"/>
              <w:left w:val="nil"/>
              <w:bottom w:val="single" w:sz="4" w:space="0" w:color="auto"/>
              <w:right w:val="single" w:sz="4" w:space="0" w:color="auto"/>
            </w:tcBorders>
            <w:shd w:val="clear" w:color="auto" w:fill="auto"/>
            <w:noWrap/>
            <w:vAlign w:val="center"/>
            <w:hideMark/>
          </w:tcPr>
          <w:p w:rsidR="00AC40FC" w:rsidRPr="004C4E0C" w:rsidRDefault="00AC40FC" w:rsidP="00440B39">
            <w:pPr>
              <w:spacing w:after="0"/>
              <w:jc w:val="center"/>
              <w:rPr>
                <w:rFonts w:cs="Arial"/>
                <w:color w:val="000000"/>
                <w:sz w:val="22"/>
              </w:rPr>
            </w:pPr>
            <w:r w:rsidRPr="004C4E0C">
              <w:rPr>
                <w:rFonts w:cs="Arial"/>
                <w:color w:val="000000"/>
                <w:sz w:val="22"/>
              </w:rPr>
              <w:t>96</w:t>
            </w:r>
          </w:p>
        </w:tc>
        <w:tc>
          <w:tcPr>
            <w:tcW w:w="1760" w:type="dxa"/>
            <w:tcBorders>
              <w:top w:val="nil"/>
              <w:left w:val="nil"/>
              <w:bottom w:val="single" w:sz="4" w:space="0" w:color="auto"/>
              <w:right w:val="single" w:sz="4" w:space="0" w:color="auto"/>
            </w:tcBorders>
            <w:shd w:val="clear" w:color="auto" w:fill="auto"/>
            <w:noWrap/>
            <w:vAlign w:val="center"/>
            <w:hideMark/>
          </w:tcPr>
          <w:p w:rsidR="00AC40FC" w:rsidRPr="004C4E0C" w:rsidRDefault="00AC40FC" w:rsidP="00440B39">
            <w:pPr>
              <w:spacing w:after="0"/>
              <w:jc w:val="center"/>
              <w:rPr>
                <w:rFonts w:cs="Arial"/>
                <w:color w:val="000000"/>
                <w:sz w:val="22"/>
              </w:rPr>
            </w:pPr>
            <w:r w:rsidRPr="004C4E0C">
              <w:rPr>
                <w:rFonts w:cs="Arial"/>
                <w:color w:val="000000"/>
                <w:sz w:val="22"/>
              </w:rPr>
              <w:t>6%</w:t>
            </w:r>
          </w:p>
        </w:tc>
      </w:tr>
      <w:tr w:rsidR="00AC40FC" w:rsidRPr="00AA5E07" w:rsidTr="00440B39">
        <w:trPr>
          <w:cantSplit/>
          <w:trHeight w:val="98"/>
          <w:jc w:val="center"/>
        </w:trPr>
        <w:tc>
          <w:tcPr>
            <w:tcW w:w="640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C40FC" w:rsidRPr="004C4E0C" w:rsidRDefault="00AC40FC" w:rsidP="00440B39">
            <w:pPr>
              <w:spacing w:after="0"/>
              <w:jc w:val="left"/>
              <w:rPr>
                <w:rFonts w:cs="Arial"/>
                <w:color w:val="000000"/>
                <w:sz w:val="22"/>
              </w:rPr>
            </w:pPr>
            <w:r w:rsidRPr="004C4E0C">
              <w:rPr>
                <w:rFonts w:cs="Arial"/>
                <w:color w:val="000000"/>
                <w:sz w:val="22"/>
              </w:rPr>
              <w:t>Source:  DN 14-115</w:t>
            </w:r>
          </w:p>
        </w:tc>
      </w:tr>
    </w:tbl>
    <w:p w:rsidR="00AC40FC" w:rsidRDefault="00AC40FC" w:rsidP="00440B39">
      <w:pPr>
        <w:pStyle w:val="Normal-aftertable"/>
      </w:pPr>
      <w:r>
        <w:t xml:space="preserve">As shown above, 8 of the 10 agencies exceeded their targets during 2014, one by as much as 18%.  One agency missed its target by 2% and another by 27%.   </w:t>
      </w:r>
    </w:p>
    <w:p w:rsidR="00AC40FC" w:rsidRDefault="00AC40FC" w:rsidP="00BB665B">
      <w:pPr>
        <w:pStyle w:val="Heading-forToC"/>
      </w:pPr>
      <w:bookmarkStart w:id="142" w:name="_Toc462647863"/>
      <w:bookmarkStart w:id="143" w:name="_Toc464552102"/>
      <w:r>
        <w:t>findings</w:t>
      </w:r>
      <w:bookmarkEnd w:id="142"/>
      <w:bookmarkEnd w:id="143"/>
      <w:r>
        <w:t xml:space="preserve"> </w:t>
      </w:r>
    </w:p>
    <w:p w:rsidR="00AC40FC" w:rsidRDefault="00AC40FC" w:rsidP="004F00E5">
      <w:pPr>
        <w:pStyle w:val="Findings"/>
        <w:numPr>
          <w:ilvl w:val="0"/>
          <w:numId w:val="56"/>
        </w:numPr>
      </w:pPr>
      <w:r>
        <w:t>Payments to OnTrack agencies have increased while the number of caseworkers has decreased, causing a significant rise in cost per caseworker.</w:t>
      </w:r>
    </w:p>
    <w:p w:rsidR="00AC40FC" w:rsidRDefault="00AC40FC" w:rsidP="00440B39">
      <w:r>
        <w:t>The chart and table below show payments, the number of caseworkers, and cost per caseworker over five years:</w:t>
      </w:r>
    </w:p>
    <w:p w:rsidR="00AC40FC" w:rsidRDefault="00AC40FC" w:rsidP="002B3172">
      <w:pPr>
        <w:pStyle w:val="Caption"/>
      </w:pPr>
      <w:bookmarkStart w:id="144" w:name="_Toc462648426"/>
      <w:bookmarkStart w:id="145" w:name="_Toc464553048"/>
      <w:r>
        <w:t xml:space="preserve">Exhibit </w:t>
      </w:r>
      <w:fldSimple w:instr=" STYLEREF 1 \s ">
        <w:r w:rsidR="00A24205">
          <w:rPr>
            <w:noProof/>
          </w:rPr>
          <w:t>X</w:t>
        </w:r>
      </w:fldSimple>
      <w:r w:rsidR="00264A1B">
        <w:noBreakHyphen/>
      </w:r>
      <w:fldSimple w:instr=" SEQ Exhibit \* ARABIC \s 1 ">
        <w:r w:rsidR="00A24205">
          <w:rPr>
            <w:noProof/>
          </w:rPr>
          <w:t>9</w:t>
        </w:r>
      </w:fldSimple>
      <w:r>
        <w:br/>
        <w:t>Average Cost per OnTrack Agency Caseworker</w:t>
      </w:r>
      <w:bookmarkEnd w:id="144"/>
      <w:bookmarkEnd w:id="145"/>
    </w:p>
    <w:p w:rsidR="00AC40FC" w:rsidRPr="002F515F" w:rsidRDefault="00AC40FC" w:rsidP="00440B39">
      <w:pPr>
        <w:jc w:val="center"/>
      </w:pPr>
      <w:r>
        <w:rPr>
          <w:noProof/>
        </w:rPr>
        <w:drawing>
          <wp:inline distT="0" distB="0" distL="0" distR="0">
            <wp:extent cx="4059115" cy="2260599"/>
            <wp:effectExtent l="0" t="0" r="0" b="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bl>
      <w:tblPr>
        <w:tblW w:w="9323" w:type="dxa"/>
        <w:jc w:val="center"/>
        <w:tblLayout w:type="fixed"/>
        <w:tblCellMar>
          <w:left w:w="58" w:type="dxa"/>
          <w:right w:w="58" w:type="dxa"/>
        </w:tblCellMar>
        <w:tblLook w:val="04A0"/>
      </w:tblPr>
      <w:tblGrid>
        <w:gridCol w:w="1545"/>
        <w:gridCol w:w="1260"/>
        <w:gridCol w:w="1260"/>
        <w:gridCol w:w="1260"/>
        <w:gridCol w:w="1260"/>
        <w:gridCol w:w="1407"/>
        <w:gridCol w:w="1331"/>
      </w:tblGrid>
      <w:tr w:rsidR="00AC40FC" w:rsidRPr="001D0BC9" w:rsidTr="00786363">
        <w:trPr>
          <w:cantSplit/>
          <w:trHeight w:val="300"/>
          <w:tblHeader/>
          <w:jc w:val="center"/>
        </w:trPr>
        <w:tc>
          <w:tcPr>
            <w:tcW w:w="1545" w:type="dxa"/>
            <w:tcBorders>
              <w:top w:val="single" w:sz="4" w:space="0" w:color="auto"/>
              <w:left w:val="single" w:sz="4" w:space="0" w:color="auto"/>
              <w:bottom w:val="single" w:sz="4" w:space="0" w:color="auto"/>
              <w:right w:val="single" w:sz="4" w:space="0" w:color="auto"/>
            </w:tcBorders>
            <w:shd w:val="clear" w:color="auto" w:fill="A5CD7E"/>
            <w:noWrap/>
            <w:vAlign w:val="center"/>
            <w:hideMark/>
          </w:tcPr>
          <w:p w:rsidR="00AC40FC" w:rsidRPr="00284E94" w:rsidRDefault="00AC40FC" w:rsidP="00521E7D">
            <w:pPr>
              <w:spacing w:before="120"/>
              <w:jc w:val="center"/>
              <w:rPr>
                <w:rFonts w:cs="Arial"/>
                <w:b/>
                <w:color w:val="000000"/>
                <w:sz w:val="22"/>
              </w:rPr>
            </w:pPr>
            <w:r w:rsidRPr="00284E94">
              <w:rPr>
                <w:rFonts w:cs="Arial"/>
                <w:b/>
                <w:color w:val="000000"/>
                <w:sz w:val="22"/>
              </w:rPr>
              <w:t>Factor</w:t>
            </w:r>
          </w:p>
        </w:tc>
        <w:tc>
          <w:tcPr>
            <w:tcW w:w="126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284E94" w:rsidRDefault="00AC40FC" w:rsidP="00521E7D">
            <w:pPr>
              <w:spacing w:before="120"/>
              <w:jc w:val="center"/>
              <w:rPr>
                <w:rFonts w:cs="Arial"/>
                <w:b/>
                <w:color w:val="000000"/>
                <w:sz w:val="22"/>
              </w:rPr>
            </w:pPr>
            <w:r w:rsidRPr="00284E94">
              <w:rPr>
                <w:rFonts w:cs="Arial"/>
                <w:b/>
                <w:color w:val="000000"/>
                <w:sz w:val="22"/>
              </w:rPr>
              <w:t>2010</w:t>
            </w:r>
          </w:p>
        </w:tc>
        <w:tc>
          <w:tcPr>
            <w:tcW w:w="126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284E94" w:rsidRDefault="00AC40FC" w:rsidP="00521E7D">
            <w:pPr>
              <w:spacing w:before="120"/>
              <w:jc w:val="center"/>
              <w:rPr>
                <w:rFonts w:cs="Arial"/>
                <w:b/>
                <w:color w:val="000000"/>
                <w:sz w:val="22"/>
              </w:rPr>
            </w:pPr>
            <w:r w:rsidRPr="00284E94">
              <w:rPr>
                <w:rFonts w:cs="Arial"/>
                <w:b/>
                <w:color w:val="000000"/>
                <w:sz w:val="22"/>
              </w:rPr>
              <w:t>2011</w:t>
            </w:r>
          </w:p>
        </w:tc>
        <w:tc>
          <w:tcPr>
            <w:tcW w:w="126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284E94" w:rsidRDefault="00AC40FC" w:rsidP="00521E7D">
            <w:pPr>
              <w:spacing w:before="120"/>
              <w:jc w:val="center"/>
              <w:rPr>
                <w:rFonts w:cs="Arial"/>
                <w:b/>
                <w:color w:val="000000"/>
                <w:sz w:val="22"/>
              </w:rPr>
            </w:pPr>
            <w:r w:rsidRPr="00284E94">
              <w:rPr>
                <w:rFonts w:cs="Arial"/>
                <w:b/>
                <w:color w:val="000000"/>
                <w:sz w:val="22"/>
              </w:rPr>
              <w:t>2012</w:t>
            </w:r>
          </w:p>
        </w:tc>
        <w:tc>
          <w:tcPr>
            <w:tcW w:w="126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284E94" w:rsidRDefault="00AC40FC" w:rsidP="00521E7D">
            <w:pPr>
              <w:spacing w:before="120"/>
              <w:jc w:val="center"/>
              <w:rPr>
                <w:rFonts w:cs="Arial"/>
                <w:b/>
                <w:color w:val="000000"/>
                <w:sz w:val="22"/>
              </w:rPr>
            </w:pPr>
            <w:r w:rsidRPr="00284E94">
              <w:rPr>
                <w:rFonts w:cs="Arial"/>
                <w:b/>
                <w:color w:val="000000"/>
                <w:sz w:val="22"/>
              </w:rPr>
              <w:t>2013</w:t>
            </w:r>
          </w:p>
        </w:tc>
        <w:tc>
          <w:tcPr>
            <w:tcW w:w="1407"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284E94" w:rsidRDefault="00AC40FC" w:rsidP="00521E7D">
            <w:pPr>
              <w:spacing w:before="120"/>
              <w:jc w:val="center"/>
              <w:rPr>
                <w:rFonts w:cs="Arial"/>
                <w:b/>
                <w:color w:val="000000"/>
                <w:sz w:val="22"/>
              </w:rPr>
            </w:pPr>
            <w:r w:rsidRPr="00284E94">
              <w:rPr>
                <w:rFonts w:cs="Arial"/>
                <w:b/>
                <w:color w:val="000000"/>
                <w:sz w:val="22"/>
              </w:rPr>
              <w:t>2014</w:t>
            </w:r>
          </w:p>
        </w:tc>
        <w:tc>
          <w:tcPr>
            <w:tcW w:w="1331" w:type="dxa"/>
            <w:tcBorders>
              <w:top w:val="single" w:sz="4" w:space="0" w:color="auto"/>
              <w:left w:val="nil"/>
              <w:bottom w:val="single" w:sz="4" w:space="0" w:color="auto"/>
              <w:right w:val="single" w:sz="4" w:space="0" w:color="auto"/>
            </w:tcBorders>
            <w:shd w:val="clear" w:color="auto" w:fill="A5CD7E"/>
            <w:vAlign w:val="center"/>
          </w:tcPr>
          <w:p w:rsidR="00AC40FC" w:rsidRPr="00284E94" w:rsidRDefault="00AC40FC" w:rsidP="00521E7D">
            <w:pPr>
              <w:spacing w:before="120"/>
              <w:jc w:val="center"/>
              <w:rPr>
                <w:rFonts w:cs="Arial"/>
                <w:b/>
                <w:color w:val="000000"/>
                <w:sz w:val="22"/>
              </w:rPr>
            </w:pPr>
            <w:r w:rsidRPr="00284E94">
              <w:rPr>
                <w:rFonts w:cs="Arial"/>
                <w:b/>
                <w:color w:val="000000"/>
                <w:sz w:val="22"/>
              </w:rPr>
              <w:t>2015</w:t>
            </w:r>
          </w:p>
        </w:tc>
      </w:tr>
      <w:tr w:rsidR="00AC40FC" w:rsidRPr="001D0BC9" w:rsidTr="00440B39">
        <w:trPr>
          <w:trHeight w:val="300"/>
          <w:jc w:val="center"/>
        </w:trPr>
        <w:tc>
          <w:tcPr>
            <w:tcW w:w="1545" w:type="dxa"/>
            <w:tcBorders>
              <w:top w:val="nil"/>
              <w:left w:val="single" w:sz="4" w:space="0" w:color="auto"/>
              <w:bottom w:val="single" w:sz="4" w:space="0" w:color="auto"/>
              <w:right w:val="single" w:sz="4" w:space="0" w:color="auto"/>
            </w:tcBorders>
            <w:shd w:val="clear" w:color="auto" w:fill="auto"/>
            <w:noWrap/>
            <w:vAlign w:val="center"/>
            <w:hideMark/>
          </w:tcPr>
          <w:p w:rsidR="00AC40FC" w:rsidRPr="00284E94" w:rsidRDefault="00AC40FC" w:rsidP="00440B39">
            <w:pPr>
              <w:spacing w:after="0"/>
              <w:jc w:val="center"/>
              <w:rPr>
                <w:rFonts w:cs="Arial"/>
                <w:color w:val="000000"/>
                <w:sz w:val="22"/>
              </w:rPr>
            </w:pPr>
            <w:r w:rsidRPr="00284E94">
              <w:rPr>
                <w:rFonts w:cs="Arial"/>
                <w:color w:val="000000"/>
                <w:sz w:val="22"/>
              </w:rPr>
              <w:t>Agency Costs</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284E94" w:rsidRDefault="00AC40FC" w:rsidP="00440B39">
            <w:pPr>
              <w:spacing w:after="0"/>
              <w:jc w:val="center"/>
              <w:rPr>
                <w:rFonts w:cs="Arial"/>
                <w:color w:val="000000"/>
                <w:sz w:val="22"/>
              </w:rPr>
            </w:pPr>
            <w:r w:rsidRPr="00284E94">
              <w:rPr>
                <w:rFonts w:cs="Arial"/>
                <w:color w:val="000000"/>
                <w:sz w:val="22"/>
              </w:rPr>
              <w:t xml:space="preserve">$2,114,798 </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284E94" w:rsidRDefault="00AC40FC" w:rsidP="00440B39">
            <w:pPr>
              <w:spacing w:after="0"/>
              <w:jc w:val="center"/>
              <w:rPr>
                <w:rFonts w:cs="Arial"/>
                <w:color w:val="000000"/>
                <w:sz w:val="22"/>
              </w:rPr>
            </w:pPr>
            <w:r w:rsidRPr="00284E94">
              <w:rPr>
                <w:rFonts w:cs="Arial"/>
                <w:color w:val="000000"/>
                <w:sz w:val="22"/>
              </w:rPr>
              <w:t xml:space="preserve">$1,860,420 </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284E94" w:rsidRDefault="00AC40FC" w:rsidP="00440B39">
            <w:pPr>
              <w:spacing w:after="0"/>
              <w:jc w:val="center"/>
              <w:rPr>
                <w:rFonts w:cs="Arial"/>
                <w:color w:val="000000"/>
                <w:sz w:val="22"/>
              </w:rPr>
            </w:pPr>
            <w:r w:rsidRPr="00284E94">
              <w:rPr>
                <w:rFonts w:cs="Arial"/>
                <w:color w:val="000000"/>
                <w:sz w:val="22"/>
              </w:rPr>
              <w:t xml:space="preserve">$2,241,857 </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284E94" w:rsidRDefault="00AC40FC" w:rsidP="00440B39">
            <w:pPr>
              <w:spacing w:after="0"/>
              <w:jc w:val="center"/>
              <w:rPr>
                <w:rFonts w:cs="Arial"/>
                <w:color w:val="000000"/>
                <w:sz w:val="22"/>
              </w:rPr>
            </w:pPr>
            <w:r w:rsidRPr="00284E94">
              <w:rPr>
                <w:rFonts w:cs="Arial"/>
                <w:color w:val="000000"/>
                <w:sz w:val="22"/>
              </w:rPr>
              <w:t xml:space="preserve">$2,341,380 </w:t>
            </w:r>
          </w:p>
        </w:tc>
        <w:tc>
          <w:tcPr>
            <w:tcW w:w="1407" w:type="dxa"/>
            <w:tcBorders>
              <w:top w:val="nil"/>
              <w:left w:val="nil"/>
              <w:bottom w:val="single" w:sz="4" w:space="0" w:color="auto"/>
              <w:right w:val="single" w:sz="4" w:space="0" w:color="auto"/>
            </w:tcBorders>
            <w:shd w:val="clear" w:color="auto" w:fill="auto"/>
            <w:noWrap/>
            <w:vAlign w:val="center"/>
            <w:hideMark/>
          </w:tcPr>
          <w:p w:rsidR="00AC40FC" w:rsidRPr="00284E94" w:rsidRDefault="00AC40FC" w:rsidP="00440B39">
            <w:pPr>
              <w:spacing w:after="0"/>
              <w:jc w:val="center"/>
              <w:rPr>
                <w:rFonts w:cs="Arial"/>
                <w:color w:val="000000"/>
                <w:sz w:val="22"/>
              </w:rPr>
            </w:pPr>
            <w:r w:rsidRPr="00284E94">
              <w:rPr>
                <w:rFonts w:cs="Arial"/>
                <w:color w:val="000000"/>
                <w:sz w:val="22"/>
              </w:rPr>
              <w:t xml:space="preserve">$2,483,220 </w:t>
            </w:r>
          </w:p>
        </w:tc>
        <w:tc>
          <w:tcPr>
            <w:tcW w:w="1331" w:type="dxa"/>
            <w:tcBorders>
              <w:top w:val="nil"/>
              <w:left w:val="nil"/>
              <w:bottom w:val="single" w:sz="4" w:space="0" w:color="auto"/>
              <w:right w:val="single" w:sz="4" w:space="0" w:color="auto"/>
            </w:tcBorders>
            <w:vAlign w:val="center"/>
          </w:tcPr>
          <w:p w:rsidR="00AC40FC" w:rsidRPr="00284E94" w:rsidRDefault="00AC40FC" w:rsidP="00440B39">
            <w:pPr>
              <w:spacing w:after="0"/>
              <w:jc w:val="center"/>
              <w:rPr>
                <w:rFonts w:cs="Arial"/>
                <w:color w:val="000000"/>
                <w:sz w:val="22"/>
              </w:rPr>
            </w:pPr>
            <w:r>
              <w:rPr>
                <w:rFonts w:cs="Arial"/>
                <w:color w:val="000000"/>
                <w:sz w:val="22"/>
              </w:rPr>
              <w:t>$2,376,716</w:t>
            </w:r>
          </w:p>
        </w:tc>
      </w:tr>
      <w:tr w:rsidR="00AC40FC" w:rsidRPr="001D0BC9" w:rsidTr="00440B39">
        <w:trPr>
          <w:trHeight w:val="300"/>
          <w:jc w:val="center"/>
        </w:trPr>
        <w:tc>
          <w:tcPr>
            <w:tcW w:w="1545" w:type="dxa"/>
            <w:tcBorders>
              <w:top w:val="nil"/>
              <w:left w:val="single" w:sz="4" w:space="0" w:color="auto"/>
              <w:bottom w:val="single" w:sz="4" w:space="0" w:color="auto"/>
              <w:right w:val="single" w:sz="4" w:space="0" w:color="auto"/>
            </w:tcBorders>
            <w:shd w:val="clear" w:color="auto" w:fill="auto"/>
            <w:noWrap/>
            <w:vAlign w:val="center"/>
            <w:hideMark/>
          </w:tcPr>
          <w:p w:rsidR="00AC40FC" w:rsidRPr="00284E94" w:rsidRDefault="00AC40FC" w:rsidP="00440B39">
            <w:pPr>
              <w:spacing w:after="0"/>
              <w:jc w:val="center"/>
              <w:rPr>
                <w:rFonts w:cs="Arial"/>
                <w:color w:val="000000"/>
                <w:sz w:val="22"/>
              </w:rPr>
            </w:pPr>
            <w:r w:rsidRPr="00284E94">
              <w:rPr>
                <w:rFonts w:cs="Arial"/>
                <w:color w:val="000000"/>
                <w:sz w:val="22"/>
              </w:rPr>
              <w:t>Caseworkers</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284E94" w:rsidRDefault="00AC40FC" w:rsidP="00440B39">
            <w:pPr>
              <w:spacing w:after="0"/>
              <w:jc w:val="center"/>
              <w:rPr>
                <w:rFonts w:cs="Arial"/>
                <w:color w:val="000000"/>
                <w:sz w:val="22"/>
              </w:rPr>
            </w:pPr>
            <w:r w:rsidRPr="00284E94">
              <w:rPr>
                <w:rFonts w:cs="Arial"/>
                <w:color w:val="000000"/>
                <w:sz w:val="22"/>
              </w:rPr>
              <w:t>52.5</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284E94" w:rsidRDefault="00AC40FC" w:rsidP="00440B39">
            <w:pPr>
              <w:spacing w:after="0"/>
              <w:jc w:val="center"/>
              <w:rPr>
                <w:rFonts w:cs="Arial"/>
                <w:color w:val="000000"/>
                <w:sz w:val="22"/>
              </w:rPr>
            </w:pPr>
            <w:r w:rsidRPr="00284E94">
              <w:rPr>
                <w:rFonts w:cs="Arial"/>
                <w:color w:val="000000"/>
                <w:sz w:val="22"/>
              </w:rPr>
              <w:t>48.5</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284E94" w:rsidRDefault="00AC40FC" w:rsidP="00440B39">
            <w:pPr>
              <w:spacing w:after="0"/>
              <w:jc w:val="center"/>
              <w:rPr>
                <w:rFonts w:cs="Arial"/>
                <w:color w:val="000000"/>
                <w:sz w:val="22"/>
              </w:rPr>
            </w:pPr>
            <w:r w:rsidRPr="00284E94">
              <w:rPr>
                <w:rFonts w:cs="Arial"/>
                <w:color w:val="000000"/>
                <w:sz w:val="22"/>
              </w:rPr>
              <w:t>48.5</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284E94" w:rsidRDefault="00AC40FC" w:rsidP="00440B39">
            <w:pPr>
              <w:spacing w:after="0"/>
              <w:jc w:val="center"/>
              <w:rPr>
                <w:rFonts w:cs="Arial"/>
                <w:color w:val="000000"/>
                <w:sz w:val="22"/>
              </w:rPr>
            </w:pPr>
            <w:r w:rsidRPr="00284E94">
              <w:rPr>
                <w:rFonts w:cs="Arial"/>
                <w:color w:val="000000"/>
                <w:sz w:val="22"/>
              </w:rPr>
              <w:t>44.5</w:t>
            </w:r>
          </w:p>
        </w:tc>
        <w:tc>
          <w:tcPr>
            <w:tcW w:w="1407" w:type="dxa"/>
            <w:tcBorders>
              <w:top w:val="nil"/>
              <w:left w:val="nil"/>
              <w:bottom w:val="single" w:sz="4" w:space="0" w:color="auto"/>
              <w:right w:val="single" w:sz="4" w:space="0" w:color="auto"/>
            </w:tcBorders>
            <w:shd w:val="clear" w:color="auto" w:fill="auto"/>
            <w:noWrap/>
            <w:vAlign w:val="center"/>
            <w:hideMark/>
          </w:tcPr>
          <w:p w:rsidR="00AC40FC" w:rsidRPr="00284E94" w:rsidRDefault="00AC40FC" w:rsidP="00440B39">
            <w:pPr>
              <w:spacing w:after="0"/>
              <w:jc w:val="center"/>
              <w:rPr>
                <w:rFonts w:cs="Arial"/>
                <w:color w:val="000000"/>
                <w:sz w:val="22"/>
              </w:rPr>
            </w:pPr>
            <w:r w:rsidRPr="00284E94">
              <w:rPr>
                <w:rFonts w:cs="Arial"/>
                <w:color w:val="000000"/>
                <w:sz w:val="22"/>
              </w:rPr>
              <w:t>44.5</w:t>
            </w:r>
          </w:p>
        </w:tc>
        <w:tc>
          <w:tcPr>
            <w:tcW w:w="1331" w:type="dxa"/>
            <w:tcBorders>
              <w:top w:val="nil"/>
              <w:left w:val="nil"/>
              <w:bottom w:val="single" w:sz="4" w:space="0" w:color="auto"/>
              <w:right w:val="single" w:sz="4" w:space="0" w:color="auto"/>
            </w:tcBorders>
            <w:vAlign w:val="center"/>
          </w:tcPr>
          <w:p w:rsidR="00AC40FC" w:rsidRPr="00284E94" w:rsidRDefault="00AC40FC" w:rsidP="00440B39">
            <w:pPr>
              <w:spacing w:after="0"/>
              <w:jc w:val="center"/>
              <w:rPr>
                <w:rFonts w:cs="Arial"/>
                <w:color w:val="000000"/>
                <w:sz w:val="22"/>
              </w:rPr>
            </w:pPr>
            <w:r>
              <w:rPr>
                <w:rFonts w:cs="Arial"/>
                <w:color w:val="000000"/>
                <w:sz w:val="22"/>
              </w:rPr>
              <w:t>46.0</w:t>
            </w:r>
          </w:p>
        </w:tc>
      </w:tr>
      <w:tr w:rsidR="00AC40FC" w:rsidRPr="001D0BC9" w:rsidTr="00440B39">
        <w:trPr>
          <w:trHeight w:val="300"/>
          <w:jc w:val="center"/>
        </w:trPr>
        <w:tc>
          <w:tcPr>
            <w:tcW w:w="1545" w:type="dxa"/>
            <w:tcBorders>
              <w:top w:val="nil"/>
              <w:left w:val="single" w:sz="4" w:space="0" w:color="auto"/>
              <w:bottom w:val="single" w:sz="4" w:space="0" w:color="auto"/>
              <w:right w:val="single" w:sz="4" w:space="0" w:color="auto"/>
            </w:tcBorders>
            <w:shd w:val="clear" w:color="auto" w:fill="auto"/>
            <w:noWrap/>
            <w:vAlign w:val="center"/>
            <w:hideMark/>
          </w:tcPr>
          <w:p w:rsidR="00AC40FC" w:rsidRPr="00284E94" w:rsidRDefault="00AC40FC" w:rsidP="00440B39">
            <w:pPr>
              <w:spacing w:after="0"/>
              <w:jc w:val="center"/>
              <w:rPr>
                <w:rFonts w:cs="Arial"/>
                <w:color w:val="000000"/>
                <w:sz w:val="22"/>
              </w:rPr>
            </w:pPr>
            <w:r w:rsidRPr="00284E94">
              <w:rPr>
                <w:rFonts w:cs="Arial"/>
                <w:color w:val="000000"/>
                <w:sz w:val="22"/>
              </w:rPr>
              <w:t>Cost per Caseworker</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284E94" w:rsidRDefault="00AC40FC" w:rsidP="00440B39">
            <w:pPr>
              <w:spacing w:after="0"/>
              <w:jc w:val="center"/>
              <w:rPr>
                <w:rFonts w:cs="Arial"/>
                <w:color w:val="000000"/>
                <w:sz w:val="22"/>
              </w:rPr>
            </w:pPr>
            <w:r w:rsidRPr="00284E94">
              <w:rPr>
                <w:rFonts w:cs="Arial"/>
                <w:color w:val="000000"/>
                <w:sz w:val="22"/>
              </w:rPr>
              <w:t xml:space="preserve">$40,282 </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284E94" w:rsidRDefault="00AC40FC" w:rsidP="00440B39">
            <w:pPr>
              <w:spacing w:after="0"/>
              <w:jc w:val="center"/>
              <w:rPr>
                <w:rFonts w:cs="Arial"/>
                <w:color w:val="000000"/>
                <w:sz w:val="22"/>
              </w:rPr>
            </w:pPr>
            <w:r w:rsidRPr="00284E94">
              <w:rPr>
                <w:rFonts w:cs="Arial"/>
                <w:color w:val="000000"/>
                <w:sz w:val="22"/>
              </w:rPr>
              <w:t xml:space="preserve">$38,359 </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284E94" w:rsidRDefault="00AC40FC" w:rsidP="00440B39">
            <w:pPr>
              <w:spacing w:after="0"/>
              <w:jc w:val="center"/>
              <w:rPr>
                <w:rFonts w:cs="Arial"/>
                <w:color w:val="000000"/>
                <w:sz w:val="22"/>
              </w:rPr>
            </w:pPr>
            <w:r w:rsidRPr="00284E94">
              <w:rPr>
                <w:rFonts w:cs="Arial"/>
                <w:color w:val="000000"/>
                <w:sz w:val="22"/>
              </w:rPr>
              <w:t xml:space="preserve">$46,224 </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284E94" w:rsidRDefault="00AC40FC" w:rsidP="00440B39">
            <w:pPr>
              <w:spacing w:after="0"/>
              <w:jc w:val="center"/>
              <w:rPr>
                <w:rFonts w:cs="Arial"/>
                <w:color w:val="000000"/>
                <w:sz w:val="22"/>
              </w:rPr>
            </w:pPr>
            <w:r w:rsidRPr="00284E94">
              <w:rPr>
                <w:rFonts w:cs="Arial"/>
                <w:color w:val="000000"/>
                <w:sz w:val="22"/>
              </w:rPr>
              <w:t xml:space="preserve">$52,615 </w:t>
            </w:r>
          </w:p>
        </w:tc>
        <w:tc>
          <w:tcPr>
            <w:tcW w:w="1407" w:type="dxa"/>
            <w:tcBorders>
              <w:top w:val="nil"/>
              <w:left w:val="nil"/>
              <w:bottom w:val="single" w:sz="4" w:space="0" w:color="auto"/>
              <w:right w:val="single" w:sz="4" w:space="0" w:color="auto"/>
            </w:tcBorders>
            <w:shd w:val="clear" w:color="auto" w:fill="auto"/>
            <w:noWrap/>
            <w:vAlign w:val="center"/>
            <w:hideMark/>
          </w:tcPr>
          <w:p w:rsidR="00AC40FC" w:rsidRPr="00284E94" w:rsidRDefault="00AC40FC" w:rsidP="00440B39">
            <w:pPr>
              <w:spacing w:after="0"/>
              <w:jc w:val="center"/>
              <w:rPr>
                <w:rFonts w:cs="Arial"/>
                <w:color w:val="000000"/>
                <w:sz w:val="22"/>
              </w:rPr>
            </w:pPr>
            <w:r w:rsidRPr="00284E94">
              <w:rPr>
                <w:rFonts w:cs="Arial"/>
                <w:color w:val="000000"/>
                <w:sz w:val="22"/>
              </w:rPr>
              <w:t xml:space="preserve">$55,802 </w:t>
            </w:r>
          </w:p>
        </w:tc>
        <w:tc>
          <w:tcPr>
            <w:tcW w:w="1331" w:type="dxa"/>
            <w:tcBorders>
              <w:top w:val="nil"/>
              <w:left w:val="nil"/>
              <w:bottom w:val="single" w:sz="4" w:space="0" w:color="auto"/>
              <w:right w:val="single" w:sz="4" w:space="0" w:color="auto"/>
            </w:tcBorders>
            <w:vAlign w:val="center"/>
          </w:tcPr>
          <w:p w:rsidR="00AC40FC" w:rsidRPr="00284E94" w:rsidRDefault="00AC40FC" w:rsidP="00440B39">
            <w:pPr>
              <w:spacing w:after="0"/>
              <w:jc w:val="center"/>
              <w:rPr>
                <w:rFonts w:cs="Arial"/>
                <w:color w:val="000000"/>
                <w:sz w:val="22"/>
              </w:rPr>
            </w:pPr>
            <w:r>
              <w:rPr>
                <w:rFonts w:cs="Arial"/>
                <w:color w:val="000000"/>
                <w:sz w:val="22"/>
              </w:rPr>
              <w:t>$51,668</w:t>
            </w:r>
          </w:p>
        </w:tc>
      </w:tr>
      <w:tr w:rsidR="00AC40FC" w:rsidRPr="001D0BC9" w:rsidTr="00440B39">
        <w:trPr>
          <w:trHeight w:val="300"/>
          <w:jc w:val="center"/>
        </w:trPr>
        <w:tc>
          <w:tcPr>
            <w:tcW w:w="932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40FC" w:rsidRPr="004C64A6" w:rsidRDefault="00AC40FC" w:rsidP="00440B39">
            <w:pPr>
              <w:spacing w:after="0"/>
              <w:jc w:val="left"/>
              <w:rPr>
                <w:rFonts w:cs="Arial"/>
                <w:color w:val="000000"/>
                <w:sz w:val="18"/>
                <w:szCs w:val="18"/>
              </w:rPr>
            </w:pPr>
            <w:r w:rsidRPr="004C64A6">
              <w:rPr>
                <w:rFonts w:cs="Arial"/>
                <w:color w:val="000000"/>
                <w:sz w:val="18"/>
                <w:szCs w:val="18"/>
              </w:rPr>
              <w:t xml:space="preserve">Sources:  DN 14-104,  </w:t>
            </w:r>
            <w:bookmarkStart w:id="146" w:name="OLE_LINK3"/>
            <w:r w:rsidRPr="00363B63">
              <w:rPr>
                <w:rFonts w:cs="Arial"/>
                <w:color w:val="000000"/>
                <w:sz w:val="18"/>
                <w:szCs w:val="18"/>
              </w:rPr>
              <w:t>PPL EU</w:t>
            </w:r>
            <w:bookmarkEnd w:id="146"/>
            <w:r>
              <w:rPr>
                <w:rFonts w:cs="Arial"/>
                <w:color w:val="000000"/>
                <w:sz w:val="18"/>
                <w:szCs w:val="18"/>
              </w:rPr>
              <w:t xml:space="preserve"> edits</w:t>
            </w:r>
            <w:r w:rsidRPr="004C64A6">
              <w:rPr>
                <w:rFonts w:cs="Arial"/>
                <w:color w:val="000000"/>
                <w:sz w:val="18"/>
                <w:szCs w:val="18"/>
              </w:rPr>
              <w:t>, and V&amp;A calculations</w:t>
            </w:r>
          </w:p>
        </w:tc>
      </w:tr>
    </w:tbl>
    <w:p w:rsidR="00AC40FC" w:rsidRDefault="00AC40FC" w:rsidP="00440B39">
      <w:pPr>
        <w:pStyle w:val="Normal-aftertable"/>
      </w:pPr>
      <w:r>
        <w:lastRenderedPageBreak/>
        <w:t>The average cost per caseworker has been generally increasing, by 28% between 2010 and 2015.  PPL EU explained the decrease in 2011 by noting that:  "active [OnTrack participants] in the program is usually not the primary driver for work/billable hours" by the agency" that "the drop in cost is not correlated with a direct work decrease of any significance," and suggested that "the overall cost decrease could be attributed to efficiencies gains in processing time."</w:t>
      </w:r>
    </w:p>
    <w:p w:rsidR="00AC40FC" w:rsidRDefault="00AC40FC" w:rsidP="00440B39">
      <w:r>
        <w:t>Agency costs have averaged 3.8% of total OnTrack costs, which Regulatory Programs believes is very low relative to the size and scope of the program and how the program has grown.  Nevertheless, it is not evident why the cost per caseworker has grown by 28%, which suggests that additional metrics are needed to understand the value received for the costs incurred.</w:t>
      </w:r>
    </w:p>
    <w:p w:rsidR="00AC40FC" w:rsidRDefault="00AC40FC" w:rsidP="004F00E5">
      <w:pPr>
        <w:pStyle w:val="Findings"/>
        <w:numPr>
          <w:ilvl w:val="0"/>
          <w:numId w:val="56"/>
        </w:numPr>
      </w:pPr>
      <w:r>
        <w:t>The productivity of OnTrack agency caseworkers has been improving.</w:t>
      </w:r>
    </w:p>
    <w:p w:rsidR="00AC40FC" w:rsidRDefault="00AC40FC" w:rsidP="00440B39">
      <w:r>
        <w:t>The graph below shows changes in caseworker productivity:</w:t>
      </w:r>
    </w:p>
    <w:p w:rsidR="00AC40FC" w:rsidRDefault="00AC40FC" w:rsidP="002B3172">
      <w:pPr>
        <w:pStyle w:val="Caption"/>
      </w:pPr>
      <w:bookmarkStart w:id="147" w:name="_Toc462648427"/>
      <w:bookmarkStart w:id="148" w:name="_Toc464553049"/>
      <w:r>
        <w:t xml:space="preserve">Exhibit </w:t>
      </w:r>
      <w:fldSimple w:instr=" STYLEREF 1 \s ">
        <w:r w:rsidR="00A24205">
          <w:rPr>
            <w:noProof/>
          </w:rPr>
          <w:t>X</w:t>
        </w:r>
      </w:fldSimple>
      <w:r w:rsidR="00264A1B">
        <w:noBreakHyphen/>
      </w:r>
      <w:fldSimple w:instr=" SEQ Exhibit \* ARABIC \s 1 ">
        <w:r w:rsidR="00A24205">
          <w:rPr>
            <w:noProof/>
          </w:rPr>
          <w:t>10</w:t>
        </w:r>
      </w:fldSimple>
      <w:r>
        <w:br/>
        <w:t>OnTrack Agency Caseworker Productivity</w:t>
      </w:r>
      <w:bookmarkEnd w:id="147"/>
      <w:bookmarkEnd w:id="148"/>
    </w:p>
    <w:p w:rsidR="00AC40FC" w:rsidRDefault="00AC40FC" w:rsidP="00440B39">
      <w:pPr>
        <w:jc w:val="center"/>
      </w:pPr>
      <w:r>
        <w:rPr>
          <w:noProof/>
        </w:rPr>
        <w:drawing>
          <wp:inline distT="0" distB="0" distL="0" distR="0">
            <wp:extent cx="3726180" cy="1860992"/>
            <wp:effectExtent l="0" t="0" r="7620" b="635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bl>
      <w:tblPr>
        <w:tblW w:w="9323" w:type="dxa"/>
        <w:jc w:val="center"/>
        <w:tblLook w:val="04A0"/>
      </w:tblPr>
      <w:tblGrid>
        <w:gridCol w:w="2657"/>
        <w:gridCol w:w="1060"/>
        <w:gridCol w:w="1100"/>
        <w:gridCol w:w="1040"/>
        <w:gridCol w:w="1080"/>
        <w:gridCol w:w="1020"/>
        <w:gridCol w:w="1366"/>
      </w:tblGrid>
      <w:tr w:rsidR="00AC40FC" w:rsidRPr="00381F87" w:rsidTr="00786363">
        <w:trPr>
          <w:cantSplit/>
          <w:trHeight w:val="320"/>
          <w:tblHeader/>
          <w:jc w:val="center"/>
        </w:trPr>
        <w:tc>
          <w:tcPr>
            <w:tcW w:w="2657" w:type="dxa"/>
            <w:tcBorders>
              <w:top w:val="single" w:sz="4" w:space="0" w:color="auto"/>
              <w:left w:val="single" w:sz="4" w:space="0" w:color="auto"/>
              <w:bottom w:val="single" w:sz="4" w:space="0" w:color="auto"/>
              <w:right w:val="single" w:sz="4" w:space="0" w:color="auto"/>
            </w:tcBorders>
            <w:shd w:val="clear" w:color="auto" w:fill="A5CD7E"/>
            <w:noWrap/>
            <w:vAlign w:val="center"/>
            <w:hideMark/>
          </w:tcPr>
          <w:p w:rsidR="00AC40FC" w:rsidRPr="00666AD7" w:rsidRDefault="00AC40FC" w:rsidP="00521E7D">
            <w:pPr>
              <w:spacing w:before="120"/>
              <w:jc w:val="center"/>
              <w:rPr>
                <w:rFonts w:cs="Arial"/>
                <w:b/>
                <w:bCs/>
                <w:color w:val="000000"/>
                <w:sz w:val="22"/>
              </w:rPr>
            </w:pPr>
            <w:r w:rsidRPr="00666AD7">
              <w:rPr>
                <w:rFonts w:cs="Arial"/>
                <w:b/>
                <w:bCs/>
                <w:color w:val="000000"/>
                <w:sz w:val="22"/>
              </w:rPr>
              <w:t>Factor</w:t>
            </w:r>
          </w:p>
        </w:tc>
        <w:tc>
          <w:tcPr>
            <w:tcW w:w="106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666AD7" w:rsidRDefault="00AC40FC" w:rsidP="00521E7D">
            <w:pPr>
              <w:spacing w:before="120"/>
              <w:jc w:val="center"/>
              <w:rPr>
                <w:rFonts w:cs="Arial"/>
                <w:b/>
                <w:bCs/>
                <w:color w:val="000000"/>
                <w:sz w:val="22"/>
              </w:rPr>
            </w:pPr>
            <w:r w:rsidRPr="00666AD7">
              <w:rPr>
                <w:rFonts w:cs="Arial"/>
                <w:b/>
                <w:bCs/>
                <w:color w:val="000000"/>
                <w:sz w:val="22"/>
              </w:rPr>
              <w:t>2010</w:t>
            </w:r>
          </w:p>
        </w:tc>
        <w:tc>
          <w:tcPr>
            <w:tcW w:w="110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666AD7" w:rsidRDefault="00AC40FC" w:rsidP="00521E7D">
            <w:pPr>
              <w:spacing w:before="120"/>
              <w:jc w:val="center"/>
              <w:rPr>
                <w:rFonts w:cs="Arial"/>
                <w:b/>
                <w:bCs/>
                <w:color w:val="000000"/>
                <w:sz w:val="22"/>
              </w:rPr>
            </w:pPr>
            <w:r w:rsidRPr="00666AD7">
              <w:rPr>
                <w:rFonts w:cs="Arial"/>
                <w:b/>
                <w:bCs/>
                <w:color w:val="000000"/>
                <w:sz w:val="22"/>
              </w:rPr>
              <w:t>2011</w:t>
            </w:r>
          </w:p>
        </w:tc>
        <w:tc>
          <w:tcPr>
            <w:tcW w:w="104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666AD7" w:rsidRDefault="00AC40FC" w:rsidP="00521E7D">
            <w:pPr>
              <w:spacing w:before="120"/>
              <w:jc w:val="center"/>
              <w:rPr>
                <w:rFonts w:cs="Arial"/>
                <w:b/>
                <w:bCs/>
                <w:color w:val="000000"/>
                <w:sz w:val="22"/>
              </w:rPr>
            </w:pPr>
            <w:r w:rsidRPr="00666AD7">
              <w:rPr>
                <w:rFonts w:cs="Arial"/>
                <w:b/>
                <w:bCs/>
                <w:color w:val="000000"/>
                <w:sz w:val="22"/>
              </w:rPr>
              <w:t>2012</w:t>
            </w:r>
          </w:p>
        </w:tc>
        <w:tc>
          <w:tcPr>
            <w:tcW w:w="108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666AD7" w:rsidRDefault="00AC40FC" w:rsidP="00521E7D">
            <w:pPr>
              <w:spacing w:before="120"/>
              <w:jc w:val="center"/>
              <w:rPr>
                <w:rFonts w:cs="Arial"/>
                <w:b/>
                <w:bCs/>
                <w:color w:val="000000"/>
                <w:sz w:val="22"/>
              </w:rPr>
            </w:pPr>
            <w:r w:rsidRPr="00666AD7">
              <w:rPr>
                <w:rFonts w:cs="Arial"/>
                <w:b/>
                <w:bCs/>
                <w:color w:val="000000"/>
                <w:sz w:val="22"/>
              </w:rPr>
              <w:t>2013</w:t>
            </w:r>
          </w:p>
        </w:tc>
        <w:tc>
          <w:tcPr>
            <w:tcW w:w="102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666AD7" w:rsidRDefault="00AC40FC" w:rsidP="00521E7D">
            <w:pPr>
              <w:spacing w:before="120"/>
              <w:jc w:val="center"/>
              <w:rPr>
                <w:rFonts w:cs="Arial"/>
                <w:b/>
                <w:bCs/>
                <w:color w:val="000000"/>
                <w:sz w:val="22"/>
              </w:rPr>
            </w:pPr>
            <w:r w:rsidRPr="00666AD7">
              <w:rPr>
                <w:rFonts w:cs="Arial"/>
                <w:b/>
                <w:bCs/>
                <w:color w:val="000000"/>
                <w:sz w:val="22"/>
              </w:rPr>
              <w:t>2014</w:t>
            </w:r>
          </w:p>
        </w:tc>
        <w:tc>
          <w:tcPr>
            <w:tcW w:w="1366"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666AD7" w:rsidRDefault="00AC40FC" w:rsidP="00521E7D">
            <w:pPr>
              <w:spacing w:before="120"/>
              <w:jc w:val="center"/>
              <w:rPr>
                <w:rFonts w:cs="Arial"/>
                <w:b/>
                <w:bCs/>
                <w:color w:val="000000"/>
                <w:sz w:val="22"/>
              </w:rPr>
            </w:pPr>
            <w:r w:rsidRPr="00666AD7">
              <w:rPr>
                <w:rFonts w:cs="Arial"/>
                <w:b/>
                <w:bCs/>
                <w:color w:val="000000"/>
                <w:sz w:val="22"/>
              </w:rPr>
              <w:t>2015</w:t>
            </w:r>
          </w:p>
        </w:tc>
      </w:tr>
      <w:tr w:rsidR="00AC40FC" w:rsidRPr="00381F87" w:rsidTr="00440B39">
        <w:trPr>
          <w:trHeight w:val="320"/>
          <w:jc w:val="center"/>
        </w:trPr>
        <w:tc>
          <w:tcPr>
            <w:tcW w:w="2657" w:type="dxa"/>
            <w:tcBorders>
              <w:top w:val="nil"/>
              <w:left w:val="single" w:sz="4" w:space="0" w:color="auto"/>
              <w:bottom w:val="single" w:sz="4" w:space="0" w:color="auto"/>
              <w:right w:val="single" w:sz="4" w:space="0" w:color="auto"/>
            </w:tcBorders>
            <w:shd w:val="clear" w:color="auto" w:fill="auto"/>
            <w:noWrap/>
            <w:vAlign w:val="center"/>
            <w:hideMark/>
          </w:tcPr>
          <w:p w:rsidR="00AC40FC" w:rsidRPr="00666AD7" w:rsidRDefault="00AC40FC" w:rsidP="00440B39">
            <w:pPr>
              <w:spacing w:after="0"/>
              <w:jc w:val="center"/>
              <w:rPr>
                <w:rFonts w:cs="Arial"/>
                <w:color w:val="000000"/>
                <w:sz w:val="22"/>
              </w:rPr>
            </w:pPr>
            <w:r w:rsidRPr="00666AD7">
              <w:rPr>
                <w:rFonts w:cs="Arial"/>
                <w:color w:val="000000"/>
                <w:sz w:val="22"/>
              </w:rPr>
              <w:t>New Enrollments</w:t>
            </w:r>
          </w:p>
        </w:tc>
        <w:tc>
          <w:tcPr>
            <w:tcW w:w="1060" w:type="dxa"/>
            <w:tcBorders>
              <w:top w:val="nil"/>
              <w:left w:val="nil"/>
              <w:bottom w:val="single" w:sz="4" w:space="0" w:color="auto"/>
              <w:right w:val="single" w:sz="4" w:space="0" w:color="auto"/>
            </w:tcBorders>
            <w:shd w:val="clear" w:color="auto" w:fill="auto"/>
            <w:noWrap/>
            <w:vAlign w:val="center"/>
            <w:hideMark/>
          </w:tcPr>
          <w:p w:rsidR="00AC40FC" w:rsidRPr="00666AD7" w:rsidRDefault="00AC40FC" w:rsidP="00440B39">
            <w:pPr>
              <w:spacing w:after="0"/>
              <w:jc w:val="center"/>
              <w:rPr>
                <w:rFonts w:cs="Arial"/>
                <w:color w:val="000000"/>
                <w:sz w:val="22"/>
              </w:rPr>
            </w:pPr>
            <w:r w:rsidRPr="00666AD7">
              <w:rPr>
                <w:rFonts w:cs="Arial"/>
                <w:color w:val="000000"/>
                <w:sz w:val="22"/>
              </w:rPr>
              <w:t>19,760</w:t>
            </w:r>
          </w:p>
        </w:tc>
        <w:tc>
          <w:tcPr>
            <w:tcW w:w="1100" w:type="dxa"/>
            <w:tcBorders>
              <w:top w:val="nil"/>
              <w:left w:val="nil"/>
              <w:bottom w:val="single" w:sz="4" w:space="0" w:color="auto"/>
              <w:right w:val="single" w:sz="4" w:space="0" w:color="auto"/>
            </w:tcBorders>
            <w:shd w:val="clear" w:color="auto" w:fill="auto"/>
            <w:noWrap/>
            <w:vAlign w:val="center"/>
            <w:hideMark/>
          </w:tcPr>
          <w:p w:rsidR="00AC40FC" w:rsidRPr="00666AD7" w:rsidRDefault="00AC40FC" w:rsidP="00440B39">
            <w:pPr>
              <w:spacing w:after="0"/>
              <w:jc w:val="center"/>
              <w:rPr>
                <w:rFonts w:cs="Arial"/>
                <w:color w:val="000000"/>
                <w:sz w:val="22"/>
              </w:rPr>
            </w:pPr>
            <w:r w:rsidRPr="00666AD7">
              <w:rPr>
                <w:rFonts w:cs="Arial"/>
                <w:color w:val="000000"/>
                <w:sz w:val="22"/>
              </w:rPr>
              <w:t>20,321</w:t>
            </w:r>
          </w:p>
        </w:tc>
        <w:tc>
          <w:tcPr>
            <w:tcW w:w="1040" w:type="dxa"/>
            <w:tcBorders>
              <w:top w:val="nil"/>
              <w:left w:val="nil"/>
              <w:bottom w:val="single" w:sz="4" w:space="0" w:color="auto"/>
              <w:right w:val="single" w:sz="4" w:space="0" w:color="auto"/>
            </w:tcBorders>
            <w:shd w:val="clear" w:color="auto" w:fill="auto"/>
            <w:noWrap/>
            <w:vAlign w:val="center"/>
            <w:hideMark/>
          </w:tcPr>
          <w:p w:rsidR="00AC40FC" w:rsidRPr="00666AD7" w:rsidRDefault="00AC40FC" w:rsidP="00440B39">
            <w:pPr>
              <w:spacing w:after="0"/>
              <w:jc w:val="center"/>
              <w:rPr>
                <w:rFonts w:cs="Arial"/>
                <w:color w:val="000000"/>
                <w:sz w:val="22"/>
              </w:rPr>
            </w:pPr>
            <w:r w:rsidRPr="00666AD7">
              <w:rPr>
                <w:rFonts w:cs="Arial"/>
                <w:color w:val="000000"/>
                <w:sz w:val="22"/>
              </w:rPr>
              <w:t>17,934</w:t>
            </w:r>
          </w:p>
        </w:tc>
        <w:tc>
          <w:tcPr>
            <w:tcW w:w="1080" w:type="dxa"/>
            <w:tcBorders>
              <w:top w:val="nil"/>
              <w:left w:val="nil"/>
              <w:bottom w:val="single" w:sz="4" w:space="0" w:color="auto"/>
              <w:right w:val="single" w:sz="4" w:space="0" w:color="auto"/>
            </w:tcBorders>
            <w:shd w:val="clear" w:color="auto" w:fill="auto"/>
            <w:noWrap/>
            <w:vAlign w:val="center"/>
            <w:hideMark/>
          </w:tcPr>
          <w:p w:rsidR="00AC40FC" w:rsidRPr="00666AD7" w:rsidRDefault="00AC40FC" w:rsidP="00440B39">
            <w:pPr>
              <w:spacing w:after="0"/>
              <w:jc w:val="center"/>
              <w:rPr>
                <w:rFonts w:cs="Arial"/>
                <w:color w:val="000000"/>
                <w:sz w:val="22"/>
              </w:rPr>
            </w:pPr>
            <w:r w:rsidRPr="00666AD7">
              <w:rPr>
                <w:rFonts w:cs="Arial"/>
                <w:color w:val="000000"/>
                <w:sz w:val="22"/>
              </w:rPr>
              <w:t>22,043</w:t>
            </w:r>
          </w:p>
        </w:tc>
        <w:tc>
          <w:tcPr>
            <w:tcW w:w="1020" w:type="dxa"/>
            <w:tcBorders>
              <w:top w:val="nil"/>
              <w:left w:val="nil"/>
              <w:bottom w:val="single" w:sz="4" w:space="0" w:color="auto"/>
              <w:right w:val="single" w:sz="4" w:space="0" w:color="auto"/>
            </w:tcBorders>
            <w:shd w:val="clear" w:color="auto" w:fill="auto"/>
            <w:noWrap/>
            <w:vAlign w:val="center"/>
            <w:hideMark/>
          </w:tcPr>
          <w:p w:rsidR="00AC40FC" w:rsidRPr="00666AD7" w:rsidRDefault="00AC40FC" w:rsidP="00440B39">
            <w:pPr>
              <w:spacing w:after="0"/>
              <w:jc w:val="center"/>
              <w:rPr>
                <w:rFonts w:cs="Arial"/>
                <w:color w:val="000000"/>
                <w:sz w:val="22"/>
              </w:rPr>
            </w:pPr>
            <w:r w:rsidRPr="00666AD7">
              <w:rPr>
                <w:rFonts w:cs="Arial"/>
                <w:color w:val="000000"/>
                <w:sz w:val="22"/>
              </w:rPr>
              <w:t>22,520</w:t>
            </w:r>
          </w:p>
        </w:tc>
        <w:tc>
          <w:tcPr>
            <w:tcW w:w="1366" w:type="dxa"/>
            <w:tcBorders>
              <w:top w:val="nil"/>
              <w:left w:val="nil"/>
              <w:bottom w:val="single" w:sz="4" w:space="0" w:color="auto"/>
              <w:right w:val="single" w:sz="4" w:space="0" w:color="auto"/>
            </w:tcBorders>
            <w:shd w:val="clear" w:color="auto" w:fill="auto"/>
            <w:noWrap/>
            <w:vAlign w:val="center"/>
            <w:hideMark/>
          </w:tcPr>
          <w:p w:rsidR="00AC40FC" w:rsidRPr="00666AD7" w:rsidRDefault="00AC40FC" w:rsidP="00440B39">
            <w:pPr>
              <w:spacing w:after="0"/>
              <w:jc w:val="center"/>
              <w:rPr>
                <w:rFonts w:cs="Arial"/>
                <w:color w:val="000000"/>
                <w:sz w:val="22"/>
              </w:rPr>
            </w:pPr>
            <w:r>
              <w:rPr>
                <w:rFonts w:cs="Arial"/>
                <w:color w:val="000000"/>
                <w:sz w:val="22"/>
              </w:rPr>
              <w:t>38,024</w:t>
            </w:r>
          </w:p>
        </w:tc>
      </w:tr>
      <w:tr w:rsidR="00AC40FC" w:rsidRPr="00381F87" w:rsidTr="00440B39">
        <w:trPr>
          <w:trHeight w:val="320"/>
          <w:jc w:val="center"/>
        </w:trPr>
        <w:tc>
          <w:tcPr>
            <w:tcW w:w="2657" w:type="dxa"/>
            <w:tcBorders>
              <w:top w:val="nil"/>
              <w:left w:val="single" w:sz="4" w:space="0" w:color="auto"/>
              <w:bottom w:val="single" w:sz="4" w:space="0" w:color="auto"/>
              <w:right w:val="single" w:sz="4" w:space="0" w:color="auto"/>
            </w:tcBorders>
            <w:shd w:val="clear" w:color="auto" w:fill="auto"/>
            <w:noWrap/>
            <w:vAlign w:val="center"/>
            <w:hideMark/>
          </w:tcPr>
          <w:p w:rsidR="00AC40FC" w:rsidRPr="00666AD7" w:rsidRDefault="00AC40FC" w:rsidP="00440B39">
            <w:pPr>
              <w:spacing w:after="0"/>
              <w:jc w:val="center"/>
              <w:rPr>
                <w:rFonts w:cs="Arial"/>
                <w:color w:val="000000"/>
                <w:sz w:val="22"/>
              </w:rPr>
            </w:pPr>
            <w:r w:rsidRPr="00666AD7">
              <w:rPr>
                <w:rFonts w:cs="Arial"/>
                <w:color w:val="000000"/>
                <w:sz w:val="22"/>
              </w:rPr>
              <w:t>Agency Caseworkers</w:t>
            </w:r>
          </w:p>
        </w:tc>
        <w:tc>
          <w:tcPr>
            <w:tcW w:w="1060" w:type="dxa"/>
            <w:tcBorders>
              <w:top w:val="nil"/>
              <w:left w:val="nil"/>
              <w:bottom w:val="single" w:sz="4" w:space="0" w:color="auto"/>
              <w:right w:val="single" w:sz="4" w:space="0" w:color="auto"/>
            </w:tcBorders>
            <w:shd w:val="clear" w:color="auto" w:fill="auto"/>
            <w:noWrap/>
            <w:vAlign w:val="center"/>
            <w:hideMark/>
          </w:tcPr>
          <w:p w:rsidR="00AC40FC" w:rsidRPr="00666AD7" w:rsidRDefault="00AC40FC" w:rsidP="00440B39">
            <w:pPr>
              <w:spacing w:after="0"/>
              <w:jc w:val="center"/>
              <w:rPr>
                <w:rFonts w:cs="Arial"/>
                <w:color w:val="000000"/>
                <w:sz w:val="22"/>
              </w:rPr>
            </w:pPr>
            <w:r w:rsidRPr="00666AD7">
              <w:rPr>
                <w:rFonts w:cs="Arial"/>
                <w:color w:val="000000"/>
                <w:sz w:val="22"/>
              </w:rPr>
              <w:t>52.5</w:t>
            </w:r>
          </w:p>
        </w:tc>
        <w:tc>
          <w:tcPr>
            <w:tcW w:w="1100" w:type="dxa"/>
            <w:tcBorders>
              <w:top w:val="nil"/>
              <w:left w:val="nil"/>
              <w:bottom w:val="single" w:sz="4" w:space="0" w:color="auto"/>
              <w:right w:val="single" w:sz="4" w:space="0" w:color="auto"/>
            </w:tcBorders>
            <w:shd w:val="clear" w:color="auto" w:fill="auto"/>
            <w:noWrap/>
            <w:vAlign w:val="center"/>
            <w:hideMark/>
          </w:tcPr>
          <w:p w:rsidR="00AC40FC" w:rsidRPr="00666AD7" w:rsidRDefault="00AC40FC" w:rsidP="00440B39">
            <w:pPr>
              <w:spacing w:after="0"/>
              <w:jc w:val="center"/>
              <w:rPr>
                <w:rFonts w:cs="Arial"/>
                <w:color w:val="000000"/>
                <w:sz w:val="22"/>
              </w:rPr>
            </w:pPr>
            <w:r w:rsidRPr="00666AD7">
              <w:rPr>
                <w:rFonts w:cs="Arial"/>
                <w:color w:val="000000"/>
                <w:sz w:val="22"/>
              </w:rPr>
              <w:t>48.5</w:t>
            </w:r>
          </w:p>
        </w:tc>
        <w:tc>
          <w:tcPr>
            <w:tcW w:w="1040" w:type="dxa"/>
            <w:tcBorders>
              <w:top w:val="nil"/>
              <w:left w:val="nil"/>
              <w:bottom w:val="single" w:sz="4" w:space="0" w:color="auto"/>
              <w:right w:val="single" w:sz="4" w:space="0" w:color="auto"/>
            </w:tcBorders>
            <w:shd w:val="clear" w:color="auto" w:fill="auto"/>
            <w:noWrap/>
            <w:vAlign w:val="center"/>
            <w:hideMark/>
          </w:tcPr>
          <w:p w:rsidR="00AC40FC" w:rsidRPr="00666AD7" w:rsidRDefault="00AC40FC" w:rsidP="00440B39">
            <w:pPr>
              <w:spacing w:after="0"/>
              <w:jc w:val="center"/>
              <w:rPr>
                <w:rFonts w:cs="Arial"/>
                <w:color w:val="000000"/>
                <w:sz w:val="22"/>
              </w:rPr>
            </w:pPr>
            <w:r w:rsidRPr="00666AD7">
              <w:rPr>
                <w:rFonts w:cs="Arial"/>
                <w:color w:val="000000"/>
                <w:sz w:val="22"/>
              </w:rPr>
              <w:t>48.5</w:t>
            </w:r>
          </w:p>
        </w:tc>
        <w:tc>
          <w:tcPr>
            <w:tcW w:w="1080" w:type="dxa"/>
            <w:tcBorders>
              <w:top w:val="nil"/>
              <w:left w:val="nil"/>
              <w:bottom w:val="single" w:sz="4" w:space="0" w:color="auto"/>
              <w:right w:val="single" w:sz="4" w:space="0" w:color="auto"/>
            </w:tcBorders>
            <w:shd w:val="clear" w:color="auto" w:fill="auto"/>
            <w:noWrap/>
            <w:vAlign w:val="center"/>
            <w:hideMark/>
          </w:tcPr>
          <w:p w:rsidR="00AC40FC" w:rsidRPr="00666AD7" w:rsidRDefault="00AC40FC" w:rsidP="00440B39">
            <w:pPr>
              <w:spacing w:after="0"/>
              <w:jc w:val="center"/>
              <w:rPr>
                <w:rFonts w:cs="Arial"/>
                <w:color w:val="000000"/>
                <w:sz w:val="22"/>
              </w:rPr>
            </w:pPr>
            <w:r w:rsidRPr="00666AD7">
              <w:rPr>
                <w:rFonts w:cs="Arial"/>
                <w:color w:val="000000"/>
                <w:sz w:val="22"/>
              </w:rPr>
              <w:t>44.5</w:t>
            </w:r>
          </w:p>
        </w:tc>
        <w:tc>
          <w:tcPr>
            <w:tcW w:w="1020" w:type="dxa"/>
            <w:tcBorders>
              <w:top w:val="nil"/>
              <w:left w:val="nil"/>
              <w:bottom w:val="single" w:sz="4" w:space="0" w:color="auto"/>
              <w:right w:val="single" w:sz="4" w:space="0" w:color="auto"/>
            </w:tcBorders>
            <w:shd w:val="clear" w:color="auto" w:fill="auto"/>
            <w:noWrap/>
            <w:vAlign w:val="center"/>
            <w:hideMark/>
          </w:tcPr>
          <w:p w:rsidR="00AC40FC" w:rsidRPr="00666AD7" w:rsidRDefault="00AC40FC" w:rsidP="00440B39">
            <w:pPr>
              <w:spacing w:after="0"/>
              <w:jc w:val="center"/>
              <w:rPr>
                <w:rFonts w:cs="Arial"/>
                <w:color w:val="000000"/>
                <w:sz w:val="22"/>
              </w:rPr>
            </w:pPr>
            <w:r w:rsidRPr="00666AD7">
              <w:rPr>
                <w:rFonts w:cs="Arial"/>
                <w:color w:val="000000"/>
                <w:sz w:val="22"/>
              </w:rPr>
              <w:t>44.5</w:t>
            </w:r>
          </w:p>
        </w:tc>
        <w:tc>
          <w:tcPr>
            <w:tcW w:w="1366" w:type="dxa"/>
            <w:tcBorders>
              <w:top w:val="nil"/>
              <w:left w:val="nil"/>
              <w:bottom w:val="single" w:sz="4" w:space="0" w:color="auto"/>
              <w:right w:val="single" w:sz="4" w:space="0" w:color="auto"/>
            </w:tcBorders>
            <w:shd w:val="clear" w:color="auto" w:fill="auto"/>
            <w:noWrap/>
            <w:vAlign w:val="center"/>
            <w:hideMark/>
          </w:tcPr>
          <w:p w:rsidR="00AC40FC" w:rsidRPr="00666AD7" w:rsidRDefault="00AC40FC" w:rsidP="00440B39">
            <w:pPr>
              <w:spacing w:after="0"/>
              <w:jc w:val="center"/>
              <w:rPr>
                <w:rFonts w:cs="Arial"/>
                <w:color w:val="000000"/>
                <w:sz w:val="22"/>
              </w:rPr>
            </w:pPr>
            <w:r>
              <w:rPr>
                <w:rFonts w:cs="Arial"/>
                <w:color w:val="000000"/>
                <w:sz w:val="22"/>
              </w:rPr>
              <w:t>46.0</w:t>
            </w:r>
          </w:p>
        </w:tc>
      </w:tr>
      <w:tr w:rsidR="00AC40FC" w:rsidRPr="00381F87" w:rsidTr="00440B39">
        <w:trPr>
          <w:trHeight w:val="320"/>
          <w:jc w:val="center"/>
        </w:trPr>
        <w:tc>
          <w:tcPr>
            <w:tcW w:w="2657" w:type="dxa"/>
            <w:tcBorders>
              <w:top w:val="nil"/>
              <w:left w:val="single" w:sz="4" w:space="0" w:color="auto"/>
              <w:bottom w:val="single" w:sz="4" w:space="0" w:color="auto"/>
              <w:right w:val="single" w:sz="4" w:space="0" w:color="auto"/>
            </w:tcBorders>
            <w:shd w:val="clear" w:color="auto" w:fill="auto"/>
            <w:noWrap/>
            <w:vAlign w:val="center"/>
            <w:hideMark/>
          </w:tcPr>
          <w:p w:rsidR="00AC40FC" w:rsidRPr="00666AD7" w:rsidRDefault="00AC40FC" w:rsidP="00440B39">
            <w:pPr>
              <w:spacing w:after="0"/>
              <w:jc w:val="center"/>
              <w:rPr>
                <w:rFonts w:cs="Arial"/>
                <w:color w:val="000000"/>
                <w:sz w:val="22"/>
              </w:rPr>
            </w:pPr>
            <w:r w:rsidRPr="00666AD7">
              <w:rPr>
                <w:rFonts w:cs="Arial"/>
                <w:color w:val="000000"/>
                <w:sz w:val="22"/>
              </w:rPr>
              <w:t>Enrollments per Caseworker</w:t>
            </w:r>
          </w:p>
        </w:tc>
        <w:tc>
          <w:tcPr>
            <w:tcW w:w="1060" w:type="dxa"/>
            <w:tcBorders>
              <w:top w:val="nil"/>
              <w:left w:val="nil"/>
              <w:bottom w:val="single" w:sz="4" w:space="0" w:color="auto"/>
              <w:right w:val="single" w:sz="4" w:space="0" w:color="auto"/>
            </w:tcBorders>
            <w:shd w:val="clear" w:color="auto" w:fill="auto"/>
            <w:noWrap/>
            <w:vAlign w:val="center"/>
            <w:hideMark/>
          </w:tcPr>
          <w:p w:rsidR="00AC40FC" w:rsidRPr="00666AD7" w:rsidRDefault="00AC40FC" w:rsidP="00440B39">
            <w:pPr>
              <w:spacing w:after="0"/>
              <w:jc w:val="center"/>
              <w:rPr>
                <w:rFonts w:cs="Arial"/>
                <w:color w:val="000000"/>
                <w:sz w:val="22"/>
              </w:rPr>
            </w:pPr>
            <w:r w:rsidRPr="00666AD7">
              <w:rPr>
                <w:rFonts w:cs="Arial"/>
                <w:color w:val="000000"/>
                <w:sz w:val="22"/>
              </w:rPr>
              <w:t>376</w:t>
            </w:r>
          </w:p>
        </w:tc>
        <w:tc>
          <w:tcPr>
            <w:tcW w:w="1100" w:type="dxa"/>
            <w:tcBorders>
              <w:top w:val="nil"/>
              <w:left w:val="nil"/>
              <w:bottom w:val="single" w:sz="4" w:space="0" w:color="auto"/>
              <w:right w:val="single" w:sz="4" w:space="0" w:color="auto"/>
            </w:tcBorders>
            <w:shd w:val="clear" w:color="auto" w:fill="auto"/>
            <w:noWrap/>
            <w:vAlign w:val="center"/>
            <w:hideMark/>
          </w:tcPr>
          <w:p w:rsidR="00AC40FC" w:rsidRPr="00666AD7" w:rsidRDefault="00AC40FC" w:rsidP="00440B39">
            <w:pPr>
              <w:spacing w:after="0"/>
              <w:jc w:val="center"/>
              <w:rPr>
                <w:rFonts w:cs="Arial"/>
                <w:color w:val="000000"/>
                <w:sz w:val="22"/>
              </w:rPr>
            </w:pPr>
            <w:r w:rsidRPr="00666AD7">
              <w:rPr>
                <w:rFonts w:cs="Arial"/>
                <w:color w:val="000000"/>
                <w:sz w:val="22"/>
              </w:rPr>
              <w:t>419</w:t>
            </w:r>
          </w:p>
        </w:tc>
        <w:tc>
          <w:tcPr>
            <w:tcW w:w="1040" w:type="dxa"/>
            <w:tcBorders>
              <w:top w:val="nil"/>
              <w:left w:val="nil"/>
              <w:bottom w:val="single" w:sz="4" w:space="0" w:color="auto"/>
              <w:right w:val="single" w:sz="4" w:space="0" w:color="auto"/>
            </w:tcBorders>
            <w:shd w:val="clear" w:color="auto" w:fill="auto"/>
            <w:noWrap/>
            <w:vAlign w:val="center"/>
            <w:hideMark/>
          </w:tcPr>
          <w:p w:rsidR="00AC40FC" w:rsidRPr="00666AD7" w:rsidRDefault="00AC40FC" w:rsidP="00440B39">
            <w:pPr>
              <w:spacing w:after="0"/>
              <w:jc w:val="center"/>
              <w:rPr>
                <w:rFonts w:cs="Arial"/>
                <w:color w:val="000000"/>
                <w:sz w:val="22"/>
              </w:rPr>
            </w:pPr>
            <w:r w:rsidRPr="00666AD7">
              <w:rPr>
                <w:rFonts w:cs="Arial"/>
                <w:color w:val="000000"/>
                <w:sz w:val="22"/>
              </w:rPr>
              <w:t>370</w:t>
            </w:r>
          </w:p>
        </w:tc>
        <w:tc>
          <w:tcPr>
            <w:tcW w:w="1080" w:type="dxa"/>
            <w:tcBorders>
              <w:top w:val="nil"/>
              <w:left w:val="nil"/>
              <w:bottom w:val="single" w:sz="4" w:space="0" w:color="auto"/>
              <w:right w:val="single" w:sz="4" w:space="0" w:color="auto"/>
            </w:tcBorders>
            <w:shd w:val="clear" w:color="auto" w:fill="auto"/>
            <w:noWrap/>
            <w:vAlign w:val="center"/>
            <w:hideMark/>
          </w:tcPr>
          <w:p w:rsidR="00AC40FC" w:rsidRPr="00666AD7" w:rsidRDefault="00AC40FC" w:rsidP="00440B39">
            <w:pPr>
              <w:spacing w:after="0"/>
              <w:jc w:val="center"/>
              <w:rPr>
                <w:rFonts w:cs="Arial"/>
                <w:color w:val="000000"/>
                <w:sz w:val="22"/>
              </w:rPr>
            </w:pPr>
            <w:r w:rsidRPr="00666AD7">
              <w:rPr>
                <w:rFonts w:cs="Arial"/>
                <w:color w:val="000000"/>
                <w:sz w:val="22"/>
              </w:rPr>
              <w:t>495</w:t>
            </w:r>
          </w:p>
        </w:tc>
        <w:tc>
          <w:tcPr>
            <w:tcW w:w="1020" w:type="dxa"/>
            <w:tcBorders>
              <w:top w:val="nil"/>
              <w:left w:val="nil"/>
              <w:bottom w:val="single" w:sz="4" w:space="0" w:color="auto"/>
              <w:right w:val="single" w:sz="4" w:space="0" w:color="auto"/>
            </w:tcBorders>
            <w:shd w:val="clear" w:color="auto" w:fill="auto"/>
            <w:noWrap/>
            <w:vAlign w:val="center"/>
            <w:hideMark/>
          </w:tcPr>
          <w:p w:rsidR="00AC40FC" w:rsidRPr="00666AD7" w:rsidRDefault="00AC40FC" w:rsidP="00440B39">
            <w:pPr>
              <w:spacing w:after="0"/>
              <w:jc w:val="center"/>
              <w:rPr>
                <w:rFonts w:cs="Arial"/>
                <w:color w:val="000000"/>
                <w:sz w:val="22"/>
              </w:rPr>
            </w:pPr>
            <w:r w:rsidRPr="00666AD7">
              <w:rPr>
                <w:rFonts w:cs="Arial"/>
                <w:color w:val="000000"/>
                <w:sz w:val="22"/>
              </w:rPr>
              <w:t>506</w:t>
            </w:r>
          </w:p>
        </w:tc>
        <w:tc>
          <w:tcPr>
            <w:tcW w:w="1366" w:type="dxa"/>
            <w:tcBorders>
              <w:top w:val="nil"/>
              <w:left w:val="nil"/>
              <w:bottom w:val="single" w:sz="4" w:space="0" w:color="auto"/>
              <w:right w:val="single" w:sz="4" w:space="0" w:color="auto"/>
            </w:tcBorders>
            <w:shd w:val="clear" w:color="auto" w:fill="auto"/>
            <w:noWrap/>
            <w:vAlign w:val="center"/>
            <w:hideMark/>
          </w:tcPr>
          <w:p w:rsidR="00AC40FC" w:rsidRPr="00666AD7" w:rsidRDefault="00AC40FC" w:rsidP="00440B39">
            <w:pPr>
              <w:spacing w:after="0"/>
              <w:jc w:val="center"/>
              <w:rPr>
                <w:rFonts w:cs="Arial"/>
                <w:color w:val="000000"/>
                <w:sz w:val="22"/>
              </w:rPr>
            </w:pPr>
            <w:r>
              <w:rPr>
                <w:rFonts w:cs="Arial"/>
                <w:color w:val="000000"/>
                <w:sz w:val="22"/>
              </w:rPr>
              <w:t>827</w:t>
            </w:r>
          </w:p>
        </w:tc>
      </w:tr>
      <w:tr w:rsidR="00AC40FC" w:rsidRPr="00381F87" w:rsidTr="00315869">
        <w:trPr>
          <w:trHeight w:val="215"/>
          <w:jc w:val="center"/>
        </w:trPr>
        <w:tc>
          <w:tcPr>
            <w:tcW w:w="9323"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C40FC" w:rsidRPr="006E42BB" w:rsidRDefault="00AC40FC" w:rsidP="00440B39">
            <w:pPr>
              <w:spacing w:after="0"/>
              <w:jc w:val="left"/>
              <w:rPr>
                <w:rFonts w:cs="Arial"/>
                <w:color w:val="000000"/>
                <w:sz w:val="18"/>
                <w:szCs w:val="18"/>
              </w:rPr>
            </w:pPr>
            <w:r w:rsidRPr="006E42BB">
              <w:rPr>
                <w:rFonts w:cs="Arial"/>
                <w:color w:val="000000"/>
                <w:sz w:val="18"/>
                <w:szCs w:val="18"/>
              </w:rPr>
              <w:t>Sources:  DN 14-117; DN 14</w:t>
            </w:r>
            <w:r>
              <w:rPr>
                <w:rFonts w:cs="Arial"/>
                <w:color w:val="000000"/>
                <w:sz w:val="18"/>
                <w:szCs w:val="18"/>
              </w:rPr>
              <w:t xml:space="preserve">-119; PPL EU edits; </w:t>
            </w:r>
            <w:r w:rsidRPr="006E42BB">
              <w:rPr>
                <w:rFonts w:cs="Arial"/>
                <w:color w:val="000000"/>
                <w:sz w:val="18"/>
                <w:szCs w:val="18"/>
              </w:rPr>
              <w:t>V&amp;A calculation</w:t>
            </w:r>
          </w:p>
        </w:tc>
      </w:tr>
    </w:tbl>
    <w:p w:rsidR="00AC40FC" w:rsidRDefault="00AC40FC" w:rsidP="00440B39">
      <w:pPr>
        <w:pStyle w:val="Normal-aftertable"/>
      </w:pPr>
      <w:r>
        <w:t xml:space="preserve">Caseworker enrollment productivity increased by about 63% in 2015 over 2014. The large increase in new enrollments was driven by a corresponding large increase in referrals (discussed later in this chapter).  Although the productivity performance appears good, it should be noted that these productivity measures do not reflect quality metrics, such as the quality or nature of the referrals or compliance or consistency with enrollment requirements, or the likelihood that the enrolled customers will be able to successfully complete the OnTrack program (also discussed later in this chapter).  </w:t>
      </w:r>
    </w:p>
    <w:p w:rsidR="00AC40FC" w:rsidRDefault="00AC40FC" w:rsidP="004F00E5">
      <w:pPr>
        <w:pStyle w:val="Findings"/>
        <w:keepNext/>
        <w:numPr>
          <w:ilvl w:val="0"/>
          <w:numId w:val="56"/>
        </w:numPr>
      </w:pPr>
      <w:r>
        <w:lastRenderedPageBreak/>
        <w:t xml:space="preserve">The OnTrack enrollment metrics do not accurately capture related costs or reflect agency performance. </w:t>
      </w:r>
    </w:p>
    <w:p w:rsidR="00AC40FC" w:rsidRPr="00550F25" w:rsidRDefault="00AC40FC" w:rsidP="00440B39">
      <w:r>
        <w:t>OnTrack agencies bill for hours worked including hours that do not result in enrollments and, to that extent, an agency’s unit cost to enroll customers would be overstated. OnTrack e</w:t>
      </w:r>
      <w:r w:rsidRPr="00550F25">
        <w:t xml:space="preserve">nrollments are a count of the number of actual enrollments of eligible customers.  </w:t>
      </w:r>
      <w:r>
        <w:t>However, t</w:t>
      </w:r>
      <w:r w:rsidRPr="00550F25">
        <w:t xml:space="preserve">he hours worked by the </w:t>
      </w:r>
      <w:r>
        <w:t xml:space="preserve">OnTrack </w:t>
      </w:r>
      <w:r w:rsidRPr="00550F25">
        <w:t>agencies that do not result in enrollments are also billed at the hourly rate to PPL EU under the contract terms.</w:t>
      </w:r>
      <w:r>
        <w:t xml:space="preserve">  The Cost Per Low Income S</w:t>
      </w:r>
      <w:r w:rsidRPr="00550F25">
        <w:t>erve</w:t>
      </w:r>
      <w:r>
        <w:t>d</w:t>
      </w:r>
      <w:r w:rsidRPr="00550F25">
        <w:t xml:space="preserve"> metric, therefore, </w:t>
      </w:r>
      <w:r>
        <w:t xml:space="preserve">overstates </w:t>
      </w:r>
      <w:r w:rsidRPr="00550F25">
        <w:t xml:space="preserve">the actual administrative costs </w:t>
      </w:r>
      <w:r>
        <w:t>that result in an enrollment</w:t>
      </w:r>
      <w:r w:rsidRPr="00550F25">
        <w:t>.</w:t>
      </w:r>
      <w:r w:rsidRPr="00550F25" w:rsidDel="009A0DD1">
        <w:t xml:space="preserve"> </w:t>
      </w:r>
      <w:r>
        <w:t xml:space="preserve">  As noted elsewhere, unit costs are a valuable tool for performance management, but in the case of this metric it would need to be appropriately defined and separated so that the hours billed that lead to an enrollment can be compared to the hours billed that do not result in an enrollment.</w:t>
      </w:r>
    </w:p>
    <w:p w:rsidR="00AC40FC" w:rsidRDefault="00AC40FC" w:rsidP="00440B39">
      <w:pPr>
        <w:rPr>
          <w:rFonts w:cs="Arial"/>
          <w:szCs w:val="24"/>
        </w:rPr>
      </w:pPr>
      <w:r>
        <w:t xml:space="preserve">There are other metrics that are not tracked.  </w:t>
      </w:r>
      <w:r>
        <w:rPr>
          <w:rFonts w:cs="Arial"/>
          <w:szCs w:val="24"/>
        </w:rPr>
        <w:t xml:space="preserve">Even after a customer is enrolled, there are other costs to process and maintain the enrolled customer that are not identified and tracked. </w:t>
      </w:r>
    </w:p>
    <w:p w:rsidR="00AC40FC" w:rsidRDefault="00AC40FC" w:rsidP="004F00E5">
      <w:pPr>
        <w:pStyle w:val="Findings"/>
        <w:keepNext/>
        <w:numPr>
          <w:ilvl w:val="0"/>
          <w:numId w:val="56"/>
        </w:numPr>
      </w:pPr>
      <w:r>
        <w:t>The number of potentially eligible customers for OnTrack varies significantly depending on the estimation approach.</w:t>
      </w:r>
    </w:p>
    <w:p w:rsidR="00AC40FC" w:rsidRDefault="00AC40FC" w:rsidP="00440B39">
      <w:r>
        <w:t>The PUC Report on 2014 Universal Service Programs and Collections Performance shows that PPL EU had 171,171 Confirmed Low Income Customers (14% of total customers) and 322,500 of Estimated Low-Income Customers (26% of total).</w:t>
      </w:r>
    </w:p>
    <w:p w:rsidR="00AC40FC" w:rsidRDefault="00AC40FC" w:rsidP="00440B39">
      <w:r>
        <w:t xml:space="preserve">PPL EU defines “confirmed” low-income customers as follows: “The term confirmed low-income technically refers to an indicator on the PPL EU Customer Service System (CSS) financial statement screen.  The indicator label in CSS is verified income/expense.  This indicator, or check box, is either checked or unchecked for each customer who has a financial statement completed.  A checked box means the financial statement was completed based on income documentation submitted by the customer.  An unchecked box indicates the financial information is based on a verbal conversation with the customer, but no proof (i.e. pay stubs) was provided.” </w:t>
      </w:r>
    </w:p>
    <w:p w:rsidR="00AC40FC" w:rsidRDefault="00AC40FC" w:rsidP="00440B39">
      <w:r>
        <w:t xml:space="preserve">“PPL EU CSRs and the OnTrack agencies complete financial statements for customers that flow through PPL EU’s pay assist/payment arrangement process.  The financial statement is a detailed view of the customer’s income, expenses, household size, and age ranges for household members.  Customers may have one or multiple financial statements over time.”  </w:t>
      </w:r>
    </w:p>
    <w:p w:rsidR="00AC40FC" w:rsidRDefault="00AC40FC" w:rsidP="00440B39">
      <w:r>
        <w:t>Separately, PPL EU calculated the number of customers who may be eligible for (and not currently enrolled in) OnTrack as follows: “</w:t>
      </w:r>
      <w:r w:rsidRPr="000D17D4">
        <w:t xml:space="preserve">The current number of active residential accounts for PPL </w:t>
      </w:r>
      <w:r>
        <w:t>EU</w:t>
      </w:r>
      <w:r w:rsidRPr="000D17D4">
        <w:t xml:space="preserve"> is 1,227,651.  As of October </w:t>
      </w:r>
      <w:r>
        <w:t>31,</w:t>
      </w:r>
      <w:r w:rsidRPr="000D17D4">
        <w:t xml:space="preserve"> 2015, there are 48,704 active households in the OnTrack program.  The </w:t>
      </w:r>
      <w:r>
        <w:t>e</w:t>
      </w:r>
      <w:r w:rsidRPr="000D17D4">
        <w:t xml:space="preserve">stimated pool of households who may be eligible for OnTrack is </w:t>
      </w:r>
      <w:r>
        <w:t>approximately 73,400.  This total includes l</w:t>
      </w:r>
      <w:r w:rsidRPr="000D17D4">
        <w:t>ow</w:t>
      </w:r>
      <w:r>
        <w:t>-</w:t>
      </w:r>
      <w:r w:rsidRPr="000D17D4">
        <w:t xml:space="preserve">income accounts with overdue </w:t>
      </w:r>
      <w:r>
        <w:t xml:space="preserve">balances </w:t>
      </w:r>
      <w:r w:rsidRPr="000D17D4">
        <w:t xml:space="preserve">that are </w:t>
      </w:r>
      <w:r>
        <w:t xml:space="preserve">not </w:t>
      </w:r>
      <w:r w:rsidRPr="000D17D4">
        <w:t>on a payment agreement.</w:t>
      </w:r>
      <w:r>
        <w:t xml:space="preserve">  The estimate comes from household financial information that PPL EU has in its CSS.”    </w:t>
      </w:r>
    </w:p>
    <w:p w:rsidR="00AC40FC" w:rsidRPr="000D17D4" w:rsidRDefault="00AC40FC" w:rsidP="00440B39">
      <w:r>
        <w:t xml:space="preserve">Adding the 48,704 active households to the estimate of 73,400 eligible customers yields a total of 122,104 of the universe of eligible customers.  Although this number is based on a different time period than used in the Report on 2014 Universal Service Programs </w:t>
      </w:r>
      <w:r>
        <w:lastRenderedPageBreak/>
        <w:t xml:space="preserve">and Collections Performance, the 122,104 varies significantly from both the 171,171 Confirmed Low-Income and the 322,500 Estimated Low-Income customers.  </w:t>
      </w:r>
    </w:p>
    <w:p w:rsidR="00AC40FC" w:rsidRDefault="00AC40FC" w:rsidP="00440B39">
      <w:r>
        <w:t>“</w:t>
      </w:r>
      <w:r w:rsidRPr="000D17D4">
        <w:t>Th</w:t>
      </w:r>
      <w:r>
        <w:t xml:space="preserve">ere are likely </w:t>
      </w:r>
      <w:r w:rsidRPr="000D17D4">
        <w:t xml:space="preserve">other active accounts </w:t>
      </w:r>
      <w:r>
        <w:t>t</w:t>
      </w:r>
      <w:r w:rsidRPr="000D17D4">
        <w:t xml:space="preserve">hat may benefit from OnTrack, but </w:t>
      </w:r>
      <w:r>
        <w:t xml:space="preserve">have not contacted PPL EU to establish a payment agreement.  From the estimated pool of 73,400 customers, some may not participate in OnTrack for a variety of reasons (failure to respond to outreach efforts, language barrier, other more pressing personal problems, etc.).” </w:t>
      </w:r>
    </w:p>
    <w:p w:rsidR="00AC40FC" w:rsidRDefault="00AC40FC" w:rsidP="00440B39">
      <w:r>
        <w:t>Regulatory Programs has said that as it is preparing the latest Universal Service and Energy Conservation Plan (USECP), the group is re-examining the estimated potential pool based on updated eligibility criteria.  This analysis is not complete but will continue as the USECP filing activities continue in 2016.</w:t>
      </w:r>
    </w:p>
    <w:p w:rsidR="00AC40FC" w:rsidRPr="000D17D4" w:rsidRDefault="00AC40FC" w:rsidP="00440B39">
      <w:r>
        <w:t>Using the universe of potential eligible customers is not useful for setting specific enrollment targets.</w:t>
      </w:r>
    </w:p>
    <w:p w:rsidR="00AC40FC" w:rsidRDefault="00AC40FC" w:rsidP="004F00E5">
      <w:pPr>
        <w:pStyle w:val="Findings"/>
        <w:keepNext/>
        <w:numPr>
          <w:ilvl w:val="0"/>
          <w:numId w:val="56"/>
        </w:numPr>
      </w:pPr>
      <w:r>
        <w:t>Despite decreases in agency staffing levels and increasing enrollment workload, it is not evident that each agency is optimizing staffing levels to meet OnTrack objectives or that PPL EU is receiving cost-effective performance.</w:t>
      </w:r>
    </w:p>
    <w:p w:rsidR="00AC40FC" w:rsidRPr="00AF3346" w:rsidRDefault="00AC40FC" w:rsidP="00440B39">
      <w:r>
        <w:t>The ten OnTrack agencies employ caseworkers who were assigned to the OnTrack enrollment process, except for the smallest agency that averaged 1.0 FTEs.  The six-year history of agency staffing levels is shown below:</w:t>
      </w:r>
    </w:p>
    <w:p w:rsidR="00AC40FC" w:rsidRPr="00A0273B" w:rsidRDefault="00AC40FC" w:rsidP="002B3172">
      <w:pPr>
        <w:pStyle w:val="Caption"/>
      </w:pPr>
      <w:bookmarkStart w:id="149" w:name="_Toc462648428"/>
      <w:bookmarkStart w:id="150" w:name="_Toc464553050"/>
      <w:r>
        <w:t xml:space="preserve">Exhibit </w:t>
      </w:r>
      <w:fldSimple w:instr=" STYLEREF 1 \s ">
        <w:r w:rsidR="00A24205">
          <w:rPr>
            <w:noProof/>
          </w:rPr>
          <w:t>X</w:t>
        </w:r>
      </w:fldSimple>
      <w:r w:rsidR="00264A1B">
        <w:noBreakHyphen/>
      </w:r>
      <w:fldSimple w:instr=" SEQ Exhibit \* ARABIC \s 1 ">
        <w:r w:rsidR="00A24205">
          <w:rPr>
            <w:noProof/>
          </w:rPr>
          <w:t>11</w:t>
        </w:r>
      </w:fldSimple>
      <w:r>
        <w:br/>
      </w:r>
      <w:r w:rsidRPr="00A0273B">
        <w:t xml:space="preserve">OnTrack Agency </w:t>
      </w:r>
      <w:r>
        <w:t xml:space="preserve">FTE </w:t>
      </w:r>
      <w:r w:rsidRPr="00A0273B">
        <w:t>Staffing Levels</w:t>
      </w:r>
      <w:bookmarkEnd w:id="149"/>
      <w:bookmarkEnd w:id="150"/>
    </w:p>
    <w:p w:rsidR="00AC40FC" w:rsidRDefault="00AC40FC" w:rsidP="00440B39">
      <w:pPr>
        <w:jc w:val="center"/>
      </w:pPr>
      <w:r w:rsidRPr="006E7364">
        <w:rPr>
          <w:noProof/>
        </w:rPr>
        <w:drawing>
          <wp:inline distT="0" distB="0" distL="0" distR="0">
            <wp:extent cx="4438650" cy="2598517"/>
            <wp:effectExtent l="0" t="0" r="0" b="0"/>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C40FC" w:rsidRDefault="00AC40FC">
      <w:r>
        <w:br w:type="page"/>
      </w:r>
    </w:p>
    <w:tbl>
      <w:tblPr>
        <w:tblW w:w="6643" w:type="dxa"/>
        <w:jc w:val="center"/>
        <w:tblCellMar>
          <w:top w:w="29" w:type="dxa"/>
          <w:left w:w="115" w:type="dxa"/>
          <w:bottom w:w="29" w:type="dxa"/>
          <w:right w:w="115" w:type="dxa"/>
        </w:tblCellMar>
        <w:tblLook w:val="04A0"/>
      </w:tblPr>
      <w:tblGrid>
        <w:gridCol w:w="1631"/>
        <w:gridCol w:w="801"/>
        <w:gridCol w:w="801"/>
        <w:gridCol w:w="802"/>
        <w:gridCol w:w="801"/>
        <w:gridCol w:w="802"/>
        <w:gridCol w:w="1005"/>
      </w:tblGrid>
      <w:tr w:rsidR="00AC40FC" w:rsidRPr="00143B73" w:rsidTr="00786363">
        <w:trPr>
          <w:cantSplit/>
          <w:trHeight w:val="321"/>
          <w:tblHeader/>
          <w:jc w:val="center"/>
        </w:trPr>
        <w:tc>
          <w:tcPr>
            <w:tcW w:w="1631" w:type="dxa"/>
            <w:tcBorders>
              <w:top w:val="single" w:sz="4" w:space="0" w:color="auto"/>
              <w:left w:val="single" w:sz="4" w:space="0" w:color="auto"/>
              <w:bottom w:val="single" w:sz="4" w:space="0" w:color="auto"/>
              <w:right w:val="single" w:sz="4" w:space="0" w:color="auto"/>
            </w:tcBorders>
            <w:shd w:val="clear" w:color="auto" w:fill="A5CD7E"/>
            <w:vAlign w:val="center"/>
            <w:hideMark/>
          </w:tcPr>
          <w:p w:rsidR="00AC40FC" w:rsidRPr="004711B9" w:rsidRDefault="00AC40FC" w:rsidP="00521E7D">
            <w:pPr>
              <w:spacing w:before="120"/>
              <w:jc w:val="center"/>
              <w:rPr>
                <w:rFonts w:cs="Arial"/>
                <w:b/>
                <w:bCs/>
                <w:color w:val="000000"/>
                <w:sz w:val="22"/>
              </w:rPr>
            </w:pPr>
            <w:r w:rsidRPr="004711B9">
              <w:rPr>
                <w:rFonts w:cs="Arial"/>
                <w:b/>
                <w:bCs/>
                <w:color w:val="000000"/>
                <w:sz w:val="22"/>
              </w:rPr>
              <w:lastRenderedPageBreak/>
              <w:t>Agency</w:t>
            </w:r>
          </w:p>
        </w:tc>
        <w:tc>
          <w:tcPr>
            <w:tcW w:w="801" w:type="dxa"/>
            <w:tcBorders>
              <w:top w:val="single" w:sz="4" w:space="0" w:color="auto"/>
              <w:left w:val="nil"/>
              <w:bottom w:val="single" w:sz="4" w:space="0" w:color="auto"/>
              <w:right w:val="single" w:sz="4" w:space="0" w:color="auto"/>
            </w:tcBorders>
            <w:shd w:val="clear" w:color="auto" w:fill="A5CD7E"/>
            <w:vAlign w:val="center"/>
            <w:hideMark/>
          </w:tcPr>
          <w:p w:rsidR="00AC40FC" w:rsidRPr="004711B9" w:rsidRDefault="00AC40FC" w:rsidP="00521E7D">
            <w:pPr>
              <w:spacing w:before="120"/>
              <w:jc w:val="center"/>
              <w:rPr>
                <w:rFonts w:cs="Arial"/>
                <w:b/>
                <w:bCs/>
                <w:color w:val="000000"/>
                <w:sz w:val="22"/>
              </w:rPr>
            </w:pPr>
            <w:r w:rsidRPr="004711B9">
              <w:rPr>
                <w:rFonts w:cs="Arial"/>
                <w:b/>
                <w:bCs/>
                <w:color w:val="000000"/>
                <w:sz w:val="22"/>
              </w:rPr>
              <w:t>2010</w:t>
            </w:r>
          </w:p>
        </w:tc>
        <w:tc>
          <w:tcPr>
            <w:tcW w:w="801" w:type="dxa"/>
            <w:tcBorders>
              <w:top w:val="single" w:sz="4" w:space="0" w:color="auto"/>
              <w:left w:val="nil"/>
              <w:bottom w:val="single" w:sz="4" w:space="0" w:color="auto"/>
              <w:right w:val="single" w:sz="4" w:space="0" w:color="auto"/>
            </w:tcBorders>
            <w:shd w:val="clear" w:color="auto" w:fill="A5CD7E"/>
            <w:vAlign w:val="center"/>
            <w:hideMark/>
          </w:tcPr>
          <w:p w:rsidR="00AC40FC" w:rsidRPr="004711B9" w:rsidRDefault="00AC40FC" w:rsidP="00521E7D">
            <w:pPr>
              <w:spacing w:before="120"/>
              <w:jc w:val="center"/>
              <w:rPr>
                <w:rFonts w:cs="Arial"/>
                <w:b/>
                <w:bCs/>
                <w:color w:val="000000"/>
                <w:sz w:val="22"/>
              </w:rPr>
            </w:pPr>
            <w:r w:rsidRPr="004711B9">
              <w:rPr>
                <w:rFonts w:cs="Arial"/>
                <w:b/>
                <w:bCs/>
                <w:color w:val="000000"/>
                <w:sz w:val="22"/>
              </w:rPr>
              <w:t>2011</w:t>
            </w:r>
          </w:p>
        </w:tc>
        <w:tc>
          <w:tcPr>
            <w:tcW w:w="802" w:type="dxa"/>
            <w:tcBorders>
              <w:top w:val="single" w:sz="4" w:space="0" w:color="auto"/>
              <w:left w:val="nil"/>
              <w:bottom w:val="single" w:sz="4" w:space="0" w:color="auto"/>
              <w:right w:val="single" w:sz="4" w:space="0" w:color="auto"/>
            </w:tcBorders>
            <w:shd w:val="clear" w:color="auto" w:fill="A5CD7E"/>
            <w:vAlign w:val="center"/>
            <w:hideMark/>
          </w:tcPr>
          <w:p w:rsidR="00AC40FC" w:rsidRPr="004711B9" w:rsidRDefault="00AC40FC" w:rsidP="00521E7D">
            <w:pPr>
              <w:spacing w:before="120"/>
              <w:jc w:val="center"/>
              <w:rPr>
                <w:rFonts w:cs="Arial"/>
                <w:b/>
                <w:bCs/>
                <w:color w:val="000000"/>
                <w:sz w:val="22"/>
              </w:rPr>
            </w:pPr>
            <w:r w:rsidRPr="004711B9">
              <w:rPr>
                <w:rFonts w:cs="Arial"/>
                <w:b/>
                <w:bCs/>
                <w:color w:val="000000"/>
                <w:sz w:val="22"/>
              </w:rPr>
              <w:t>2012</w:t>
            </w:r>
          </w:p>
        </w:tc>
        <w:tc>
          <w:tcPr>
            <w:tcW w:w="801" w:type="dxa"/>
            <w:tcBorders>
              <w:top w:val="single" w:sz="4" w:space="0" w:color="auto"/>
              <w:left w:val="nil"/>
              <w:bottom w:val="single" w:sz="4" w:space="0" w:color="auto"/>
              <w:right w:val="single" w:sz="4" w:space="0" w:color="auto"/>
            </w:tcBorders>
            <w:shd w:val="clear" w:color="auto" w:fill="A5CD7E"/>
            <w:vAlign w:val="center"/>
            <w:hideMark/>
          </w:tcPr>
          <w:p w:rsidR="00AC40FC" w:rsidRPr="004711B9" w:rsidRDefault="00AC40FC" w:rsidP="00521E7D">
            <w:pPr>
              <w:spacing w:before="120"/>
              <w:jc w:val="center"/>
              <w:rPr>
                <w:rFonts w:cs="Arial"/>
                <w:b/>
                <w:bCs/>
                <w:color w:val="000000"/>
                <w:sz w:val="22"/>
              </w:rPr>
            </w:pPr>
            <w:r w:rsidRPr="004711B9">
              <w:rPr>
                <w:rFonts w:cs="Arial"/>
                <w:b/>
                <w:bCs/>
                <w:color w:val="000000"/>
                <w:sz w:val="22"/>
              </w:rPr>
              <w:t>2013</w:t>
            </w:r>
          </w:p>
        </w:tc>
        <w:tc>
          <w:tcPr>
            <w:tcW w:w="802" w:type="dxa"/>
            <w:tcBorders>
              <w:top w:val="single" w:sz="4" w:space="0" w:color="auto"/>
              <w:left w:val="nil"/>
              <w:bottom w:val="single" w:sz="4" w:space="0" w:color="auto"/>
              <w:right w:val="nil"/>
            </w:tcBorders>
            <w:shd w:val="clear" w:color="auto" w:fill="A5CD7E"/>
            <w:vAlign w:val="center"/>
            <w:hideMark/>
          </w:tcPr>
          <w:p w:rsidR="00AC40FC" w:rsidRPr="004711B9" w:rsidRDefault="00AC40FC" w:rsidP="00521E7D">
            <w:pPr>
              <w:spacing w:before="120"/>
              <w:jc w:val="center"/>
              <w:rPr>
                <w:rFonts w:cs="Arial"/>
                <w:b/>
                <w:bCs/>
                <w:color w:val="000000"/>
                <w:sz w:val="22"/>
              </w:rPr>
            </w:pPr>
            <w:r w:rsidRPr="004711B9">
              <w:rPr>
                <w:rFonts w:cs="Arial"/>
                <w:b/>
                <w:bCs/>
                <w:color w:val="000000"/>
                <w:sz w:val="22"/>
              </w:rPr>
              <w:t>2014</w:t>
            </w:r>
          </w:p>
        </w:tc>
        <w:tc>
          <w:tcPr>
            <w:tcW w:w="1005" w:type="dxa"/>
            <w:tcBorders>
              <w:top w:val="single" w:sz="4" w:space="0" w:color="auto"/>
              <w:left w:val="single" w:sz="4" w:space="0" w:color="auto"/>
              <w:bottom w:val="single" w:sz="4" w:space="0" w:color="auto"/>
              <w:right w:val="single" w:sz="4" w:space="0" w:color="auto"/>
            </w:tcBorders>
            <w:shd w:val="clear" w:color="auto" w:fill="A5CD7E"/>
            <w:noWrap/>
            <w:vAlign w:val="center"/>
            <w:hideMark/>
          </w:tcPr>
          <w:p w:rsidR="00AC40FC" w:rsidRPr="004711B9" w:rsidRDefault="00AC40FC" w:rsidP="00521E7D">
            <w:pPr>
              <w:spacing w:before="120"/>
              <w:jc w:val="center"/>
              <w:rPr>
                <w:rFonts w:cs="Arial"/>
                <w:b/>
                <w:bCs/>
                <w:color w:val="000000"/>
                <w:sz w:val="22"/>
              </w:rPr>
            </w:pPr>
            <w:r w:rsidRPr="004711B9">
              <w:rPr>
                <w:rFonts w:cs="Arial"/>
                <w:b/>
                <w:bCs/>
                <w:color w:val="000000"/>
                <w:sz w:val="22"/>
              </w:rPr>
              <w:t>2015</w:t>
            </w:r>
          </w:p>
        </w:tc>
      </w:tr>
      <w:tr w:rsidR="00AC40FC" w:rsidRPr="00143B73" w:rsidTr="00440B39">
        <w:trPr>
          <w:trHeight w:val="214"/>
          <w:jc w:val="center"/>
        </w:trPr>
        <w:tc>
          <w:tcPr>
            <w:tcW w:w="1631" w:type="dxa"/>
            <w:tcBorders>
              <w:top w:val="nil"/>
              <w:left w:val="single" w:sz="4" w:space="0" w:color="auto"/>
              <w:bottom w:val="single" w:sz="4" w:space="0" w:color="auto"/>
              <w:right w:val="single" w:sz="4"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CACLV</w:t>
            </w:r>
          </w:p>
        </w:tc>
        <w:tc>
          <w:tcPr>
            <w:tcW w:w="801" w:type="dxa"/>
            <w:tcBorders>
              <w:top w:val="nil"/>
              <w:left w:val="nil"/>
              <w:bottom w:val="single" w:sz="4" w:space="0" w:color="auto"/>
              <w:right w:val="single" w:sz="4"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8</w:t>
            </w:r>
          </w:p>
        </w:tc>
        <w:tc>
          <w:tcPr>
            <w:tcW w:w="801" w:type="dxa"/>
            <w:tcBorders>
              <w:top w:val="nil"/>
              <w:left w:val="nil"/>
              <w:bottom w:val="single" w:sz="4" w:space="0" w:color="auto"/>
              <w:right w:val="single" w:sz="4"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8</w:t>
            </w:r>
          </w:p>
        </w:tc>
        <w:tc>
          <w:tcPr>
            <w:tcW w:w="802" w:type="dxa"/>
            <w:tcBorders>
              <w:top w:val="nil"/>
              <w:left w:val="nil"/>
              <w:bottom w:val="single" w:sz="4" w:space="0" w:color="auto"/>
              <w:right w:val="single" w:sz="4"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8</w:t>
            </w:r>
          </w:p>
        </w:tc>
        <w:tc>
          <w:tcPr>
            <w:tcW w:w="801" w:type="dxa"/>
            <w:tcBorders>
              <w:top w:val="nil"/>
              <w:left w:val="nil"/>
              <w:bottom w:val="single" w:sz="4" w:space="0" w:color="auto"/>
              <w:right w:val="single" w:sz="4"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7</w:t>
            </w:r>
          </w:p>
        </w:tc>
        <w:tc>
          <w:tcPr>
            <w:tcW w:w="802" w:type="dxa"/>
            <w:tcBorders>
              <w:top w:val="nil"/>
              <w:left w:val="nil"/>
              <w:bottom w:val="single" w:sz="4" w:space="0" w:color="auto"/>
              <w:right w:val="nil"/>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6</w:t>
            </w: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AC40FC" w:rsidRPr="004711B9" w:rsidRDefault="00AC40FC" w:rsidP="00440B39">
            <w:pPr>
              <w:spacing w:after="0"/>
              <w:jc w:val="center"/>
              <w:rPr>
                <w:rFonts w:cs="Arial"/>
                <w:color w:val="000000"/>
                <w:sz w:val="22"/>
              </w:rPr>
            </w:pPr>
            <w:r>
              <w:rPr>
                <w:rFonts w:cs="Arial"/>
                <w:color w:val="000000"/>
                <w:sz w:val="22"/>
              </w:rPr>
              <w:t>7</w:t>
            </w:r>
          </w:p>
        </w:tc>
      </w:tr>
      <w:tr w:rsidR="00AC40FC" w:rsidRPr="00143B73" w:rsidTr="00440B39">
        <w:trPr>
          <w:trHeight w:val="51"/>
          <w:jc w:val="center"/>
        </w:trPr>
        <w:tc>
          <w:tcPr>
            <w:tcW w:w="1631" w:type="dxa"/>
            <w:tcBorders>
              <w:top w:val="nil"/>
              <w:left w:val="single" w:sz="4" w:space="0" w:color="auto"/>
              <w:bottom w:val="single" w:sz="4" w:space="0" w:color="auto"/>
              <w:right w:val="single" w:sz="4"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CAC</w:t>
            </w:r>
          </w:p>
        </w:tc>
        <w:tc>
          <w:tcPr>
            <w:tcW w:w="801" w:type="dxa"/>
            <w:tcBorders>
              <w:top w:val="nil"/>
              <w:left w:val="nil"/>
              <w:bottom w:val="single" w:sz="4" w:space="0" w:color="auto"/>
              <w:right w:val="single" w:sz="4"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7</w:t>
            </w:r>
          </w:p>
        </w:tc>
        <w:tc>
          <w:tcPr>
            <w:tcW w:w="801" w:type="dxa"/>
            <w:tcBorders>
              <w:top w:val="nil"/>
              <w:left w:val="nil"/>
              <w:bottom w:val="single" w:sz="4" w:space="0" w:color="auto"/>
              <w:right w:val="single" w:sz="4"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7</w:t>
            </w:r>
          </w:p>
        </w:tc>
        <w:tc>
          <w:tcPr>
            <w:tcW w:w="802" w:type="dxa"/>
            <w:tcBorders>
              <w:top w:val="nil"/>
              <w:left w:val="nil"/>
              <w:bottom w:val="single" w:sz="4" w:space="0" w:color="auto"/>
              <w:right w:val="single" w:sz="4"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7</w:t>
            </w:r>
          </w:p>
        </w:tc>
        <w:tc>
          <w:tcPr>
            <w:tcW w:w="801" w:type="dxa"/>
            <w:tcBorders>
              <w:top w:val="nil"/>
              <w:left w:val="nil"/>
              <w:bottom w:val="single" w:sz="4" w:space="0" w:color="auto"/>
              <w:right w:val="single" w:sz="4"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7</w:t>
            </w:r>
          </w:p>
        </w:tc>
        <w:tc>
          <w:tcPr>
            <w:tcW w:w="802" w:type="dxa"/>
            <w:tcBorders>
              <w:top w:val="nil"/>
              <w:left w:val="nil"/>
              <w:bottom w:val="single" w:sz="4" w:space="0" w:color="auto"/>
              <w:right w:val="nil"/>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7</w:t>
            </w: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AC40FC" w:rsidRPr="004711B9" w:rsidRDefault="00AC40FC" w:rsidP="00440B39">
            <w:pPr>
              <w:spacing w:after="0"/>
              <w:jc w:val="center"/>
              <w:rPr>
                <w:rFonts w:cs="Arial"/>
                <w:color w:val="000000"/>
                <w:sz w:val="22"/>
              </w:rPr>
            </w:pPr>
            <w:r>
              <w:rPr>
                <w:rFonts w:cs="Arial"/>
                <w:color w:val="000000"/>
                <w:sz w:val="22"/>
              </w:rPr>
              <w:t>6</w:t>
            </w:r>
          </w:p>
        </w:tc>
      </w:tr>
      <w:tr w:rsidR="00AC40FC" w:rsidRPr="00143B73" w:rsidTr="00440B39">
        <w:trPr>
          <w:trHeight w:val="61"/>
          <w:jc w:val="center"/>
        </w:trPr>
        <w:tc>
          <w:tcPr>
            <w:tcW w:w="1631" w:type="dxa"/>
            <w:tcBorders>
              <w:top w:val="nil"/>
              <w:left w:val="single" w:sz="4" w:space="0" w:color="auto"/>
              <w:bottom w:val="single" w:sz="4" w:space="0" w:color="auto"/>
              <w:right w:val="single" w:sz="4"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LANCAP</w:t>
            </w:r>
          </w:p>
        </w:tc>
        <w:tc>
          <w:tcPr>
            <w:tcW w:w="801" w:type="dxa"/>
            <w:tcBorders>
              <w:top w:val="nil"/>
              <w:left w:val="nil"/>
              <w:bottom w:val="single" w:sz="4" w:space="0" w:color="auto"/>
              <w:right w:val="single" w:sz="4"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10</w:t>
            </w:r>
          </w:p>
        </w:tc>
        <w:tc>
          <w:tcPr>
            <w:tcW w:w="801" w:type="dxa"/>
            <w:tcBorders>
              <w:top w:val="nil"/>
              <w:left w:val="nil"/>
              <w:bottom w:val="single" w:sz="4" w:space="0" w:color="auto"/>
              <w:right w:val="single" w:sz="4"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6</w:t>
            </w:r>
          </w:p>
        </w:tc>
        <w:tc>
          <w:tcPr>
            <w:tcW w:w="802" w:type="dxa"/>
            <w:tcBorders>
              <w:top w:val="nil"/>
              <w:left w:val="nil"/>
              <w:bottom w:val="single" w:sz="4" w:space="0" w:color="auto"/>
              <w:right w:val="single" w:sz="4"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6</w:t>
            </w:r>
          </w:p>
        </w:tc>
        <w:tc>
          <w:tcPr>
            <w:tcW w:w="801" w:type="dxa"/>
            <w:tcBorders>
              <w:top w:val="nil"/>
              <w:left w:val="nil"/>
              <w:bottom w:val="single" w:sz="4" w:space="0" w:color="auto"/>
              <w:right w:val="single" w:sz="4"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4</w:t>
            </w:r>
          </w:p>
        </w:tc>
        <w:tc>
          <w:tcPr>
            <w:tcW w:w="802" w:type="dxa"/>
            <w:tcBorders>
              <w:top w:val="nil"/>
              <w:left w:val="nil"/>
              <w:bottom w:val="single" w:sz="4" w:space="0" w:color="auto"/>
              <w:right w:val="nil"/>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5</w:t>
            </w: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AC40FC" w:rsidRPr="004711B9" w:rsidRDefault="00AC40FC" w:rsidP="00440B39">
            <w:pPr>
              <w:spacing w:after="0"/>
              <w:jc w:val="center"/>
              <w:rPr>
                <w:rFonts w:cs="Arial"/>
                <w:color w:val="000000"/>
                <w:sz w:val="22"/>
              </w:rPr>
            </w:pPr>
            <w:r>
              <w:rPr>
                <w:rFonts w:cs="Arial"/>
                <w:color w:val="000000"/>
                <w:sz w:val="22"/>
              </w:rPr>
              <w:t>6</w:t>
            </w:r>
          </w:p>
        </w:tc>
      </w:tr>
      <w:tr w:rsidR="00AC40FC" w:rsidRPr="00143B73" w:rsidTr="00440B39">
        <w:trPr>
          <w:trHeight w:val="51"/>
          <w:jc w:val="center"/>
        </w:trPr>
        <w:tc>
          <w:tcPr>
            <w:tcW w:w="1631" w:type="dxa"/>
            <w:tcBorders>
              <w:top w:val="nil"/>
              <w:left w:val="single" w:sz="4" w:space="0" w:color="auto"/>
              <w:bottom w:val="single" w:sz="4" w:space="0" w:color="auto"/>
              <w:right w:val="single" w:sz="4"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CEO</w:t>
            </w:r>
          </w:p>
        </w:tc>
        <w:tc>
          <w:tcPr>
            <w:tcW w:w="801" w:type="dxa"/>
            <w:tcBorders>
              <w:top w:val="nil"/>
              <w:left w:val="nil"/>
              <w:bottom w:val="single" w:sz="4" w:space="0" w:color="auto"/>
              <w:right w:val="single" w:sz="4"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5</w:t>
            </w:r>
          </w:p>
        </w:tc>
        <w:tc>
          <w:tcPr>
            <w:tcW w:w="801" w:type="dxa"/>
            <w:tcBorders>
              <w:top w:val="nil"/>
              <w:left w:val="nil"/>
              <w:bottom w:val="single" w:sz="4" w:space="0" w:color="auto"/>
              <w:right w:val="single" w:sz="4"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5</w:t>
            </w:r>
          </w:p>
        </w:tc>
        <w:tc>
          <w:tcPr>
            <w:tcW w:w="802" w:type="dxa"/>
            <w:tcBorders>
              <w:top w:val="nil"/>
              <w:left w:val="nil"/>
              <w:bottom w:val="single" w:sz="4" w:space="0" w:color="auto"/>
              <w:right w:val="single" w:sz="4"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5</w:t>
            </w:r>
          </w:p>
        </w:tc>
        <w:tc>
          <w:tcPr>
            <w:tcW w:w="801" w:type="dxa"/>
            <w:tcBorders>
              <w:top w:val="nil"/>
              <w:left w:val="nil"/>
              <w:bottom w:val="single" w:sz="4" w:space="0" w:color="auto"/>
              <w:right w:val="single" w:sz="4"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5</w:t>
            </w:r>
          </w:p>
        </w:tc>
        <w:tc>
          <w:tcPr>
            <w:tcW w:w="802" w:type="dxa"/>
            <w:tcBorders>
              <w:top w:val="nil"/>
              <w:left w:val="nil"/>
              <w:bottom w:val="single" w:sz="4" w:space="0" w:color="auto"/>
              <w:right w:val="nil"/>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5</w:t>
            </w: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AC40FC" w:rsidRPr="004711B9" w:rsidRDefault="00AC40FC" w:rsidP="00440B39">
            <w:pPr>
              <w:spacing w:after="0"/>
              <w:jc w:val="center"/>
              <w:rPr>
                <w:rFonts w:cs="Arial"/>
                <w:color w:val="000000"/>
                <w:sz w:val="22"/>
              </w:rPr>
            </w:pPr>
            <w:r>
              <w:rPr>
                <w:rFonts w:cs="Arial"/>
                <w:color w:val="000000"/>
                <w:sz w:val="22"/>
              </w:rPr>
              <w:t>5</w:t>
            </w:r>
          </w:p>
        </w:tc>
      </w:tr>
      <w:tr w:rsidR="00AC40FC" w:rsidRPr="00143B73" w:rsidTr="00440B39">
        <w:trPr>
          <w:trHeight w:val="51"/>
          <w:jc w:val="center"/>
        </w:trPr>
        <w:tc>
          <w:tcPr>
            <w:tcW w:w="1631" w:type="dxa"/>
            <w:tcBorders>
              <w:top w:val="nil"/>
              <w:left w:val="single" w:sz="4" w:space="0" w:color="auto"/>
              <w:bottom w:val="single" w:sz="4" w:space="0" w:color="auto"/>
              <w:right w:val="single" w:sz="4"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TREHAB</w:t>
            </w:r>
          </w:p>
        </w:tc>
        <w:tc>
          <w:tcPr>
            <w:tcW w:w="801" w:type="dxa"/>
            <w:tcBorders>
              <w:top w:val="nil"/>
              <w:left w:val="nil"/>
              <w:bottom w:val="single" w:sz="4" w:space="0" w:color="auto"/>
              <w:right w:val="single" w:sz="4"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3</w:t>
            </w:r>
          </w:p>
        </w:tc>
        <w:tc>
          <w:tcPr>
            <w:tcW w:w="801" w:type="dxa"/>
            <w:tcBorders>
              <w:top w:val="nil"/>
              <w:left w:val="nil"/>
              <w:bottom w:val="single" w:sz="4" w:space="0" w:color="auto"/>
              <w:right w:val="single" w:sz="4"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4</w:t>
            </w:r>
          </w:p>
        </w:tc>
        <w:tc>
          <w:tcPr>
            <w:tcW w:w="802" w:type="dxa"/>
            <w:tcBorders>
              <w:top w:val="nil"/>
              <w:left w:val="nil"/>
              <w:bottom w:val="single" w:sz="4" w:space="0" w:color="auto"/>
              <w:right w:val="single" w:sz="4"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4</w:t>
            </w:r>
          </w:p>
        </w:tc>
        <w:tc>
          <w:tcPr>
            <w:tcW w:w="801" w:type="dxa"/>
            <w:tcBorders>
              <w:top w:val="nil"/>
              <w:left w:val="nil"/>
              <w:bottom w:val="single" w:sz="4" w:space="0" w:color="auto"/>
              <w:right w:val="single" w:sz="4"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4</w:t>
            </w:r>
          </w:p>
        </w:tc>
        <w:tc>
          <w:tcPr>
            <w:tcW w:w="802" w:type="dxa"/>
            <w:tcBorders>
              <w:top w:val="nil"/>
              <w:left w:val="nil"/>
              <w:bottom w:val="single" w:sz="4" w:space="0" w:color="auto"/>
              <w:right w:val="nil"/>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4</w:t>
            </w: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AC40FC" w:rsidRPr="004711B9" w:rsidRDefault="00AC40FC" w:rsidP="00440B39">
            <w:pPr>
              <w:spacing w:after="0"/>
              <w:jc w:val="center"/>
              <w:rPr>
                <w:rFonts w:cs="Arial"/>
                <w:color w:val="000000"/>
                <w:sz w:val="22"/>
              </w:rPr>
            </w:pPr>
            <w:r>
              <w:rPr>
                <w:rFonts w:cs="Arial"/>
                <w:color w:val="000000"/>
                <w:sz w:val="22"/>
              </w:rPr>
              <w:t>4</w:t>
            </w:r>
          </w:p>
        </w:tc>
      </w:tr>
      <w:tr w:rsidR="00AC40FC" w:rsidRPr="00143B73" w:rsidTr="00440B39">
        <w:trPr>
          <w:trHeight w:val="51"/>
          <w:jc w:val="center"/>
        </w:trPr>
        <w:tc>
          <w:tcPr>
            <w:tcW w:w="1631" w:type="dxa"/>
            <w:tcBorders>
              <w:top w:val="nil"/>
              <w:left w:val="single" w:sz="4" w:space="0" w:color="auto"/>
              <w:bottom w:val="single" w:sz="4" w:space="0" w:color="auto"/>
              <w:right w:val="single" w:sz="4"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SCA</w:t>
            </w:r>
          </w:p>
        </w:tc>
        <w:tc>
          <w:tcPr>
            <w:tcW w:w="801" w:type="dxa"/>
            <w:tcBorders>
              <w:top w:val="nil"/>
              <w:left w:val="nil"/>
              <w:bottom w:val="single" w:sz="4" w:space="0" w:color="auto"/>
              <w:right w:val="single" w:sz="4"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6</w:t>
            </w:r>
          </w:p>
        </w:tc>
        <w:tc>
          <w:tcPr>
            <w:tcW w:w="801" w:type="dxa"/>
            <w:tcBorders>
              <w:top w:val="nil"/>
              <w:left w:val="nil"/>
              <w:bottom w:val="single" w:sz="4" w:space="0" w:color="auto"/>
              <w:right w:val="single" w:sz="4"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5</w:t>
            </w:r>
          </w:p>
        </w:tc>
        <w:tc>
          <w:tcPr>
            <w:tcW w:w="802" w:type="dxa"/>
            <w:tcBorders>
              <w:top w:val="nil"/>
              <w:left w:val="nil"/>
              <w:bottom w:val="single" w:sz="4" w:space="0" w:color="auto"/>
              <w:right w:val="single" w:sz="4"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5</w:t>
            </w:r>
          </w:p>
        </w:tc>
        <w:tc>
          <w:tcPr>
            <w:tcW w:w="801" w:type="dxa"/>
            <w:tcBorders>
              <w:top w:val="nil"/>
              <w:left w:val="nil"/>
              <w:bottom w:val="single" w:sz="4" w:space="0" w:color="auto"/>
              <w:right w:val="single" w:sz="4"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5</w:t>
            </w:r>
          </w:p>
        </w:tc>
        <w:tc>
          <w:tcPr>
            <w:tcW w:w="802" w:type="dxa"/>
            <w:tcBorders>
              <w:top w:val="nil"/>
              <w:left w:val="nil"/>
              <w:bottom w:val="single" w:sz="4" w:space="0" w:color="auto"/>
              <w:right w:val="nil"/>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5</w:t>
            </w: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AC40FC" w:rsidRPr="004711B9" w:rsidRDefault="00AC40FC" w:rsidP="00440B39">
            <w:pPr>
              <w:spacing w:after="0"/>
              <w:jc w:val="center"/>
              <w:rPr>
                <w:rFonts w:cs="Arial"/>
                <w:color w:val="000000"/>
                <w:sz w:val="22"/>
              </w:rPr>
            </w:pPr>
            <w:r>
              <w:rPr>
                <w:rFonts w:cs="Arial"/>
                <w:color w:val="000000"/>
                <w:sz w:val="22"/>
              </w:rPr>
              <w:t>7</w:t>
            </w:r>
          </w:p>
        </w:tc>
      </w:tr>
      <w:tr w:rsidR="00AC40FC" w:rsidRPr="00143B73" w:rsidTr="00440B39">
        <w:trPr>
          <w:trHeight w:val="51"/>
          <w:jc w:val="center"/>
        </w:trPr>
        <w:tc>
          <w:tcPr>
            <w:tcW w:w="1631" w:type="dxa"/>
            <w:tcBorders>
              <w:top w:val="nil"/>
              <w:left w:val="single" w:sz="4" w:space="0" w:color="auto"/>
              <w:bottom w:val="single" w:sz="4" w:space="0" w:color="auto"/>
              <w:right w:val="single" w:sz="4"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STEP</w:t>
            </w:r>
          </w:p>
        </w:tc>
        <w:tc>
          <w:tcPr>
            <w:tcW w:w="801" w:type="dxa"/>
            <w:tcBorders>
              <w:top w:val="nil"/>
              <w:left w:val="nil"/>
              <w:bottom w:val="single" w:sz="4" w:space="0" w:color="auto"/>
              <w:right w:val="single" w:sz="4"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6</w:t>
            </w:r>
          </w:p>
        </w:tc>
        <w:tc>
          <w:tcPr>
            <w:tcW w:w="801" w:type="dxa"/>
            <w:tcBorders>
              <w:top w:val="nil"/>
              <w:left w:val="nil"/>
              <w:bottom w:val="single" w:sz="4" w:space="0" w:color="auto"/>
              <w:right w:val="single" w:sz="4"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6</w:t>
            </w:r>
          </w:p>
        </w:tc>
        <w:tc>
          <w:tcPr>
            <w:tcW w:w="802" w:type="dxa"/>
            <w:tcBorders>
              <w:top w:val="nil"/>
              <w:left w:val="nil"/>
              <w:bottom w:val="single" w:sz="4" w:space="0" w:color="auto"/>
              <w:right w:val="single" w:sz="4"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6</w:t>
            </w:r>
          </w:p>
        </w:tc>
        <w:tc>
          <w:tcPr>
            <w:tcW w:w="801" w:type="dxa"/>
            <w:tcBorders>
              <w:top w:val="nil"/>
              <w:left w:val="nil"/>
              <w:bottom w:val="single" w:sz="4" w:space="0" w:color="auto"/>
              <w:right w:val="single" w:sz="4"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5</w:t>
            </w:r>
          </w:p>
        </w:tc>
        <w:tc>
          <w:tcPr>
            <w:tcW w:w="802" w:type="dxa"/>
            <w:tcBorders>
              <w:top w:val="nil"/>
              <w:left w:val="nil"/>
              <w:bottom w:val="single" w:sz="4" w:space="0" w:color="auto"/>
              <w:right w:val="nil"/>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5</w:t>
            </w: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AC40FC" w:rsidRPr="004711B9" w:rsidRDefault="00AC40FC" w:rsidP="00440B39">
            <w:pPr>
              <w:spacing w:after="0"/>
              <w:jc w:val="center"/>
              <w:rPr>
                <w:rFonts w:cs="Arial"/>
                <w:color w:val="000000"/>
                <w:sz w:val="22"/>
              </w:rPr>
            </w:pPr>
            <w:r>
              <w:rPr>
                <w:rFonts w:cs="Arial"/>
                <w:color w:val="000000"/>
                <w:sz w:val="22"/>
              </w:rPr>
              <w:t>4</w:t>
            </w:r>
          </w:p>
        </w:tc>
      </w:tr>
      <w:tr w:rsidR="00AC40FC" w:rsidRPr="00143B73" w:rsidTr="00440B39">
        <w:trPr>
          <w:trHeight w:val="51"/>
          <w:jc w:val="center"/>
        </w:trPr>
        <w:tc>
          <w:tcPr>
            <w:tcW w:w="1631" w:type="dxa"/>
            <w:tcBorders>
              <w:top w:val="nil"/>
              <w:left w:val="single" w:sz="4" w:space="0" w:color="auto"/>
              <w:bottom w:val="single" w:sz="4" w:space="0" w:color="auto"/>
              <w:right w:val="single" w:sz="4"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Union-Snyder</w:t>
            </w:r>
          </w:p>
        </w:tc>
        <w:tc>
          <w:tcPr>
            <w:tcW w:w="801" w:type="dxa"/>
            <w:tcBorders>
              <w:top w:val="nil"/>
              <w:left w:val="nil"/>
              <w:bottom w:val="single" w:sz="4" w:space="0" w:color="auto"/>
              <w:right w:val="single" w:sz="4"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5</w:t>
            </w:r>
          </w:p>
        </w:tc>
        <w:tc>
          <w:tcPr>
            <w:tcW w:w="801" w:type="dxa"/>
            <w:tcBorders>
              <w:top w:val="nil"/>
              <w:left w:val="nil"/>
              <w:bottom w:val="single" w:sz="4" w:space="0" w:color="auto"/>
              <w:right w:val="single" w:sz="4"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5</w:t>
            </w:r>
          </w:p>
        </w:tc>
        <w:tc>
          <w:tcPr>
            <w:tcW w:w="802" w:type="dxa"/>
            <w:tcBorders>
              <w:top w:val="nil"/>
              <w:left w:val="nil"/>
              <w:bottom w:val="single" w:sz="4" w:space="0" w:color="auto"/>
              <w:right w:val="single" w:sz="4"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5</w:t>
            </w:r>
          </w:p>
        </w:tc>
        <w:tc>
          <w:tcPr>
            <w:tcW w:w="801" w:type="dxa"/>
            <w:tcBorders>
              <w:top w:val="nil"/>
              <w:left w:val="nil"/>
              <w:bottom w:val="single" w:sz="4" w:space="0" w:color="auto"/>
              <w:right w:val="single" w:sz="4"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5</w:t>
            </w:r>
          </w:p>
        </w:tc>
        <w:tc>
          <w:tcPr>
            <w:tcW w:w="802" w:type="dxa"/>
            <w:tcBorders>
              <w:top w:val="nil"/>
              <w:left w:val="nil"/>
              <w:bottom w:val="single" w:sz="4" w:space="0" w:color="auto"/>
              <w:right w:val="nil"/>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5</w:t>
            </w: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AC40FC" w:rsidRPr="004711B9" w:rsidRDefault="00AC40FC" w:rsidP="00440B39">
            <w:pPr>
              <w:spacing w:after="0"/>
              <w:jc w:val="center"/>
              <w:rPr>
                <w:rFonts w:cs="Arial"/>
                <w:color w:val="000000"/>
                <w:sz w:val="22"/>
              </w:rPr>
            </w:pPr>
            <w:r>
              <w:rPr>
                <w:rFonts w:cs="Arial"/>
                <w:color w:val="000000"/>
                <w:sz w:val="22"/>
              </w:rPr>
              <w:t>6</w:t>
            </w:r>
          </w:p>
        </w:tc>
      </w:tr>
      <w:tr w:rsidR="00AC40FC" w:rsidRPr="00143B73" w:rsidTr="00440B39">
        <w:trPr>
          <w:trHeight w:val="223"/>
          <w:jc w:val="center"/>
        </w:trPr>
        <w:tc>
          <w:tcPr>
            <w:tcW w:w="1631" w:type="dxa"/>
            <w:tcBorders>
              <w:top w:val="nil"/>
              <w:left w:val="single" w:sz="4" w:space="0" w:color="auto"/>
              <w:bottom w:val="single" w:sz="4" w:space="0" w:color="auto"/>
              <w:right w:val="single" w:sz="4"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Columbia County</w:t>
            </w:r>
          </w:p>
        </w:tc>
        <w:tc>
          <w:tcPr>
            <w:tcW w:w="801" w:type="dxa"/>
            <w:tcBorders>
              <w:top w:val="nil"/>
              <w:left w:val="nil"/>
              <w:bottom w:val="single" w:sz="4" w:space="0" w:color="auto"/>
              <w:right w:val="single" w:sz="4"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1.5</w:t>
            </w:r>
          </w:p>
        </w:tc>
        <w:tc>
          <w:tcPr>
            <w:tcW w:w="801" w:type="dxa"/>
            <w:tcBorders>
              <w:top w:val="nil"/>
              <w:left w:val="nil"/>
              <w:bottom w:val="single" w:sz="4" w:space="0" w:color="auto"/>
              <w:right w:val="single" w:sz="4"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1.5</w:t>
            </w:r>
          </w:p>
        </w:tc>
        <w:tc>
          <w:tcPr>
            <w:tcW w:w="802" w:type="dxa"/>
            <w:tcBorders>
              <w:top w:val="nil"/>
              <w:left w:val="nil"/>
              <w:bottom w:val="single" w:sz="4" w:space="0" w:color="auto"/>
              <w:right w:val="single" w:sz="4"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1.5</w:t>
            </w:r>
          </w:p>
        </w:tc>
        <w:tc>
          <w:tcPr>
            <w:tcW w:w="801" w:type="dxa"/>
            <w:tcBorders>
              <w:top w:val="nil"/>
              <w:left w:val="nil"/>
              <w:bottom w:val="single" w:sz="4" w:space="0" w:color="auto"/>
              <w:right w:val="single" w:sz="4"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1.5</w:t>
            </w:r>
          </w:p>
        </w:tc>
        <w:tc>
          <w:tcPr>
            <w:tcW w:w="802" w:type="dxa"/>
            <w:tcBorders>
              <w:top w:val="nil"/>
              <w:left w:val="nil"/>
              <w:bottom w:val="single" w:sz="4" w:space="0" w:color="auto"/>
              <w:right w:val="nil"/>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1.5</w:t>
            </w: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AC40FC" w:rsidRPr="004711B9" w:rsidRDefault="00AC40FC" w:rsidP="00440B39">
            <w:pPr>
              <w:spacing w:after="0"/>
              <w:jc w:val="center"/>
              <w:rPr>
                <w:rFonts w:cs="Arial"/>
                <w:color w:val="000000"/>
                <w:sz w:val="22"/>
              </w:rPr>
            </w:pPr>
            <w:r>
              <w:rPr>
                <w:rFonts w:cs="Arial"/>
                <w:color w:val="000000"/>
                <w:sz w:val="22"/>
              </w:rPr>
              <w:t>0</w:t>
            </w:r>
          </w:p>
        </w:tc>
      </w:tr>
      <w:tr w:rsidR="00AC40FC" w:rsidRPr="00143B73" w:rsidTr="00440B39">
        <w:trPr>
          <w:trHeight w:val="196"/>
          <w:jc w:val="center"/>
        </w:trPr>
        <w:tc>
          <w:tcPr>
            <w:tcW w:w="1631" w:type="dxa"/>
            <w:tcBorders>
              <w:top w:val="nil"/>
              <w:left w:val="single" w:sz="4" w:space="0" w:color="auto"/>
              <w:bottom w:val="single" w:sz="4" w:space="0" w:color="auto"/>
              <w:right w:val="single" w:sz="4"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Montour</w:t>
            </w:r>
          </w:p>
        </w:tc>
        <w:tc>
          <w:tcPr>
            <w:tcW w:w="801" w:type="dxa"/>
            <w:tcBorders>
              <w:top w:val="nil"/>
              <w:left w:val="nil"/>
              <w:bottom w:val="single" w:sz="4" w:space="0" w:color="auto"/>
              <w:right w:val="single" w:sz="4"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1</w:t>
            </w:r>
          </w:p>
        </w:tc>
        <w:tc>
          <w:tcPr>
            <w:tcW w:w="801" w:type="dxa"/>
            <w:tcBorders>
              <w:top w:val="nil"/>
              <w:left w:val="nil"/>
              <w:bottom w:val="single" w:sz="4" w:space="0" w:color="auto"/>
              <w:right w:val="single" w:sz="4"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1</w:t>
            </w:r>
          </w:p>
        </w:tc>
        <w:tc>
          <w:tcPr>
            <w:tcW w:w="802" w:type="dxa"/>
            <w:tcBorders>
              <w:top w:val="nil"/>
              <w:left w:val="nil"/>
              <w:bottom w:val="single" w:sz="4" w:space="0" w:color="auto"/>
              <w:right w:val="single" w:sz="4"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1</w:t>
            </w:r>
          </w:p>
        </w:tc>
        <w:tc>
          <w:tcPr>
            <w:tcW w:w="801" w:type="dxa"/>
            <w:tcBorders>
              <w:top w:val="nil"/>
              <w:left w:val="nil"/>
              <w:bottom w:val="single" w:sz="4" w:space="0" w:color="auto"/>
              <w:right w:val="single" w:sz="4"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1</w:t>
            </w:r>
          </w:p>
        </w:tc>
        <w:tc>
          <w:tcPr>
            <w:tcW w:w="802" w:type="dxa"/>
            <w:tcBorders>
              <w:top w:val="nil"/>
              <w:left w:val="nil"/>
              <w:bottom w:val="single" w:sz="4" w:space="0" w:color="auto"/>
              <w:right w:val="nil"/>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1</w:t>
            </w:r>
          </w:p>
        </w:tc>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AC40FC" w:rsidRPr="004711B9" w:rsidRDefault="00AC40FC" w:rsidP="00440B39">
            <w:pPr>
              <w:spacing w:after="0"/>
              <w:jc w:val="center"/>
              <w:rPr>
                <w:rFonts w:cs="Arial"/>
                <w:color w:val="000000"/>
                <w:sz w:val="22"/>
              </w:rPr>
            </w:pPr>
            <w:r>
              <w:rPr>
                <w:rFonts w:cs="Arial"/>
                <w:color w:val="000000"/>
                <w:sz w:val="22"/>
              </w:rPr>
              <w:t>0</w:t>
            </w:r>
          </w:p>
        </w:tc>
      </w:tr>
      <w:tr w:rsidR="00AC40FC" w:rsidRPr="00143B73" w:rsidTr="00440B39">
        <w:trPr>
          <w:trHeight w:val="259"/>
          <w:jc w:val="center"/>
        </w:trPr>
        <w:tc>
          <w:tcPr>
            <w:tcW w:w="1631" w:type="dxa"/>
            <w:tcBorders>
              <w:top w:val="nil"/>
              <w:left w:val="single" w:sz="4" w:space="0" w:color="auto"/>
              <w:bottom w:val="single" w:sz="4" w:space="0" w:color="auto"/>
              <w:right w:val="single" w:sz="4"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Total</w:t>
            </w:r>
          </w:p>
        </w:tc>
        <w:tc>
          <w:tcPr>
            <w:tcW w:w="801" w:type="dxa"/>
            <w:tcBorders>
              <w:top w:val="nil"/>
              <w:left w:val="nil"/>
              <w:bottom w:val="single" w:sz="4" w:space="0" w:color="auto"/>
              <w:right w:val="single" w:sz="4"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52.5</w:t>
            </w:r>
          </w:p>
        </w:tc>
        <w:tc>
          <w:tcPr>
            <w:tcW w:w="801" w:type="dxa"/>
            <w:tcBorders>
              <w:top w:val="nil"/>
              <w:left w:val="nil"/>
              <w:bottom w:val="single" w:sz="4" w:space="0" w:color="auto"/>
              <w:right w:val="single" w:sz="4"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48.5</w:t>
            </w:r>
          </w:p>
        </w:tc>
        <w:tc>
          <w:tcPr>
            <w:tcW w:w="802" w:type="dxa"/>
            <w:tcBorders>
              <w:top w:val="nil"/>
              <w:left w:val="nil"/>
              <w:bottom w:val="single" w:sz="4" w:space="0" w:color="auto"/>
              <w:right w:val="single" w:sz="4"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48.5</w:t>
            </w:r>
          </w:p>
        </w:tc>
        <w:tc>
          <w:tcPr>
            <w:tcW w:w="801" w:type="dxa"/>
            <w:tcBorders>
              <w:top w:val="nil"/>
              <w:left w:val="nil"/>
              <w:bottom w:val="single" w:sz="4" w:space="0" w:color="auto"/>
              <w:right w:val="single" w:sz="4"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44.5</w:t>
            </w:r>
          </w:p>
        </w:tc>
        <w:tc>
          <w:tcPr>
            <w:tcW w:w="802" w:type="dxa"/>
            <w:tcBorders>
              <w:top w:val="nil"/>
              <w:left w:val="nil"/>
              <w:bottom w:val="single" w:sz="4" w:space="0" w:color="auto"/>
              <w:right w:val="single" w:sz="4"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44.5</w:t>
            </w:r>
          </w:p>
        </w:tc>
        <w:tc>
          <w:tcPr>
            <w:tcW w:w="1005" w:type="dxa"/>
            <w:tcBorders>
              <w:top w:val="nil"/>
              <w:left w:val="nil"/>
              <w:bottom w:val="single" w:sz="4" w:space="0" w:color="auto"/>
              <w:right w:val="single" w:sz="4" w:space="0" w:color="auto"/>
            </w:tcBorders>
            <w:shd w:val="clear" w:color="auto" w:fill="auto"/>
            <w:noWrap/>
            <w:vAlign w:val="center"/>
            <w:hideMark/>
          </w:tcPr>
          <w:p w:rsidR="00AC40FC" w:rsidRPr="004711B9" w:rsidRDefault="00AC40FC" w:rsidP="00440B39">
            <w:pPr>
              <w:spacing w:after="0"/>
              <w:jc w:val="center"/>
              <w:rPr>
                <w:rFonts w:cs="Arial"/>
                <w:color w:val="000000"/>
                <w:sz w:val="22"/>
              </w:rPr>
            </w:pPr>
            <w:r>
              <w:rPr>
                <w:rFonts w:cs="Arial"/>
                <w:color w:val="000000"/>
                <w:sz w:val="22"/>
              </w:rPr>
              <w:t>46.0</w:t>
            </w:r>
          </w:p>
        </w:tc>
      </w:tr>
      <w:tr w:rsidR="00AC40FC" w:rsidRPr="00143B73" w:rsidTr="00440B39">
        <w:trPr>
          <w:trHeight w:val="178"/>
          <w:jc w:val="center"/>
        </w:trPr>
        <w:tc>
          <w:tcPr>
            <w:tcW w:w="6643"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AC40FC" w:rsidRPr="00646ED9" w:rsidRDefault="00AC40FC" w:rsidP="00440B39">
            <w:pPr>
              <w:spacing w:after="0"/>
              <w:jc w:val="left"/>
              <w:rPr>
                <w:rFonts w:cs="Arial"/>
                <w:color w:val="000000"/>
                <w:sz w:val="20"/>
                <w:szCs w:val="20"/>
              </w:rPr>
            </w:pPr>
            <w:r w:rsidRPr="00646ED9">
              <w:rPr>
                <w:rFonts w:cs="Arial"/>
                <w:color w:val="000000"/>
                <w:sz w:val="20"/>
                <w:szCs w:val="20"/>
              </w:rPr>
              <w:t>Source</w:t>
            </w:r>
            <w:r>
              <w:rPr>
                <w:rFonts w:cs="Arial"/>
                <w:color w:val="000000"/>
                <w:sz w:val="20"/>
                <w:szCs w:val="20"/>
              </w:rPr>
              <w:t>s</w:t>
            </w:r>
            <w:r w:rsidRPr="00646ED9">
              <w:rPr>
                <w:rFonts w:cs="Arial"/>
                <w:color w:val="000000"/>
                <w:sz w:val="20"/>
                <w:szCs w:val="20"/>
              </w:rPr>
              <w:t>:  DN 14</w:t>
            </w:r>
            <w:r>
              <w:rPr>
                <w:rFonts w:cs="Arial"/>
                <w:color w:val="000000"/>
                <w:sz w:val="20"/>
                <w:szCs w:val="20"/>
              </w:rPr>
              <w:t>-119; PPL EU edits</w:t>
            </w:r>
          </w:p>
        </w:tc>
      </w:tr>
    </w:tbl>
    <w:p w:rsidR="00AC40FC" w:rsidRDefault="00AC40FC" w:rsidP="00440B39">
      <w:pPr>
        <w:pStyle w:val="Normal-aftertable"/>
      </w:pPr>
      <w:r>
        <w:t>Aggregate OnTrack agency staffing levels generally have decreased through 2015. Agency staffing levels are changing throughout the year and PPL EU does not have a system that captures the monthly number of caseworkers.  The end-of-year number does not necessarily represent an average for the year, but a snapshot.</w:t>
      </w:r>
    </w:p>
    <w:p w:rsidR="00AC40FC" w:rsidRDefault="00AC40FC" w:rsidP="00440B39">
      <w:r>
        <w:t>The information below shows the enrollment workload at each of the ten agencies over a multi-year period:</w:t>
      </w:r>
    </w:p>
    <w:p w:rsidR="00AC40FC" w:rsidRDefault="00AC40FC" w:rsidP="002B3172">
      <w:pPr>
        <w:pStyle w:val="Caption"/>
      </w:pPr>
      <w:bookmarkStart w:id="151" w:name="_Toc462648429"/>
      <w:bookmarkStart w:id="152" w:name="_Toc464553051"/>
      <w:r>
        <w:t xml:space="preserve">Exhibit </w:t>
      </w:r>
      <w:fldSimple w:instr=" STYLEREF 1 \s ">
        <w:r w:rsidR="00A24205">
          <w:rPr>
            <w:noProof/>
          </w:rPr>
          <w:t>X</w:t>
        </w:r>
      </w:fldSimple>
      <w:r w:rsidR="00264A1B">
        <w:noBreakHyphen/>
      </w:r>
      <w:fldSimple w:instr=" SEQ Exhibit \* ARABIC \s 1 ">
        <w:r w:rsidR="00A24205">
          <w:rPr>
            <w:noProof/>
          </w:rPr>
          <w:t>12</w:t>
        </w:r>
      </w:fldSimple>
      <w:r>
        <w:br/>
        <w:t>OnTrack Enrollments for Each Agency</w:t>
      </w:r>
      <w:bookmarkEnd w:id="151"/>
      <w:bookmarkEnd w:id="152"/>
    </w:p>
    <w:p w:rsidR="00AC40FC" w:rsidRDefault="00AC40FC" w:rsidP="00440B39">
      <w:pPr>
        <w:jc w:val="center"/>
      </w:pPr>
      <w:r w:rsidRPr="00343D4C">
        <w:rPr>
          <w:noProof/>
        </w:rPr>
        <w:drawing>
          <wp:inline distT="0" distB="0" distL="0" distR="0">
            <wp:extent cx="4467224" cy="3124201"/>
            <wp:effectExtent l="0" t="0" r="10160" b="0"/>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C40FC" w:rsidRDefault="00AC40FC" w:rsidP="00440B39">
      <w:pPr>
        <w:jc w:val="center"/>
      </w:pPr>
    </w:p>
    <w:tbl>
      <w:tblPr>
        <w:tblW w:w="7180" w:type="dxa"/>
        <w:jc w:val="center"/>
        <w:tblLook w:val="04A0"/>
      </w:tblPr>
      <w:tblGrid>
        <w:gridCol w:w="1980"/>
        <w:gridCol w:w="1300"/>
        <w:gridCol w:w="1300"/>
        <w:gridCol w:w="1300"/>
        <w:gridCol w:w="1300"/>
      </w:tblGrid>
      <w:tr w:rsidR="00AC40FC" w:rsidRPr="00521E7D" w:rsidTr="00786363">
        <w:trPr>
          <w:cantSplit/>
          <w:trHeight w:val="322"/>
          <w:tblHeader/>
          <w:jc w:val="center"/>
        </w:trPr>
        <w:tc>
          <w:tcPr>
            <w:tcW w:w="1980" w:type="dxa"/>
            <w:tcBorders>
              <w:top w:val="single" w:sz="8" w:space="0" w:color="auto"/>
              <w:left w:val="single" w:sz="8" w:space="0" w:color="auto"/>
              <w:bottom w:val="single" w:sz="8" w:space="0" w:color="auto"/>
              <w:right w:val="single" w:sz="8" w:space="0" w:color="auto"/>
            </w:tcBorders>
            <w:shd w:val="clear" w:color="auto" w:fill="A5CD7E"/>
            <w:vAlign w:val="center"/>
            <w:hideMark/>
          </w:tcPr>
          <w:p w:rsidR="00AC40FC" w:rsidRPr="004711B9" w:rsidRDefault="00AC40FC" w:rsidP="00521E7D">
            <w:pPr>
              <w:spacing w:before="120"/>
              <w:jc w:val="center"/>
              <w:rPr>
                <w:rFonts w:cs="Arial"/>
                <w:b/>
                <w:bCs/>
                <w:color w:val="000000"/>
                <w:sz w:val="22"/>
              </w:rPr>
            </w:pPr>
            <w:r w:rsidRPr="004711B9">
              <w:rPr>
                <w:rFonts w:cs="Arial"/>
                <w:b/>
                <w:bCs/>
                <w:color w:val="000000"/>
                <w:sz w:val="22"/>
              </w:rPr>
              <w:lastRenderedPageBreak/>
              <w:t>Agency</w:t>
            </w:r>
          </w:p>
        </w:tc>
        <w:tc>
          <w:tcPr>
            <w:tcW w:w="1300" w:type="dxa"/>
            <w:tcBorders>
              <w:top w:val="single" w:sz="8" w:space="0" w:color="auto"/>
              <w:left w:val="nil"/>
              <w:bottom w:val="single" w:sz="8" w:space="0" w:color="auto"/>
              <w:right w:val="single" w:sz="8" w:space="0" w:color="auto"/>
            </w:tcBorders>
            <w:shd w:val="clear" w:color="auto" w:fill="A5CD7E"/>
            <w:vAlign w:val="center"/>
            <w:hideMark/>
          </w:tcPr>
          <w:p w:rsidR="00AC40FC" w:rsidRPr="004711B9" w:rsidRDefault="00AC40FC" w:rsidP="00521E7D">
            <w:pPr>
              <w:spacing w:before="120"/>
              <w:jc w:val="center"/>
              <w:rPr>
                <w:rFonts w:cs="Arial"/>
                <w:b/>
                <w:bCs/>
                <w:color w:val="000000"/>
                <w:sz w:val="22"/>
              </w:rPr>
            </w:pPr>
            <w:r w:rsidRPr="004711B9">
              <w:rPr>
                <w:rFonts w:cs="Arial"/>
                <w:b/>
                <w:bCs/>
                <w:color w:val="000000"/>
                <w:sz w:val="22"/>
              </w:rPr>
              <w:t>2012</w:t>
            </w:r>
          </w:p>
        </w:tc>
        <w:tc>
          <w:tcPr>
            <w:tcW w:w="1300" w:type="dxa"/>
            <w:tcBorders>
              <w:top w:val="single" w:sz="8" w:space="0" w:color="auto"/>
              <w:left w:val="nil"/>
              <w:bottom w:val="single" w:sz="8" w:space="0" w:color="auto"/>
              <w:right w:val="single" w:sz="8" w:space="0" w:color="auto"/>
            </w:tcBorders>
            <w:shd w:val="clear" w:color="auto" w:fill="A5CD7E"/>
            <w:vAlign w:val="center"/>
            <w:hideMark/>
          </w:tcPr>
          <w:p w:rsidR="00AC40FC" w:rsidRPr="004711B9" w:rsidRDefault="00AC40FC" w:rsidP="00521E7D">
            <w:pPr>
              <w:spacing w:before="120"/>
              <w:jc w:val="center"/>
              <w:rPr>
                <w:rFonts w:cs="Arial"/>
                <w:b/>
                <w:bCs/>
                <w:color w:val="000000"/>
                <w:sz w:val="22"/>
              </w:rPr>
            </w:pPr>
            <w:r w:rsidRPr="004711B9">
              <w:rPr>
                <w:rFonts w:cs="Arial"/>
                <w:b/>
                <w:bCs/>
                <w:color w:val="000000"/>
                <w:sz w:val="22"/>
              </w:rPr>
              <w:t>2013</w:t>
            </w:r>
          </w:p>
        </w:tc>
        <w:tc>
          <w:tcPr>
            <w:tcW w:w="1300" w:type="dxa"/>
            <w:tcBorders>
              <w:top w:val="single" w:sz="8" w:space="0" w:color="auto"/>
              <w:left w:val="nil"/>
              <w:bottom w:val="single" w:sz="8" w:space="0" w:color="auto"/>
              <w:right w:val="nil"/>
            </w:tcBorders>
            <w:shd w:val="clear" w:color="auto" w:fill="A5CD7E"/>
            <w:vAlign w:val="center"/>
            <w:hideMark/>
          </w:tcPr>
          <w:p w:rsidR="00AC40FC" w:rsidRPr="004711B9" w:rsidRDefault="00AC40FC" w:rsidP="00521E7D">
            <w:pPr>
              <w:spacing w:before="120"/>
              <w:jc w:val="center"/>
              <w:rPr>
                <w:rFonts w:cs="Arial"/>
                <w:b/>
                <w:bCs/>
                <w:color w:val="000000"/>
                <w:sz w:val="22"/>
              </w:rPr>
            </w:pPr>
            <w:r w:rsidRPr="004711B9">
              <w:rPr>
                <w:rFonts w:cs="Arial"/>
                <w:b/>
                <w:bCs/>
                <w:color w:val="000000"/>
                <w:sz w:val="22"/>
              </w:rPr>
              <w:t>2014</w:t>
            </w:r>
          </w:p>
        </w:tc>
        <w:tc>
          <w:tcPr>
            <w:tcW w:w="1300" w:type="dxa"/>
            <w:tcBorders>
              <w:top w:val="single" w:sz="8" w:space="0" w:color="auto"/>
              <w:left w:val="single" w:sz="8" w:space="0" w:color="auto"/>
              <w:bottom w:val="single" w:sz="8" w:space="0" w:color="auto"/>
              <w:right w:val="single" w:sz="8" w:space="0" w:color="auto"/>
            </w:tcBorders>
            <w:shd w:val="clear" w:color="auto" w:fill="A5CD7E"/>
            <w:noWrap/>
            <w:vAlign w:val="center"/>
            <w:hideMark/>
          </w:tcPr>
          <w:p w:rsidR="00AC40FC" w:rsidRPr="004711B9" w:rsidRDefault="00AC40FC" w:rsidP="00521E7D">
            <w:pPr>
              <w:spacing w:before="120"/>
              <w:jc w:val="center"/>
              <w:rPr>
                <w:rFonts w:cs="Arial"/>
                <w:b/>
                <w:bCs/>
                <w:color w:val="000000"/>
                <w:sz w:val="22"/>
              </w:rPr>
            </w:pPr>
            <w:r w:rsidRPr="004711B9">
              <w:rPr>
                <w:rFonts w:cs="Arial"/>
                <w:b/>
                <w:bCs/>
                <w:color w:val="000000"/>
                <w:sz w:val="22"/>
              </w:rPr>
              <w:t>2015</w:t>
            </w:r>
            <w:r w:rsidRPr="00521E7D">
              <w:rPr>
                <w:rFonts w:cs="Arial"/>
                <w:b/>
                <w:bCs/>
                <w:color w:val="000000"/>
                <w:sz w:val="22"/>
              </w:rPr>
              <w:t> </w:t>
            </w:r>
          </w:p>
        </w:tc>
      </w:tr>
      <w:tr w:rsidR="00AC40FC" w:rsidRPr="0061795C" w:rsidTr="00440B39">
        <w:trPr>
          <w:trHeight w:val="232"/>
          <w:jc w:val="center"/>
        </w:trPr>
        <w:tc>
          <w:tcPr>
            <w:tcW w:w="1980" w:type="dxa"/>
            <w:tcBorders>
              <w:top w:val="nil"/>
              <w:left w:val="single" w:sz="8" w:space="0" w:color="auto"/>
              <w:bottom w:val="single" w:sz="8" w:space="0" w:color="auto"/>
              <w:right w:val="single" w:sz="8"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CACLV</w:t>
            </w:r>
          </w:p>
        </w:tc>
        <w:tc>
          <w:tcPr>
            <w:tcW w:w="1300" w:type="dxa"/>
            <w:tcBorders>
              <w:top w:val="nil"/>
              <w:left w:val="nil"/>
              <w:bottom w:val="single" w:sz="8" w:space="0" w:color="auto"/>
              <w:right w:val="single" w:sz="8"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6</w:t>
            </w:r>
            <w:r>
              <w:rPr>
                <w:rFonts w:cs="Arial"/>
                <w:color w:val="000000"/>
                <w:sz w:val="22"/>
              </w:rPr>
              <w:t>,</w:t>
            </w:r>
            <w:r w:rsidRPr="004711B9">
              <w:rPr>
                <w:rFonts w:cs="Arial"/>
                <w:color w:val="000000"/>
                <w:sz w:val="22"/>
              </w:rPr>
              <w:t>061</w:t>
            </w:r>
          </w:p>
        </w:tc>
        <w:tc>
          <w:tcPr>
            <w:tcW w:w="1300" w:type="dxa"/>
            <w:tcBorders>
              <w:top w:val="nil"/>
              <w:left w:val="nil"/>
              <w:bottom w:val="single" w:sz="8" w:space="0" w:color="auto"/>
              <w:right w:val="single" w:sz="8"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6</w:t>
            </w:r>
            <w:r>
              <w:rPr>
                <w:rFonts w:cs="Arial"/>
                <w:color w:val="000000"/>
                <w:sz w:val="22"/>
              </w:rPr>
              <w:t>,</w:t>
            </w:r>
            <w:r w:rsidRPr="004711B9">
              <w:rPr>
                <w:rFonts w:cs="Arial"/>
                <w:color w:val="000000"/>
                <w:sz w:val="22"/>
              </w:rPr>
              <w:t>992</w:t>
            </w:r>
          </w:p>
        </w:tc>
        <w:tc>
          <w:tcPr>
            <w:tcW w:w="1300" w:type="dxa"/>
            <w:tcBorders>
              <w:top w:val="nil"/>
              <w:left w:val="nil"/>
              <w:bottom w:val="single" w:sz="8" w:space="0" w:color="auto"/>
              <w:right w:val="nil"/>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8</w:t>
            </w:r>
            <w:r>
              <w:rPr>
                <w:rFonts w:cs="Arial"/>
                <w:color w:val="000000"/>
                <w:sz w:val="22"/>
              </w:rPr>
              <w:t>,</w:t>
            </w:r>
            <w:r w:rsidRPr="004711B9">
              <w:rPr>
                <w:rFonts w:cs="Arial"/>
                <w:color w:val="000000"/>
                <w:sz w:val="22"/>
              </w:rPr>
              <w:t>845</w:t>
            </w:r>
          </w:p>
        </w:tc>
        <w:tc>
          <w:tcPr>
            <w:tcW w:w="1300" w:type="dxa"/>
            <w:tcBorders>
              <w:top w:val="nil"/>
              <w:left w:val="single" w:sz="8" w:space="0" w:color="auto"/>
              <w:bottom w:val="single" w:sz="8" w:space="0" w:color="auto"/>
              <w:right w:val="single" w:sz="8" w:space="0" w:color="auto"/>
            </w:tcBorders>
            <w:shd w:val="clear" w:color="auto" w:fill="auto"/>
            <w:noWrap/>
            <w:vAlign w:val="center"/>
            <w:hideMark/>
          </w:tcPr>
          <w:p w:rsidR="00AC40FC" w:rsidRPr="004711B9" w:rsidRDefault="00AC40FC" w:rsidP="00440B39">
            <w:pPr>
              <w:spacing w:after="0"/>
              <w:jc w:val="center"/>
              <w:rPr>
                <w:rFonts w:cs="Arial"/>
                <w:color w:val="000000"/>
                <w:sz w:val="22"/>
              </w:rPr>
            </w:pPr>
            <w:r>
              <w:rPr>
                <w:rFonts w:cs="Arial"/>
                <w:color w:val="000000"/>
                <w:sz w:val="22"/>
              </w:rPr>
              <w:t>7,089</w:t>
            </w:r>
          </w:p>
        </w:tc>
      </w:tr>
      <w:tr w:rsidR="00AC40FC" w:rsidRPr="0061795C" w:rsidTr="00440B39">
        <w:trPr>
          <w:trHeight w:val="232"/>
          <w:jc w:val="center"/>
        </w:trPr>
        <w:tc>
          <w:tcPr>
            <w:tcW w:w="1980" w:type="dxa"/>
            <w:tcBorders>
              <w:top w:val="nil"/>
              <w:left w:val="single" w:sz="8" w:space="0" w:color="auto"/>
              <w:bottom w:val="single" w:sz="8" w:space="0" w:color="auto"/>
              <w:right w:val="single" w:sz="8"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CAC</w:t>
            </w:r>
          </w:p>
        </w:tc>
        <w:tc>
          <w:tcPr>
            <w:tcW w:w="1300" w:type="dxa"/>
            <w:tcBorders>
              <w:top w:val="nil"/>
              <w:left w:val="nil"/>
              <w:bottom w:val="single" w:sz="8" w:space="0" w:color="auto"/>
              <w:right w:val="single" w:sz="8"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4</w:t>
            </w:r>
            <w:r>
              <w:rPr>
                <w:rFonts w:cs="Arial"/>
                <w:color w:val="000000"/>
                <w:sz w:val="22"/>
              </w:rPr>
              <w:t>,</w:t>
            </w:r>
            <w:r w:rsidRPr="004711B9">
              <w:rPr>
                <w:rFonts w:cs="Arial"/>
                <w:color w:val="000000"/>
                <w:sz w:val="22"/>
              </w:rPr>
              <w:t>832</w:t>
            </w:r>
          </w:p>
        </w:tc>
        <w:tc>
          <w:tcPr>
            <w:tcW w:w="1300" w:type="dxa"/>
            <w:tcBorders>
              <w:top w:val="nil"/>
              <w:left w:val="nil"/>
              <w:bottom w:val="single" w:sz="8" w:space="0" w:color="auto"/>
              <w:right w:val="single" w:sz="8"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5</w:t>
            </w:r>
            <w:r>
              <w:rPr>
                <w:rFonts w:cs="Arial"/>
                <w:color w:val="000000"/>
                <w:sz w:val="22"/>
              </w:rPr>
              <w:t>,</w:t>
            </w:r>
            <w:r w:rsidRPr="004711B9">
              <w:rPr>
                <w:rFonts w:cs="Arial"/>
                <w:color w:val="000000"/>
                <w:sz w:val="22"/>
              </w:rPr>
              <w:t>874</w:t>
            </w:r>
          </w:p>
        </w:tc>
        <w:tc>
          <w:tcPr>
            <w:tcW w:w="1300" w:type="dxa"/>
            <w:tcBorders>
              <w:top w:val="nil"/>
              <w:left w:val="nil"/>
              <w:bottom w:val="single" w:sz="8" w:space="0" w:color="auto"/>
              <w:right w:val="nil"/>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6</w:t>
            </w:r>
            <w:r>
              <w:rPr>
                <w:rFonts w:cs="Arial"/>
                <w:color w:val="000000"/>
                <w:sz w:val="22"/>
              </w:rPr>
              <w:t>,</w:t>
            </w:r>
            <w:r w:rsidRPr="004711B9">
              <w:rPr>
                <w:rFonts w:cs="Arial"/>
                <w:color w:val="000000"/>
                <w:sz w:val="22"/>
              </w:rPr>
              <w:t>647</w:t>
            </w:r>
          </w:p>
        </w:tc>
        <w:tc>
          <w:tcPr>
            <w:tcW w:w="1300" w:type="dxa"/>
            <w:tcBorders>
              <w:top w:val="nil"/>
              <w:left w:val="single" w:sz="8" w:space="0" w:color="auto"/>
              <w:bottom w:val="single" w:sz="8" w:space="0" w:color="auto"/>
              <w:right w:val="single" w:sz="8" w:space="0" w:color="auto"/>
            </w:tcBorders>
            <w:shd w:val="clear" w:color="auto" w:fill="auto"/>
            <w:noWrap/>
            <w:vAlign w:val="center"/>
            <w:hideMark/>
          </w:tcPr>
          <w:p w:rsidR="00AC40FC" w:rsidRPr="004711B9" w:rsidRDefault="00AC40FC" w:rsidP="00440B39">
            <w:pPr>
              <w:spacing w:after="0"/>
              <w:jc w:val="center"/>
              <w:rPr>
                <w:rFonts w:cs="Arial"/>
                <w:color w:val="000000"/>
                <w:sz w:val="22"/>
              </w:rPr>
            </w:pPr>
            <w:r>
              <w:rPr>
                <w:rFonts w:cs="Arial"/>
                <w:color w:val="000000"/>
                <w:sz w:val="22"/>
              </w:rPr>
              <w:t>7,575</w:t>
            </w:r>
          </w:p>
        </w:tc>
      </w:tr>
      <w:tr w:rsidR="00AC40FC" w:rsidRPr="0061795C" w:rsidTr="00440B39">
        <w:trPr>
          <w:trHeight w:val="232"/>
          <w:jc w:val="center"/>
        </w:trPr>
        <w:tc>
          <w:tcPr>
            <w:tcW w:w="1980" w:type="dxa"/>
            <w:tcBorders>
              <w:top w:val="nil"/>
              <w:left w:val="single" w:sz="8" w:space="0" w:color="auto"/>
              <w:bottom w:val="single" w:sz="8" w:space="0" w:color="auto"/>
              <w:right w:val="single" w:sz="8"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LANCAP</w:t>
            </w:r>
          </w:p>
        </w:tc>
        <w:tc>
          <w:tcPr>
            <w:tcW w:w="1300" w:type="dxa"/>
            <w:tcBorders>
              <w:top w:val="nil"/>
              <w:left w:val="nil"/>
              <w:bottom w:val="single" w:sz="8" w:space="0" w:color="auto"/>
              <w:right w:val="single" w:sz="8"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4</w:t>
            </w:r>
            <w:r>
              <w:rPr>
                <w:rFonts w:cs="Arial"/>
                <w:color w:val="000000"/>
                <w:sz w:val="22"/>
              </w:rPr>
              <w:t>,</w:t>
            </w:r>
            <w:r w:rsidRPr="004711B9">
              <w:rPr>
                <w:rFonts w:cs="Arial"/>
                <w:color w:val="000000"/>
                <w:sz w:val="22"/>
              </w:rPr>
              <w:t>325</w:t>
            </w:r>
          </w:p>
        </w:tc>
        <w:tc>
          <w:tcPr>
            <w:tcW w:w="1300" w:type="dxa"/>
            <w:tcBorders>
              <w:top w:val="nil"/>
              <w:left w:val="nil"/>
              <w:bottom w:val="single" w:sz="8" w:space="0" w:color="auto"/>
              <w:right w:val="single" w:sz="8"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5</w:t>
            </w:r>
            <w:r>
              <w:rPr>
                <w:rFonts w:cs="Arial"/>
                <w:color w:val="000000"/>
                <w:sz w:val="22"/>
              </w:rPr>
              <w:t>,</w:t>
            </w:r>
            <w:r w:rsidRPr="004711B9">
              <w:rPr>
                <w:rFonts w:cs="Arial"/>
                <w:color w:val="000000"/>
                <w:sz w:val="22"/>
              </w:rPr>
              <w:t>063</w:t>
            </w:r>
          </w:p>
        </w:tc>
        <w:tc>
          <w:tcPr>
            <w:tcW w:w="1300" w:type="dxa"/>
            <w:tcBorders>
              <w:top w:val="nil"/>
              <w:left w:val="nil"/>
              <w:bottom w:val="single" w:sz="8" w:space="0" w:color="auto"/>
              <w:right w:val="nil"/>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5</w:t>
            </w:r>
            <w:r>
              <w:rPr>
                <w:rFonts w:cs="Arial"/>
                <w:color w:val="000000"/>
                <w:sz w:val="22"/>
              </w:rPr>
              <w:t>,</w:t>
            </w:r>
            <w:r w:rsidRPr="004711B9">
              <w:rPr>
                <w:rFonts w:cs="Arial"/>
                <w:color w:val="000000"/>
                <w:sz w:val="22"/>
              </w:rPr>
              <w:t>235</w:t>
            </w:r>
          </w:p>
        </w:tc>
        <w:tc>
          <w:tcPr>
            <w:tcW w:w="1300" w:type="dxa"/>
            <w:tcBorders>
              <w:top w:val="nil"/>
              <w:left w:val="single" w:sz="8" w:space="0" w:color="auto"/>
              <w:bottom w:val="single" w:sz="8" w:space="0" w:color="auto"/>
              <w:right w:val="single" w:sz="8" w:space="0" w:color="auto"/>
            </w:tcBorders>
            <w:shd w:val="clear" w:color="auto" w:fill="auto"/>
            <w:noWrap/>
            <w:vAlign w:val="center"/>
            <w:hideMark/>
          </w:tcPr>
          <w:p w:rsidR="00AC40FC" w:rsidRPr="004711B9" w:rsidRDefault="00AC40FC" w:rsidP="00440B39">
            <w:pPr>
              <w:spacing w:after="0"/>
              <w:jc w:val="center"/>
              <w:rPr>
                <w:rFonts w:cs="Arial"/>
                <w:color w:val="000000"/>
                <w:sz w:val="22"/>
              </w:rPr>
            </w:pPr>
            <w:r>
              <w:rPr>
                <w:rFonts w:cs="Arial"/>
                <w:color w:val="000000"/>
                <w:sz w:val="22"/>
              </w:rPr>
              <w:t>6,047</w:t>
            </w:r>
          </w:p>
        </w:tc>
      </w:tr>
      <w:tr w:rsidR="00AC40FC" w:rsidRPr="0061795C" w:rsidTr="00440B39">
        <w:trPr>
          <w:trHeight w:val="268"/>
          <w:jc w:val="center"/>
        </w:trPr>
        <w:tc>
          <w:tcPr>
            <w:tcW w:w="1980" w:type="dxa"/>
            <w:tcBorders>
              <w:top w:val="nil"/>
              <w:left w:val="single" w:sz="8" w:space="0" w:color="auto"/>
              <w:bottom w:val="single" w:sz="8" w:space="0" w:color="auto"/>
              <w:right w:val="single" w:sz="8"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CEO</w:t>
            </w:r>
          </w:p>
        </w:tc>
        <w:tc>
          <w:tcPr>
            <w:tcW w:w="1300" w:type="dxa"/>
            <w:tcBorders>
              <w:top w:val="nil"/>
              <w:left w:val="nil"/>
              <w:bottom w:val="single" w:sz="8" w:space="0" w:color="auto"/>
              <w:right w:val="single" w:sz="8"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2</w:t>
            </w:r>
            <w:r>
              <w:rPr>
                <w:rFonts w:cs="Arial"/>
                <w:color w:val="000000"/>
                <w:sz w:val="22"/>
              </w:rPr>
              <w:t>,</w:t>
            </w:r>
            <w:r w:rsidRPr="004711B9">
              <w:rPr>
                <w:rFonts w:cs="Arial"/>
                <w:color w:val="000000"/>
                <w:sz w:val="22"/>
              </w:rPr>
              <w:t>920</w:t>
            </w:r>
          </w:p>
        </w:tc>
        <w:tc>
          <w:tcPr>
            <w:tcW w:w="1300" w:type="dxa"/>
            <w:tcBorders>
              <w:top w:val="nil"/>
              <w:left w:val="nil"/>
              <w:bottom w:val="single" w:sz="8" w:space="0" w:color="auto"/>
              <w:right w:val="single" w:sz="8"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3</w:t>
            </w:r>
            <w:r>
              <w:rPr>
                <w:rFonts w:cs="Arial"/>
                <w:color w:val="000000"/>
                <w:sz w:val="22"/>
              </w:rPr>
              <w:t>,</w:t>
            </w:r>
            <w:r w:rsidRPr="004711B9">
              <w:rPr>
                <w:rFonts w:cs="Arial"/>
                <w:color w:val="000000"/>
                <w:sz w:val="22"/>
              </w:rPr>
              <w:t>609</w:t>
            </w:r>
          </w:p>
        </w:tc>
        <w:tc>
          <w:tcPr>
            <w:tcW w:w="1300" w:type="dxa"/>
            <w:tcBorders>
              <w:top w:val="nil"/>
              <w:left w:val="nil"/>
              <w:bottom w:val="single" w:sz="8" w:space="0" w:color="auto"/>
              <w:right w:val="nil"/>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3</w:t>
            </w:r>
            <w:r>
              <w:rPr>
                <w:rFonts w:cs="Arial"/>
                <w:color w:val="000000"/>
                <w:sz w:val="22"/>
              </w:rPr>
              <w:t>,</w:t>
            </w:r>
            <w:r w:rsidRPr="004711B9">
              <w:rPr>
                <w:rFonts w:cs="Arial"/>
                <w:color w:val="000000"/>
                <w:sz w:val="22"/>
              </w:rPr>
              <w:t>806</w:t>
            </w:r>
          </w:p>
        </w:tc>
        <w:tc>
          <w:tcPr>
            <w:tcW w:w="1300" w:type="dxa"/>
            <w:tcBorders>
              <w:top w:val="nil"/>
              <w:left w:val="single" w:sz="8" w:space="0" w:color="auto"/>
              <w:bottom w:val="single" w:sz="8" w:space="0" w:color="auto"/>
              <w:right w:val="single" w:sz="8" w:space="0" w:color="auto"/>
            </w:tcBorders>
            <w:shd w:val="clear" w:color="auto" w:fill="auto"/>
            <w:noWrap/>
            <w:vAlign w:val="center"/>
            <w:hideMark/>
          </w:tcPr>
          <w:p w:rsidR="00AC40FC" w:rsidRPr="004711B9" w:rsidRDefault="00AC40FC" w:rsidP="00440B39">
            <w:pPr>
              <w:spacing w:after="0"/>
              <w:jc w:val="center"/>
              <w:rPr>
                <w:rFonts w:cs="Arial"/>
                <w:color w:val="000000"/>
                <w:sz w:val="22"/>
              </w:rPr>
            </w:pPr>
            <w:r>
              <w:rPr>
                <w:rFonts w:cs="Arial"/>
                <w:color w:val="000000"/>
                <w:sz w:val="22"/>
              </w:rPr>
              <w:t>4,236</w:t>
            </w:r>
          </w:p>
        </w:tc>
      </w:tr>
      <w:tr w:rsidR="00AC40FC" w:rsidRPr="0061795C" w:rsidTr="00440B39">
        <w:trPr>
          <w:trHeight w:val="250"/>
          <w:jc w:val="center"/>
        </w:trPr>
        <w:tc>
          <w:tcPr>
            <w:tcW w:w="1980" w:type="dxa"/>
            <w:tcBorders>
              <w:top w:val="nil"/>
              <w:left w:val="single" w:sz="8" w:space="0" w:color="auto"/>
              <w:bottom w:val="single" w:sz="8" w:space="0" w:color="auto"/>
              <w:right w:val="single" w:sz="8"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TREHAB</w:t>
            </w:r>
          </w:p>
        </w:tc>
        <w:tc>
          <w:tcPr>
            <w:tcW w:w="1300" w:type="dxa"/>
            <w:tcBorders>
              <w:top w:val="nil"/>
              <w:left w:val="nil"/>
              <w:bottom w:val="single" w:sz="8" w:space="0" w:color="auto"/>
              <w:right w:val="single" w:sz="8"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2</w:t>
            </w:r>
            <w:r>
              <w:rPr>
                <w:rFonts w:cs="Arial"/>
                <w:color w:val="000000"/>
                <w:sz w:val="22"/>
              </w:rPr>
              <w:t>,</w:t>
            </w:r>
            <w:r w:rsidRPr="004711B9">
              <w:rPr>
                <w:rFonts w:cs="Arial"/>
                <w:color w:val="000000"/>
                <w:sz w:val="22"/>
              </w:rPr>
              <w:t>707</w:t>
            </w:r>
          </w:p>
        </w:tc>
        <w:tc>
          <w:tcPr>
            <w:tcW w:w="1300" w:type="dxa"/>
            <w:tcBorders>
              <w:top w:val="nil"/>
              <w:left w:val="nil"/>
              <w:bottom w:val="single" w:sz="8" w:space="0" w:color="auto"/>
              <w:right w:val="single" w:sz="8"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3</w:t>
            </w:r>
            <w:r>
              <w:rPr>
                <w:rFonts w:cs="Arial"/>
                <w:color w:val="000000"/>
                <w:sz w:val="22"/>
              </w:rPr>
              <w:t>,</w:t>
            </w:r>
            <w:r w:rsidRPr="004711B9">
              <w:rPr>
                <w:rFonts w:cs="Arial"/>
                <w:color w:val="000000"/>
                <w:sz w:val="22"/>
              </w:rPr>
              <w:t>496</w:t>
            </w:r>
          </w:p>
        </w:tc>
        <w:tc>
          <w:tcPr>
            <w:tcW w:w="1300" w:type="dxa"/>
            <w:tcBorders>
              <w:top w:val="nil"/>
              <w:left w:val="nil"/>
              <w:bottom w:val="single" w:sz="8" w:space="0" w:color="auto"/>
              <w:right w:val="nil"/>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3</w:t>
            </w:r>
            <w:r>
              <w:rPr>
                <w:rFonts w:cs="Arial"/>
                <w:color w:val="000000"/>
                <w:sz w:val="22"/>
              </w:rPr>
              <w:t>,</w:t>
            </w:r>
            <w:r w:rsidRPr="004711B9">
              <w:rPr>
                <w:rFonts w:cs="Arial"/>
                <w:color w:val="000000"/>
                <w:sz w:val="22"/>
              </w:rPr>
              <w:t>992</w:t>
            </w:r>
          </w:p>
        </w:tc>
        <w:tc>
          <w:tcPr>
            <w:tcW w:w="1300" w:type="dxa"/>
            <w:tcBorders>
              <w:top w:val="nil"/>
              <w:left w:val="single" w:sz="8" w:space="0" w:color="auto"/>
              <w:bottom w:val="single" w:sz="8" w:space="0" w:color="auto"/>
              <w:right w:val="single" w:sz="8" w:space="0" w:color="auto"/>
            </w:tcBorders>
            <w:shd w:val="clear" w:color="auto" w:fill="auto"/>
            <w:noWrap/>
            <w:vAlign w:val="center"/>
            <w:hideMark/>
          </w:tcPr>
          <w:p w:rsidR="00AC40FC" w:rsidRPr="004711B9" w:rsidRDefault="00AC40FC" w:rsidP="00440B39">
            <w:pPr>
              <w:spacing w:after="0"/>
              <w:jc w:val="center"/>
              <w:rPr>
                <w:rFonts w:cs="Arial"/>
                <w:color w:val="000000"/>
                <w:sz w:val="22"/>
              </w:rPr>
            </w:pPr>
            <w:r>
              <w:rPr>
                <w:rFonts w:cs="Arial"/>
                <w:color w:val="000000"/>
                <w:sz w:val="22"/>
              </w:rPr>
              <w:t>4,638</w:t>
            </w:r>
          </w:p>
        </w:tc>
      </w:tr>
      <w:tr w:rsidR="00AC40FC" w:rsidRPr="0061795C" w:rsidTr="00440B39">
        <w:trPr>
          <w:trHeight w:val="250"/>
          <w:jc w:val="center"/>
        </w:trPr>
        <w:tc>
          <w:tcPr>
            <w:tcW w:w="1980" w:type="dxa"/>
            <w:tcBorders>
              <w:top w:val="nil"/>
              <w:left w:val="single" w:sz="8" w:space="0" w:color="auto"/>
              <w:bottom w:val="single" w:sz="8" w:space="0" w:color="auto"/>
              <w:right w:val="single" w:sz="8"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SCA</w:t>
            </w:r>
          </w:p>
        </w:tc>
        <w:tc>
          <w:tcPr>
            <w:tcW w:w="1300" w:type="dxa"/>
            <w:tcBorders>
              <w:top w:val="nil"/>
              <w:left w:val="nil"/>
              <w:bottom w:val="single" w:sz="8" w:space="0" w:color="auto"/>
              <w:right w:val="single" w:sz="8"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1</w:t>
            </w:r>
            <w:r>
              <w:rPr>
                <w:rFonts w:cs="Arial"/>
                <w:color w:val="000000"/>
                <w:sz w:val="22"/>
              </w:rPr>
              <w:t>,</w:t>
            </w:r>
            <w:r w:rsidRPr="004711B9">
              <w:rPr>
                <w:rFonts w:cs="Arial"/>
                <w:color w:val="000000"/>
                <w:sz w:val="22"/>
              </w:rPr>
              <w:t>975</w:t>
            </w:r>
          </w:p>
        </w:tc>
        <w:tc>
          <w:tcPr>
            <w:tcW w:w="1300" w:type="dxa"/>
            <w:tcBorders>
              <w:top w:val="nil"/>
              <w:left w:val="nil"/>
              <w:bottom w:val="single" w:sz="8" w:space="0" w:color="auto"/>
              <w:right w:val="single" w:sz="8"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2</w:t>
            </w:r>
            <w:r>
              <w:rPr>
                <w:rFonts w:cs="Arial"/>
                <w:color w:val="000000"/>
                <w:sz w:val="22"/>
              </w:rPr>
              <w:t>,</w:t>
            </w:r>
            <w:r w:rsidRPr="004711B9">
              <w:rPr>
                <w:rFonts w:cs="Arial"/>
                <w:color w:val="000000"/>
                <w:sz w:val="22"/>
              </w:rPr>
              <w:t>118</w:t>
            </w:r>
          </w:p>
        </w:tc>
        <w:tc>
          <w:tcPr>
            <w:tcW w:w="1300" w:type="dxa"/>
            <w:tcBorders>
              <w:top w:val="nil"/>
              <w:left w:val="nil"/>
              <w:bottom w:val="single" w:sz="8" w:space="0" w:color="auto"/>
              <w:right w:val="nil"/>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2712</w:t>
            </w:r>
          </w:p>
        </w:tc>
        <w:tc>
          <w:tcPr>
            <w:tcW w:w="1300" w:type="dxa"/>
            <w:tcBorders>
              <w:top w:val="nil"/>
              <w:left w:val="single" w:sz="8" w:space="0" w:color="auto"/>
              <w:bottom w:val="single" w:sz="8" w:space="0" w:color="auto"/>
              <w:right w:val="single" w:sz="8" w:space="0" w:color="auto"/>
            </w:tcBorders>
            <w:shd w:val="clear" w:color="auto" w:fill="auto"/>
            <w:noWrap/>
            <w:vAlign w:val="center"/>
            <w:hideMark/>
          </w:tcPr>
          <w:p w:rsidR="00AC40FC" w:rsidRPr="004711B9" w:rsidRDefault="00AC40FC" w:rsidP="00440B39">
            <w:pPr>
              <w:spacing w:after="0"/>
              <w:jc w:val="center"/>
              <w:rPr>
                <w:rFonts w:cs="Arial"/>
                <w:color w:val="000000"/>
                <w:sz w:val="22"/>
              </w:rPr>
            </w:pPr>
            <w:r>
              <w:rPr>
                <w:rFonts w:cs="Arial"/>
                <w:color w:val="000000"/>
                <w:sz w:val="22"/>
              </w:rPr>
              <w:t>3,054</w:t>
            </w:r>
          </w:p>
        </w:tc>
      </w:tr>
      <w:tr w:rsidR="00AC40FC" w:rsidRPr="0061795C" w:rsidTr="00440B39">
        <w:trPr>
          <w:trHeight w:val="250"/>
          <w:jc w:val="center"/>
        </w:trPr>
        <w:tc>
          <w:tcPr>
            <w:tcW w:w="1980" w:type="dxa"/>
            <w:tcBorders>
              <w:top w:val="nil"/>
              <w:left w:val="single" w:sz="8" w:space="0" w:color="auto"/>
              <w:bottom w:val="single" w:sz="8" w:space="0" w:color="auto"/>
              <w:right w:val="single" w:sz="8"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STEP</w:t>
            </w:r>
          </w:p>
        </w:tc>
        <w:tc>
          <w:tcPr>
            <w:tcW w:w="1300" w:type="dxa"/>
            <w:tcBorders>
              <w:top w:val="nil"/>
              <w:left w:val="nil"/>
              <w:bottom w:val="single" w:sz="8" w:space="0" w:color="auto"/>
              <w:right w:val="single" w:sz="8"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1</w:t>
            </w:r>
            <w:r>
              <w:rPr>
                <w:rFonts w:cs="Arial"/>
                <w:color w:val="000000"/>
                <w:sz w:val="22"/>
              </w:rPr>
              <w:t>,</w:t>
            </w:r>
            <w:r w:rsidRPr="004711B9">
              <w:rPr>
                <w:rFonts w:cs="Arial"/>
                <w:color w:val="000000"/>
                <w:sz w:val="22"/>
              </w:rPr>
              <w:t>869</w:t>
            </w:r>
          </w:p>
        </w:tc>
        <w:tc>
          <w:tcPr>
            <w:tcW w:w="1300" w:type="dxa"/>
            <w:tcBorders>
              <w:top w:val="nil"/>
              <w:left w:val="nil"/>
              <w:bottom w:val="single" w:sz="8" w:space="0" w:color="auto"/>
              <w:right w:val="single" w:sz="8"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2</w:t>
            </w:r>
            <w:r>
              <w:rPr>
                <w:rFonts w:cs="Arial"/>
                <w:color w:val="000000"/>
                <w:sz w:val="22"/>
              </w:rPr>
              <w:t>,</w:t>
            </w:r>
            <w:r w:rsidRPr="004711B9">
              <w:rPr>
                <w:rFonts w:cs="Arial"/>
                <w:color w:val="000000"/>
                <w:sz w:val="22"/>
              </w:rPr>
              <w:t>024</w:t>
            </w:r>
          </w:p>
        </w:tc>
        <w:tc>
          <w:tcPr>
            <w:tcW w:w="1300" w:type="dxa"/>
            <w:tcBorders>
              <w:top w:val="nil"/>
              <w:left w:val="nil"/>
              <w:bottom w:val="single" w:sz="8" w:space="0" w:color="auto"/>
              <w:right w:val="nil"/>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2</w:t>
            </w:r>
            <w:r>
              <w:rPr>
                <w:rFonts w:cs="Arial"/>
                <w:color w:val="000000"/>
                <w:sz w:val="22"/>
              </w:rPr>
              <w:t>,</w:t>
            </w:r>
            <w:r w:rsidRPr="004711B9">
              <w:rPr>
                <w:rFonts w:cs="Arial"/>
                <w:color w:val="000000"/>
                <w:sz w:val="22"/>
              </w:rPr>
              <w:t>547</w:t>
            </w:r>
          </w:p>
        </w:tc>
        <w:tc>
          <w:tcPr>
            <w:tcW w:w="1300" w:type="dxa"/>
            <w:tcBorders>
              <w:top w:val="nil"/>
              <w:left w:val="single" w:sz="8" w:space="0" w:color="auto"/>
              <w:bottom w:val="single" w:sz="8" w:space="0" w:color="auto"/>
              <w:right w:val="single" w:sz="8" w:space="0" w:color="auto"/>
            </w:tcBorders>
            <w:shd w:val="clear" w:color="auto" w:fill="auto"/>
            <w:noWrap/>
            <w:vAlign w:val="center"/>
            <w:hideMark/>
          </w:tcPr>
          <w:p w:rsidR="00AC40FC" w:rsidRPr="004711B9" w:rsidRDefault="00AC40FC" w:rsidP="00440B39">
            <w:pPr>
              <w:spacing w:after="0"/>
              <w:jc w:val="center"/>
              <w:rPr>
                <w:rFonts w:cs="Arial"/>
                <w:color w:val="000000"/>
                <w:sz w:val="22"/>
              </w:rPr>
            </w:pPr>
            <w:r>
              <w:rPr>
                <w:rFonts w:cs="Arial"/>
                <w:color w:val="000000"/>
                <w:sz w:val="22"/>
              </w:rPr>
              <w:t>2,714</w:t>
            </w:r>
          </w:p>
        </w:tc>
      </w:tr>
      <w:tr w:rsidR="00AC40FC" w:rsidRPr="0061795C" w:rsidTr="00440B39">
        <w:trPr>
          <w:trHeight w:val="232"/>
          <w:jc w:val="center"/>
        </w:trPr>
        <w:tc>
          <w:tcPr>
            <w:tcW w:w="1980" w:type="dxa"/>
            <w:tcBorders>
              <w:top w:val="nil"/>
              <w:left w:val="single" w:sz="8" w:space="0" w:color="auto"/>
              <w:bottom w:val="single" w:sz="8" w:space="0" w:color="auto"/>
              <w:right w:val="single" w:sz="8"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Union-Snyder</w:t>
            </w:r>
          </w:p>
        </w:tc>
        <w:tc>
          <w:tcPr>
            <w:tcW w:w="1300" w:type="dxa"/>
            <w:tcBorders>
              <w:top w:val="nil"/>
              <w:left w:val="nil"/>
              <w:bottom w:val="single" w:sz="8" w:space="0" w:color="auto"/>
              <w:right w:val="single" w:sz="8"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1</w:t>
            </w:r>
            <w:r>
              <w:rPr>
                <w:rFonts w:cs="Arial"/>
                <w:color w:val="000000"/>
                <w:sz w:val="22"/>
              </w:rPr>
              <w:t>,</w:t>
            </w:r>
            <w:r w:rsidRPr="004711B9">
              <w:rPr>
                <w:rFonts w:cs="Arial"/>
                <w:color w:val="000000"/>
                <w:sz w:val="22"/>
              </w:rPr>
              <w:t>557</w:t>
            </w:r>
          </w:p>
        </w:tc>
        <w:tc>
          <w:tcPr>
            <w:tcW w:w="1300" w:type="dxa"/>
            <w:tcBorders>
              <w:top w:val="nil"/>
              <w:left w:val="nil"/>
              <w:bottom w:val="single" w:sz="8" w:space="0" w:color="auto"/>
              <w:right w:val="single" w:sz="8"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1</w:t>
            </w:r>
            <w:r>
              <w:rPr>
                <w:rFonts w:cs="Arial"/>
                <w:color w:val="000000"/>
                <w:sz w:val="22"/>
              </w:rPr>
              <w:t>,</w:t>
            </w:r>
            <w:r w:rsidRPr="004711B9">
              <w:rPr>
                <w:rFonts w:cs="Arial"/>
                <w:color w:val="000000"/>
                <w:sz w:val="22"/>
              </w:rPr>
              <w:t>678</w:t>
            </w:r>
          </w:p>
        </w:tc>
        <w:tc>
          <w:tcPr>
            <w:tcW w:w="1300" w:type="dxa"/>
            <w:tcBorders>
              <w:top w:val="nil"/>
              <w:left w:val="nil"/>
              <w:bottom w:val="single" w:sz="8" w:space="0" w:color="auto"/>
              <w:right w:val="nil"/>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1</w:t>
            </w:r>
            <w:r>
              <w:rPr>
                <w:rFonts w:cs="Arial"/>
                <w:color w:val="000000"/>
                <w:sz w:val="22"/>
              </w:rPr>
              <w:t>,</w:t>
            </w:r>
            <w:r w:rsidRPr="004711B9">
              <w:rPr>
                <w:rFonts w:cs="Arial"/>
                <w:color w:val="000000"/>
                <w:sz w:val="22"/>
              </w:rPr>
              <w:t>383</w:t>
            </w:r>
          </w:p>
        </w:tc>
        <w:tc>
          <w:tcPr>
            <w:tcW w:w="1300" w:type="dxa"/>
            <w:tcBorders>
              <w:top w:val="nil"/>
              <w:left w:val="single" w:sz="8" w:space="0" w:color="auto"/>
              <w:bottom w:val="single" w:sz="8" w:space="0" w:color="auto"/>
              <w:right w:val="single" w:sz="8" w:space="0" w:color="auto"/>
            </w:tcBorders>
            <w:shd w:val="clear" w:color="auto" w:fill="auto"/>
            <w:noWrap/>
            <w:vAlign w:val="center"/>
            <w:hideMark/>
          </w:tcPr>
          <w:p w:rsidR="00AC40FC" w:rsidRPr="004711B9" w:rsidRDefault="00AC40FC" w:rsidP="00440B39">
            <w:pPr>
              <w:spacing w:after="0"/>
              <w:jc w:val="center"/>
              <w:rPr>
                <w:rFonts w:cs="Arial"/>
                <w:color w:val="000000"/>
                <w:sz w:val="22"/>
              </w:rPr>
            </w:pPr>
            <w:r>
              <w:rPr>
                <w:rFonts w:cs="Arial"/>
                <w:color w:val="000000"/>
                <w:sz w:val="22"/>
              </w:rPr>
              <w:t>1,730</w:t>
            </w:r>
          </w:p>
        </w:tc>
      </w:tr>
      <w:tr w:rsidR="00AC40FC" w:rsidRPr="0061795C" w:rsidTr="00440B39">
        <w:trPr>
          <w:trHeight w:val="232"/>
          <w:jc w:val="center"/>
        </w:trPr>
        <w:tc>
          <w:tcPr>
            <w:tcW w:w="1980" w:type="dxa"/>
            <w:tcBorders>
              <w:top w:val="nil"/>
              <w:left w:val="single" w:sz="8" w:space="0" w:color="auto"/>
              <w:bottom w:val="single" w:sz="8" w:space="0" w:color="auto"/>
              <w:right w:val="single" w:sz="8"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Columbia County</w:t>
            </w:r>
          </w:p>
        </w:tc>
        <w:tc>
          <w:tcPr>
            <w:tcW w:w="1300" w:type="dxa"/>
            <w:tcBorders>
              <w:top w:val="nil"/>
              <w:left w:val="nil"/>
              <w:bottom w:val="single" w:sz="8" w:space="0" w:color="auto"/>
              <w:right w:val="single" w:sz="8"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743</w:t>
            </w:r>
          </w:p>
        </w:tc>
        <w:tc>
          <w:tcPr>
            <w:tcW w:w="1300" w:type="dxa"/>
            <w:tcBorders>
              <w:top w:val="nil"/>
              <w:left w:val="nil"/>
              <w:bottom w:val="single" w:sz="8" w:space="0" w:color="auto"/>
              <w:right w:val="single" w:sz="8"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758</w:t>
            </w:r>
          </w:p>
        </w:tc>
        <w:tc>
          <w:tcPr>
            <w:tcW w:w="1300" w:type="dxa"/>
            <w:tcBorders>
              <w:top w:val="nil"/>
              <w:left w:val="nil"/>
              <w:bottom w:val="single" w:sz="8" w:space="0" w:color="auto"/>
              <w:right w:val="nil"/>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926</w:t>
            </w:r>
          </w:p>
        </w:tc>
        <w:tc>
          <w:tcPr>
            <w:tcW w:w="1300" w:type="dxa"/>
            <w:tcBorders>
              <w:top w:val="nil"/>
              <w:left w:val="single" w:sz="8" w:space="0" w:color="auto"/>
              <w:bottom w:val="single" w:sz="8" w:space="0" w:color="auto"/>
              <w:right w:val="single" w:sz="8" w:space="0" w:color="auto"/>
            </w:tcBorders>
            <w:shd w:val="clear" w:color="auto" w:fill="auto"/>
            <w:noWrap/>
            <w:vAlign w:val="center"/>
            <w:hideMark/>
          </w:tcPr>
          <w:p w:rsidR="00AC40FC" w:rsidRPr="004711B9" w:rsidRDefault="00AC40FC" w:rsidP="00440B39">
            <w:pPr>
              <w:spacing w:after="0"/>
              <w:jc w:val="center"/>
              <w:rPr>
                <w:rFonts w:cs="Arial"/>
                <w:color w:val="000000"/>
                <w:sz w:val="22"/>
              </w:rPr>
            </w:pPr>
            <w:r>
              <w:rPr>
                <w:rFonts w:cs="Arial"/>
                <w:color w:val="000000"/>
                <w:sz w:val="22"/>
              </w:rPr>
              <w:t>806</w:t>
            </w:r>
          </w:p>
        </w:tc>
      </w:tr>
      <w:tr w:rsidR="00AC40FC" w:rsidRPr="0061795C" w:rsidTr="00440B39">
        <w:trPr>
          <w:trHeight w:val="232"/>
          <w:jc w:val="center"/>
        </w:trPr>
        <w:tc>
          <w:tcPr>
            <w:tcW w:w="1980" w:type="dxa"/>
            <w:tcBorders>
              <w:top w:val="nil"/>
              <w:left w:val="single" w:sz="8" w:space="0" w:color="auto"/>
              <w:bottom w:val="single" w:sz="8" w:space="0" w:color="auto"/>
              <w:right w:val="single" w:sz="8"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Montour</w:t>
            </w:r>
          </w:p>
        </w:tc>
        <w:tc>
          <w:tcPr>
            <w:tcW w:w="1300" w:type="dxa"/>
            <w:tcBorders>
              <w:top w:val="nil"/>
              <w:left w:val="nil"/>
              <w:bottom w:val="single" w:sz="8" w:space="0" w:color="auto"/>
              <w:right w:val="single" w:sz="8"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89</w:t>
            </w:r>
          </w:p>
        </w:tc>
        <w:tc>
          <w:tcPr>
            <w:tcW w:w="1300" w:type="dxa"/>
            <w:tcBorders>
              <w:top w:val="nil"/>
              <w:left w:val="nil"/>
              <w:bottom w:val="single" w:sz="8" w:space="0" w:color="auto"/>
              <w:right w:val="single" w:sz="8"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91</w:t>
            </w:r>
          </w:p>
        </w:tc>
        <w:tc>
          <w:tcPr>
            <w:tcW w:w="1300" w:type="dxa"/>
            <w:tcBorders>
              <w:top w:val="nil"/>
              <w:left w:val="nil"/>
              <w:bottom w:val="single" w:sz="8" w:space="0" w:color="auto"/>
              <w:right w:val="nil"/>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102</w:t>
            </w:r>
          </w:p>
        </w:tc>
        <w:tc>
          <w:tcPr>
            <w:tcW w:w="1300" w:type="dxa"/>
            <w:tcBorders>
              <w:top w:val="nil"/>
              <w:left w:val="single" w:sz="8" w:space="0" w:color="auto"/>
              <w:bottom w:val="single" w:sz="8" w:space="0" w:color="auto"/>
              <w:right w:val="single" w:sz="8" w:space="0" w:color="auto"/>
            </w:tcBorders>
            <w:shd w:val="clear" w:color="auto" w:fill="auto"/>
            <w:noWrap/>
            <w:vAlign w:val="center"/>
            <w:hideMark/>
          </w:tcPr>
          <w:p w:rsidR="00AC40FC" w:rsidRPr="004711B9" w:rsidRDefault="00AC40FC" w:rsidP="00440B39">
            <w:pPr>
              <w:spacing w:after="0"/>
              <w:jc w:val="center"/>
              <w:rPr>
                <w:rFonts w:cs="Arial"/>
                <w:color w:val="000000"/>
                <w:sz w:val="22"/>
              </w:rPr>
            </w:pPr>
            <w:r>
              <w:rPr>
                <w:rFonts w:cs="Arial"/>
                <w:color w:val="000000"/>
                <w:sz w:val="22"/>
              </w:rPr>
              <w:t>135</w:t>
            </w:r>
          </w:p>
        </w:tc>
      </w:tr>
      <w:tr w:rsidR="00AC40FC" w:rsidRPr="0061795C" w:rsidTr="00440B39">
        <w:trPr>
          <w:trHeight w:val="232"/>
          <w:jc w:val="center"/>
        </w:trPr>
        <w:tc>
          <w:tcPr>
            <w:tcW w:w="1980" w:type="dxa"/>
            <w:tcBorders>
              <w:top w:val="nil"/>
              <w:left w:val="single" w:sz="8" w:space="0" w:color="auto"/>
              <w:bottom w:val="single" w:sz="8" w:space="0" w:color="auto"/>
              <w:right w:val="single" w:sz="8"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Total</w:t>
            </w:r>
          </w:p>
        </w:tc>
        <w:tc>
          <w:tcPr>
            <w:tcW w:w="1300" w:type="dxa"/>
            <w:tcBorders>
              <w:top w:val="nil"/>
              <w:left w:val="nil"/>
              <w:bottom w:val="single" w:sz="8" w:space="0" w:color="auto"/>
              <w:right w:val="single" w:sz="8"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27</w:t>
            </w:r>
            <w:r>
              <w:rPr>
                <w:rFonts w:cs="Arial"/>
                <w:color w:val="000000"/>
                <w:sz w:val="22"/>
              </w:rPr>
              <w:t>,</w:t>
            </w:r>
            <w:r w:rsidRPr="004711B9">
              <w:rPr>
                <w:rFonts w:cs="Arial"/>
                <w:color w:val="000000"/>
                <w:sz w:val="22"/>
              </w:rPr>
              <w:t>078</w:t>
            </w:r>
          </w:p>
        </w:tc>
        <w:tc>
          <w:tcPr>
            <w:tcW w:w="1300" w:type="dxa"/>
            <w:tcBorders>
              <w:top w:val="nil"/>
              <w:left w:val="nil"/>
              <w:bottom w:val="single" w:sz="8" w:space="0" w:color="auto"/>
              <w:right w:val="single" w:sz="8"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31</w:t>
            </w:r>
            <w:r>
              <w:rPr>
                <w:rFonts w:cs="Arial"/>
                <w:color w:val="000000"/>
                <w:sz w:val="22"/>
              </w:rPr>
              <w:t>,</w:t>
            </w:r>
            <w:r w:rsidRPr="004711B9">
              <w:rPr>
                <w:rFonts w:cs="Arial"/>
                <w:color w:val="000000"/>
                <w:sz w:val="22"/>
              </w:rPr>
              <w:t>703</w:t>
            </w:r>
          </w:p>
        </w:tc>
        <w:tc>
          <w:tcPr>
            <w:tcW w:w="1300" w:type="dxa"/>
            <w:tcBorders>
              <w:top w:val="nil"/>
              <w:left w:val="nil"/>
              <w:bottom w:val="single" w:sz="8" w:space="0" w:color="auto"/>
              <w:right w:val="single" w:sz="8" w:space="0" w:color="auto"/>
            </w:tcBorders>
            <w:shd w:val="clear" w:color="auto" w:fill="auto"/>
            <w:vAlign w:val="center"/>
            <w:hideMark/>
          </w:tcPr>
          <w:p w:rsidR="00AC40FC" w:rsidRPr="004711B9" w:rsidRDefault="00AC40FC" w:rsidP="00440B39">
            <w:pPr>
              <w:spacing w:after="0"/>
              <w:jc w:val="center"/>
              <w:rPr>
                <w:rFonts w:cs="Arial"/>
                <w:color w:val="000000"/>
                <w:sz w:val="22"/>
              </w:rPr>
            </w:pPr>
            <w:r w:rsidRPr="004711B9">
              <w:rPr>
                <w:rFonts w:cs="Arial"/>
                <w:color w:val="000000"/>
                <w:sz w:val="22"/>
              </w:rPr>
              <w:t>36</w:t>
            </w:r>
            <w:r>
              <w:rPr>
                <w:rFonts w:cs="Arial"/>
                <w:color w:val="000000"/>
                <w:sz w:val="22"/>
              </w:rPr>
              <w:t>,</w:t>
            </w:r>
            <w:r w:rsidRPr="004711B9">
              <w:rPr>
                <w:rFonts w:cs="Arial"/>
                <w:color w:val="000000"/>
                <w:sz w:val="22"/>
              </w:rPr>
              <w:t>195</w:t>
            </w:r>
          </w:p>
        </w:tc>
        <w:tc>
          <w:tcPr>
            <w:tcW w:w="1300" w:type="dxa"/>
            <w:tcBorders>
              <w:top w:val="nil"/>
              <w:left w:val="nil"/>
              <w:bottom w:val="single" w:sz="8" w:space="0" w:color="auto"/>
              <w:right w:val="single" w:sz="8" w:space="0" w:color="auto"/>
            </w:tcBorders>
            <w:shd w:val="clear" w:color="auto" w:fill="auto"/>
            <w:noWrap/>
            <w:vAlign w:val="center"/>
            <w:hideMark/>
          </w:tcPr>
          <w:p w:rsidR="00AC40FC" w:rsidRPr="004711B9" w:rsidRDefault="00AC40FC" w:rsidP="00440B39">
            <w:pPr>
              <w:spacing w:after="0"/>
              <w:jc w:val="center"/>
              <w:rPr>
                <w:rFonts w:cs="Arial"/>
                <w:color w:val="000000"/>
                <w:sz w:val="22"/>
              </w:rPr>
            </w:pPr>
            <w:r>
              <w:rPr>
                <w:rFonts w:cs="Arial"/>
                <w:color w:val="000000"/>
                <w:sz w:val="22"/>
              </w:rPr>
              <w:t>38,024</w:t>
            </w:r>
          </w:p>
        </w:tc>
      </w:tr>
      <w:tr w:rsidR="00AC40FC" w:rsidRPr="0061795C" w:rsidTr="00440B39">
        <w:trPr>
          <w:trHeight w:val="250"/>
          <w:jc w:val="center"/>
        </w:trPr>
        <w:tc>
          <w:tcPr>
            <w:tcW w:w="718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C40FC" w:rsidRPr="00523891" w:rsidRDefault="00AC40FC" w:rsidP="00440B39">
            <w:pPr>
              <w:spacing w:after="0"/>
              <w:jc w:val="left"/>
              <w:rPr>
                <w:rFonts w:cs="Arial"/>
                <w:color w:val="000000"/>
                <w:sz w:val="18"/>
                <w:szCs w:val="18"/>
              </w:rPr>
            </w:pPr>
            <w:r w:rsidRPr="00523891">
              <w:rPr>
                <w:rFonts w:cs="Arial"/>
                <w:color w:val="000000"/>
                <w:sz w:val="18"/>
                <w:szCs w:val="18"/>
              </w:rPr>
              <w:t>Source</w:t>
            </w:r>
            <w:r>
              <w:rPr>
                <w:rFonts w:cs="Arial"/>
                <w:color w:val="000000"/>
                <w:sz w:val="18"/>
                <w:szCs w:val="18"/>
              </w:rPr>
              <w:t>s:  DN 14-115; PPL EU edits</w:t>
            </w:r>
          </w:p>
        </w:tc>
      </w:tr>
    </w:tbl>
    <w:p w:rsidR="00AC40FC" w:rsidRDefault="00AC40FC" w:rsidP="00440B39">
      <w:pPr>
        <w:pStyle w:val="Normal-aftertable"/>
      </w:pPr>
      <w:r>
        <w:t xml:space="preserve">Total enrollments have increased for all agencies since 2012.  Information was not tracked prior to 2012.  Two agencies, Montour and Columbia County, were discontinued in late December 2015 through early 2016.  Those agencies' totals, therefore, reflect a reduction from 2014 to 2015.  The geographic coverage was redistributed to the remaining eight agencies. </w:t>
      </w:r>
    </w:p>
    <w:p w:rsidR="00AC40FC" w:rsidRDefault="00AC40FC" w:rsidP="00440B39">
      <w:r w:rsidRPr="00650FEF">
        <w:t xml:space="preserve">PPL EU does not control OnTrack agency staffing levels nor does it </w:t>
      </w:r>
      <w:r>
        <w:t xml:space="preserve">assess the reasonableness of those levels. The Regulatory Programs team does not provide specific directions, instructions, procedures, or methodologies to the agencies regarding how to link forecasted or actual workload to agency staffing levels.  The agencies determine their own staffing levels.  </w:t>
      </w:r>
    </w:p>
    <w:p w:rsidR="00AC40FC" w:rsidRDefault="00AC40FC" w:rsidP="00440B39">
      <w:r>
        <w:t>It should be noted that PPL EU provides some guidance, including volume (referral/enrollment) projections and communicates those projections to the agencies.  In addition, a fairly new metric has been developed and is still in the early implementation stages – turnaround time.  The expectation of determining eligibility within five days has been communicated to the agencies as the performance standard. The reasonableness of the agency staffing level is discussed between the PPL EU team and the agency lead, but PPL EU is primarily concerned with having a staffing level that is ready to handle the projected enrollment workload.</w:t>
      </w:r>
      <w:r w:rsidRPr="00440B39">
        <w:t xml:space="preserve"> </w:t>
      </w:r>
    </w:p>
    <w:p w:rsidR="00AC40FC" w:rsidRDefault="00AC40FC" w:rsidP="00440B39">
      <w:r>
        <w:t>As noted elsewhere in this chapter, aggregate agency productivity (new enrollments per caseworker) has improved.  Without additional performance metrics, however, caseworker levels and productivity are not by themselves useful metrics.  Additional metrics are needed, such as the “quality” of the referrals and the number of enrolled customers who complete the program, to better understand how to optimize staffing levels.  From a contract management and performance perspective, it would be better to convert the contracts to a unit price basis and require that the agency/contractor provide “quality” performance metrics, and thus eliminate the issue of agency staffing levels.</w:t>
      </w:r>
    </w:p>
    <w:p w:rsidR="00AC40FC" w:rsidRPr="000B3F5C" w:rsidRDefault="00AC40FC" w:rsidP="004F00E5">
      <w:pPr>
        <w:pStyle w:val="Findings"/>
        <w:keepNext/>
        <w:numPr>
          <w:ilvl w:val="0"/>
          <w:numId w:val="56"/>
        </w:numPr>
      </w:pPr>
      <w:r w:rsidRPr="000B3F5C">
        <w:lastRenderedPageBreak/>
        <w:t>OnTrack enrollment</w:t>
      </w:r>
      <w:r>
        <w:t>s are</w:t>
      </w:r>
      <w:r w:rsidRPr="000B3F5C">
        <w:t xml:space="preserve"> </w:t>
      </w:r>
      <w:r>
        <w:t>Customer Services’ primary</w:t>
      </w:r>
      <w:r w:rsidRPr="000B3F5C">
        <w:t xml:space="preserve"> metric for assessing program and agency performance and, by </w:t>
      </w:r>
      <w:r>
        <w:t>themselves</w:t>
      </w:r>
      <w:r w:rsidRPr="000B3F5C">
        <w:t xml:space="preserve">, </w:t>
      </w:r>
      <w:r>
        <w:t>are</w:t>
      </w:r>
      <w:r w:rsidRPr="000B3F5C">
        <w:t xml:space="preserve"> </w:t>
      </w:r>
      <w:r>
        <w:t>inadequate</w:t>
      </w:r>
      <w:r w:rsidRPr="000B3F5C">
        <w:t>.</w:t>
      </w:r>
    </w:p>
    <w:p w:rsidR="00AC40FC" w:rsidRPr="001C72D5" w:rsidRDefault="00AC40FC" w:rsidP="00440B39">
      <w:r w:rsidRPr="001C72D5">
        <w:t>The enrollment target setting process starts with a review of past performance and results.  During this review, the Regulatory Programs team completes a goal review and discussion for the upcoming year and sets the enrollment increase (or growth) based primarily on historical performance.  Other factors that are considered include current</w:t>
      </w:r>
      <w:r>
        <w:t xml:space="preserve"> and </w:t>
      </w:r>
      <w:r w:rsidRPr="001C72D5">
        <w:t xml:space="preserve">planned staffing levels and the capability of certain agencies to take on additional work, if needed. </w:t>
      </w:r>
    </w:p>
    <w:p w:rsidR="00AC40FC" w:rsidRDefault="00AC40FC" w:rsidP="00440B39">
      <w:r w:rsidRPr="001C72D5">
        <w:t>The enrollment projection correlates closely to the overall program growth.  Overall program growth is another important metric measured by active households in the program.  Other factors</w:t>
      </w:r>
      <w:r>
        <w:t>,</w:t>
      </w:r>
      <w:r w:rsidRPr="001C72D5">
        <w:t xml:space="preserve"> such as removal for exceeding the CAP credit amount or missing payments (among others) will contribute to a net gain or loss of active members.</w:t>
      </w:r>
    </w:p>
    <w:p w:rsidR="00AC40FC" w:rsidRDefault="00AC40FC" w:rsidP="00440B39">
      <w:r>
        <w:t xml:space="preserve">The enrollment metric has only been collected at the agency level since 2012.  Regulatory Programs </w:t>
      </w:r>
      <w:r>
        <w:rPr>
          <w:rFonts w:cs="Arial"/>
          <w:szCs w:val="24"/>
        </w:rPr>
        <w:t xml:space="preserve">began providing agency level enrollment targets (by month) in 2013.  This was driven by the increased efforts to grow the program. </w:t>
      </w:r>
      <w:r>
        <w:t xml:space="preserve"> The actual monthly enrollments are tracked against the monthly target.  The following graph and table show total target and actual new enrollments for all ten agencies.</w:t>
      </w:r>
    </w:p>
    <w:p w:rsidR="00AC40FC" w:rsidRDefault="00AC40FC" w:rsidP="002B3172">
      <w:pPr>
        <w:pStyle w:val="Caption"/>
      </w:pPr>
      <w:bookmarkStart w:id="153" w:name="_Toc462648430"/>
      <w:bookmarkStart w:id="154" w:name="_Toc464553052"/>
      <w:r>
        <w:t xml:space="preserve">Exhibit </w:t>
      </w:r>
      <w:fldSimple w:instr=" STYLEREF 1 \s ">
        <w:r w:rsidR="00A24205">
          <w:rPr>
            <w:noProof/>
          </w:rPr>
          <w:t>X</w:t>
        </w:r>
      </w:fldSimple>
      <w:r w:rsidR="00264A1B">
        <w:noBreakHyphen/>
      </w:r>
      <w:fldSimple w:instr=" SEQ Exhibit \* ARABIC \s 1 ">
        <w:r w:rsidR="00A24205">
          <w:rPr>
            <w:noProof/>
          </w:rPr>
          <w:t>13</w:t>
        </w:r>
      </w:fldSimple>
      <w:r>
        <w:br/>
        <w:t>On</w:t>
      </w:r>
      <w:r w:rsidRPr="00EF7B7A">
        <w:t>Track New Enrollments</w:t>
      </w:r>
      <w:r>
        <w:t xml:space="preserve"> Compared to the Target</w:t>
      </w:r>
      <w:bookmarkEnd w:id="153"/>
      <w:bookmarkEnd w:id="154"/>
    </w:p>
    <w:p w:rsidR="00AC40FC" w:rsidRPr="007D785E" w:rsidRDefault="00AC40FC" w:rsidP="00440B39">
      <w:pPr>
        <w:jc w:val="center"/>
      </w:pPr>
      <w:r>
        <w:rPr>
          <w:noProof/>
        </w:rPr>
        <w:drawing>
          <wp:inline distT="0" distB="0" distL="0" distR="0">
            <wp:extent cx="4130040" cy="2034982"/>
            <wp:effectExtent l="0" t="0" r="3810" b="3810"/>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3"/>
        <w:gridCol w:w="1134"/>
        <w:gridCol w:w="1038"/>
        <w:gridCol w:w="1131"/>
        <w:gridCol w:w="1204"/>
      </w:tblGrid>
      <w:tr w:rsidR="00AC40FC" w:rsidRPr="00521E7D" w:rsidTr="00786363">
        <w:trPr>
          <w:cantSplit/>
          <w:tblHeader/>
          <w:jc w:val="center"/>
        </w:trPr>
        <w:tc>
          <w:tcPr>
            <w:tcW w:w="0" w:type="auto"/>
            <w:shd w:val="clear" w:color="auto" w:fill="A5CD7E"/>
            <w:vAlign w:val="center"/>
          </w:tcPr>
          <w:p w:rsidR="00AC40FC" w:rsidRPr="00521E7D" w:rsidRDefault="00AC40FC" w:rsidP="00521E7D">
            <w:pPr>
              <w:spacing w:before="120"/>
              <w:jc w:val="center"/>
              <w:rPr>
                <w:rFonts w:cs="Arial"/>
                <w:b/>
                <w:bCs/>
                <w:color w:val="000000"/>
                <w:szCs w:val="24"/>
              </w:rPr>
            </w:pPr>
            <w:r w:rsidRPr="00521E7D">
              <w:rPr>
                <w:rFonts w:cs="Arial"/>
                <w:b/>
                <w:bCs/>
                <w:color w:val="000000"/>
                <w:szCs w:val="24"/>
              </w:rPr>
              <w:t>Enrollments</w:t>
            </w:r>
          </w:p>
        </w:tc>
        <w:tc>
          <w:tcPr>
            <w:tcW w:w="1134" w:type="dxa"/>
            <w:shd w:val="clear" w:color="auto" w:fill="A5CD7E"/>
            <w:vAlign w:val="center"/>
          </w:tcPr>
          <w:p w:rsidR="00AC40FC" w:rsidRPr="00521E7D" w:rsidRDefault="00AC40FC" w:rsidP="00521E7D">
            <w:pPr>
              <w:spacing w:before="120"/>
              <w:jc w:val="center"/>
              <w:rPr>
                <w:rFonts w:cs="Arial"/>
                <w:b/>
                <w:bCs/>
                <w:color w:val="000000"/>
                <w:szCs w:val="24"/>
              </w:rPr>
            </w:pPr>
            <w:r w:rsidRPr="00521E7D">
              <w:rPr>
                <w:rFonts w:cs="Arial"/>
                <w:b/>
                <w:bCs/>
                <w:color w:val="000000"/>
                <w:szCs w:val="24"/>
              </w:rPr>
              <w:t>2012</w:t>
            </w:r>
          </w:p>
        </w:tc>
        <w:tc>
          <w:tcPr>
            <w:tcW w:w="1038" w:type="dxa"/>
            <w:shd w:val="clear" w:color="auto" w:fill="A5CD7E"/>
            <w:vAlign w:val="center"/>
          </w:tcPr>
          <w:p w:rsidR="00AC40FC" w:rsidRPr="00521E7D" w:rsidRDefault="00AC40FC" w:rsidP="00521E7D">
            <w:pPr>
              <w:spacing w:before="120"/>
              <w:jc w:val="center"/>
              <w:rPr>
                <w:rFonts w:cs="Arial"/>
                <w:b/>
                <w:bCs/>
                <w:color w:val="000000"/>
                <w:szCs w:val="24"/>
              </w:rPr>
            </w:pPr>
            <w:r w:rsidRPr="00521E7D">
              <w:rPr>
                <w:rFonts w:cs="Arial"/>
                <w:b/>
                <w:bCs/>
                <w:color w:val="000000"/>
                <w:szCs w:val="24"/>
              </w:rPr>
              <w:t>2013</w:t>
            </w:r>
          </w:p>
        </w:tc>
        <w:tc>
          <w:tcPr>
            <w:tcW w:w="1131" w:type="dxa"/>
            <w:shd w:val="clear" w:color="auto" w:fill="A5CD7E"/>
            <w:vAlign w:val="center"/>
          </w:tcPr>
          <w:p w:rsidR="00AC40FC" w:rsidRPr="00521E7D" w:rsidRDefault="00AC40FC" w:rsidP="00521E7D">
            <w:pPr>
              <w:spacing w:before="120"/>
              <w:jc w:val="center"/>
              <w:rPr>
                <w:rFonts w:cs="Arial"/>
                <w:b/>
                <w:bCs/>
                <w:color w:val="000000"/>
                <w:szCs w:val="24"/>
              </w:rPr>
            </w:pPr>
            <w:r w:rsidRPr="00521E7D">
              <w:rPr>
                <w:rFonts w:cs="Arial"/>
                <w:b/>
                <w:bCs/>
                <w:color w:val="000000"/>
                <w:szCs w:val="24"/>
              </w:rPr>
              <w:t>2014</w:t>
            </w:r>
          </w:p>
        </w:tc>
        <w:tc>
          <w:tcPr>
            <w:tcW w:w="1204" w:type="dxa"/>
            <w:shd w:val="clear" w:color="auto" w:fill="A5CD7E"/>
            <w:vAlign w:val="center"/>
          </w:tcPr>
          <w:p w:rsidR="00AC40FC" w:rsidRPr="00521E7D" w:rsidRDefault="00AC40FC" w:rsidP="00521E7D">
            <w:pPr>
              <w:spacing w:before="120"/>
              <w:jc w:val="center"/>
              <w:rPr>
                <w:rFonts w:cs="Arial"/>
                <w:b/>
                <w:bCs/>
                <w:color w:val="000000"/>
                <w:szCs w:val="24"/>
              </w:rPr>
            </w:pPr>
            <w:r w:rsidRPr="00521E7D">
              <w:rPr>
                <w:rFonts w:cs="Arial"/>
                <w:b/>
                <w:bCs/>
                <w:color w:val="000000"/>
                <w:szCs w:val="24"/>
              </w:rPr>
              <w:t>2015</w:t>
            </w:r>
          </w:p>
        </w:tc>
      </w:tr>
      <w:tr w:rsidR="00AC40FC" w:rsidTr="00440B39">
        <w:trPr>
          <w:trHeight w:val="287"/>
          <w:jc w:val="center"/>
        </w:trPr>
        <w:tc>
          <w:tcPr>
            <w:tcW w:w="0" w:type="auto"/>
            <w:shd w:val="clear" w:color="auto" w:fill="auto"/>
            <w:vAlign w:val="center"/>
          </w:tcPr>
          <w:p w:rsidR="00AC40FC" w:rsidRPr="00CB6D85" w:rsidRDefault="00AC40FC" w:rsidP="00440B39">
            <w:pPr>
              <w:spacing w:after="0"/>
              <w:jc w:val="center"/>
              <w:rPr>
                <w:szCs w:val="24"/>
              </w:rPr>
            </w:pPr>
            <w:r w:rsidRPr="00CB6D85">
              <w:rPr>
                <w:szCs w:val="24"/>
              </w:rPr>
              <w:t>Target</w:t>
            </w:r>
          </w:p>
        </w:tc>
        <w:tc>
          <w:tcPr>
            <w:tcW w:w="1134" w:type="dxa"/>
            <w:shd w:val="clear" w:color="auto" w:fill="auto"/>
            <w:vAlign w:val="center"/>
          </w:tcPr>
          <w:p w:rsidR="00AC40FC" w:rsidRPr="00CB6D85" w:rsidRDefault="00AC40FC" w:rsidP="00440B39">
            <w:pPr>
              <w:spacing w:after="0"/>
              <w:jc w:val="center"/>
              <w:rPr>
                <w:szCs w:val="24"/>
              </w:rPr>
            </w:pPr>
            <w:r w:rsidRPr="00CB6D85">
              <w:rPr>
                <w:szCs w:val="24"/>
              </w:rPr>
              <w:t>NA</w:t>
            </w:r>
          </w:p>
        </w:tc>
        <w:tc>
          <w:tcPr>
            <w:tcW w:w="1038" w:type="dxa"/>
            <w:shd w:val="clear" w:color="auto" w:fill="auto"/>
            <w:vAlign w:val="center"/>
          </w:tcPr>
          <w:p w:rsidR="00AC40FC" w:rsidRPr="00CB6D85" w:rsidRDefault="00AC40FC" w:rsidP="00440B39">
            <w:pPr>
              <w:spacing w:after="0"/>
              <w:jc w:val="center"/>
              <w:rPr>
                <w:szCs w:val="24"/>
              </w:rPr>
            </w:pPr>
            <w:r w:rsidRPr="00CB6D85">
              <w:rPr>
                <w:szCs w:val="24"/>
              </w:rPr>
              <w:t>31,140</w:t>
            </w:r>
          </w:p>
        </w:tc>
        <w:tc>
          <w:tcPr>
            <w:tcW w:w="1131" w:type="dxa"/>
            <w:shd w:val="clear" w:color="auto" w:fill="auto"/>
            <w:vAlign w:val="center"/>
          </w:tcPr>
          <w:p w:rsidR="00AC40FC" w:rsidRPr="00CB6D85" w:rsidRDefault="00AC40FC" w:rsidP="00440B39">
            <w:pPr>
              <w:spacing w:after="0"/>
              <w:jc w:val="center"/>
              <w:rPr>
                <w:szCs w:val="24"/>
              </w:rPr>
            </w:pPr>
            <w:r w:rsidRPr="00CB6D85">
              <w:rPr>
                <w:szCs w:val="24"/>
              </w:rPr>
              <w:t>33,273</w:t>
            </w:r>
          </w:p>
        </w:tc>
        <w:tc>
          <w:tcPr>
            <w:tcW w:w="1204" w:type="dxa"/>
            <w:shd w:val="clear" w:color="auto" w:fill="auto"/>
            <w:vAlign w:val="center"/>
          </w:tcPr>
          <w:p w:rsidR="00AC40FC" w:rsidRPr="00CB6D85" w:rsidRDefault="00AC40FC" w:rsidP="00440B39">
            <w:pPr>
              <w:spacing w:after="0"/>
              <w:jc w:val="center"/>
              <w:rPr>
                <w:szCs w:val="24"/>
              </w:rPr>
            </w:pPr>
            <w:r w:rsidRPr="00CB6D85">
              <w:rPr>
                <w:szCs w:val="24"/>
              </w:rPr>
              <w:t>35,602</w:t>
            </w:r>
          </w:p>
        </w:tc>
      </w:tr>
      <w:tr w:rsidR="00AC40FC" w:rsidTr="00440B39">
        <w:trPr>
          <w:jc w:val="center"/>
        </w:trPr>
        <w:tc>
          <w:tcPr>
            <w:tcW w:w="0" w:type="auto"/>
            <w:shd w:val="clear" w:color="auto" w:fill="auto"/>
            <w:vAlign w:val="center"/>
          </w:tcPr>
          <w:p w:rsidR="00AC40FC" w:rsidRPr="00CB6D85" w:rsidRDefault="00AC40FC" w:rsidP="00440B39">
            <w:pPr>
              <w:spacing w:after="0"/>
              <w:jc w:val="center"/>
              <w:rPr>
                <w:szCs w:val="24"/>
              </w:rPr>
            </w:pPr>
            <w:r w:rsidRPr="00CB6D85">
              <w:rPr>
                <w:szCs w:val="24"/>
              </w:rPr>
              <w:t>Actual</w:t>
            </w:r>
          </w:p>
        </w:tc>
        <w:tc>
          <w:tcPr>
            <w:tcW w:w="1134" w:type="dxa"/>
            <w:shd w:val="clear" w:color="auto" w:fill="auto"/>
            <w:vAlign w:val="center"/>
          </w:tcPr>
          <w:p w:rsidR="00AC40FC" w:rsidRPr="00CB6D85" w:rsidRDefault="00AC40FC" w:rsidP="00440B39">
            <w:pPr>
              <w:spacing w:after="0"/>
              <w:jc w:val="center"/>
              <w:rPr>
                <w:szCs w:val="24"/>
              </w:rPr>
            </w:pPr>
            <w:r w:rsidRPr="00CB6D85">
              <w:rPr>
                <w:szCs w:val="24"/>
              </w:rPr>
              <w:t>27,078</w:t>
            </w:r>
          </w:p>
        </w:tc>
        <w:tc>
          <w:tcPr>
            <w:tcW w:w="1038" w:type="dxa"/>
            <w:shd w:val="clear" w:color="auto" w:fill="auto"/>
            <w:vAlign w:val="center"/>
          </w:tcPr>
          <w:p w:rsidR="00AC40FC" w:rsidRPr="00CB6D85" w:rsidRDefault="00AC40FC" w:rsidP="00440B39">
            <w:pPr>
              <w:spacing w:after="0"/>
              <w:jc w:val="center"/>
              <w:rPr>
                <w:szCs w:val="24"/>
              </w:rPr>
            </w:pPr>
            <w:r w:rsidRPr="00CB6D85">
              <w:rPr>
                <w:szCs w:val="24"/>
              </w:rPr>
              <w:t>31,703</w:t>
            </w:r>
          </w:p>
        </w:tc>
        <w:tc>
          <w:tcPr>
            <w:tcW w:w="1131" w:type="dxa"/>
            <w:shd w:val="clear" w:color="auto" w:fill="auto"/>
            <w:vAlign w:val="center"/>
          </w:tcPr>
          <w:p w:rsidR="00AC40FC" w:rsidRPr="00CB6D85" w:rsidRDefault="00AC40FC" w:rsidP="00440B39">
            <w:pPr>
              <w:spacing w:after="0"/>
              <w:jc w:val="center"/>
              <w:rPr>
                <w:szCs w:val="24"/>
              </w:rPr>
            </w:pPr>
            <w:r w:rsidRPr="00CB6D85">
              <w:rPr>
                <w:szCs w:val="24"/>
              </w:rPr>
              <w:t>36,195</w:t>
            </w:r>
          </w:p>
        </w:tc>
        <w:tc>
          <w:tcPr>
            <w:tcW w:w="1204" w:type="dxa"/>
            <w:shd w:val="clear" w:color="auto" w:fill="auto"/>
            <w:vAlign w:val="center"/>
          </w:tcPr>
          <w:p w:rsidR="00AC40FC" w:rsidRPr="00CB6D85" w:rsidRDefault="00AC40FC" w:rsidP="00440B39">
            <w:pPr>
              <w:spacing w:after="0"/>
              <w:jc w:val="center"/>
              <w:rPr>
                <w:szCs w:val="24"/>
              </w:rPr>
            </w:pPr>
            <w:r>
              <w:rPr>
                <w:szCs w:val="24"/>
              </w:rPr>
              <w:t>38,024</w:t>
            </w:r>
          </w:p>
        </w:tc>
      </w:tr>
      <w:tr w:rsidR="00AC40FC" w:rsidTr="00215673">
        <w:trPr>
          <w:trHeight w:val="143"/>
          <w:jc w:val="center"/>
        </w:trPr>
        <w:tc>
          <w:tcPr>
            <w:tcW w:w="6110" w:type="dxa"/>
            <w:gridSpan w:val="5"/>
            <w:shd w:val="clear" w:color="auto" w:fill="auto"/>
            <w:vAlign w:val="center"/>
          </w:tcPr>
          <w:p w:rsidR="00AC40FC" w:rsidRPr="00A22B84" w:rsidRDefault="00AC40FC" w:rsidP="00440B39">
            <w:pPr>
              <w:spacing w:after="0"/>
              <w:rPr>
                <w:sz w:val="18"/>
                <w:szCs w:val="18"/>
              </w:rPr>
            </w:pPr>
            <w:r w:rsidRPr="00A22B84">
              <w:rPr>
                <w:sz w:val="18"/>
                <w:szCs w:val="18"/>
              </w:rPr>
              <w:t xml:space="preserve">Source:  DN 14-115; </w:t>
            </w:r>
            <w:r>
              <w:rPr>
                <w:rFonts w:cs="Arial"/>
                <w:color w:val="000000"/>
                <w:sz w:val="18"/>
                <w:szCs w:val="18"/>
              </w:rPr>
              <w:t>PPL EU edits</w:t>
            </w:r>
          </w:p>
        </w:tc>
      </w:tr>
    </w:tbl>
    <w:p w:rsidR="00AC40FC" w:rsidRDefault="00AC40FC" w:rsidP="00440B39">
      <w:pPr>
        <w:pStyle w:val="Normal-aftertable"/>
      </w:pPr>
      <w:r w:rsidRPr="00FE7441">
        <w:t xml:space="preserve">Customer Services defines OnTrack agency performance as the ability to achieve or do better than the target.  </w:t>
      </w:r>
      <w:r>
        <w:t>The graph above shows an increase in actual new OnTrack enrollments from 2012 through 2015, exceeding the targets in each of the last the years.  Customer Services set a 7% target increase for both 2014 and 2015.</w:t>
      </w:r>
    </w:p>
    <w:p w:rsidR="00AC40FC" w:rsidRPr="00B3641F" w:rsidRDefault="00AC40FC" w:rsidP="00440B39">
      <w:r w:rsidRPr="00B3641F">
        <w:t xml:space="preserve">Meeting or exceeding the target for new enrollments as a goal, by itself, does not take into account a number of factors that diminish the value of the metric as </w:t>
      </w:r>
      <w:r>
        <w:t>the primary</w:t>
      </w:r>
      <w:r w:rsidRPr="00B3641F">
        <w:t xml:space="preserve"> performance indicator.  </w:t>
      </w:r>
      <w:r>
        <w:t>For example, merely taking steps to</w:t>
      </w:r>
      <w:r w:rsidRPr="00B3641F">
        <w:t xml:space="preserve"> increase refer</w:t>
      </w:r>
      <w:r>
        <w:t>r</w:t>
      </w:r>
      <w:r w:rsidRPr="00B3641F">
        <w:t xml:space="preserve">als will not </w:t>
      </w:r>
      <w:r w:rsidRPr="00B3641F">
        <w:lastRenderedPageBreak/>
        <w:t>necessarily lead to a corresponding increase in eligibility and enrollments.  The “quality” of the referral</w:t>
      </w:r>
      <w:r>
        <w:t xml:space="preserve"> (</w:t>
      </w:r>
      <w:r w:rsidRPr="00B3641F">
        <w:t>prescreening</w:t>
      </w:r>
      <w:r>
        <w:t>)</w:t>
      </w:r>
      <w:r w:rsidRPr="00B3641F">
        <w:t xml:space="preserve"> may be a more relevant driver of successful enrollments.  Retention (fewer defaults) of enrolled participants is another important factor.  </w:t>
      </w:r>
      <w:r>
        <w:t>The graduation rate can be improved through targeted customer education and other actions.  The g</w:t>
      </w:r>
      <w:r w:rsidRPr="00B3641F">
        <w:t>rad</w:t>
      </w:r>
      <w:r>
        <w:t>uation rate is also important fo</w:t>
      </w:r>
      <w:r w:rsidRPr="00B3641F">
        <w:t>r the overall success of the program</w:t>
      </w:r>
      <w:r>
        <w:t>.</w:t>
      </w:r>
    </w:p>
    <w:p w:rsidR="00AC40FC" w:rsidRDefault="00AC40FC" w:rsidP="004F00E5">
      <w:pPr>
        <w:pStyle w:val="Findings"/>
        <w:numPr>
          <w:ilvl w:val="0"/>
          <w:numId w:val="56"/>
        </w:numPr>
      </w:pPr>
      <w:r>
        <w:t xml:space="preserve">PPL EU relies on too many community-based agencies to administer its OnTrack program. </w:t>
      </w:r>
    </w:p>
    <w:p w:rsidR="00AC40FC" w:rsidRPr="00ED1960" w:rsidRDefault="00AC40FC" w:rsidP="00440B39">
      <w:r w:rsidRPr="001E4968">
        <w:t xml:space="preserve">According to </w:t>
      </w:r>
      <w:r>
        <w:t>a</w:t>
      </w:r>
      <w:r w:rsidRPr="001E4968">
        <w:t xml:space="preserve"> 2013 </w:t>
      </w:r>
      <w:r>
        <w:t>employee survey</w:t>
      </w:r>
      <w:r w:rsidRPr="001E4968">
        <w:t xml:space="preserve"> report, PPL EU staff agreed that agencies </w:t>
      </w:r>
      <w:r>
        <w:t>were</w:t>
      </w:r>
      <w:r w:rsidRPr="001E4968">
        <w:t xml:space="preserve"> generally working toward timeline and turnaround expectations, with some exceptions.  Some RPS staff indicated that ten OnTrack agencies </w:t>
      </w:r>
      <w:r>
        <w:t>were</w:t>
      </w:r>
      <w:r w:rsidRPr="001E4968">
        <w:t xml:space="preserve"> more than necessary.  In addition, the RPSs observed that there </w:t>
      </w:r>
      <w:r>
        <w:t>were</w:t>
      </w:r>
      <w:r w:rsidRPr="001E4968">
        <w:t xml:space="preserve"> several agencies that require a greater amount of guidance and supervision than others, creating an opportunity to eliminate smaller or under-performing agencies.</w:t>
      </w:r>
    </w:p>
    <w:p w:rsidR="00AC40FC" w:rsidRDefault="00AC40FC" w:rsidP="00440B39">
      <w:pPr>
        <w:pStyle w:val="Normal-aftertable"/>
      </w:pPr>
      <w:r>
        <w:t xml:space="preserve">Five of the ten agencies accounted for 79% of the total annual new enrollment target in 2015.  The pie chart below illustrates the target enrollments by agency:  </w:t>
      </w:r>
    </w:p>
    <w:p w:rsidR="00AC40FC" w:rsidRDefault="00AC40FC" w:rsidP="002B3172">
      <w:pPr>
        <w:pStyle w:val="Caption"/>
      </w:pPr>
      <w:bookmarkStart w:id="155" w:name="_Toc462648431"/>
      <w:bookmarkStart w:id="156" w:name="_Toc464553053"/>
      <w:r>
        <w:t xml:space="preserve">Exhibit </w:t>
      </w:r>
      <w:fldSimple w:instr=" STYLEREF 1 \s ">
        <w:r w:rsidR="00A24205">
          <w:rPr>
            <w:noProof/>
          </w:rPr>
          <w:t>X</w:t>
        </w:r>
      </w:fldSimple>
      <w:r w:rsidR="00264A1B">
        <w:noBreakHyphen/>
      </w:r>
      <w:fldSimple w:instr=" SEQ Exhibit \* ARABIC \s 1 ">
        <w:r w:rsidR="00A24205">
          <w:rPr>
            <w:noProof/>
          </w:rPr>
          <w:t>14</w:t>
        </w:r>
      </w:fldSimple>
      <w:r>
        <w:br/>
        <w:t>New Enrollment Targets by Agency in 2015</w:t>
      </w:r>
      <w:bookmarkEnd w:id="155"/>
      <w:bookmarkEnd w:id="156"/>
    </w:p>
    <w:p w:rsidR="00AC40FC" w:rsidRDefault="00AC40FC" w:rsidP="00440B39">
      <w:pPr>
        <w:pStyle w:val="Normal-aftertable"/>
        <w:jc w:val="center"/>
        <w:rPr>
          <w:highlight w:val="yellow"/>
        </w:rPr>
      </w:pPr>
      <w:r>
        <w:rPr>
          <w:noProof/>
        </w:rPr>
        <w:drawing>
          <wp:inline distT="0" distB="0" distL="0" distR="0">
            <wp:extent cx="3905250" cy="2590800"/>
            <wp:effectExtent l="0" t="0" r="0" b="0"/>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AC40FC" w:rsidRDefault="00AC40FC">
      <w:r>
        <w:br w:type="page"/>
      </w:r>
    </w:p>
    <w:tbl>
      <w:tblPr>
        <w:tblW w:w="5218" w:type="dxa"/>
        <w:jc w:val="center"/>
        <w:tblLook w:val="04A0"/>
      </w:tblPr>
      <w:tblGrid>
        <w:gridCol w:w="1300"/>
        <w:gridCol w:w="2028"/>
        <w:gridCol w:w="1890"/>
      </w:tblGrid>
      <w:tr w:rsidR="00AC40FC" w:rsidRPr="00CC2C8B" w:rsidTr="00786363">
        <w:trPr>
          <w:cantSplit/>
          <w:trHeight w:val="300"/>
          <w:tblHeader/>
          <w:jc w:val="center"/>
        </w:trPr>
        <w:tc>
          <w:tcPr>
            <w:tcW w:w="1300" w:type="dxa"/>
            <w:tcBorders>
              <w:top w:val="single" w:sz="4" w:space="0" w:color="auto"/>
              <w:left w:val="single" w:sz="4" w:space="0" w:color="auto"/>
              <w:bottom w:val="single" w:sz="4" w:space="0" w:color="auto"/>
              <w:right w:val="single" w:sz="4" w:space="0" w:color="auto"/>
            </w:tcBorders>
            <w:shd w:val="clear" w:color="auto" w:fill="A5CD7E"/>
            <w:noWrap/>
            <w:vAlign w:val="center"/>
          </w:tcPr>
          <w:p w:rsidR="00AC40FC" w:rsidRPr="00CC2C8B" w:rsidRDefault="00AC40FC" w:rsidP="00521E7D">
            <w:pPr>
              <w:spacing w:before="120"/>
              <w:jc w:val="center"/>
              <w:rPr>
                <w:rFonts w:cs="Arial"/>
                <w:b/>
                <w:color w:val="000000"/>
                <w:sz w:val="22"/>
              </w:rPr>
            </w:pPr>
            <w:r w:rsidRPr="00CC2C8B">
              <w:rPr>
                <w:rFonts w:cs="Arial"/>
                <w:b/>
                <w:color w:val="000000"/>
                <w:sz w:val="22"/>
              </w:rPr>
              <w:lastRenderedPageBreak/>
              <w:t>Agency</w:t>
            </w:r>
          </w:p>
        </w:tc>
        <w:tc>
          <w:tcPr>
            <w:tcW w:w="2028" w:type="dxa"/>
            <w:tcBorders>
              <w:top w:val="single" w:sz="4" w:space="0" w:color="auto"/>
              <w:left w:val="nil"/>
              <w:bottom w:val="single" w:sz="4" w:space="0" w:color="auto"/>
              <w:right w:val="single" w:sz="4" w:space="0" w:color="auto"/>
            </w:tcBorders>
            <w:shd w:val="clear" w:color="auto" w:fill="A5CD7E"/>
            <w:noWrap/>
            <w:vAlign w:val="center"/>
          </w:tcPr>
          <w:p w:rsidR="00AC40FC" w:rsidRPr="00CC2C8B" w:rsidRDefault="00AC40FC" w:rsidP="00521E7D">
            <w:pPr>
              <w:spacing w:before="120"/>
              <w:jc w:val="center"/>
              <w:rPr>
                <w:rFonts w:cs="Arial"/>
                <w:b/>
                <w:color w:val="000000"/>
                <w:sz w:val="22"/>
              </w:rPr>
            </w:pPr>
            <w:r w:rsidRPr="00CC2C8B">
              <w:rPr>
                <w:rFonts w:cs="Arial"/>
                <w:b/>
                <w:color w:val="000000"/>
                <w:sz w:val="22"/>
              </w:rPr>
              <w:t>Percentage of New Enrollments</w:t>
            </w:r>
          </w:p>
        </w:tc>
        <w:tc>
          <w:tcPr>
            <w:tcW w:w="1890" w:type="dxa"/>
            <w:tcBorders>
              <w:top w:val="single" w:sz="4" w:space="0" w:color="auto"/>
              <w:left w:val="nil"/>
              <w:bottom w:val="single" w:sz="4" w:space="0" w:color="auto"/>
              <w:right w:val="single" w:sz="4" w:space="0" w:color="auto"/>
            </w:tcBorders>
            <w:shd w:val="clear" w:color="auto" w:fill="A5CD7E"/>
            <w:noWrap/>
            <w:vAlign w:val="center"/>
          </w:tcPr>
          <w:p w:rsidR="00AC40FC" w:rsidRPr="00CC2C8B" w:rsidRDefault="00AC40FC" w:rsidP="00521E7D">
            <w:pPr>
              <w:spacing w:before="120"/>
              <w:jc w:val="center"/>
              <w:rPr>
                <w:rFonts w:cs="Arial"/>
                <w:b/>
                <w:color w:val="000000"/>
                <w:sz w:val="22"/>
              </w:rPr>
            </w:pPr>
            <w:r w:rsidRPr="00CC2C8B">
              <w:rPr>
                <w:rFonts w:cs="Arial"/>
                <w:b/>
                <w:color w:val="000000"/>
                <w:sz w:val="22"/>
              </w:rPr>
              <w:t>Number of New Enrollments</w:t>
            </w:r>
          </w:p>
        </w:tc>
      </w:tr>
      <w:tr w:rsidR="00AC40FC" w:rsidRPr="003713E2" w:rsidTr="00440B39">
        <w:trPr>
          <w:trHeight w:val="30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40FC" w:rsidRPr="00CC2C8B" w:rsidRDefault="00AC40FC" w:rsidP="00440B39">
            <w:pPr>
              <w:spacing w:after="0"/>
              <w:jc w:val="center"/>
              <w:rPr>
                <w:rFonts w:cs="Arial"/>
                <w:color w:val="000000"/>
                <w:sz w:val="22"/>
              </w:rPr>
            </w:pPr>
            <w:r w:rsidRPr="00CC2C8B">
              <w:rPr>
                <w:rFonts w:cs="Arial"/>
                <w:color w:val="000000"/>
                <w:sz w:val="22"/>
              </w:rPr>
              <w:t>CACLV</w:t>
            </w:r>
          </w:p>
        </w:tc>
        <w:tc>
          <w:tcPr>
            <w:tcW w:w="2028" w:type="dxa"/>
            <w:tcBorders>
              <w:top w:val="single" w:sz="4" w:space="0" w:color="auto"/>
              <w:left w:val="nil"/>
              <w:bottom w:val="single" w:sz="4" w:space="0" w:color="auto"/>
              <w:right w:val="single" w:sz="4" w:space="0" w:color="auto"/>
            </w:tcBorders>
            <w:shd w:val="clear" w:color="auto" w:fill="auto"/>
            <w:noWrap/>
            <w:vAlign w:val="center"/>
            <w:hideMark/>
          </w:tcPr>
          <w:p w:rsidR="00AC40FC" w:rsidRPr="00CC2C8B" w:rsidRDefault="00AC40FC" w:rsidP="00440B39">
            <w:pPr>
              <w:spacing w:after="0"/>
              <w:jc w:val="center"/>
              <w:rPr>
                <w:rFonts w:cs="Arial"/>
                <w:color w:val="000000"/>
                <w:sz w:val="22"/>
              </w:rPr>
            </w:pPr>
            <w:r w:rsidRPr="00CC2C8B">
              <w:rPr>
                <w:rFonts w:cs="Arial"/>
                <w:color w:val="000000"/>
                <w:sz w:val="22"/>
              </w:rPr>
              <w:t>22.1%</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rsidR="00AC40FC" w:rsidRPr="00CC2C8B" w:rsidRDefault="00AC40FC" w:rsidP="00440B39">
            <w:pPr>
              <w:spacing w:after="0"/>
              <w:jc w:val="center"/>
              <w:rPr>
                <w:rFonts w:cs="Arial"/>
                <w:color w:val="000000"/>
                <w:sz w:val="22"/>
              </w:rPr>
            </w:pPr>
            <w:r w:rsidRPr="00CC2C8B">
              <w:rPr>
                <w:rFonts w:cs="Arial"/>
                <w:color w:val="000000"/>
                <w:sz w:val="22"/>
              </w:rPr>
              <w:t xml:space="preserve">7,856 </w:t>
            </w:r>
          </w:p>
        </w:tc>
      </w:tr>
      <w:tr w:rsidR="00AC40FC" w:rsidRPr="003713E2" w:rsidTr="00440B39">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C40FC" w:rsidRPr="00CC2C8B" w:rsidRDefault="00AC40FC" w:rsidP="00440B39">
            <w:pPr>
              <w:spacing w:after="0"/>
              <w:jc w:val="center"/>
              <w:rPr>
                <w:rFonts w:cs="Arial"/>
                <w:color w:val="000000"/>
                <w:sz w:val="22"/>
              </w:rPr>
            </w:pPr>
            <w:r w:rsidRPr="00CC2C8B">
              <w:rPr>
                <w:rFonts w:cs="Arial"/>
                <w:color w:val="000000"/>
                <w:sz w:val="22"/>
              </w:rPr>
              <w:t>CAC</w:t>
            </w:r>
          </w:p>
        </w:tc>
        <w:tc>
          <w:tcPr>
            <w:tcW w:w="2028" w:type="dxa"/>
            <w:tcBorders>
              <w:top w:val="nil"/>
              <w:left w:val="nil"/>
              <w:bottom w:val="single" w:sz="4" w:space="0" w:color="auto"/>
              <w:right w:val="single" w:sz="4" w:space="0" w:color="auto"/>
            </w:tcBorders>
            <w:shd w:val="clear" w:color="auto" w:fill="auto"/>
            <w:noWrap/>
            <w:vAlign w:val="center"/>
            <w:hideMark/>
          </w:tcPr>
          <w:p w:rsidR="00AC40FC" w:rsidRPr="00CC2C8B" w:rsidRDefault="00AC40FC" w:rsidP="00440B39">
            <w:pPr>
              <w:spacing w:after="0"/>
              <w:jc w:val="center"/>
              <w:rPr>
                <w:rFonts w:cs="Arial"/>
                <w:color w:val="000000"/>
                <w:sz w:val="22"/>
              </w:rPr>
            </w:pPr>
            <w:r w:rsidRPr="00CC2C8B">
              <w:rPr>
                <w:rFonts w:cs="Arial"/>
                <w:color w:val="000000"/>
                <w:sz w:val="22"/>
              </w:rPr>
              <w:t>18.5%</w:t>
            </w:r>
          </w:p>
        </w:tc>
        <w:tc>
          <w:tcPr>
            <w:tcW w:w="1890" w:type="dxa"/>
            <w:tcBorders>
              <w:top w:val="nil"/>
              <w:left w:val="nil"/>
              <w:bottom w:val="single" w:sz="4" w:space="0" w:color="auto"/>
              <w:right w:val="single" w:sz="4" w:space="0" w:color="auto"/>
            </w:tcBorders>
            <w:shd w:val="clear" w:color="auto" w:fill="auto"/>
            <w:noWrap/>
            <w:vAlign w:val="center"/>
            <w:hideMark/>
          </w:tcPr>
          <w:p w:rsidR="00AC40FC" w:rsidRPr="00CC2C8B" w:rsidRDefault="00AC40FC" w:rsidP="00440B39">
            <w:pPr>
              <w:spacing w:after="0"/>
              <w:jc w:val="center"/>
              <w:rPr>
                <w:rFonts w:cs="Arial"/>
                <w:color w:val="000000"/>
                <w:sz w:val="22"/>
              </w:rPr>
            </w:pPr>
            <w:r w:rsidRPr="00CC2C8B">
              <w:rPr>
                <w:rFonts w:cs="Arial"/>
                <w:color w:val="000000"/>
                <w:sz w:val="22"/>
              </w:rPr>
              <w:t xml:space="preserve">6,599 </w:t>
            </w:r>
          </w:p>
        </w:tc>
      </w:tr>
      <w:tr w:rsidR="00AC40FC" w:rsidRPr="003713E2" w:rsidTr="00440B39">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C40FC" w:rsidRPr="00CC2C8B" w:rsidRDefault="00AC40FC" w:rsidP="00440B39">
            <w:pPr>
              <w:spacing w:after="0"/>
              <w:jc w:val="center"/>
              <w:rPr>
                <w:rFonts w:cs="Arial"/>
                <w:color w:val="000000"/>
                <w:sz w:val="22"/>
              </w:rPr>
            </w:pPr>
            <w:r w:rsidRPr="00CC2C8B">
              <w:rPr>
                <w:rFonts w:cs="Arial"/>
                <w:color w:val="000000"/>
                <w:sz w:val="22"/>
              </w:rPr>
              <w:t>CAPLANC</w:t>
            </w:r>
          </w:p>
        </w:tc>
        <w:tc>
          <w:tcPr>
            <w:tcW w:w="2028" w:type="dxa"/>
            <w:tcBorders>
              <w:top w:val="nil"/>
              <w:left w:val="nil"/>
              <w:bottom w:val="single" w:sz="4" w:space="0" w:color="auto"/>
              <w:right w:val="single" w:sz="4" w:space="0" w:color="auto"/>
            </w:tcBorders>
            <w:shd w:val="clear" w:color="auto" w:fill="auto"/>
            <w:noWrap/>
            <w:vAlign w:val="center"/>
            <w:hideMark/>
          </w:tcPr>
          <w:p w:rsidR="00AC40FC" w:rsidRPr="00CC2C8B" w:rsidRDefault="00AC40FC" w:rsidP="00440B39">
            <w:pPr>
              <w:spacing w:after="0"/>
              <w:jc w:val="center"/>
              <w:rPr>
                <w:rFonts w:cs="Arial"/>
                <w:color w:val="000000"/>
                <w:sz w:val="22"/>
              </w:rPr>
            </w:pPr>
            <w:r w:rsidRPr="00CC2C8B">
              <w:rPr>
                <w:rFonts w:cs="Arial"/>
                <w:color w:val="000000"/>
                <w:sz w:val="22"/>
              </w:rPr>
              <w:t>16.0%</w:t>
            </w:r>
          </w:p>
        </w:tc>
        <w:tc>
          <w:tcPr>
            <w:tcW w:w="1890" w:type="dxa"/>
            <w:tcBorders>
              <w:top w:val="nil"/>
              <w:left w:val="nil"/>
              <w:bottom w:val="single" w:sz="4" w:space="0" w:color="auto"/>
              <w:right w:val="single" w:sz="4" w:space="0" w:color="auto"/>
            </w:tcBorders>
            <w:shd w:val="clear" w:color="auto" w:fill="auto"/>
            <w:noWrap/>
            <w:vAlign w:val="center"/>
            <w:hideMark/>
          </w:tcPr>
          <w:p w:rsidR="00AC40FC" w:rsidRPr="00CC2C8B" w:rsidRDefault="00AC40FC" w:rsidP="00440B39">
            <w:pPr>
              <w:spacing w:after="0"/>
              <w:jc w:val="center"/>
              <w:rPr>
                <w:rFonts w:cs="Arial"/>
                <w:color w:val="000000"/>
                <w:sz w:val="22"/>
              </w:rPr>
            </w:pPr>
            <w:r w:rsidRPr="00CC2C8B">
              <w:rPr>
                <w:rFonts w:cs="Arial"/>
                <w:color w:val="000000"/>
                <w:sz w:val="22"/>
              </w:rPr>
              <w:t xml:space="preserve">5,688 </w:t>
            </w:r>
          </w:p>
        </w:tc>
      </w:tr>
      <w:tr w:rsidR="00AC40FC" w:rsidRPr="003713E2" w:rsidTr="00440B39">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C40FC" w:rsidRPr="00CC2C8B" w:rsidRDefault="00AC40FC" w:rsidP="00440B39">
            <w:pPr>
              <w:spacing w:after="0"/>
              <w:jc w:val="center"/>
              <w:rPr>
                <w:rFonts w:cs="Arial"/>
                <w:color w:val="000000"/>
                <w:sz w:val="22"/>
              </w:rPr>
            </w:pPr>
            <w:r w:rsidRPr="00CC2C8B">
              <w:rPr>
                <w:rFonts w:cs="Arial"/>
                <w:color w:val="000000"/>
                <w:sz w:val="22"/>
              </w:rPr>
              <w:t>CEO</w:t>
            </w:r>
          </w:p>
        </w:tc>
        <w:tc>
          <w:tcPr>
            <w:tcW w:w="2028" w:type="dxa"/>
            <w:tcBorders>
              <w:top w:val="nil"/>
              <w:left w:val="nil"/>
              <w:bottom w:val="single" w:sz="4" w:space="0" w:color="auto"/>
              <w:right w:val="single" w:sz="4" w:space="0" w:color="auto"/>
            </w:tcBorders>
            <w:shd w:val="clear" w:color="auto" w:fill="auto"/>
            <w:noWrap/>
            <w:vAlign w:val="center"/>
            <w:hideMark/>
          </w:tcPr>
          <w:p w:rsidR="00AC40FC" w:rsidRPr="00CC2C8B" w:rsidRDefault="00AC40FC" w:rsidP="00440B39">
            <w:pPr>
              <w:spacing w:after="0"/>
              <w:jc w:val="center"/>
              <w:rPr>
                <w:rFonts w:cs="Arial"/>
                <w:color w:val="000000"/>
                <w:sz w:val="22"/>
              </w:rPr>
            </w:pPr>
            <w:r w:rsidRPr="00CC2C8B">
              <w:rPr>
                <w:rFonts w:cs="Arial"/>
                <w:color w:val="000000"/>
                <w:sz w:val="22"/>
              </w:rPr>
              <w:t>11.4%</w:t>
            </w:r>
          </w:p>
        </w:tc>
        <w:tc>
          <w:tcPr>
            <w:tcW w:w="1890" w:type="dxa"/>
            <w:tcBorders>
              <w:top w:val="nil"/>
              <w:left w:val="nil"/>
              <w:bottom w:val="single" w:sz="4" w:space="0" w:color="auto"/>
              <w:right w:val="single" w:sz="4" w:space="0" w:color="auto"/>
            </w:tcBorders>
            <w:shd w:val="clear" w:color="auto" w:fill="auto"/>
            <w:noWrap/>
            <w:vAlign w:val="center"/>
            <w:hideMark/>
          </w:tcPr>
          <w:p w:rsidR="00AC40FC" w:rsidRPr="00CC2C8B" w:rsidRDefault="00AC40FC" w:rsidP="00440B39">
            <w:pPr>
              <w:spacing w:after="0"/>
              <w:jc w:val="center"/>
              <w:rPr>
                <w:rFonts w:cs="Arial"/>
                <w:color w:val="000000"/>
                <w:sz w:val="22"/>
              </w:rPr>
            </w:pPr>
            <w:r w:rsidRPr="00CC2C8B">
              <w:rPr>
                <w:rFonts w:cs="Arial"/>
                <w:color w:val="000000"/>
                <w:sz w:val="22"/>
              </w:rPr>
              <w:t xml:space="preserve">4,055 </w:t>
            </w:r>
          </w:p>
        </w:tc>
      </w:tr>
      <w:tr w:rsidR="00AC40FC" w:rsidRPr="003713E2" w:rsidTr="00440B39">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C40FC" w:rsidRPr="00CC2C8B" w:rsidRDefault="00AC40FC" w:rsidP="00440B39">
            <w:pPr>
              <w:spacing w:after="0"/>
              <w:jc w:val="center"/>
              <w:rPr>
                <w:rFonts w:cs="Arial"/>
                <w:color w:val="000000"/>
                <w:sz w:val="22"/>
              </w:rPr>
            </w:pPr>
            <w:r w:rsidRPr="00CC2C8B">
              <w:rPr>
                <w:rFonts w:cs="Arial"/>
                <w:color w:val="000000"/>
                <w:sz w:val="22"/>
              </w:rPr>
              <w:t>TREHAB</w:t>
            </w:r>
          </w:p>
        </w:tc>
        <w:tc>
          <w:tcPr>
            <w:tcW w:w="2028" w:type="dxa"/>
            <w:tcBorders>
              <w:top w:val="nil"/>
              <w:left w:val="nil"/>
              <w:bottom w:val="single" w:sz="4" w:space="0" w:color="auto"/>
              <w:right w:val="single" w:sz="4" w:space="0" w:color="auto"/>
            </w:tcBorders>
            <w:shd w:val="clear" w:color="auto" w:fill="auto"/>
            <w:noWrap/>
            <w:vAlign w:val="center"/>
            <w:hideMark/>
          </w:tcPr>
          <w:p w:rsidR="00AC40FC" w:rsidRPr="00CC2C8B" w:rsidRDefault="00AC40FC" w:rsidP="00440B39">
            <w:pPr>
              <w:spacing w:after="0"/>
              <w:jc w:val="center"/>
              <w:rPr>
                <w:rFonts w:cs="Arial"/>
                <w:color w:val="000000"/>
                <w:sz w:val="22"/>
              </w:rPr>
            </w:pPr>
            <w:r w:rsidRPr="00CC2C8B">
              <w:rPr>
                <w:rFonts w:cs="Arial"/>
                <w:color w:val="000000"/>
                <w:sz w:val="22"/>
              </w:rPr>
              <w:t>11.0%</w:t>
            </w:r>
          </w:p>
        </w:tc>
        <w:tc>
          <w:tcPr>
            <w:tcW w:w="1890" w:type="dxa"/>
            <w:tcBorders>
              <w:top w:val="nil"/>
              <w:left w:val="nil"/>
              <w:bottom w:val="single" w:sz="4" w:space="0" w:color="auto"/>
              <w:right w:val="single" w:sz="4" w:space="0" w:color="auto"/>
            </w:tcBorders>
            <w:shd w:val="clear" w:color="auto" w:fill="auto"/>
            <w:noWrap/>
            <w:vAlign w:val="center"/>
            <w:hideMark/>
          </w:tcPr>
          <w:p w:rsidR="00AC40FC" w:rsidRPr="00CC2C8B" w:rsidRDefault="00AC40FC" w:rsidP="00440B39">
            <w:pPr>
              <w:spacing w:after="0"/>
              <w:jc w:val="center"/>
              <w:rPr>
                <w:rFonts w:cs="Arial"/>
                <w:color w:val="000000"/>
                <w:sz w:val="22"/>
              </w:rPr>
            </w:pPr>
            <w:r w:rsidRPr="00CC2C8B">
              <w:rPr>
                <w:rFonts w:cs="Arial"/>
                <w:color w:val="000000"/>
                <w:sz w:val="22"/>
              </w:rPr>
              <w:t xml:space="preserve">3,928 </w:t>
            </w:r>
          </w:p>
        </w:tc>
      </w:tr>
      <w:tr w:rsidR="00AC40FC" w:rsidRPr="003713E2" w:rsidTr="00440B39">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C40FC" w:rsidRPr="00CC2C8B" w:rsidRDefault="00AC40FC" w:rsidP="00440B39">
            <w:pPr>
              <w:spacing w:after="0"/>
              <w:jc w:val="center"/>
              <w:rPr>
                <w:rFonts w:cs="Arial"/>
                <w:color w:val="000000"/>
                <w:sz w:val="22"/>
              </w:rPr>
            </w:pPr>
            <w:r w:rsidRPr="00CC2C8B">
              <w:rPr>
                <w:rFonts w:cs="Arial"/>
                <w:color w:val="000000"/>
                <w:sz w:val="22"/>
              </w:rPr>
              <w:t>SCA</w:t>
            </w:r>
          </w:p>
        </w:tc>
        <w:tc>
          <w:tcPr>
            <w:tcW w:w="2028" w:type="dxa"/>
            <w:tcBorders>
              <w:top w:val="nil"/>
              <w:left w:val="nil"/>
              <w:bottom w:val="single" w:sz="4" w:space="0" w:color="auto"/>
              <w:right w:val="single" w:sz="4" w:space="0" w:color="auto"/>
            </w:tcBorders>
            <w:shd w:val="clear" w:color="auto" w:fill="auto"/>
            <w:noWrap/>
            <w:vAlign w:val="center"/>
            <w:hideMark/>
          </w:tcPr>
          <w:p w:rsidR="00AC40FC" w:rsidRPr="00CC2C8B" w:rsidRDefault="00AC40FC" w:rsidP="00440B39">
            <w:pPr>
              <w:spacing w:after="0"/>
              <w:jc w:val="center"/>
              <w:rPr>
                <w:rFonts w:cs="Arial"/>
                <w:color w:val="000000"/>
                <w:sz w:val="22"/>
              </w:rPr>
            </w:pPr>
            <w:r w:rsidRPr="00CC2C8B">
              <w:rPr>
                <w:rFonts w:cs="Arial"/>
                <w:color w:val="000000"/>
                <w:sz w:val="22"/>
              </w:rPr>
              <w:t>6.7%</w:t>
            </w:r>
          </w:p>
        </w:tc>
        <w:tc>
          <w:tcPr>
            <w:tcW w:w="1890" w:type="dxa"/>
            <w:tcBorders>
              <w:top w:val="nil"/>
              <w:left w:val="nil"/>
              <w:bottom w:val="single" w:sz="4" w:space="0" w:color="auto"/>
              <w:right w:val="single" w:sz="4" w:space="0" w:color="auto"/>
            </w:tcBorders>
            <w:shd w:val="clear" w:color="auto" w:fill="auto"/>
            <w:noWrap/>
            <w:vAlign w:val="center"/>
            <w:hideMark/>
          </w:tcPr>
          <w:p w:rsidR="00AC40FC" w:rsidRPr="00CC2C8B" w:rsidRDefault="00AC40FC" w:rsidP="00440B39">
            <w:pPr>
              <w:spacing w:after="0"/>
              <w:jc w:val="center"/>
              <w:rPr>
                <w:rFonts w:cs="Arial"/>
                <w:color w:val="000000"/>
                <w:sz w:val="22"/>
              </w:rPr>
            </w:pPr>
            <w:r w:rsidRPr="00CC2C8B">
              <w:rPr>
                <w:rFonts w:cs="Arial"/>
                <w:color w:val="000000"/>
                <w:sz w:val="22"/>
              </w:rPr>
              <w:t xml:space="preserve">2,380 </w:t>
            </w:r>
          </w:p>
        </w:tc>
      </w:tr>
      <w:tr w:rsidR="00AC40FC" w:rsidRPr="003713E2" w:rsidTr="00440B39">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C40FC" w:rsidRPr="00CC2C8B" w:rsidRDefault="00AC40FC" w:rsidP="00440B39">
            <w:pPr>
              <w:spacing w:after="0"/>
              <w:jc w:val="center"/>
              <w:rPr>
                <w:rFonts w:cs="Arial"/>
                <w:color w:val="000000"/>
                <w:sz w:val="22"/>
              </w:rPr>
            </w:pPr>
            <w:r w:rsidRPr="00CC2C8B">
              <w:rPr>
                <w:rFonts w:cs="Arial"/>
                <w:color w:val="000000"/>
                <w:sz w:val="22"/>
              </w:rPr>
              <w:t>STEP Inc.</w:t>
            </w:r>
          </w:p>
        </w:tc>
        <w:tc>
          <w:tcPr>
            <w:tcW w:w="2028" w:type="dxa"/>
            <w:tcBorders>
              <w:top w:val="nil"/>
              <w:left w:val="nil"/>
              <w:bottom w:val="single" w:sz="4" w:space="0" w:color="auto"/>
              <w:right w:val="single" w:sz="4" w:space="0" w:color="auto"/>
            </w:tcBorders>
            <w:shd w:val="clear" w:color="auto" w:fill="auto"/>
            <w:noWrap/>
            <w:vAlign w:val="center"/>
            <w:hideMark/>
          </w:tcPr>
          <w:p w:rsidR="00AC40FC" w:rsidRPr="00CC2C8B" w:rsidRDefault="00AC40FC" w:rsidP="00440B39">
            <w:pPr>
              <w:spacing w:after="0"/>
              <w:jc w:val="center"/>
              <w:rPr>
                <w:rFonts w:cs="Arial"/>
                <w:color w:val="000000"/>
                <w:sz w:val="22"/>
              </w:rPr>
            </w:pPr>
            <w:r w:rsidRPr="00CC2C8B">
              <w:rPr>
                <w:rFonts w:cs="Arial"/>
                <w:color w:val="000000"/>
                <w:sz w:val="22"/>
              </w:rPr>
              <w:t>6.4%</w:t>
            </w:r>
          </w:p>
        </w:tc>
        <w:tc>
          <w:tcPr>
            <w:tcW w:w="1890" w:type="dxa"/>
            <w:tcBorders>
              <w:top w:val="nil"/>
              <w:left w:val="nil"/>
              <w:bottom w:val="single" w:sz="4" w:space="0" w:color="auto"/>
              <w:right w:val="single" w:sz="4" w:space="0" w:color="auto"/>
            </w:tcBorders>
            <w:shd w:val="clear" w:color="auto" w:fill="auto"/>
            <w:noWrap/>
            <w:vAlign w:val="center"/>
            <w:hideMark/>
          </w:tcPr>
          <w:p w:rsidR="00AC40FC" w:rsidRPr="00CC2C8B" w:rsidRDefault="00AC40FC" w:rsidP="00440B39">
            <w:pPr>
              <w:spacing w:after="0"/>
              <w:jc w:val="center"/>
              <w:rPr>
                <w:rFonts w:cs="Arial"/>
                <w:color w:val="000000"/>
                <w:sz w:val="22"/>
              </w:rPr>
            </w:pPr>
            <w:r w:rsidRPr="00CC2C8B">
              <w:rPr>
                <w:rFonts w:cs="Arial"/>
                <w:color w:val="000000"/>
                <w:sz w:val="22"/>
              </w:rPr>
              <w:t xml:space="preserve">2,274 </w:t>
            </w:r>
          </w:p>
        </w:tc>
      </w:tr>
      <w:tr w:rsidR="00AC40FC" w:rsidRPr="003713E2" w:rsidTr="00440B39">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C40FC" w:rsidRPr="00CC2C8B" w:rsidRDefault="00AC40FC" w:rsidP="00440B39">
            <w:pPr>
              <w:spacing w:after="0"/>
              <w:jc w:val="center"/>
              <w:rPr>
                <w:rFonts w:cs="Arial"/>
                <w:color w:val="000000"/>
                <w:sz w:val="22"/>
              </w:rPr>
            </w:pPr>
            <w:r w:rsidRPr="00CC2C8B">
              <w:rPr>
                <w:rFonts w:cs="Arial"/>
                <w:color w:val="000000"/>
                <w:sz w:val="22"/>
              </w:rPr>
              <w:t>USCAA</w:t>
            </w:r>
          </w:p>
        </w:tc>
        <w:tc>
          <w:tcPr>
            <w:tcW w:w="2028" w:type="dxa"/>
            <w:tcBorders>
              <w:top w:val="nil"/>
              <w:left w:val="nil"/>
              <w:bottom w:val="single" w:sz="4" w:space="0" w:color="auto"/>
              <w:right w:val="single" w:sz="4" w:space="0" w:color="auto"/>
            </w:tcBorders>
            <w:shd w:val="clear" w:color="auto" w:fill="auto"/>
            <w:noWrap/>
            <w:vAlign w:val="center"/>
            <w:hideMark/>
          </w:tcPr>
          <w:p w:rsidR="00AC40FC" w:rsidRPr="00CC2C8B" w:rsidRDefault="00AC40FC" w:rsidP="00440B39">
            <w:pPr>
              <w:spacing w:after="0"/>
              <w:jc w:val="center"/>
              <w:rPr>
                <w:rFonts w:cs="Arial"/>
                <w:color w:val="000000"/>
                <w:sz w:val="22"/>
              </w:rPr>
            </w:pPr>
            <w:r w:rsidRPr="00CC2C8B">
              <w:rPr>
                <w:rFonts w:cs="Arial"/>
                <w:color w:val="000000"/>
                <w:sz w:val="22"/>
              </w:rPr>
              <w:t>5.3%</w:t>
            </w:r>
          </w:p>
        </w:tc>
        <w:tc>
          <w:tcPr>
            <w:tcW w:w="1890" w:type="dxa"/>
            <w:tcBorders>
              <w:top w:val="nil"/>
              <w:left w:val="nil"/>
              <w:bottom w:val="single" w:sz="4" w:space="0" w:color="auto"/>
              <w:right w:val="single" w:sz="4" w:space="0" w:color="auto"/>
            </w:tcBorders>
            <w:shd w:val="clear" w:color="auto" w:fill="auto"/>
            <w:noWrap/>
            <w:vAlign w:val="center"/>
            <w:hideMark/>
          </w:tcPr>
          <w:p w:rsidR="00AC40FC" w:rsidRPr="00CC2C8B" w:rsidRDefault="00AC40FC" w:rsidP="00440B39">
            <w:pPr>
              <w:spacing w:after="0"/>
              <w:jc w:val="center"/>
              <w:rPr>
                <w:rFonts w:cs="Arial"/>
                <w:color w:val="000000"/>
                <w:sz w:val="22"/>
              </w:rPr>
            </w:pPr>
            <w:r w:rsidRPr="00CC2C8B">
              <w:rPr>
                <w:rFonts w:cs="Arial"/>
                <w:color w:val="000000"/>
                <w:sz w:val="22"/>
              </w:rPr>
              <w:t xml:space="preserve">1,885 </w:t>
            </w:r>
          </w:p>
        </w:tc>
      </w:tr>
      <w:tr w:rsidR="00AC40FC" w:rsidRPr="003713E2" w:rsidTr="00440B39">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C40FC" w:rsidRPr="00CC2C8B" w:rsidRDefault="00AC40FC" w:rsidP="00440B39">
            <w:pPr>
              <w:spacing w:after="0"/>
              <w:jc w:val="center"/>
              <w:rPr>
                <w:rFonts w:cs="Arial"/>
                <w:color w:val="000000"/>
                <w:sz w:val="22"/>
              </w:rPr>
            </w:pPr>
            <w:r w:rsidRPr="00CC2C8B">
              <w:rPr>
                <w:rFonts w:cs="Arial"/>
                <w:color w:val="000000"/>
                <w:sz w:val="22"/>
              </w:rPr>
              <w:t>CCDHS</w:t>
            </w:r>
          </w:p>
        </w:tc>
        <w:tc>
          <w:tcPr>
            <w:tcW w:w="2028" w:type="dxa"/>
            <w:tcBorders>
              <w:top w:val="nil"/>
              <w:left w:val="nil"/>
              <w:bottom w:val="single" w:sz="4" w:space="0" w:color="auto"/>
              <w:right w:val="single" w:sz="4" w:space="0" w:color="auto"/>
            </w:tcBorders>
            <w:shd w:val="clear" w:color="auto" w:fill="auto"/>
            <w:noWrap/>
            <w:vAlign w:val="center"/>
            <w:hideMark/>
          </w:tcPr>
          <w:p w:rsidR="00AC40FC" w:rsidRPr="00CC2C8B" w:rsidRDefault="00AC40FC" w:rsidP="00440B39">
            <w:pPr>
              <w:spacing w:after="0"/>
              <w:jc w:val="center"/>
              <w:rPr>
                <w:rFonts w:cs="Arial"/>
                <w:color w:val="000000"/>
                <w:sz w:val="22"/>
              </w:rPr>
            </w:pPr>
            <w:r w:rsidRPr="00CC2C8B">
              <w:rPr>
                <w:rFonts w:cs="Arial"/>
                <w:color w:val="000000"/>
                <w:sz w:val="22"/>
              </w:rPr>
              <w:t>2.3%</w:t>
            </w:r>
          </w:p>
        </w:tc>
        <w:tc>
          <w:tcPr>
            <w:tcW w:w="1890" w:type="dxa"/>
            <w:tcBorders>
              <w:top w:val="nil"/>
              <w:left w:val="nil"/>
              <w:bottom w:val="single" w:sz="4" w:space="0" w:color="auto"/>
              <w:right w:val="single" w:sz="4" w:space="0" w:color="auto"/>
            </w:tcBorders>
            <w:shd w:val="clear" w:color="auto" w:fill="auto"/>
            <w:noWrap/>
            <w:vAlign w:val="center"/>
            <w:hideMark/>
          </w:tcPr>
          <w:p w:rsidR="00AC40FC" w:rsidRPr="00CC2C8B" w:rsidRDefault="00AC40FC" w:rsidP="00440B39">
            <w:pPr>
              <w:spacing w:after="0"/>
              <w:jc w:val="center"/>
              <w:rPr>
                <w:rFonts w:cs="Arial"/>
                <w:color w:val="000000"/>
                <w:sz w:val="22"/>
              </w:rPr>
            </w:pPr>
            <w:r w:rsidRPr="00CC2C8B">
              <w:rPr>
                <w:rFonts w:cs="Arial"/>
                <w:color w:val="000000"/>
                <w:sz w:val="22"/>
              </w:rPr>
              <w:t xml:space="preserve">835 </w:t>
            </w:r>
          </w:p>
        </w:tc>
      </w:tr>
      <w:tr w:rsidR="00AC40FC" w:rsidRPr="003713E2" w:rsidTr="00440B39">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C40FC" w:rsidRPr="00CC2C8B" w:rsidRDefault="00AC40FC" w:rsidP="00440B39">
            <w:pPr>
              <w:spacing w:after="0"/>
              <w:jc w:val="center"/>
              <w:rPr>
                <w:rFonts w:cs="Arial"/>
                <w:color w:val="000000"/>
                <w:sz w:val="22"/>
              </w:rPr>
            </w:pPr>
            <w:r w:rsidRPr="00CC2C8B">
              <w:rPr>
                <w:rFonts w:cs="Arial"/>
                <w:color w:val="000000"/>
                <w:sz w:val="22"/>
              </w:rPr>
              <w:t>MCDHS</w:t>
            </w:r>
          </w:p>
        </w:tc>
        <w:tc>
          <w:tcPr>
            <w:tcW w:w="2028" w:type="dxa"/>
            <w:tcBorders>
              <w:top w:val="nil"/>
              <w:left w:val="nil"/>
              <w:bottom w:val="single" w:sz="4" w:space="0" w:color="auto"/>
              <w:right w:val="single" w:sz="4" w:space="0" w:color="auto"/>
            </w:tcBorders>
            <w:shd w:val="clear" w:color="auto" w:fill="auto"/>
            <w:noWrap/>
            <w:vAlign w:val="center"/>
            <w:hideMark/>
          </w:tcPr>
          <w:p w:rsidR="00AC40FC" w:rsidRPr="00CC2C8B" w:rsidRDefault="00AC40FC" w:rsidP="00440B39">
            <w:pPr>
              <w:spacing w:after="0"/>
              <w:jc w:val="center"/>
              <w:rPr>
                <w:rFonts w:cs="Arial"/>
                <w:color w:val="000000"/>
                <w:sz w:val="22"/>
              </w:rPr>
            </w:pPr>
            <w:r w:rsidRPr="00CC2C8B">
              <w:rPr>
                <w:rFonts w:cs="Arial"/>
                <w:color w:val="000000"/>
                <w:sz w:val="22"/>
              </w:rPr>
              <w:t>0.3%</w:t>
            </w:r>
          </w:p>
        </w:tc>
        <w:tc>
          <w:tcPr>
            <w:tcW w:w="1890" w:type="dxa"/>
            <w:tcBorders>
              <w:top w:val="nil"/>
              <w:left w:val="nil"/>
              <w:bottom w:val="single" w:sz="4" w:space="0" w:color="auto"/>
              <w:right w:val="single" w:sz="4" w:space="0" w:color="auto"/>
            </w:tcBorders>
            <w:shd w:val="clear" w:color="auto" w:fill="auto"/>
            <w:noWrap/>
            <w:vAlign w:val="center"/>
            <w:hideMark/>
          </w:tcPr>
          <w:p w:rsidR="00AC40FC" w:rsidRPr="00CC2C8B" w:rsidRDefault="00AC40FC" w:rsidP="00440B39">
            <w:pPr>
              <w:spacing w:after="0"/>
              <w:jc w:val="center"/>
              <w:rPr>
                <w:rFonts w:cs="Arial"/>
                <w:color w:val="000000"/>
                <w:sz w:val="22"/>
              </w:rPr>
            </w:pPr>
            <w:r w:rsidRPr="00CC2C8B">
              <w:rPr>
                <w:rFonts w:cs="Arial"/>
                <w:color w:val="000000"/>
                <w:sz w:val="22"/>
              </w:rPr>
              <w:t xml:space="preserve">102 </w:t>
            </w:r>
          </w:p>
        </w:tc>
      </w:tr>
      <w:tr w:rsidR="00AC40FC" w:rsidRPr="003713E2" w:rsidTr="00440B39">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AC40FC" w:rsidRPr="00CC2C8B" w:rsidRDefault="00AC40FC" w:rsidP="00440B39">
            <w:pPr>
              <w:spacing w:after="0"/>
              <w:jc w:val="center"/>
              <w:rPr>
                <w:rFonts w:cs="Arial"/>
                <w:color w:val="000000"/>
                <w:sz w:val="22"/>
              </w:rPr>
            </w:pPr>
            <w:r w:rsidRPr="00CC2C8B">
              <w:rPr>
                <w:rFonts w:cs="Arial"/>
                <w:color w:val="000000"/>
                <w:sz w:val="22"/>
              </w:rPr>
              <w:t>Total</w:t>
            </w:r>
          </w:p>
        </w:tc>
        <w:tc>
          <w:tcPr>
            <w:tcW w:w="2028" w:type="dxa"/>
            <w:tcBorders>
              <w:top w:val="nil"/>
              <w:left w:val="nil"/>
              <w:bottom w:val="single" w:sz="4" w:space="0" w:color="auto"/>
              <w:right w:val="single" w:sz="4" w:space="0" w:color="auto"/>
            </w:tcBorders>
            <w:shd w:val="clear" w:color="auto" w:fill="auto"/>
            <w:noWrap/>
            <w:vAlign w:val="center"/>
            <w:hideMark/>
          </w:tcPr>
          <w:p w:rsidR="00AC40FC" w:rsidRPr="00CC2C8B" w:rsidRDefault="00AC40FC" w:rsidP="00440B39">
            <w:pPr>
              <w:spacing w:after="0"/>
              <w:jc w:val="center"/>
              <w:rPr>
                <w:rFonts w:cs="Arial"/>
                <w:color w:val="000000"/>
                <w:sz w:val="22"/>
              </w:rPr>
            </w:pPr>
            <w:r w:rsidRPr="00CC2C8B">
              <w:rPr>
                <w:rFonts w:cs="Arial"/>
                <w:color w:val="000000"/>
                <w:sz w:val="22"/>
              </w:rPr>
              <w:t>100.0%</w:t>
            </w:r>
          </w:p>
        </w:tc>
        <w:tc>
          <w:tcPr>
            <w:tcW w:w="1890" w:type="dxa"/>
            <w:tcBorders>
              <w:top w:val="nil"/>
              <w:left w:val="nil"/>
              <w:bottom w:val="single" w:sz="4" w:space="0" w:color="auto"/>
              <w:right w:val="single" w:sz="4" w:space="0" w:color="auto"/>
            </w:tcBorders>
            <w:shd w:val="clear" w:color="auto" w:fill="auto"/>
            <w:noWrap/>
            <w:vAlign w:val="center"/>
            <w:hideMark/>
          </w:tcPr>
          <w:p w:rsidR="00AC40FC" w:rsidRPr="00CC2C8B" w:rsidRDefault="00AC40FC" w:rsidP="00440B39">
            <w:pPr>
              <w:spacing w:after="0"/>
              <w:jc w:val="center"/>
              <w:rPr>
                <w:rFonts w:cs="Arial"/>
                <w:color w:val="000000"/>
                <w:sz w:val="22"/>
              </w:rPr>
            </w:pPr>
            <w:r w:rsidRPr="00CC2C8B">
              <w:rPr>
                <w:rFonts w:cs="Arial"/>
                <w:color w:val="000000"/>
                <w:sz w:val="22"/>
              </w:rPr>
              <w:t xml:space="preserve">35,602 </w:t>
            </w:r>
          </w:p>
        </w:tc>
      </w:tr>
      <w:tr w:rsidR="00AC40FC" w:rsidRPr="003713E2" w:rsidTr="00440B39">
        <w:trPr>
          <w:trHeight w:val="300"/>
          <w:jc w:val="center"/>
        </w:trPr>
        <w:tc>
          <w:tcPr>
            <w:tcW w:w="5218"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C40FC" w:rsidRPr="00CC2C8B" w:rsidRDefault="00AC40FC" w:rsidP="00440B39">
            <w:pPr>
              <w:spacing w:after="0"/>
              <w:jc w:val="left"/>
              <w:rPr>
                <w:rFonts w:cs="Arial"/>
                <w:color w:val="000000"/>
                <w:sz w:val="22"/>
              </w:rPr>
            </w:pPr>
            <w:r w:rsidRPr="00CC2C8B">
              <w:rPr>
                <w:rFonts w:cs="Arial"/>
                <w:color w:val="000000"/>
                <w:sz w:val="22"/>
              </w:rPr>
              <w:t>Source:  DN 14-115</w:t>
            </w:r>
          </w:p>
        </w:tc>
      </w:tr>
    </w:tbl>
    <w:p w:rsidR="00AC40FC" w:rsidRDefault="00AC40FC" w:rsidP="00440B39">
      <w:pPr>
        <w:pStyle w:val="Normal-aftertable"/>
      </w:pPr>
      <w:r>
        <w:t xml:space="preserve">All the agencies are generally located in relatively high population concentration areas, and the five agencies with the highest enrollments are located in the densest population areas.  Their locations were not planned with the idea of achieving a balanced workload among the agencies.  </w:t>
      </w:r>
      <w:r w:rsidRPr="00010CFB">
        <w:t>OnTrack customers are most densely concentrated in urban areas, with a widespread distribution throughout rural areas</w:t>
      </w:r>
      <w:r>
        <w:t>.</w:t>
      </w:r>
    </w:p>
    <w:p w:rsidR="00AC40FC" w:rsidRDefault="00AC40FC" w:rsidP="00440B39">
      <w:pPr>
        <w:pStyle w:val="Normal-aftertable"/>
      </w:pPr>
      <w:r>
        <w:t>As noted previously, PPL EU discontinued the contractual relationships with two agencies in late 2015 and early 2016.  Since the agencies process nearly all OnTrack enrollments through the U.S. Mail, this change should not result in any significant issues for low-income customers in the area previously served by the two discontinued agencies.  Further reductions and consolidation of responsibilities among agencies will likely improve administrative and contractual performance oversight and possibly a reduction in unit costs for processing and enrolling OnTrack customers, with little or no downside for customers.</w:t>
      </w:r>
    </w:p>
    <w:p w:rsidR="00AC40FC" w:rsidRDefault="00AC40FC" w:rsidP="004F00E5">
      <w:pPr>
        <w:pStyle w:val="Findings"/>
        <w:numPr>
          <w:ilvl w:val="0"/>
          <w:numId w:val="56"/>
        </w:numPr>
      </w:pPr>
      <w:r>
        <w:t>PPL EU has given too much discretion and flexibility to the OnTrack agencies in handling the program.</w:t>
      </w:r>
    </w:p>
    <w:p w:rsidR="00AC40FC" w:rsidRDefault="00AC40FC" w:rsidP="00440B39">
      <w:r>
        <w:t>With ten different agencies, discretion and flexibility that best fits the local culture and agency operational style represents a valid operational approach.  Some practices that work well for some agencies may not work well for others.  At the same time, some practices that work well at one agency are shared and adopted by other agencies.  But the problem with this sort of variation in work practices is that it is difficult, if not impossible, to have standardized metrics that track performance within each agency over time and among agencies over time.</w:t>
      </w:r>
    </w:p>
    <w:p w:rsidR="00AC40FC" w:rsidRDefault="00AC40FC" w:rsidP="00440B39">
      <w:r>
        <w:t>The following represents variations among the agencies’ work practices and processes:</w:t>
      </w:r>
    </w:p>
    <w:p w:rsidR="00AC40FC" w:rsidRDefault="00AC40FC" w:rsidP="00786363">
      <w:pPr>
        <w:pStyle w:val="Bullet"/>
        <w:spacing w:before="120"/>
      </w:pPr>
      <w:r w:rsidRPr="006E42BE">
        <w:t>Union Snyder,</w:t>
      </w:r>
      <w:r w:rsidRPr="004C1D7C">
        <w:t xml:space="preserve"> STEP, Ha</w:t>
      </w:r>
      <w:r>
        <w:t xml:space="preserve">rrisburg CAC, and Lancaster CAP </w:t>
      </w:r>
      <w:r w:rsidRPr="004C1D7C">
        <w:t xml:space="preserve">agencies </w:t>
      </w:r>
      <w:r>
        <w:t xml:space="preserve">use </w:t>
      </w:r>
      <w:r w:rsidRPr="004C1D7C">
        <w:t xml:space="preserve">an internal tracking system to log detailed information about the case. </w:t>
      </w:r>
      <w:r>
        <w:t xml:space="preserve"> </w:t>
      </w:r>
      <w:r w:rsidRPr="004C1D7C">
        <w:t xml:space="preserve">These systems provide the </w:t>
      </w:r>
      <w:r>
        <w:t xml:space="preserve">caseworkers </w:t>
      </w:r>
      <w:r w:rsidRPr="004C1D7C">
        <w:t xml:space="preserve">with good information for matching the customer with other programs and services as well as track the status of the OnTrack work.  </w:t>
      </w:r>
    </w:p>
    <w:p w:rsidR="00AC40FC" w:rsidRPr="004C1D7C" w:rsidRDefault="00AC40FC" w:rsidP="00786363">
      <w:pPr>
        <w:pStyle w:val="Bullet"/>
        <w:spacing w:before="120"/>
      </w:pPr>
      <w:r w:rsidRPr="004C1D7C">
        <w:lastRenderedPageBreak/>
        <w:t xml:space="preserve">Some agencies </w:t>
      </w:r>
      <w:r>
        <w:t xml:space="preserve">assign </w:t>
      </w:r>
      <w:r w:rsidRPr="004C1D7C">
        <w:t>client case</w:t>
      </w:r>
      <w:r>
        <w:t>s</w:t>
      </w:r>
      <w:r w:rsidRPr="004C1D7C">
        <w:t xml:space="preserve"> </w:t>
      </w:r>
      <w:r>
        <w:t xml:space="preserve">alphabetically </w:t>
      </w:r>
      <w:r w:rsidRPr="004C1D7C">
        <w:t xml:space="preserve">by last name </w:t>
      </w:r>
      <w:r>
        <w:t xml:space="preserve">to their caseworkers </w:t>
      </w:r>
      <w:r w:rsidRPr="004C1D7C">
        <w:t xml:space="preserve">and others </w:t>
      </w:r>
      <w:r>
        <w:t>t</w:t>
      </w:r>
      <w:r w:rsidRPr="004C1D7C">
        <w:t xml:space="preserve">ake a more dynamic approach by balancing the </w:t>
      </w:r>
      <w:r>
        <w:t xml:space="preserve">caseworker’s assigned </w:t>
      </w:r>
      <w:r w:rsidRPr="004C1D7C">
        <w:t>work with the overall workload at that moment in time.</w:t>
      </w:r>
    </w:p>
    <w:p w:rsidR="00AC40FC" w:rsidRDefault="00AC40FC" w:rsidP="00786363">
      <w:pPr>
        <w:pStyle w:val="Bullet"/>
        <w:spacing w:before="120"/>
      </w:pPr>
      <w:r>
        <w:t xml:space="preserve">To </w:t>
      </w:r>
      <w:r w:rsidRPr="004C1D7C">
        <w:t>follow-up with customers to obtain missing paperw</w:t>
      </w:r>
      <w:r>
        <w:t>ork and/or income documentation, s</w:t>
      </w:r>
      <w:r w:rsidRPr="004C1D7C">
        <w:t xml:space="preserve">ome </w:t>
      </w:r>
      <w:r>
        <w:t xml:space="preserve">caseworkers </w:t>
      </w:r>
      <w:r w:rsidRPr="004C1D7C">
        <w:t xml:space="preserve">prefer a phone call (or multiple calls), others use letters, and some may email the customer (once or multiple times).  </w:t>
      </w:r>
    </w:p>
    <w:p w:rsidR="00AC40FC" w:rsidRPr="004C1D7C" w:rsidRDefault="00AC40FC" w:rsidP="00786363">
      <w:pPr>
        <w:pStyle w:val="Bullet"/>
        <w:spacing w:before="120"/>
      </w:pPr>
      <w:r>
        <w:t xml:space="preserve">The Regulatory Programs </w:t>
      </w:r>
      <w:r w:rsidRPr="004C1D7C">
        <w:t xml:space="preserve">team provides specific instructions on the need to document CSS with relevant information.  However, some </w:t>
      </w:r>
      <w:r>
        <w:t xml:space="preserve">caseworkers </w:t>
      </w:r>
      <w:r w:rsidRPr="004C1D7C">
        <w:t xml:space="preserve">provide richer information and/or comments that are more detailed after handling a customer </w:t>
      </w:r>
      <w:r>
        <w:t xml:space="preserve">who has </w:t>
      </w:r>
      <w:r w:rsidRPr="004C1D7C">
        <w:t>an extenuating circumstance.</w:t>
      </w:r>
    </w:p>
    <w:p w:rsidR="00AC40FC" w:rsidRPr="004C1D7C" w:rsidRDefault="00AC40FC" w:rsidP="00786363">
      <w:pPr>
        <w:pStyle w:val="Bullet"/>
        <w:spacing w:before="120"/>
      </w:pPr>
      <w:r w:rsidRPr="004C1D7C">
        <w:t xml:space="preserve">Some </w:t>
      </w:r>
      <w:r>
        <w:t>caseworkers n</w:t>
      </w:r>
      <w:r w:rsidRPr="004C1D7C">
        <w:t xml:space="preserve">aturally have a more direct and hands-on communication style and are happy to pick up the phone or email these </w:t>
      </w:r>
      <w:r>
        <w:t xml:space="preserve">Customer Contact Centers (CCCs) </w:t>
      </w:r>
      <w:r w:rsidRPr="004C1D7C">
        <w:t>to resolve customer issues.  Other</w:t>
      </w:r>
      <w:r>
        <w:t xml:space="preserve">s </w:t>
      </w:r>
      <w:r w:rsidRPr="004C1D7C">
        <w:t xml:space="preserve">are more comfortable working through </w:t>
      </w:r>
      <w:r>
        <w:t xml:space="preserve">the </w:t>
      </w:r>
      <w:r w:rsidRPr="004C1D7C">
        <w:t>Regulatory Program Specialist and/or Pro</w:t>
      </w:r>
      <w:r>
        <w:t xml:space="preserve">gram Manager to resolve issues.     </w:t>
      </w:r>
      <w:r w:rsidRPr="004C1D7C">
        <w:t xml:space="preserve">  </w:t>
      </w:r>
    </w:p>
    <w:p w:rsidR="00AC40FC" w:rsidRDefault="00AC40FC" w:rsidP="00786363">
      <w:pPr>
        <w:pStyle w:val="Bullet"/>
        <w:spacing w:before="120"/>
      </w:pPr>
      <w:r w:rsidRPr="004C1D7C">
        <w:t xml:space="preserve">Sometimes the agency staff will provide training to newly hired </w:t>
      </w:r>
      <w:r>
        <w:t>caseworkers</w:t>
      </w:r>
      <w:r w:rsidRPr="004C1D7C">
        <w:t xml:space="preserve">.  </w:t>
      </w:r>
      <w:r>
        <w:t xml:space="preserve">At other times, </w:t>
      </w:r>
      <w:r w:rsidRPr="004C1D7C">
        <w:t xml:space="preserve">the RPS will be </w:t>
      </w:r>
      <w:r>
        <w:t xml:space="preserve">more </w:t>
      </w:r>
      <w:r w:rsidRPr="004C1D7C">
        <w:t>involved in this training</w:t>
      </w:r>
      <w:r>
        <w:t xml:space="preserve">, or </w:t>
      </w:r>
      <w:r w:rsidRPr="004C1D7C">
        <w:t xml:space="preserve">will handle follow-up questions or conduct a post training “check-up” with the </w:t>
      </w:r>
      <w:r>
        <w:t>caseworker</w:t>
      </w:r>
      <w:r w:rsidRPr="004C1D7C">
        <w:t xml:space="preserve">.  It depends on the need and </w:t>
      </w:r>
      <w:r>
        <w:t xml:space="preserve">level of experience </w:t>
      </w:r>
      <w:r w:rsidRPr="004C1D7C">
        <w:t xml:space="preserve">of the </w:t>
      </w:r>
      <w:r>
        <w:t>caseworker.</w:t>
      </w:r>
    </w:p>
    <w:p w:rsidR="00AC40FC" w:rsidRDefault="00AC40FC" w:rsidP="00BB665B">
      <w:pPr>
        <w:pStyle w:val="Heading-forToC"/>
      </w:pPr>
      <w:bookmarkStart w:id="157" w:name="_Toc462647864"/>
      <w:bookmarkStart w:id="158" w:name="_Toc464552103"/>
      <w:r>
        <w:t>recommendations</w:t>
      </w:r>
      <w:bookmarkEnd w:id="157"/>
      <w:bookmarkEnd w:id="158"/>
      <w:r>
        <w:t xml:space="preserve"> </w:t>
      </w:r>
    </w:p>
    <w:p w:rsidR="00AC40FC" w:rsidRPr="00CB0632" w:rsidRDefault="00AC40FC" w:rsidP="004F00E5">
      <w:pPr>
        <w:pStyle w:val="Findings"/>
        <w:numPr>
          <w:ilvl w:val="0"/>
          <w:numId w:val="57"/>
        </w:numPr>
      </w:pPr>
      <w:r w:rsidRPr="00CB0632">
        <w:t>Set OnTrack enrollment targets for the agencies that are based on a more rigorous and analytic</w:t>
      </w:r>
      <w:r>
        <w:t>al</w:t>
      </w:r>
      <w:r w:rsidRPr="00CB0632">
        <w:t xml:space="preserve"> estimation process of the universe of eligible customers</w:t>
      </w:r>
      <w:r w:rsidRPr="000C6DD7">
        <w:t>.  (</w:t>
      </w:r>
      <w:r>
        <w:t xml:space="preserve">See </w:t>
      </w:r>
      <w:r w:rsidRPr="000C6DD7">
        <w:t>Finding</w:t>
      </w:r>
      <w:r>
        <w:t>s</w:t>
      </w:r>
      <w:r w:rsidRPr="000C6DD7">
        <w:t xml:space="preserve"> 4</w:t>
      </w:r>
      <w:r>
        <w:t xml:space="preserve"> and 6</w:t>
      </w:r>
      <w:r w:rsidRPr="000C6DD7">
        <w:t>)</w:t>
      </w:r>
    </w:p>
    <w:p w:rsidR="00AC40FC" w:rsidRDefault="00AC40FC" w:rsidP="00440B39">
      <w:r w:rsidRPr="00CB0632">
        <w:t>Setting OnTrack enrollment targets for the agencies is appropriate, and maximizing or overly stretching the targets will certainly result in more enrollments, especially if referrals are increased.  But meeting the enrollment targets does not necessarily result in customer</w:t>
      </w:r>
      <w:r>
        <w:t xml:space="preserve">s completing the program (graduating) or in developing better payment behaviors.  Development of the targets should be based on a more analytical understanding of the referral quality, reflecting the probability of receiving an application, probability of meeting eligibility requirements, and the probability for graduation of enrolled customers.  Please see recommendations later in this chapter.  </w:t>
      </w:r>
    </w:p>
    <w:p w:rsidR="00AC40FC" w:rsidRDefault="00AC40FC" w:rsidP="004F00E5">
      <w:pPr>
        <w:pStyle w:val="Findings"/>
        <w:numPr>
          <w:ilvl w:val="0"/>
          <w:numId w:val="57"/>
        </w:numPr>
      </w:pPr>
      <w:r>
        <w:t xml:space="preserve">Reduce the number of existing OnTrack agencies to improve cost effectiveness and performance management of the enrollment and recertification process.  </w:t>
      </w:r>
      <w:r w:rsidRPr="00273427">
        <w:t>(</w:t>
      </w:r>
      <w:r>
        <w:t xml:space="preserve">See </w:t>
      </w:r>
      <w:r w:rsidRPr="00273427">
        <w:t xml:space="preserve">Finding </w:t>
      </w:r>
      <w:r>
        <w:t>7</w:t>
      </w:r>
      <w:r w:rsidRPr="00273427">
        <w:t>)</w:t>
      </w:r>
    </w:p>
    <w:p w:rsidR="00AC40FC" w:rsidRDefault="00AC40FC" w:rsidP="00440B39">
      <w:r>
        <w:t>F</w:t>
      </w:r>
      <w:r w:rsidRPr="000B3EB9">
        <w:t>ive agencies account</w:t>
      </w:r>
      <w:r>
        <w:t>ed</w:t>
      </w:r>
      <w:r w:rsidRPr="000B3EB9">
        <w:t xml:space="preserve"> for 79</w:t>
      </w:r>
      <w:r>
        <w:t>%</w:t>
      </w:r>
      <w:r w:rsidRPr="000B3EB9">
        <w:t xml:space="preserve"> of enrollments.  Ten agencies were </w:t>
      </w:r>
      <w:r>
        <w:t>not optimal</w:t>
      </w:r>
      <w:r w:rsidRPr="000B3EB9">
        <w:t xml:space="preserve"> and Customer Services eliminated </w:t>
      </w:r>
      <w:r>
        <w:t xml:space="preserve">in 2015 </w:t>
      </w:r>
      <w:r w:rsidRPr="000B3EB9">
        <w:t xml:space="preserve">the agency with the lowest number of enrollments.  Further reductions are needed.  Customer Services should retain the agencies with the best performance, using the recommended performance indicators discussed later in this </w:t>
      </w:r>
      <w:r>
        <w:t>c</w:t>
      </w:r>
      <w:r w:rsidRPr="000B3EB9">
        <w:t xml:space="preserve">hapter and convert the remaining contracts to unit pricing, also discussed in this </w:t>
      </w:r>
      <w:r>
        <w:t>c</w:t>
      </w:r>
      <w:r w:rsidRPr="000B3EB9">
        <w:t>hapter.</w:t>
      </w:r>
    </w:p>
    <w:p w:rsidR="00AC40FC" w:rsidRDefault="00AC40FC" w:rsidP="004F00E5">
      <w:pPr>
        <w:pStyle w:val="Findings"/>
        <w:numPr>
          <w:ilvl w:val="0"/>
          <w:numId w:val="57"/>
        </w:numPr>
      </w:pPr>
      <w:r>
        <w:lastRenderedPageBreak/>
        <w:t xml:space="preserve">Establish standard work processes and practices, ensure adequate supervisory performance, and require standardized training standards.  </w:t>
      </w:r>
      <w:r w:rsidRPr="00273427">
        <w:t>(</w:t>
      </w:r>
      <w:r>
        <w:t xml:space="preserve">See </w:t>
      </w:r>
      <w:r w:rsidRPr="00273427">
        <w:t xml:space="preserve">Finding </w:t>
      </w:r>
      <w:r>
        <w:t>8</w:t>
      </w:r>
      <w:r w:rsidRPr="00273427">
        <w:t>)</w:t>
      </w:r>
    </w:p>
    <w:p w:rsidR="00AC40FC" w:rsidRDefault="00AC40FC" w:rsidP="00440B39">
      <w:r>
        <w:t>To the extent that PPL EU continues to use multiple agencies/contractors to perform the same OnTrack work, there should be standardized requirements for the agencies.  Good contract management and performance management require standardization of work definitions, processes, and practices. With this approach change, caseworker supervisors can assess caseworker performance and identify training and coaching needs.  With standard training requirements, post-training performance can be more easily identified.  These actions will make agency operations more transparent and comparable and will give Regulatory Programs a strong basis for improving contract compliance and program performance.</w:t>
      </w:r>
    </w:p>
    <w:p w:rsidR="00AC40FC" w:rsidRDefault="006376F4" w:rsidP="004F00E5">
      <w:pPr>
        <w:pStyle w:val="Heading2"/>
        <w:numPr>
          <w:ilvl w:val="0"/>
          <w:numId w:val="108"/>
        </w:numPr>
      </w:pPr>
      <w:bookmarkStart w:id="159" w:name="_Toc462647865"/>
      <w:bookmarkStart w:id="160" w:name="_Toc464552104"/>
      <w:r>
        <w:t>Ontrack agency contracting and</w:t>
      </w:r>
      <w:r w:rsidR="00AC40FC">
        <w:br/>
        <w:t>contract management</w:t>
      </w:r>
      <w:bookmarkEnd w:id="159"/>
      <w:bookmarkEnd w:id="160"/>
    </w:p>
    <w:p w:rsidR="00AC40FC" w:rsidRDefault="00AC40FC" w:rsidP="00BB665B">
      <w:pPr>
        <w:pStyle w:val="Heading-forToC"/>
      </w:pPr>
      <w:bookmarkStart w:id="161" w:name="_Toc462647866"/>
      <w:bookmarkStart w:id="162" w:name="_Toc464552105"/>
      <w:r>
        <w:t>background</w:t>
      </w:r>
      <w:bookmarkEnd w:id="161"/>
      <w:bookmarkEnd w:id="162"/>
    </w:p>
    <w:p w:rsidR="00AC40FC" w:rsidRDefault="00AC40FC" w:rsidP="00440B39">
      <w:r w:rsidRPr="005C45B8">
        <w:t>In December of 1993, in response to the PUC, PPL</w:t>
      </w:r>
      <w:r>
        <w:t xml:space="preserve"> EU</w:t>
      </w:r>
      <w:r w:rsidRPr="005C45B8">
        <w:t xml:space="preserve"> began </w:t>
      </w:r>
      <w:r>
        <w:t xml:space="preserve">the </w:t>
      </w:r>
      <w:r w:rsidRPr="005C45B8">
        <w:t>OnTrack</w:t>
      </w:r>
      <w:r>
        <w:t xml:space="preserve"> p</w:t>
      </w:r>
      <w:r w:rsidRPr="005C45B8">
        <w:t>rogram.</w:t>
      </w:r>
      <w:r>
        <w:t xml:space="preserve"> </w:t>
      </w:r>
      <w:r w:rsidRPr="005C45B8">
        <w:t xml:space="preserve"> </w:t>
      </w:r>
      <w:r>
        <w:t xml:space="preserve">The program pilot was </w:t>
      </w:r>
      <w:r w:rsidRPr="005C45B8">
        <w:t>offered to 2,000 customers who met the program criteria</w:t>
      </w:r>
      <w:r>
        <w:t xml:space="preserve">.  PPL EU outsourced the enrollment process to </w:t>
      </w:r>
      <w:r w:rsidRPr="005C45B8">
        <w:t>community-ba</w:t>
      </w:r>
      <w:r>
        <w:t>sed social service agencies</w:t>
      </w:r>
      <w:r w:rsidRPr="005C45B8">
        <w:t xml:space="preserve">. </w:t>
      </w:r>
      <w:r>
        <w:t xml:space="preserve"> </w:t>
      </w:r>
      <w:r w:rsidRPr="005C45B8">
        <w:t xml:space="preserve">After favorable evaluation of the pilot, PPL </w:t>
      </w:r>
      <w:r>
        <w:t xml:space="preserve">EU </w:t>
      </w:r>
      <w:r w:rsidRPr="005C45B8">
        <w:t xml:space="preserve">expanded OnTrack </w:t>
      </w:r>
      <w:r>
        <w:t xml:space="preserve">to all qualified customers.  </w:t>
      </w:r>
    </w:p>
    <w:p w:rsidR="00AC40FC" w:rsidRDefault="00AC40FC" w:rsidP="00440B39">
      <w:r>
        <w:t xml:space="preserve">PPL EU </w:t>
      </w:r>
      <w:r w:rsidRPr="00734DB2">
        <w:t>selected the</w:t>
      </w:r>
      <w:r>
        <w:t xml:space="preserve"> ten OnTrack agencies </w:t>
      </w:r>
      <w:r w:rsidRPr="00734DB2">
        <w:t xml:space="preserve">after evaluating their reputation and standing in the community, leadership and staff, </w:t>
      </w:r>
      <w:r>
        <w:t xml:space="preserve">and the </w:t>
      </w:r>
      <w:r w:rsidRPr="00734DB2">
        <w:t>services they provide.</w:t>
      </w:r>
      <w:r>
        <w:t xml:space="preserve">  At the time that the program was expanded throughout the PPL EU service territory, PPL EU had contracts with the ten OnTrack agencies covering all the counties.  These contracts were originally five-year term agreements, but most of the current contracts (through 2015) have two-year terms.  Most of the contracts were amended to reflect increases in not-to-exceed prices and to reflect new hourly rates.</w:t>
      </w:r>
    </w:p>
    <w:p w:rsidR="00AC40FC" w:rsidRDefault="00AC40FC" w:rsidP="00440B39">
      <w:r>
        <w:t xml:space="preserve">As discussed earlier in this chapter, PPL EU has increased the role of the PPLSolutions call center in handling OnTrack inbound calls.  Effective August 17, 2015, PPL EU started using PPLSolutions to conduct an outbound calling pilot program to offer OnTrack enrollment to potentially eligible customers.  The tasks include application processing, eligibility confirmation, and enrollment.  Regulatory Programs used internal PPL EU data to create lists of customers who may be eligible for the OnTrack program.  These </w:t>
      </w:r>
      <w:r>
        <w:rPr>
          <w:rFonts w:cs="Arial"/>
          <w:szCs w:val="24"/>
        </w:rPr>
        <w:t>“leads lists” of potential OnTrack customers were developed using analytics to determine if the customers are a “good fit” for the program.  The lists are manually sent as referrals to the PPLSolutions call center and represent about 5% of the total referrals.  The remainder are sent to the OnTrack agencies.</w:t>
      </w:r>
    </w:p>
    <w:p w:rsidR="00AC40FC" w:rsidRDefault="00AC40FC" w:rsidP="00BB665B">
      <w:pPr>
        <w:pStyle w:val="Heading-forToC"/>
      </w:pPr>
      <w:bookmarkStart w:id="163" w:name="_Toc462647867"/>
      <w:bookmarkStart w:id="164" w:name="_Toc464552106"/>
      <w:r>
        <w:t>findings</w:t>
      </w:r>
      <w:bookmarkEnd w:id="163"/>
      <w:bookmarkEnd w:id="164"/>
      <w:r>
        <w:t xml:space="preserve"> </w:t>
      </w:r>
    </w:p>
    <w:p w:rsidR="00AC40FC" w:rsidRDefault="00AC40FC" w:rsidP="004F00E5">
      <w:pPr>
        <w:pStyle w:val="Findings"/>
        <w:numPr>
          <w:ilvl w:val="0"/>
          <w:numId w:val="58"/>
        </w:numPr>
      </w:pPr>
      <w:r>
        <w:t>PPL EU allowed two of its agency contracts to expire without a plan for extension, renegotiation, or initiation of a bidding process.</w:t>
      </w:r>
    </w:p>
    <w:p w:rsidR="00AC40FC" w:rsidRDefault="00AC40FC" w:rsidP="00440B39">
      <w:r>
        <w:t xml:space="preserve">Eight of the ten contracts had expiration dates of December 31, 2015 or dates in </w:t>
      </w:r>
      <w:r w:rsidRPr="006E5C26">
        <w:t xml:space="preserve">2016.  </w:t>
      </w:r>
      <w:r>
        <w:t xml:space="preserve">The two agencies with earlier expiration dates were Montour (end-date December 31, </w:t>
      </w:r>
      <w:r>
        <w:lastRenderedPageBreak/>
        <w:t xml:space="preserve">2011) and Union-Snyder (end-date December 31, 2012).  </w:t>
      </w:r>
      <w:r w:rsidRPr="006E5C26">
        <w:t>PPL EU had decided to terminate the agreement with Montour by the end</w:t>
      </w:r>
      <w:r>
        <w:t xml:space="preserve"> of 2015.  Any copy of the Union-Snyder contract amendment/extension was not provided during the Audit.  Good contract management requires that contract termination dates be part of a plan to extend, renegotiate or re-bid the contract prior to the termination date.</w:t>
      </w:r>
    </w:p>
    <w:p w:rsidR="00AC40FC" w:rsidRDefault="00AC40FC" w:rsidP="004F00E5">
      <w:pPr>
        <w:pStyle w:val="Findings"/>
        <w:numPr>
          <w:ilvl w:val="0"/>
          <w:numId w:val="58"/>
        </w:numPr>
      </w:pPr>
      <w:r>
        <w:t xml:space="preserve">PPL EU has not comprehensively reassessed its decision to outsource its OnTrack program to the original community-based agencies. </w:t>
      </w:r>
    </w:p>
    <w:p w:rsidR="00AC40FC" w:rsidRDefault="00AC40FC" w:rsidP="00440B39">
      <w:r>
        <w:t>OnTrack is an $88 million program in 2015 with goals to maximize enrollments and meet budget objectives.  PPL EU selected the</w:t>
      </w:r>
      <w:r w:rsidRPr="00734DB2">
        <w:t xml:space="preserve"> </w:t>
      </w:r>
      <w:r>
        <w:t>agencies i</w:t>
      </w:r>
      <w:r w:rsidRPr="00734DB2">
        <w:t xml:space="preserve">n </w:t>
      </w:r>
      <w:r>
        <w:t xml:space="preserve">the </w:t>
      </w:r>
      <w:r w:rsidRPr="00734DB2">
        <w:t xml:space="preserve">early 1990s after evaluating their reputation and standing in the community, leadership and staff, </w:t>
      </w:r>
      <w:r>
        <w:t xml:space="preserve">and the </w:t>
      </w:r>
      <w:r w:rsidRPr="00734DB2">
        <w:t>services they provide.</w:t>
      </w:r>
      <w:r>
        <w:t xml:space="preserve">  However, there has been no periodic re-evaluation of the agencies and this outsourcing decision.  A retrospective assessment of the existing outsourcing model should include regulatory compliance, accounting and financial validation, and cost effectiveness with the assessment results </w:t>
      </w:r>
      <w:r w:rsidRPr="009D50AA">
        <w:t>shared with</w:t>
      </w:r>
      <w:r>
        <w:t xml:space="preserve"> the PUC’s Bureau of Consumer Services.</w:t>
      </w:r>
    </w:p>
    <w:p w:rsidR="00AC40FC" w:rsidRDefault="00AC40FC" w:rsidP="00440B39">
      <w:r w:rsidRPr="00137CD1">
        <w:t>Custo</w:t>
      </w:r>
      <w:r>
        <w:t xml:space="preserve">mer Services has not examined the costs and benefits of changing its current model of outsourcing the OnTrack program.  PPL EU has made an incremental change by eliminating one of the agencies and is running a pilot program to use PPLSolutions to enroll OnTrack customers.  These incremental efforts are appropriate but insufficient. </w:t>
      </w:r>
    </w:p>
    <w:p w:rsidR="00AC40FC" w:rsidRDefault="00AC40FC" w:rsidP="004F00E5">
      <w:pPr>
        <w:pStyle w:val="Findings"/>
        <w:keepNext/>
        <w:numPr>
          <w:ilvl w:val="0"/>
          <w:numId w:val="58"/>
        </w:numPr>
      </w:pPr>
      <w:r>
        <w:t>A PPL EU consultant previously identified a number of benefits by bringing the OnTrack program administration in house.</w:t>
      </w:r>
    </w:p>
    <w:p w:rsidR="00AC40FC" w:rsidRDefault="00AC40FC" w:rsidP="00440B39">
      <w:r>
        <w:t>PPL EU worked with a consulting firm in 2013 and discussed some of the benefits and drawbacks of outsourcing certain work tasks versus keeping them in-house.  A number of RPS staff were interviewed or surveyed for their opinions about the performance of the CAP agencies and their caseworkers.</w:t>
      </w:r>
    </w:p>
    <w:p w:rsidR="00AC40FC" w:rsidRDefault="00AC40FC" w:rsidP="00440B39">
      <w:r>
        <w:t xml:space="preserve">The consulting firm reported a number of strengths that the agencies bring to the OnTrack program, such as the agencies having close connections with their local communities and the cost effectiveness of the agencies compared to PPL EU call center associates (but not quantified). </w:t>
      </w:r>
    </w:p>
    <w:p w:rsidR="00AC40FC" w:rsidRDefault="00AC40FC" w:rsidP="00440B39">
      <w:r>
        <w:t>The RPS staff also noted a number of benefits to bringing the program in-house, including:</w:t>
      </w:r>
    </w:p>
    <w:p w:rsidR="00AC40FC" w:rsidRDefault="00AC40FC" w:rsidP="00786363">
      <w:pPr>
        <w:pStyle w:val="Bullet"/>
        <w:spacing w:before="120"/>
      </w:pPr>
      <w:r>
        <w:t>I</w:t>
      </w:r>
      <w:r w:rsidRPr="005357E0">
        <w:t xml:space="preserve">ncreased administrative and operational control of </w:t>
      </w:r>
      <w:r>
        <w:t>executing</w:t>
      </w:r>
      <w:r w:rsidRPr="005357E0">
        <w:t xml:space="preserve"> the program</w:t>
      </w:r>
    </w:p>
    <w:p w:rsidR="00AC40FC" w:rsidRDefault="00AC40FC" w:rsidP="00786363">
      <w:pPr>
        <w:pStyle w:val="Bullet"/>
        <w:spacing w:before="120"/>
      </w:pPr>
      <w:r w:rsidRPr="005357E0">
        <w:t xml:space="preserve">Streamlined and improved consistency, communication, and coordination, with fewer people and companies involved in </w:t>
      </w:r>
      <w:r>
        <w:t>executing</w:t>
      </w:r>
      <w:r w:rsidRPr="005357E0">
        <w:t xml:space="preserve"> th</w:t>
      </w:r>
      <w:r>
        <w:t>e program and serving customers</w:t>
      </w:r>
    </w:p>
    <w:p w:rsidR="00AC40FC" w:rsidRDefault="00AC40FC" w:rsidP="00786363">
      <w:pPr>
        <w:pStyle w:val="Bullet"/>
        <w:spacing w:before="120"/>
      </w:pPr>
      <w:r w:rsidRPr="005357E0">
        <w:t>Increased ability to track key metrics.</w:t>
      </w:r>
      <w:r>
        <w:t xml:space="preserve">  </w:t>
      </w:r>
      <w:r w:rsidRPr="005357E0">
        <w:t>There is currently no way of measuring how long it takes an agency to work a referral, what is done with the referral, and what the result is.</w:t>
      </w:r>
    </w:p>
    <w:p w:rsidR="00AC40FC" w:rsidRPr="00FB78D2" w:rsidRDefault="00AC40FC" w:rsidP="004F00E5">
      <w:pPr>
        <w:pStyle w:val="Findings"/>
        <w:keepNext/>
        <w:numPr>
          <w:ilvl w:val="0"/>
          <w:numId w:val="58"/>
        </w:numPr>
        <w:spacing w:before="120"/>
      </w:pPr>
      <w:r>
        <w:lastRenderedPageBreak/>
        <w:t>The audits</w:t>
      </w:r>
      <w:r w:rsidRPr="00FB78D2">
        <w:t xml:space="preserve"> of </w:t>
      </w:r>
      <w:r>
        <w:t xml:space="preserve">OnTrack </w:t>
      </w:r>
      <w:r w:rsidRPr="00FB78D2">
        <w:t xml:space="preserve">agencies’ monthly </w:t>
      </w:r>
      <w:r>
        <w:t>reports that are conducted by the assigned RPSs are inconsistent and often lack</w:t>
      </w:r>
      <w:r w:rsidRPr="00FB78D2">
        <w:t xml:space="preserve"> important follow-up actions such as corrective actions or performance improvements.</w:t>
      </w:r>
    </w:p>
    <w:p w:rsidR="00AC40FC" w:rsidRDefault="00AC40FC" w:rsidP="00440B39">
      <w:r w:rsidRPr="00FB78D2">
        <w:t>Each</w:t>
      </w:r>
      <w:r>
        <w:t xml:space="preserve"> OnTrack</w:t>
      </w:r>
      <w:r w:rsidRPr="00FB78D2">
        <w:t xml:space="preserve"> agency submits monthly reports to their assigned PPL EU RPS.   Some of the reports that are submitted have detailed data about each individual customer</w:t>
      </w:r>
      <w:r>
        <w:t xml:space="preserve">, </w:t>
      </w:r>
      <w:r w:rsidRPr="00FB78D2">
        <w:t>O</w:t>
      </w:r>
      <w:r>
        <w:t>nTrack pro</w:t>
      </w:r>
      <w:r w:rsidRPr="00FB78D2">
        <w:t>g</w:t>
      </w:r>
      <w:r>
        <w:t>r</w:t>
      </w:r>
      <w:r w:rsidRPr="00FB78D2">
        <w:t>am elements, and</w:t>
      </w:r>
      <w:r>
        <w:t xml:space="preserve"> helpful summary data.  Some of the RPSs’ written responses have specific corrective actions that the OnTrack agency needs to take.  However, many other agency reports are merely a listing of enrollment data.  In many cases the RPSs respond by emails, phone calls, and on-site visits to the agencies to follow up on an as-needed basis.  It is not clear how effective each RPS is in auditing or reviewing the agency report.  Accuracy and verification is not evident and, in any case, is very difficult or impossible given the paper-intensive enrollment process and the frequent use of phone communications.  There are no consistently used metrics that would enable the RPS to assess the effectiveness and efficiency of an agency’s</w:t>
      </w:r>
      <w:r w:rsidRPr="001E6532">
        <w:t xml:space="preserve"> OnTrack enrollment</w:t>
      </w:r>
      <w:r>
        <w:t>s</w:t>
      </w:r>
      <w:r w:rsidRPr="001E6532">
        <w:t xml:space="preserve"> or value received for the compensation paid.</w:t>
      </w:r>
    </w:p>
    <w:p w:rsidR="00AC40FC" w:rsidRDefault="00AC40FC" w:rsidP="00BB665B">
      <w:pPr>
        <w:pStyle w:val="Heading-forToC"/>
      </w:pPr>
      <w:bookmarkStart w:id="165" w:name="_Toc462647868"/>
      <w:bookmarkStart w:id="166" w:name="_Toc464552107"/>
      <w:r>
        <w:t>recommendations</w:t>
      </w:r>
      <w:bookmarkEnd w:id="165"/>
      <w:bookmarkEnd w:id="166"/>
      <w:r>
        <w:t xml:space="preserve"> </w:t>
      </w:r>
    </w:p>
    <w:p w:rsidR="00AC40FC" w:rsidRPr="0032313A" w:rsidRDefault="00AC40FC" w:rsidP="004F00E5">
      <w:pPr>
        <w:pStyle w:val="Findings"/>
        <w:numPr>
          <w:ilvl w:val="0"/>
          <w:numId w:val="59"/>
        </w:numPr>
      </w:pPr>
      <w:r>
        <w:t>Improve OnTrack outsourcing processes and decisions.</w:t>
      </w:r>
      <w:r w:rsidRPr="00126AB5">
        <w:t xml:space="preserve">  </w:t>
      </w:r>
      <w:r w:rsidRPr="0032313A">
        <w:t>(</w:t>
      </w:r>
      <w:r>
        <w:t xml:space="preserve">See </w:t>
      </w:r>
      <w:r w:rsidRPr="0032313A">
        <w:t xml:space="preserve">Findings </w:t>
      </w:r>
      <w:r>
        <w:t>1</w:t>
      </w:r>
      <w:r w:rsidRPr="0032313A">
        <w:t xml:space="preserve">, </w:t>
      </w:r>
      <w:r>
        <w:t>2 and 3</w:t>
      </w:r>
      <w:r w:rsidRPr="0032313A">
        <w:t xml:space="preserve">) </w:t>
      </w:r>
    </w:p>
    <w:p w:rsidR="00AC40FC" w:rsidRDefault="00AC40FC" w:rsidP="00440B39">
      <w:r>
        <w:t xml:space="preserve">Customer Services should improve its outsourcing policies with respect to its past decision to outsource the OnTrack program to the community-based agencies.  The options that should be included are: (1) Engaging one contractor to perform the OnTrack functions (as has been done by other Pennsylvania utilities), (2) Bringing the functions in-house, (3) Overhauling the contractual relationships, price structures, scope of work, and performance </w:t>
      </w:r>
      <w:r w:rsidRPr="003D73FE">
        <w:t>requirements with the OnTrack agencies, and (4) Further reducing the number of existing agencies and consolidating the regional responsibilities into a few of the most capable agencies.</w:t>
      </w:r>
      <w:r>
        <w:t xml:space="preserve">  </w:t>
      </w:r>
    </w:p>
    <w:p w:rsidR="00AC40FC" w:rsidRDefault="00AC40FC" w:rsidP="00440B39">
      <w:r>
        <w:t>Moving to a single professional call center contractor with experience in handling Pennsylvania’s Customer Assistance Programs should be PPL EU’s longer term goal.  Decision criteria should include:  (1) Meeting the PPL EU OnTrack program objectives, (2) Improving the customer experience (including reaching the customers who need the program and reducing OnTrack-related complaints), (3) Reducing or stabilizing total costs to serve OnTrack customers, and (4) Reducing unit cost performance metrics.</w:t>
      </w:r>
    </w:p>
    <w:p w:rsidR="00AC40FC" w:rsidRPr="003D73FE" w:rsidRDefault="00AC40FC" w:rsidP="004F00E5">
      <w:pPr>
        <w:pStyle w:val="Findings"/>
        <w:numPr>
          <w:ilvl w:val="0"/>
          <w:numId w:val="59"/>
        </w:numPr>
      </w:pPr>
      <w:r>
        <w:t xml:space="preserve">Develop a more coordinated, structured, and consistent strategy for ongoing and future OnTrack contracting practices and contract and performance management.  </w:t>
      </w:r>
      <w:r w:rsidRPr="0032313A">
        <w:t>(</w:t>
      </w:r>
      <w:r>
        <w:t xml:space="preserve">See </w:t>
      </w:r>
      <w:r w:rsidRPr="0032313A">
        <w:t>Finding</w:t>
      </w:r>
      <w:r>
        <w:t>s</w:t>
      </w:r>
      <w:r w:rsidRPr="0032313A">
        <w:t xml:space="preserve"> </w:t>
      </w:r>
      <w:r>
        <w:t xml:space="preserve">1 and </w:t>
      </w:r>
      <w:r w:rsidRPr="0032313A">
        <w:t>2)</w:t>
      </w:r>
    </w:p>
    <w:p w:rsidR="00AC40FC" w:rsidRDefault="00AC40FC" w:rsidP="00440B39">
      <w:r>
        <w:t xml:space="preserve">The relationship of Regulatory Programs with the OnTrack agencies appears to be more of an extension of its staff and less like a third party contractor.  A more rigorous approach is needed.  Although this recommendation flows from the findings in this chapter that are related specifically to the PPL EU contracting practices for the OnTrack program, contracting practices and contract management need to be improved for other functions in the Customer Services organization.  (Please see the Customer Services Chapter for a recommendation for a consolidated and centralized approach.)  This recommendation for the OnTrack program is included here to underscore its importance </w:t>
      </w:r>
      <w:r>
        <w:lastRenderedPageBreak/>
        <w:t xml:space="preserve">and to encourage PPL EU to move forward on this recommendation on a separate track if appropriate. </w:t>
      </w:r>
    </w:p>
    <w:p w:rsidR="00AC40FC" w:rsidRDefault="00AC40FC" w:rsidP="004F00E5">
      <w:pPr>
        <w:pStyle w:val="Findings"/>
        <w:numPr>
          <w:ilvl w:val="0"/>
          <w:numId w:val="59"/>
        </w:numPr>
      </w:pPr>
      <w:r w:rsidRPr="00FF5AE7">
        <w:t>Perform standardized monthly auditing by Regulatory Programs of the OnTrack agencies’ monthly reports</w:t>
      </w:r>
      <w:r>
        <w:t>.</w:t>
      </w:r>
      <w:r w:rsidRPr="00FF5AE7">
        <w:t xml:space="preserve"> </w:t>
      </w:r>
      <w:r w:rsidRPr="00ED1D32">
        <w:t>(</w:t>
      </w:r>
      <w:r>
        <w:t xml:space="preserve">See </w:t>
      </w:r>
      <w:r w:rsidRPr="00ED1D32">
        <w:t xml:space="preserve">Finding </w:t>
      </w:r>
      <w:r>
        <w:t>4</w:t>
      </w:r>
      <w:r w:rsidRPr="00ED1D32">
        <w:t>)</w:t>
      </w:r>
      <w:r>
        <w:t xml:space="preserve"> </w:t>
      </w:r>
    </w:p>
    <w:p w:rsidR="00AC40FC" w:rsidRDefault="00AC40FC" w:rsidP="00440B39">
      <w:r w:rsidRPr="00200965">
        <w:t xml:space="preserve">The </w:t>
      </w:r>
      <w:r>
        <w:t>Regulatory Pro</w:t>
      </w:r>
      <w:r w:rsidRPr="00200965">
        <w:t xml:space="preserve">grams should </w:t>
      </w:r>
      <w:r>
        <w:t>requ</w:t>
      </w:r>
      <w:r w:rsidRPr="00200965">
        <w:t>ire standardize</w:t>
      </w:r>
      <w:r>
        <w:t>d</w:t>
      </w:r>
      <w:r w:rsidRPr="00200965">
        <w:t xml:space="preserve"> monthly reports by the agencies</w:t>
      </w:r>
      <w:r>
        <w:t xml:space="preserve"> and</w:t>
      </w:r>
      <w:r w:rsidRPr="00200965">
        <w:t xml:space="preserve"> the RPSs should review those reports, conduct a sampling of enrollments and other tra</w:t>
      </w:r>
      <w:r>
        <w:t>nsa</w:t>
      </w:r>
      <w:r w:rsidRPr="00200965">
        <w:t>ctions to detect a</w:t>
      </w:r>
      <w:r>
        <w:t>nom</w:t>
      </w:r>
      <w:r w:rsidRPr="00200965">
        <w:t xml:space="preserve">alies and fraud, and </w:t>
      </w:r>
      <w:r>
        <w:t xml:space="preserve">submit </w:t>
      </w:r>
      <w:r w:rsidRPr="00200965">
        <w:t>a summary of each monthly review to the OnTrack Pr</w:t>
      </w:r>
      <w:r>
        <w:t>ogram M</w:t>
      </w:r>
      <w:r w:rsidRPr="00200965">
        <w:t xml:space="preserve">anager and the Regulatory Programs Manager.  </w:t>
      </w:r>
      <w:r>
        <w:t>S</w:t>
      </w:r>
      <w:r w:rsidRPr="00200965">
        <w:t>i</w:t>
      </w:r>
      <w:r>
        <w:t>gnificant problems should be bro</w:t>
      </w:r>
      <w:r w:rsidRPr="00200965">
        <w:t>ught to the PPL EU internal audit unit for p</w:t>
      </w:r>
      <w:r>
        <w:t xml:space="preserve">ossible follow up.  </w:t>
      </w:r>
    </w:p>
    <w:p w:rsidR="00AC40FC" w:rsidRPr="00220851" w:rsidRDefault="00AC40FC" w:rsidP="004F00E5">
      <w:pPr>
        <w:pStyle w:val="Heading2"/>
        <w:numPr>
          <w:ilvl w:val="0"/>
          <w:numId w:val="108"/>
        </w:numPr>
      </w:pPr>
      <w:bookmarkStart w:id="167" w:name="_Toc462647869"/>
      <w:bookmarkStart w:id="168" w:name="_Toc464552108"/>
      <w:r w:rsidRPr="00220851">
        <w:t>performance management</w:t>
      </w:r>
      <w:bookmarkEnd w:id="167"/>
      <w:bookmarkEnd w:id="168"/>
    </w:p>
    <w:p w:rsidR="00AC40FC" w:rsidRDefault="00AC40FC" w:rsidP="00BB665B">
      <w:pPr>
        <w:pStyle w:val="Heading-forToC"/>
      </w:pPr>
      <w:bookmarkStart w:id="169" w:name="_Toc462647870"/>
      <w:bookmarkStart w:id="170" w:name="_Toc464552109"/>
      <w:r>
        <w:t>background</w:t>
      </w:r>
      <w:bookmarkEnd w:id="169"/>
      <w:bookmarkEnd w:id="170"/>
    </w:p>
    <w:p w:rsidR="00AC40FC" w:rsidRDefault="00AC40FC" w:rsidP="00440B39">
      <w:r>
        <w:t xml:space="preserve">As discussed in greater detail in the Customer Services </w:t>
      </w:r>
      <w:r w:rsidRPr="00006D13">
        <w:t>Chapter, the</w:t>
      </w:r>
      <w:r>
        <w:t xml:space="preserve"> Customer Services Monthly Performance Indicators Report is the primary performance management tool used by Customer Services.  There are three metrics that are tracked in this report that relate to the OnTrack program:  OnTrack Enrollment, OnTrack Expenditures, and OnTrack Costs by Budget Category.</w:t>
      </w:r>
    </w:p>
    <w:p w:rsidR="00AC40FC" w:rsidRDefault="00AC40FC" w:rsidP="00440B39">
      <w:r>
        <w:t>For the OnTrack program, performance management encompasses the outsourced work done by the OnTrack agencies and the oversight of the agencies done by the Regulatory Programs team, which is the OnTrack Program Manager and the five Regulatory Program Specialists.</w:t>
      </w:r>
    </w:p>
    <w:p w:rsidR="00AC40FC" w:rsidRDefault="00AC40FC" w:rsidP="00BB665B">
      <w:pPr>
        <w:pStyle w:val="Heading-forToC"/>
      </w:pPr>
      <w:bookmarkStart w:id="171" w:name="_Toc462647871"/>
      <w:bookmarkStart w:id="172" w:name="_Toc464552110"/>
      <w:r>
        <w:t>Findings</w:t>
      </w:r>
      <w:bookmarkEnd w:id="171"/>
      <w:bookmarkEnd w:id="172"/>
    </w:p>
    <w:p w:rsidR="00AC40FC" w:rsidRPr="00DE7369" w:rsidRDefault="00AC40FC" w:rsidP="004F00E5">
      <w:pPr>
        <w:pStyle w:val="Findings"/>
        <w:numPr>
          <w:ilvl w:val="0"/>
          <w:numId w:val="118"/>
        </w:numPr>
      </w:pPr>
      <w:r>
        <w:t>The three performance indicators used by Customer Services for the OnTrack program are accompanied by useful and detailed commentary explaining variances and the actions that are underway to improve performance.</w:t>
      </w:r>
    </w:p>
    <w:p w:rsidR="00AC40FC" w:rsidRPr="00DE7369" w:rsidRDefault="00AC40FC" w:rsidP="00440B39">
      <w:r w:rsidRPr="00DE7369">
        <w:t>The Customer Services Monthly Performance Indicators Report for October 2015 had three performance indicators related to the OnTrack program:</w:t>
      </w:r>
    </w:p>
    <w:p w:rsidR="00AC40FC" w:rsidRPr="00DE7369" w:rsidRDefault="00AC40FC" w:rsidP="00786363">
      <w:pPr>
        <w:pStyle w:val="Bullet"/>
        <w:spacing w:before="120"/>
      </w:pPr>
      <w:r w:rsidRPr="00DE7369">
        <w:t xml:space="preserve">OnTrack Enrollment – This is </w:t>
      </w:r>
      <w:r>
        <w:t xml:space="preserve">one of the twelve </w:t>
      </w:r>
      <w:r w:rsidRPr="00DE7369">
        <w:t>Department Level performance indicator</w:t>
      </w:r>
      <w:r>
        <w:t>s</w:t>
      </w:r>
      <w:r w:rsidRPr="00DE7369">
        <w:t>.  The measure is the number of active OnTrack accounts.  The objective was to</w:t>
      </w:r>
      <w:r>
        <w:t xml:space="preserve"> “I</w:t>
      </w:r>
      <w:r w:rsidRPr="00DE7369">
        <w:t>ncrease new customer enrollment numbers by seven percent.</w:t>
      </w:r>
      <w:r>
        <w:t>”</w:t>
      </w:r>
    </w:p>
    <w:p w:rsidR="00AC40FC" w:rsidRPr="00DE7369" w:rsidRDefault="00AC40FC" w:rsidP="00786363">
      <w:pPr>
        <w:pStyle w:val="Bullet"/>
        <w:spacing w:before="120"/>
      </w:pPr>
      <w:r w:rsidRPr="00DE7369">
        <w:t xml:space="preserve">Monthly Expenditures </w:t>
      </w:r>
      <w:r>
        <w:t>and</w:t>
      </w:r>
      <w:r w:rsidRPr="00DE7369">
        <w:t xml:space="preserve"> Enrollments – The measure is funds expended and active households in the program.  The objective was to “Expend approximately $79 million in accordance with PUC regulations and the approved three-year plan and to achieve average monthly membership of 40,300 households by year-end.”</w:t>
      </w:r>
    </w:p>
    <w:p w:rsidR="00AC40FC" w:rsidRDefault="00AC40FC" w:rsidP="00786363">
      <w:pPr>
        <w:pStyle w:val="Bullet"/>
        <w:spacing w:before="120"/>
      </w:pPr>
      <w:r w:rsidRPr="00972B1B">
        <w:t>Year-to-Date Program Costs (by budget category) – The measure is monthly YTD funds expended compared to the YTD budget</w:t>
      </w:r>
      <w:r>
        <w:t xml:space="preserve"> </w:t>
      </w:r>
      <w:r w:rsidRPr="00972B1B">
        <w:t>(by budget category</w:t>
      </w:r>
      <w:r>
        <w:t>)</w:t>
      </w:r>
      <w:r w:rsidRPr="00972B1B">
        <w:t>.  The objective was to: “Expend approximately $79 million in accordance with PUC regulations and the approved three-year plan.  Achieve average monthly membership of 40,300 households by year-end.”</w:t>
      </w:r>
    </w:p>
    <w:p w:rsidR="00AC40FC" w:rsidRDefault="00AC40FC" w:rsidP="00440B39">
      <w:pPr>
        <w:pStyle w:val="Normal-aftertable"/>
      </w:pPr>
      <w:r>
        <w:lastRenderedPageBreak/>
        <w:t>For all indicators, the commentary provided comparisons of actuals to the targets, the drivers for the variances, and actions being taken and programs underway to address the variances.</w:t>
      </w:r>
    </w:p>
    <w:p w:rsidR="00AC40FC" w:rsidRDefault="00AC40FC" w:rsidP="0049591B">
      <w:pPr>
        <w:pStyle w:val="Findings"/>
      </w:pPr>
      <w:r>
        <w:t xml:space="preserve">The existing Customer Services OnTrack performance indicators, while useful, do not support PPL EU’s objectives for the program. </w:t>
      </w:r>
    </w:p>
    <w:p w:rsidR="00AC40FC" w:rsidRDefault="00AC40FC" w:rsidP="00440B39">
      <w:r>
        <w:t xml:space="preserve">PPL EU’s </w:t>
      </w:r>
      <w:r w:rsidRPr="00D620C6">
        <w:rPr>
          <w:bCs/>
        </w:rPr>
        <w:t>objective</w:t>
      </w:r>
      <w:r>
        <w:rPr>
          <w:bCs/>
        </w:rPr>
        <w:t>s for its OnTrack program are</w:t>
      </w:r>
      <w:r w:rsidRPr="00D620C6">
        <w:rPr>
          <w:bCs/>
        </w:rPr>
        <w:t xml:space="preserve"> to:  </w:t>
      </w:r>
      <w:r w:rsidRPr="00D620C6">
        <w:t>improve customers’ bill payment habits and attitudes, stabilize or reduce customers’ energy usage, decrease uncollectible balance</w:t>
      </w:r>
      <w:r>
        <w:t>s for program participants, and d</w:t>
      </w:r>
      <w:r w:rsidRPr="00D620C6">
        <w:t xml:space="preserve">etermine overall impact on </w:t>
      </w:r>
      <w:r>
        <w:t>PPL EU’s</w:t>
      </w:r>
      <w:r w:rsidRPr="00D620C6">
        <w:t xml:space="preserve"> overdue accounts r</w:t>
      </w:r>
      <w:r>
        <w:t xml:space="preserve">eceivable.  The three performance indicators that are reviewed each month (Enrollment, Monthly Expenditures, and YTD Program Costs) do not explicitly link performance to the objectives. </w:t>
      </w:r>
    </w:p>
    <w:p w:rsidR="00AC40FC" w:rsidRPr="00CE4314" w:rsidRDefault="00AC40FC" w:rsidP="0049591B">
      <w:pPr>
        <w:pStyle w:val="Findings"/>
      </w:pPr>
      <w:r>
        <w:t xml:space="preserve">The rising OnTrack program costs are impacting customers’ bills. </w:t>
      </w:r>
    </w:p>
    <w:p w:rsidR="00AC40FC" w:rsidRDefault="00AC40FC" w:rsidP="00440B39">
      <w:r>
        <w:t>The following graph shows annual costs per customer subject to the Universal Service Rider (USR):</w:t>
      </w:r>
    </w:p>
    <w:p w:rsidR="00AC40FC" w:rsidRPr="00990EFF" w:rsidRDefault="00AC40FC" w:rsidP="002B3172">
      <w:pPr>
        <w:pStyle w:val="Caption"/>
      </w:pPr>
      <w:bookmarkStart w:id="173" w:name="_Toc462648432"/>
      <w:bookmarkStart w:id="174" w:name="_Toc464553054"/>
      <w:r>
        <w:t xml:space="preserve">Exhibit </w:t>
      </w:r>
      <w:fldSimple w:instr=" STYLEREF 1 \s ">
        <w:r w:rsidR="00A24205">
          <w:rPr>
            <w:noProof/>
          </w:rPr>
          <w:t>X</w:t>
        </w:r>
      </w:fldSimple>
      <w:r w:rsidR="00264A1B">
        <w:noBreakHyphen/>
      </w:r>
      <w:fldSimple w:instr=" SEQ Exhibit \* ARABIC \s 1 ">
        <w:r w:rsidR="00A24205">
          <w:rPr>
            <w:noProof/>
          </w:rPr>
          <w:t>15</w:t>
        </w:r>
      </w:fldSimple>
      <w:r>
        <w:br/>
        <w:t>OnTrack Annual Cost per Customer</w:t>
      </w:r>
      <w:bookmarkEnd w:id="173"/>
      <w:bookmarkEnd w:id="174"/>
      <w:r>
        <w:t xml:space="preserve"> </w:t>
      </w:r>
    </w:p>
    <w:p w:rsidR="00AC40FC" w:rsidRDefault="00AC40FC" w:rsidP="00440B39">
      <w:pPr>
        <w:jc w:val="center"/>
        <w:rPr>
          <w:highlight w:val="yellow"/>
        </w:rPr>
      </w:pPr>
      <w:r>
        <w:rPr>
          <w:noProof/>
        </w:rPr>
        <w:drawing>
          <wp:inline distT="0" distB="0" distL="0" distR="0">
            <wp:extent cx="4927600" cy="2719898"/>
            <wp:effectExtent l="0" t="0" r="6350" b="4445"/>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bl>
      <w:tblPr>
        <w:tblW w:w="9188" w:type="dxa"/>
        <w:jc w:val="center"/>
        <w:tblLayout w:type="fixed"/>
        <w:tblLook w:val="04A0"/>
      </w:tblPr>
      <w:tblGrid>
        <w:gridCol w:w="1628"/>
        <w:gridCol w:w="1260"/>
        <w:gridCol w:w="1260"/>
        <w:gridCol w:w="1260"/>
        <w:gridCol w:w="1260"/>
        <w:gridCol w:w="1260"/>
        <w:gridCol w:w="1260"/>
      </w:tblGrid>
      <w:tr w:rsidR="00AC40FC" w:rsidRPr="00521E7D" w:rsidTr="00786363">
        <w:trPr>
          <w:cantSplit/>
          <w:trHeight w:val="300"/>
          <w:tblHeader/>
          <w:jc w:val="center"/>
        </w:trPr>
        <w:tc>
          <w:tcPr>
            <w:tcW w:w="1628" w:type="dxa"/>
            <w:tcBorders>
              <w:top w:val="single" w:sz="4" w:space="0" w:color="auto"/>
              <w:left w:val="single" w:sz="4" w:space="0" w:color="auto"/>
              <w:bottom w:val="single" w:sz="4" w:space="0" w:color="auto"/>
              <w:right w:val="nil"/>
            </w:tcBorders>
            <w:shd w:val="clear" w:color="auto" w:fill="A5CD7E"/>
            <w:noWrap/>
            <w:vAlign w:val="center"/>
            <w:hideMark/>
          </w:tcPr>
          <w:p w:rsidR="00AC40FC" w:rsidRPr="00521E7D" w:rsidRDefault="00AC40FC" w:rsidP="00521E7D">
            <w:pPr>
              <w:spacing w:before="120"/>
              <w:jc w:val="center"/>
              <w:rPr>
                <w:rFonts w:cs="Arial"/>
                <w:b/>
                <w:color w:val="000000"/>
                <w:sz w:val="20"/>
                <w:szCs w:val="20"/>
              </w:rPr>
            </w:pPr>
            <w:r w:rsidRPr="00521E7D">
              <w:rPr>
                <w:rFonts w:cs="Arial"/>
                <w:b/>
                <w:color w:val="000000"/>
                <w:sz w:val="20"/>
                <w:szCs w:val="20"/>
              </w:rPr>
              <w:t>Factor</w:t>
            </w:r>
          </w:p>
        </w:tc>
        <w:tc>
          <w:tcPr>
            <w:tcW w:w="1260" w:type="dxa"/>
            <w:tcBorders>
              <w:top w:val="single" w:sz="4" w:space="0" w:color="auto"/>
              <w:left w:val="single" w:sz="4" w:space="0" w:color="auto"/>
              <w:bottom w:val="nil"/>
              <w:right w:val="single" w:sz="4" w:space="0" w:color="auto"/>
            </w:tcBorders>
            <w:shd w:val="clear" w:color="auto" w:fill="A5CD7E"/>
            <w:noWrap/>
            <w:vAlign w:val="center"/>
            <w:hideMark/>
          </w:tcPr>
          <w:p w:rsidR="00AC40FC" w:rsidRPr="00521E7D" w:rsidRDefault="00AC40FC" w:rsidP="00521E7D">
            <w:pPr>
              <w:spacing w:before="120"/>
              <w:jc w:val="center"/>
              <w:rPr>
                <w:rFonts w:cs="Arial"/>
                <w:b/>
                <w:color w:val="000000"/>
                <w:sz w:val="20"/>
                <w:szCs w:val="20"/>
              </w:rPr>
            </w:pPr>
            <w:r w:rsidRPr="00521E7D">
              <w:rPr>
                <w:rFonts w:cs="Arial"/>
                <w:b/>
                <w:color w:val="000000"/>
                <w:sz w:val="20"/>
                <w:szCs w:val="20"/>
              </w:rPr>
              <w:t>2010</w:t>
            </w:r>
          </w:p>
        </w:tc>
        <w:tc>
          <w:tcPr>
            <w:tcW w:w="1260" w:type="dxa"/>
            <w:tcBorders>
              <w:top w:val="single" w:sz="4" w:space="0" w:color="auto"/>
              <w:left w:val="nil"/>
              <w:bottom w:val="nil"/>
              <w:right w:val="single" w:sz="4" w:space="0" w:color="auto"/>
            </w:tcBorders>
            <w:shd w:val="clear" w:color="auto" w:fill="A5CD7E"/>
            <w:noWrap/>
            <w:vAlign w:val="center"/>
            <w:hideMark/>
          </w:tcPr>
          <w:p w:rsidR="00AC40FC" w:rsidRPr="00521E7D" w:rsidRDefault="00AC40FC" w:rsidP="00521E7D">
            <w:pPr>
              <w:spacing w:before="120"/>
              <w:jc w:val="center"/>
              <w:rPr>
                <w:rFonts w:cs="Arial"/>
                <w:b/>
                <w:color w:val="000000"/>
                <w:sz w:val="20"/>
                <w:szCs w:val="20"/>
              </w:rPr>
            </w:pPr>
            <w:r w:rsidRPr="00521E7D">
              <w:rPr>
                <w:rFonts w:cs="Arial"/>
                <w:b/>
                <w:color w:val="000000"/>
                <w:sz w:val="20"/>
                <w:szCs w:val="20"/>
              </w:rPr>
              <w:t>2011</w:t>
            </w:r>
          </w:p>
        </w:tc>
        <w:tc>
          <w:tcPr>
            <w:tcW w:w="1260" w:type="dxa"/>
            <w:tcBorders>
              <w:top w:val="single" w:sz="4" w:space="0" w:color="auto"/>
              <w:left w:val="nil"/>
              <w:bottom w:val="nil"/>
              <w:right w:val="single" w:sz="4" w:space="0" w:color="auto"/>
            </w:tcBorders>
            <w:shd w:val="clear" w:color="auto" w:fill="A5CD7E"/>
            <w:noWrap/>
            <w:vAlign w:val="center"/>
            <w:hideMark/>
          </w:tcPr>
          <w:p w:rsidR="00AC40FC" w:rsidRPr="00521E7D" w:rsidRDefault="00AC40FC" w:rsidP="00521E7D">
            <w:pPr>
              <w:spacing w:before="120"/>
              <w:jc w:val="center"/>
              <w:rPr>
                <w:rFonts w:cs="Arial"/>
                <w:b/>
                <w:color w:val="000000"/>
                <w:sz w:val="20"/>
                <w:szCs w:val="20"/>
              </w:rPr>
            </w:pPr>
            <w:r w:rsidRPr="00521E7D">
              <w:rPr>
                <w:rFonts w:cs="Arial"/>
                <w:b/>
                <w:color w:val="000000"/>
                <w:sz w:val="20"/>
                <w:szCs w:val="20"/>
              </w:rPr>
              <w:t>2012</w:t>
            </w:r>
          </w:p>
        </w:tc>
        <w:tc>
          <w:tcPr>
            <w:tcW w:w="1260" w:type="dxa"/>
            <w:tcBorders>
              <w:top w:val="single" w:sz="4" w:space="0" w:color="auto"/>
              <w:left w:val="nil"/>
              <w:bottom w:val="nil"/>
              <w:right w:val="single" w:sz="4" w:space="0" w:color="auto"/>
            </w:tcBorders>
            <w:shd w:val="clear" w:color="auto" w:fill="A5CD7E"/>
            <w:noWrap/>
            <w:vAlign w:val="center"/>
            <w:hideMark/>
          </w:tcPr>
          <w:p w:rsidR="00AC40FC" w:rsidRPr="00521E7D" w:rsidRDefault="00AC40FC" w:rsidP="00521E7D">
            <w:pPr>
              <w:spacing w:before="120"/>
              <w:jc w:val="center"/>
              <w:rPr>
                <w:rFonts w:cs="Arial"/>
                <w:b/>
                <w:color w:val="000000"/>
                <w:sz w:val="20"/>
                <w:szCs w:val="20"/>
              </w:rPr>
            </w:pPr>
            <w:r w:rsidRPr="00521E7D">
              <w:rPr>
                <w:rFonts w:cs="Arial"/>
                <w:b/>
                <w:color w:val="000000"/>
                <w:sz w:val="20"/>
                <w:szCs w:val="20"/>
              </w:rPr>
              <w:t>2013</w:t>
            </w:r>
          </w:p>
        </w:tc>
        <w:tc>
          <w:tcPr>
            <w:tcW w:w="1260" w:type="dxa"/>
            <w:tcBorders>
              <w:top w:val="single" w:sz="4" w:space="0" w:color="auto"/>
              <w:left w:val="nil"/>
              <w:bottom w:val="nil"/>
              <w:right w:val="single" w:sz="4" w:space="0" w:color="auto"/>
            </w:tcBorders>
            <w:shd w:val="clear" w:color="auto" w:fill="A5CD7E"/>
            <w:noWrap/>
            <w:vAlign w:val="center"/>
            <w:hideMark/>
          </w:tcPr>
          <w:p w:rsidR="00AC40FC" w:rsidRPr="00521E7D" w:rsidRDefault="00AC40FC" w:rsidP="00521E7D">
            <w:pPr>
              <w:spacing w:before="120"/>
              <w:jc w:val="center"/>
              <w:rPr>
                <w:rFonts w:cs="Arial"/>
                <w:b/>
                <w:color w:val="000000"/>
                <w:sz w:val="20"/>
                <w:szCs w:val="20"/>
              </w:rPr>
            </w:pPr>
            <w:r w:rsidRPr="00521E7D">
              <w:rPr>
                <w:rFonts w:cs="Arial"/>
                <w:b/>
                <w:color w:val="000000"/>
                <w:sz w:val="20"/>
                <w:szCs w:val="20"/>
              </w:rPr>
              <w:t>2014</w:t>
            </w:r>
          </w:p>
        </w:tc>
        <w:tc>
          <w:tcPr>
            <w:tcW w:w="1260" w:type="dxa"/>
            <w:tcBorders>
              <w:top w:val="single" w:sz="4" w:space="0" w:color="auto"/>
              <w:left w:val="nil"/>
              <w:bottom w:val="nil"/>
              <w:right w:val="single" w:sz="4" w:space="0" w:color="auto"/>
            </w:tcBorders>
            <w:shd w:val="clear" w:color="auto" w:fill="A5CD7E"/>
            <w:noWrap/>
            <w:vAlign w:val="center"/>
            <w:hideMark/>
          </w:tcPr>
          <w:p w:rsidR="00AC40FC" w:rsidRPr="00521E7D" w:rsidRDefault="00AC40FC" w:rsidP="00521E7D">
            <w:pPr>
              <w:spacing w:before="120"/>
              <w:jc w:val="center"/>
              <w:rPr>
                <w:rFonts w:cs="Arial"/>
                <w:b/>
                <w:color w:val="000000"/>
                <w:sz w:val="20"/>
                <w:szCs w:val="20"/>
              </w:rPr>
            </w:pPr>
            <w:r w:rsidRPr="00521E7D">
              <w:rPr>
                <w:rFonts w:cs="Arial"/>
                <w:b/>
                <w:color w:val="000000"/>
                <w:sz w:val="20"/>
                <w:szCs w:val="20"/>
              </w:rPr>
              <w:t>2015</w:t>
            </w:r>
          </w:p>
        </w:tc>
      </w:tr>
      <w:tr w:rsidR="00AC40FC" w:rsidRPr="00DC7B3F" w:rsidTr="00440B39">
        <w:trPr>
          <w:trHeight w:val="300"/>
          <w:jc w:val="center"/>
        </w:trPr>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40FC" w:rsidRPr="00DC7B3F" w:rsidRDefault="00AC40FC" w:rsidP="00440B39">
            <w:pPr>
              <w:spacing w:after="0"/>
              <w:jc w:val="center"/>
              <w:rPr>
                <w:rFonts w:cs="Arial"/>
                <w:color w:val="000000"/>
                <w:sz w:val="18"/>
                <w:szCs w:val="18"/>
              </w:rPr>
            </w:pPr>
            <w:r>
              <w:rPr>
                <w:rFonts w:cs="Arial"/>
                <w:color w:val="000000"/>
                <w:sz w:val="18"/>
                <w:szCs w:val="18"/>
              </w:rPr>
              <w:t>OnTrack USR Annual Costs</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AC40FC" w:rsidRPr="00DC7B3F" w:rsidRDefault="00AC40FC" w:rsidP="00440B39">
            <w:pPr>
              <w:spacing w:after="0"/>
              <w:jc w:val="center"/>
              <w:rPr>
                <w:rFonts w:cs="Arial"/>
                <w:color w:val="000000"/>
                <w:sz w:val="18"/>
                <w:szCs w:val="18"/>
              </w:rPr>
            </w:pPr>
            <w:r w:rsidRPr="00DC7B3F">
              <w:rPr>
                <w:rFonts w:cs="Arial"/>
                <w:color w:val="000000"/>
                <w:sz w:val="18"/>
                <w:szCs w:val="18"/>
              </w:rPr>
              <w:t>$44,638,055</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AC40FC" w:rsidRPr="00DC7B3F" w:rsidRDefault="00AC40FC" w:rsidP="00440B39">
            <w:pPr>
              <w:spacing w:after="0"/>
              <w:jc w:val="center"/>
              <w:rPr>
                <w:rFonts w:cs="Arial"/>
                <w:color w:val="000000"/>
                <w:sz w:val="18"/>
                <w:szCs w:val="18"/>
              </w:rPr>
            </w:pPr>
            <w:r w:rsidRPr="00DC7B3F">
              <w:rPr>
                <w:rFonts w:cs="Arial"/>
                <w:color w:val="000000"/>
                <w:sz w:val="18"/>
                <w:szCs w:val="18"/>
              </w:rPr>
              <w:t>$51,429,876</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AC40FC" w:rsidRPr="00DC7B3F" w:rsidRDefault="00AC40FC" w:rsidP="00440B39">
            <w:pPr>
              <w:spacing w:after="0"/>
              <w:jc w:val="center"/>
              <w:rPr>
                <w:rFonts w:cs="Arial"/>
                <w:color w:val="000000"/>
                <w:sz w:val="18"/>
                <w:szCs w:val="18"/>
              </w:rPr>
            </w:pPr>
            <w:r w:rsidRPr="00DC7B3F">
              <w:rPr>
                <w:rFonts w:cs="Arial"/>
                <w:color w:val="000000"/>
                <w:sz w:val="18"/>
                <w:szCs w:val="18"/>
              </w:rPr>
              <w:t>$45,853,137</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AC40FC" w:rsidRPr="00DC7B3F" w:rsidRDefault="00AC40FC" w:rsidP="00440B39">
            <w:pPr>
              <w:spacing w:after="0"/>
              <w:jc w:val="center"/>
              <w:rPr>
                <w:rFonts w:cs="Arial"/>
                <w:color w:val="000000"/>
                <w:sz w:val="18"/>
                <w:szCs w:val="18"/>
              </w:rPr>
            </w:pPr>
            <w:r w:rsidRPr="00DC7B3F">
              <w:rPr>
                <w:rFonts w:cs="Arial"/>
                <w:color w:val="000000"/>
                <w:sz w:val="18"/>
                <w:szCs w:val="18"/>
              </w:rPr>
              <w:t>$53,329,562</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AC40FC" w:rsidRPr="00DC7B3F" w:rsidRDefault="00AC40FC" w:rsidP="00440B39">
            <w:pPr>
              <w:spacing w:after="0"/>
              <w:jc w:val="center"/>
              <w:rPr>
                <w:rFonts w:cs="Arial"/>
                <w:color w:val="000000"/>
                <w:sz w:val="18"/>
                <w:szCs w:val="18"/>
              </w:rPr>
            </w:pPr>
            <w:r w:rsidRPr="00DC7B3F">
              <w:rPr>
                <w:rFonts w:cs="Arial"/>
                <w:color w:val="000000"/>
                <w:sz w:val="18"/>
                <w:szCs w:val="18"/>
              </w:rPr>
              <w:t>$69,031,676</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AC40FC" w:rsidRPr="00DC7B3F" w:rsidRDefault="00AC40FC" w:rsidP="00440B39">
            <w:pPr>
              <w:spacing w:after="0"/>
              <w:jc w:val="center"/>
              <w:rPr>
                <w:rFonts w:cs="Arial"/>
                <w:color w:val="000000"/>
                <w:sz w:val="18"/>
                <w:szCs w:val="18"/>
              </w:rPr>
            </w:pPr>
            <w:r>
              <w:rPr>
                <w:rFonts w:cs="Arial"/>
                <w:color w:val="000000"/>
                <w:sz w:val="18"/>
                <w:szCs w:val="18"/>
              </w:rPr>
              <w:t>$81,327,755</w:t>
            </w:r>
          </w:p>
        </w:tc>
      </w:tr>
      <w:tr w:rsidR="00AC40FC" w:rsidRPr="00DC7B3F" w:rsidTr="00440B39">
        <w:trPr>
          <w:trHeight w:val="300"/>
          <w:jc w:val="center"/>
        </w:trPr>
        <w:tc>
          <w:tcPr>
            <w:tcW w:w="1628" w:type="dxa"/>
            <w:tcBorders>
              <w:top w:val="nil"/>
              <w:left w:val="single" w:sz="4" w:space="0" w:color="auto"/>
              <w:bottom w:val="single" w:sz="4" w:space="0" w:color="auto"/>
              <w:right w:val="single" w:sz="4" w:space="0" w:color="auto"/>
            </w:tcBorders>
            <w:shd w:val="clear" w:color="auto" w:fill="auto"/>
            <w:noWrap/>
            <w:vAlign w:val="center"/>
            <w:hideMark/>
          </w:tcPr>
          <w:p w:rsidR="00AC40FC" w:rsidRPr="00DC7B3F" w:rsidRDefault="00AC40FC" w:rsidP="00440B39">
            <w:pPr>
              <w:spacing w:after="0"/>
              <w:jc w:val="center"/>
              <w:rPr>
                <w:rFonts w:cs="Arial"/>
                <w:color w:val="000000"/>
                <w:sz w:val="18"/>
                <w:szCs w:val="18"/>
              </w:rPr>
            </w:pPr>
            <w:r w:rsidRPr="00DC7B3F">
              <w:rPr>
                <w:rFonts w:cs="Arial"/>
                <w:color w:val="000000"/>
                <w:sz w:val="18"/>
                <w:szCs w:val="18"/>
              </w:rPr>
              <w:t>Total Customers</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DC7B3F" w:rsidRDefault="00AC40FC" w:rsidP="00440B39">
            <w:pPr>
              <w:spacing w:after="0"/>
              <w:jc w:val="center"/>
              <w:rPr>
                <w:rFonts w:cs="Arial"/>
                <w:color w:val="000000"/>
                <w:sz w:val="18"/>
                <w:szCs w:val="18"/>
              </w:rPr>
            </w:pPr>
            <w:r w:rsidRPr="00DC7B3F">
              <w:rPr>
                <w:rFonts w:cs="Arial"/>
                <w:color w:val="000000"/>
                <w:sz w:val="18"/>
                <w:szCs w:val="18"/>
              </w:rPr>
              <w:t>1,212,020</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DC7B3F" w:rsidRDefault="00AC40FC" w:rsidP="00440B39">
            <w:pPr>
              <w:spacing w:after="0"/>
              <w:jc w:val="center"/>
              <w:rPr>
                <w:rFonts w:cs="Arial"/>
                <w:color w:val="000000"/>
                <w:sz w:val="18"/>
                <w:szCs w:val="18"/>
              </w:rPr>
            </w:pPr>
            <w:r w:rsidRPr="00DC7B3F">
              <w:rPr>
                <w:rFonts w:cs="Arial"/>
                <w:color w:val="000000"/>
                <w:sz w:val="18"/>
                <w:szCs w:val="18"/>
              </w:rPr>
              <w:t>1,213,953</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DC7B3F" w:rsidRDefault="00AC40FC" w:rsidP="00440B39">
            <w:pPr>
              <w:spacing w:after="0"/>
              <w:jc w:val="center"/>
              <w:rPr>
                <w:rFonts w:cs="Arial"/>
                <w:color w:val="000000"/>
                <w:sz w:val="18"/>
                <w:szCs w:val="18"/>
              </w:rPr>
            </w:pPr>
            <w:r w:rsidRPr="00DC7B3F">
              <w:rPr>
                <w:rFonts w:cs="Arial"/>
                <w:color w:val="000000"/>
                <w:sz w:val="18"/>
                <w:szCs w:val="18"/>
              </w:rPr>
              <w:t>1,215,950</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DC7B3F" w:rsidRDefault="00AC40FC" w:rsidP="00440B39">
            <w:pPr>
              <w:spacing w:after="0"/>
              <w:jc w:val="center"/>
              <w:rPr>
                <w:rFonts w:cs="Arial"/>
                <w:color w:val="000000"/>
                <w:sz w:val="18"/>
                <w:szCs w:val="18"/>
              </w:rPr>
            </w:pPr>
            <w:r w:rsidRPr="00DC7B3F">
              <w:rPr>
                <w:rFonts w:cs="Arial"/>
                <w:color w:val="000000"/>
                <w:sz w:val="18"/>
                <w:szCs w:val="18"/>
              </w:rPr>
              <w:t>1,218,734</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DC7B3F" w:rsidRDefault="00AC40FC" w:rsidP="00440B39">
            <w:pPr>
              <w:spacing w:after="0"/>
              <w:jc w:val="center"/>
              <w:rPr>
                <w:rFonts w:cs="Arial"/>
                <w:color w:val="000000"/>
                <w:sz w:val="18"/>
                <w:szCs w:val="18"/>
              </w:rPr>
            </w:pPr>
            <w:r w:rsidRPr="00DC7B3F">
              <w:rPr>
                <w:rFonts w:cs="Arial"/>
                <w:color w:val="000000"/>
                <w:sz w:val="18"/>
                <w:szCs w:val="18"/>
              </w:rPr>
              <w:t>1,221,960</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DC7B3F" w:rsidRDefault="00AC40FC" w:rsidP="00440B39">
            <w:pPr>
              <w:spacing w:after="0"/>
              <w:jc w:val="center"/>
              <w:rPr>
                <w:rFonts w:cs="Arial"/>
                <w:color w:val="000000"/>
                <w:sz w:val="18"/>
                <w:szCs w:val="18"/>
              </w:rPr>
            </w:pPr>
            <w:r w:rsidRPr="00DC7B3F">
              <w:rPr>
                <w:rFonts w:cs="Arial"/>
                <w:color w:val="000000"/>
                <w:sz w:val="18"/>
                <w:szCs w:val="18"/>
              </w:rPr>
              <w:t>1,239,806</w:t>
            </w:r>
          </w:p>
        </w:tc>
      </w:tr>
      <w:tr w:rsidR="00AC40FC" w:rsidRPr="00DC7B3F" w:rsidTr="00440B39">
        <w:trPr>
          <w:trHeight w:val="300"/>
          <w:jc w:val="center"/>
        </w:trPr>
        <w:tc>
          <w:tcPr>
            <w:tcW w:w="1628" w:type="dxa"/>
            <w:tcBorders>
              <w:top w:val="nil"/>
              <w:left w:val="single" w:sz="4" w:space="0" w:color="auto"/>
              <w:bottom w:val="single" w:sz="4" w:space="0" w:color="auto"/>
              <w:right w:val="single" w:sz="4" w:space="0" w:color="auto"/>
            </w:tcBorders>
            <w:shd w:val="clear" w:color="auto" w:fill="auto"/>
            <w:noWrap/>
            <w:vAlign w:val="center"/>
            <w:hideMark/>
          </w:tcPr>
          <w:p w:rsidR="00AC40FC" w:rsidRPr="00DC7B3F" w:rsidRDefault="00AC40FC" w:rsidP="00440B39">
            <w:pPr>
              <w:spacing w:after="0"/>
              <w:jc w:val="center"/>
              <w:rPr>
                <w:rFonts w:cs="Arial"/>
                <w:color w:val="000000"/>
                <w:sz w:val="18"/>
                <w:szCs w:val="18"/>
              </w:rPr>
            </w:pPr>
            <w:r w:rsidRPr="00DC7B3F">
              <w:rPr>
                <w:rFonts w:cs="Arial"/>
                <w:color w:val="000000"/>
                <w:sz w:val="18"/>
                <w:szCs w:val="18"/>
              </w:rPr>
              <w:t xml:space="preserve">OnTrack </w:t>
            </w:r>
            <w:r>
              <w:rPr>
                <w:rFonts w:cs="Arial"/>
                <w:color w:val="000000"/>
                <w:sz w:val="18"/>
                <w:szCs w:val="18"/>
              </w:rPr>
              <w:t xml:space="preserve">Monthly </w:t>
            </w:r>
            <w:r w:rsidRPr="00DC7B3F">
              <w:rPr>
                <w:rFonts w:cs="Arial"/>
                <w:color w:val="000000"/>
                <w:sz w:val="18"/>
                <w:szCs w:val="18"/>
              </w:rPr>
              <w:t>Cost per Customer</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DC7B3F" w:rsidRDefault="00AC40FC" w:rsidP="00440B39">
            <w:pPr>
              <w:spacing w:after="0"/>
              <w:jc w:val="center"/>
              <w:rPr>
                <w:rFonts w:cs="Arial"/>
                <w:color w:val="000000"/>
                <w:sz w:val="18"/>
                <w:szCs w:val="18"/>
              </w:rPr>
            </w:pPr>
            <w:r w:rsidRPr="00DC7B3F">
              <w:rPr>
                <w:rFonts w:cs="Arial"/>
                <w:color w:val="000000"/>
                <w:sz w:val="18"/>
                <w:szCs w:val="18"/>
              </w:rPr>
              <w:t>$3.07</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DC7B3F" w:rsidRDefault="00AC40FC" w:rsidP="00440B39">
            <w:pPr>
              <w:spacing w:after="0"/>
              <w:jc w:val="center"/>
              <w:rPr>
                <w:rFonts w:cs="Arial"/>
                <w:color w:val="000000"/>
                <w:sz w:val="18"/>
                <w:szCs w:val="18"/>
              </w:rPr>
            </w:pPr>
            <w:r w:rsidRPr="00DC7B3F">
              <w:rPr>
                <w:rFonts w:cs="Arial"/>
                <w:color w:val="000000"/>
                <w:sz w:val="18"/>
                <w:szCs w:val="18"/>
              </w:rPr>
              <w:t>$3.53</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DC7B3F" w:rsidRDefault="00AC40FC" w:rsidP="00440B39">
            <w:pPr>
              <w:spacing w:after="0"/>
              <w:jc w:val="center"/>
              <w:rPr>
                <w:rFonts w:cs="Arial"/>
                <w:color w:val="000000"/>
                <w:sz w:val="18"/>
                <w:szCs w:val="18"/>
              </w:rPr>
            </w:pPr>
            <w:r w:rsidRPr="00DC7B3F">
              <w:rPr>
                <w:rFonts w:cs="Arial"/>
                <w:color w:val="000000"/>
                <w:sz w:val="18"/>
                <w:szCs w:val="18"/>
              </w:rPr>
              <w:t>$3.14</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DC7B3F" w:rsidRDefault="00AC40FC" w:rsidP="00440B39">
            <w:pPr>
              <w:spacing w:after="0"/>
              <w:jc w:val="center"/>
              <w:rPr>
                <w:rFonts w:cs="Arial"/>
                <w:color w:val="000000"/>
                <w:sz w:val="18"/>
                <w:szCs w:val="18"/>
              </w:rPr>
            </w:pPr>
            <w:r w:rsidRPr="00DC7B3F">
              <w:rPr>
                <w:rFonts w:cs="Arial"/>
                <w:color w:val="000000"/>
                <w:sz w:val="18"/>
                <w:szCs w:val="18"/>
              </w:rPr>
              <w:t>$3.65</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DC7B3F" w:rsidRDefault="00AC40FC" w:rsidP="00440B39">
            <w:pPr>
              <w:spacing w:after="0"/>
              <w:jc w:val="center"/>
              <w:rPr>
                <w:rFonts w:cs="Arial"/>
                <w:color w:val="000000"/>
                <w:sz w:val="18"/>
                <w:szCs w:val="18"/>
              </w:rPr>
            </w:pPr>
            <w:r w:rsidRPr="00DC7B3F">
              <w:rPr>
                <w:rFonts w:cs="Arial"/>
                <w:color w:val="000000"/>
                <w:sz w:val="18"/>
                <w:szCs w:val="18"/>
              </w:rPr>
              <w:t>$4.71</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DC7B3F" w:rsidRDefault="00AC40FC" w:rsidP="00440B39">
            <w:pPr>
              <w:spacing w:after="0"/>
              <w:jc w:val="center"/>
              <w:rPr>
                <w:rFonts w:cs="Arial"/>
                <w:color w:val="000000"/>
                <w:sz w:val="18"/>
                <w:szCs w:val="18"/>
              </w:rPr>
            </w:pPr>
            <w:r>
              <w:rPr>
                <w:rFonts w:cs="Arial"/>
                <w:color w:val="000000"/>
                <w:sz w:val="18"/>
                <w:szCs w:val="18"/>
              </w:rPr>
              <w:t>$5.46</w:t>
            </w:r>
          </w:p>
        </w:tc>
      </w:tr>
      <w:tr w:rsidR="00AC40FC" w:rsidRPr="00DC7B3F" w:rsidTr="00440B39">
        <w:trPr>
          <w:trHeight w:val="300"/>
          <w:jc w:val="center"/>
        </w:trPr>
        <w:tc>
          <w:tcPr>
            <w:tcW w:w="9188"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C40FC" w:rsidRPr="00DC7B3F" w:rsidRDefault="00AC40FC" w:rsidP="00440B39">
            <w:pPr>
              <w:spacing w:after="0"/>
              <w:jc w:val="left"/>
              <w:rPr>
                <w:rFonts w:cs="Arial"/>
                <w:color w:val="000000"/>
                <w:sz w:val="18"/>
                <w:szCs w:val="18"/>
              </w:rPr>
            </w:pPr>
            <w:r w:rsidRPr="00DC7B3F">
              <w:rPr>
                <w:rFonts w:cs="Arial"/>
                <w:color w:val="000000"/>
                <w:sz w:val="18"/>
                <w:szCs w:val="18"/>
              </w:rPr>
              <w:t>Source</w:t>
            </w:r>
            <w:r>
              <w:rPr>
                <w:rFonts w:cs="Arial"/>
                <w:color w:val="000000"/>
                <w:sz w:val="18"/>
                <w:szCs w:val="18"/>
              </w:rPr>
              <w:t>s</w:t>
            </w:r>
            <w:r w:rsidRPr="00DC7B3F">
              <w:rPr>
                <w:rFonts w:cs="Arial"/>
                <w:color w:val="000000"/>
                <w:sz w:val="18"/>
                <w:szCs w:val="18"/>
              </w:rPr>
              <w:t>:  DN 14-175</w:t>
            </w:r>
            <w:r>
              <w:rPr>
                <w:rFonts w:cs="Arial"/>
                <w:color w:val="000000"/>
                <w:sz w:val="18"/>
                <w:szCs w:val="18"/>
              </w:rPr>
              <w:t xml:space="preserve">; </w:t>
            </w:r>
            <w:r>
              <w:rPr>
                <w:sz w:val="20"/>
                <w:szCs w:val="20"/>
              </w:rPr>
              <w:t>PPL EU edits</w:t>
            </w:r>
          </w:p>
        </w:tc>
      </w:tr>
    </w:tbl>
    <w:p w:rsidR="00AC40FC" w:rsidRDefault="00AC40FC" w:rsidP="00440B39">
      <w:pPr>
        <w:pStyle w:val="Normal-aftertable"/>
      </w:pPr>
      <w:r>
        <w:t xml:space="preserve">The OnTrack Monthly Cost per Customer was calculated by dividing the OnTrack USR Annual Costs by Total Customers and then dividing the result by 12.  The Monthly Cost per Customer </w:t>
      </w:r>
      <w:r w:rsidRPr="0063522C">
        <w:t xml:space="preserve">as shown above has increased by about </w:t>
      </w:r>
      <w:r>
        <w:t>78</w:t>
      </w:r>
      <w:r w:rsidRPr="0021334A">
        <w:t>% from 2010 through 2015.</w:t>
      </w:r>
      <w:r>
        <w:t xml:space="preserve"> </w:t>
      </w:r>
    </w:p>
    <w:p w:rsidR="00AC40FC" w:rsidRDefault="00AC40FC" w:rsidP="00440B39">
      <w:r w:rsidRPr="00CD1010">
        <w:lastRenderedPageBreak/>
        <w:t>PPL EU recovers the OnTrack-related costs (</w:t>
      </w:r>
      <w:r>
        <w:t>OnTrack</w:t>
      </w:r>
      <w:r w:rsidRPr="00CD1010">
        <w:t xml:space="preserve"> credits</w:t>
      </w:r>
      <w:r>
        <w:t xml:space="preserve"> or revenue shortfall</w:t>
      </w:r>
      <w:r w:rsidRPr="00CD1010">
        <w:t xml:space="preserve">, pre-program arrearage forgiveness, and </w:t>
      </w:r>
      <w:r>
        <w:t xml:space="preserve">agency </w:t>
      </w:r>
      <w:r w:rsidRPr="00CD1010">
        <w:t>administrative</w:t>
      </w:r>
      <w:r>
        <w:t xml:space="preserve"> costs</w:t>
      </w:r>
      <w:r w:rsidRPr="00CD1010">
        <w:t>) via the Universal Service Rider, in all cases dollar for dollar</w:t>
      </w:r>
      <w:r>
        <w:t xml:space="preserve">.  </w:t>
      </w:r>
      <w:r w:rsidRPr="00CD1010">
        <w:t>The bill impact of the OnTrack Program in 2014 was about $5.11 per residential customer per month.  In addition, PPL EU said that administration costs related to the OnTrack program w</w:t>
      </w:r>
      <w:r>
        <w:t>ere</w:t>
      </w:r>
      <w:r w:rsidRPr="00CD1010">
        <w:t xml:space="preserve"> $565,996 in 2014, or about $0.04 per residential customer per month.</w:t>
      </w:r>
    </w:p>
    <w:p w:rsidR="00AC40FC" w:rsidRDefault="00AC40FC" w:rsidP="0049591B">
      <w:pPr>
        <w:pStyle w:val="Findings"/>
      </w:pPr>
      <w:r>
        <w:t>Regulatory Programs is appropriately exploring the use of unit costs and unit performance metrics with the OnTrack agencies.</w:t>
      </w:r>
    </w:p>
    <w:p w:rsidR="00AC40FC" w:rsidRPr="00C866D0" w:rsidRDefault="00AC40FC" w:rsidP="00440B39">
      <w:r>
        <w:t xml:space="preserve">In October 2015, Regulatory Programs began discussions with the OnTrack </w:t>
      </w:r>
      <w:r w:rsidRPr="00C866D0">
        <w:t>agencies about developing new performance metrics.  The unit cost project included meetings to review the scope, purpose, and timing.  During these meetings and subsequent emails</w:t>
      </w:r>
      <w:r>
        <w:t xml:space="preserve"> and </w:t>
      </w:r>
      <w:r w:rsidRPr="00C866D0">
        <w:t>phone calls with the agency leads, the following definitions were communicated re</w:t>
      </w:r>
      <w:r>
        <w:t>garding the types of unit costs:</w:t>
      </w:r>
    </w:p>
    <w:p w:rsidR="00AC40FC" w:rsidRDefault="00AC40FC" w:rsidP="00786363">
      <w:pPr>
        <w:pStyle w:val="Bullet"/>
        <w:spacing w:before="120"/>
      </w:pPr>
      <w:r>
        <w:t>Enrollment – This includes work associated with reviewing recently referred customers.  The caseworker is responsible for completing screening steps such as:  reviewing the account and prior accounts for payment troubled history, reviewing income documentation that was submitted, enrolling the account in the program, and documenting the account.</w:t>
      </w:r>
    </w:p>
    <w:p w:rsidR="00AC40FC" w:rsidRDefault="00AC40FC" w:rsidP="00786363">
      <w:pPr>
        <w:pStyle w:val="Bullet"/>
        <w:spacing w:before="120"/>
      </w:pPr>
      <w:r>
        <w:t>Recertification – This generally includes similar or the same work tasks as performed during enrollment, except this work happens at the seventeenth or eighteenth month point.  The caseworker reviews households that are currently enrolled in the program and makes the decision to keep the household active or not.</w:t>
      </w:r>
    </w:p>
    <w:p w:rsidR="00AC40FC" w:rsidRDefault="00AC40FC" w:rsidP="00786363">
      <w:pPr>
        <w:pStyle w:val="Bullet"/>
        <w:spacing w:before="120"/>
      </w:pPr>
      <w:r>
        <w:t>Graduation – This includes work activities by the caseworker in order to decide if the household should or should not be graduated from the program, meaning the household is no longer active in the program.  The graduation decision point occurs after eighteen months in the program; it coincides with the recertification point.  The general guidelines that are followed in order to graduate a customer are: (1) The account has reached a zero overdue balance, (2) The account has displayed a good standing in the program/good payment habits, and (3) The current actual bills are generally close (plus or minus 10%) to a budgeted bill amount.</w:t>
      </w:r>
    </w:p>
    <w:p w:rsidR="00AC40FC" w:rsidRDefault="00AC40FC" w:rsidP="00786363">
      <w:pPr>
        <w:pStyle w:val="Bullet"/>
        <w:spacing w:before="120"/>
      </w:pPr>
      <w:r>
        <w:t>Ineligible – This includes similar or the same work tasks as performed during enrollment, except the review/screening process results in an ineligible determination.  The customer is not enrolled in the program.</w:t>
      </w:r>
    </w:p>
    <w:p w:rsidR="00AC40FC" w:rsidRDefault="00AC40FC" w:rsidP="00786363">
      <w:pPr>
        <w:pStyle w:val="Bullet"/>
        <w:spacing w:before="120"/>
      </w:pPr>
      <w:r>
        <w:t>Change in Situation – This includes work tasks associated with updating the customer’s household situation in order to communicate a new OnTrack installment amount.  There are times when the customer notifies PPL EU about a change in income or household size.  For these situations, the caseworker works through new income proof documents and/or communications and revises the OnTrack installment amount.</w:t>
      </w:r>
    </w:p>
    <w:p w:rsidR="00AC40FC" w:rsidRDefault="00AC40FC" w:rsidP="00786363">
      <w:pPr>
        <w:pStyle w:val="Bullet"/>
        <w:spacing w:before="120"/>
      </w:pPr>
      <w:r>
        <w:t xml:space="preserve">Account Maintenance – This could also be referred to as the “Other” category.  This work classification includes special requests from PPL management and </w:t>
      </w:r>
      <w:r>
        <w:lastRenderedPageBreak/>
        <w:t>employees, or contractors.  This could include items such as sending a letter informing the customer about a special situation or work activities associated with special projects the PPL EU team is implementing.</w:t>
      </w:r>
    </w:p>
    <w:p w:rsidR="00AC40FC" w:rsidRPr="004C1D7C" w:rsidRDefault="00AC40FC" w:rsidP="00440B39">
      <w:pPr>
        <w:pStyle w:val="Normal-aftertable"/>
      </w:pPr>
      <w:r>
        <w:t>This approach to developing standard definitions for work practices and processes is a major step towards establishing standardized performance metrics, determining comparable unit costs across agencies, and converting to unit price contracts.</w:t>
      </w:r>
    </w:p>
    <w:p w:rsidR="00AC40FC" w:rsidRDefault="00AC40FC" w:rsidP="00440B39">
      <w:r>
        <w:t>PPL EU will continue this analysis of using a unit price enrollment approach for the OnTrack agencies during the first quarter of 2016.  It will also review how other electric and gas utilities in Pennsylvania pay for CAP services – an hourly rate or a flat rate per job task (e.g., enrollment and re-certification).  A decision is not expected until early 2017.</w:t>
      </w:r>
    </w:p>
    <w:p w:rsidR="00AC40FC" w:rsidRDefault="00AC40FC" w:rsidP="0049591B">
      <w:pPr>
        <w:pStyle w:val="Findings"/>
      </w:pPr>
      <w:r>
        <w:t xml:space="preserve">Increased numbers of OnTrack referrals and new enrollments are not translating into a corresponding </w:t>
      </w:r>
      <w:r w:rsidRPr="00D327B7">
        <w:t>i</w:t>
      </w:r>
      <w:r>
        <w:t>ncrease in a</w:t>
      </w:r>
      <w:r w:rsidRPr="00D327B7">
        <w:t xml:space="preserve">ctive </w:t>
      </w:r>
      <w:r>
        <w:t>m</w:t>
      </w:r>
      <w:r w:rsidRPr="00D327B7">
        <w:t>embers.</w:t>
      </w:r>
    </w:p>
    <w:p w:rsidR="00AC40FC" w:rsidRPr="00D327B7" w:rsidRDefault="00AC40FC" w:rsidP="00440B39">
      <w:r>
        <w:t>The graph and table below show the growth of referrals to OnTrack agencies compared to the resulting enrollments and active members:</w:t>
      </w:r>
    </w:p>
    <w:p w:rsidR="00AC40FC" w:rsidRPr="00D327B7" w:rsidRDefault="00AC40FC" w:rsidP="002B3172">
      <w:pPr>
        <w:pStyle w:val="Caption"/>
      </w:pPr>
      <w:bookmarkStart w:id="175" w:name="_Toc462648433"/>
      <w:bookmarkStart w:id="176" w:name="_Toc464553055"/>
      <w:r>
        <w:t xml:space="preserve">Exhibit </w:t>
      </w:r>
      <w:fldSimple w:instr=" STYLEREF 1 \s ">
        <w:r w:rsidR="00A24205">
          <w:rPr>
            <w:noProof/>
          </w:rPr>
          <w:t>X</w:t>
        </w:r>
      </w:fldSimple>
      <w:r w:rsidR="00264A1B">
        <w:noBreakHyphen/>
      </w:r>
      <w:fldSimple w:instr=" SEQ Exhibit \* ARABIC \s 1 ">
        <w:r w:rsidR="00A24205">
          <w:rPr>
            <w:noProof/>
          </w:rPr>
          <w:t>16</w:t>
        </w:r>
      </w:fldSimple>
      <w:r>
        <w:br/>
      </w:r>
      <w:r w:rsidRPr="00D327B7">
        <w:t xml:space="preserve">OnTrack Referrals Compared to </w:t>
      </w:r>
      <w:r>
        <w:t xml:space="preserve">New </w:t>
      </w:r>
      <w:r w:rsidRPr="00D327B7">
        <w:t>Enrollments and Active Members</w:t>
      </w:r>
      <w:bookmarkEnd w:id="175"/>
      <w:bookmarkEnd w:id="176"/>
    </w:p>
    <w:p w:rsidR="00AC40FC" w:rsidRDefault="00AC40FC" w:rsidP="00440B39">
      <w:pPr>
        <w:jc w:val="center"/>
      </w:pPr>
      <w:r>
        <w:rPr>
          <w:noProof/>
        </w:rPr>
        <w:drawing>
          <wp:inline distT="0" distB="0" distL="0" distR="0">
            <wp:extent cx="3905250" cy="2627719"/>
            <wp:effectExtent l="0" t="0" r="0" b="0"/>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bl>
      <w:tblPr>
        <w:tblW w:w="9027" w:type="dxa"/>
        <w:jc w:val="center"/>
        <w:tblLayout w:type="fixed"/>
        <w:tblLook w:val="04A0"/>
      </w:tblPr>
      <w:tblGrid>
        <w:gridCol w:w="2445"/>
        <w:gridCol w:w="1092"/>
        <w:gridCol w:w="1080"/>
        <w:gridCol w:w="1080"/>
        <w:gridCol w:w="1080"/>
        <w:gridCol w:w="1080"/>
        <w:gridCol w:w="1170"/>
      </w:tblGrid>
      <w:tr w:rsidR="00AC40FC" w:rsidRPr="00BB4BF0" w:rsidTr="00786363">
        <w:trPr>
          <w:cantSplit/>
          <w:trHeight w:val="300"/>
          <w:tblHeader/>
          <w:jc w:val="center"/>
        </w:trPr>
        <w:tc>
          <w:tcPr>
            <w:tcW w:w="2445" w:type="dxa"/>
            <w:tcBorders>
              <w:top w:val="single" w:sz="4" w:space="0" w:color="auto"/>
              <w:left w:val="single" w:sz="4" w:space="0" w:color="auto"/>
              <w:bottom w:val="single" w:sz="4" w:space="0" w:color="auto"/>
              <w:right w:val="single" w:sz="4" w:space="0" w:color="auto"/>
            </w:tcBorders>
            <w:shd w:val="clear" w:color="auto" w:fill="A5CD7E"/>
            <w:noWrap/>
            <w:vAlign w:val="center"/>
            <w:hideMark/>
          </w:tcPr>
          <w:p w:rsidR="00AC40FC" w:rsidRPr="00DF0D32" w:rsidRDefault="00AC40FC" w:rsidP="00521E7D">
            <w:pPr>
              <w:spacing w:before="120"/>
              <w:jc w:val="center"/>
              <w:rPr>
                <w:rFonts w:cs="Arial"/>
                <w:b/>
                <w:color w:val="000000"/>
                <w:sz w:val="22"/>
              </w:rPr>
            </w:pPr>
            <w:r w:rsidRPr="00DF0D32">
              <w:rPr>
                <w:rFonts w:cs="Arial"/>
                <w:b/>
                <w:color w:val="000000"/>
                <w:sz w:val="22"/>
              </w:rPr>
              <w:t>Factor</w:t>
            </w:r>
          </w:p>
        </w:tc>
        <w:tc>
          <w:tcPr>
            <w:tcW w:w="1092"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DF0D32" w:rsidRDefault="00AC40FC" w:rsidP="00521E7D">
            <w:pPr>
              <w:spacing w:before="120"/>
              <w:jc w:val="center"/>
              <w:rPr>
                <w:rFonts w:cs="Arial"/>
                <w:b/>
                <w:color w:val="000000"/>
                <w:sz w:val="22"/>
              </w:rPr>
            </w:pPr>
            <w:r w:rsidRPr="00DF0D32">
              <w:rPr>
                <w:rFonts w:cs="Arial"/>
                <w:b/>
                <w:color w:val="000000"/>
                <w:sz w:val="22"/>
              </w:rPr>
              <w:t>2010</w:t>
            </w:r>
          </w:p>
        </w:tc>
        <w:tc>
          <w:tcPr>
            <w:tcW w:w="108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DF0D32" w:rsidRDefault="00AC40FC" w:rsidP="00521E7D">
            <w:pPr>
              <w:spacing w:before="120"/>
              <w:jc w:val="center"/>
              <w:rPr>
                <w:rFonts w:cs="Arial"/>
                <w:b/>
                <w:color w:val="000000"/>
                <w:sz w:val="22"/>
              </w:rPr>
            </w:pPr>
            <w:r w:rsidRPr="00DF0D32">
              <w:rPr>
                <w:rFonts w:cs="Arial"/>
                <w:b/>
                <w:color w:val="000000"/>
                <w:sz w:val="22"/>
              </w:rPr>
              <w:t>2011</w:t>
            </w:r>
          </w:p>
        </w:tc>
        <w:tc>
          <w:tcPr>
            <w:tcW w:w="108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DF0D32" w:rsidRDefault="00AC40FC" w:rsidP="00521E7D">
            <w:pPr>
              <w:spacing w:before="120"/>
              <w:jc w:val="center"/>
              <w:rPr>
                <w:rFonts w:cs="Arial"/>
                <w:b/>
                <w:color w:val="000000"/>
                <w:sz w:val="22"/>
              </w:rPr>
            </w:pPr>
            <w:r w:rsidRPr="00DF0D32">
              <w:rPr>
                <w:rFonts w:cs="Arial"/>
                <w:b/>
                <w:color w:val="000000"/>
                <w:sz w:val="22"/>
              </w:rPr>
              <w:t>2012</w:t>
            </w:r>
          </w:p>
        </w:tc>
        <w:tc>
          <w:tcPr>
            <w:tcW w:w="108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DF0D32" w:rsidRDefault="00AC40FC" w:rsidP="00521E7D">
            <w:pPr>
              <w:spacing w:before="120"/>
              <w:jc w:val="center"/>
              <w:rPr>
                <w:rFonts w:cs="Arial"/>
                <w:b/>
                <w:color w:val="000000"/>
                <w:sz w:val="22"/>
              </w:rPr>
            </w:pPr>
            <w:r w:rsidRPr="00DF0D32">
              <w:rPr>
                <w:rFonts w:cs="Arial"/>
                <w:b/>
                <w:color w:val="000000"/>
                <w:sz w:val="22"/>
              </w:rPr>
              <w:t>2013</w:t>
            </w:r>
          </w:p>
        </w:tc>
        <w:tc>
          <w:tcPr>
            <w:tcW w:w="108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DF0D32" w:rsidRDefault="00AC40FC" w:rsidP="00521E7D">
            <w:pPr>
              <w:spacing w:before="120"/>
              <w:jc w:val="center"/>
              <w:rPr>
                <w:rFonts w:cs="Arial"/>
                <w:b/>
                <w:color w:val="000000"/>
                <w:sz w:val="22"/>
              </w:rPr>
            </w:pPr>
            <w:r w:rsidRPr="00DF0D32">
              <w:rPr>
                <w:rFonts w:cs="Arial"/>
                <w:b/>
                <w:color w:val="000000"/>
                <w:sz w:val="22"/>
              </w:rPr>
              <w:t>2014</w:t>
            </w:r>
          </w:p>
        </w:tc>
        <w:tc>
          <w:tcPr>
            <w:tcW w:w="1170" w:type="dxa"/>
            <w:tcBorders>
              <w:top w:val="single" w:sz="4" w:space="0" w:color="auto"/>
              <w:left w:val="nil"/>
              <w:bottom w:val="single" w:sz="4" w:space="0" w:color="auto"/>
              <w:right w:val="single" w:sz="4" w:space="0" w:color="auto"/>
            </w:tcBorders>
            <w:shd w:val="clear" w:color="auto" w:fill="A5CD7E"/>
            <w:vAlign w:val="center"/>
          </w:tcPr>
          <w:p w:rsidR="00AC40FC" w:rsidRPr="00DF0D32" w:rsidRDefault="00AC40FC" w:rsidP="00521E7D">
            <w:pPr>
              <w:spacing w:before="120"/>
              <w:jc w:val="center"/>
              <w:rPr>
                <w:rFonts w:cs="Arial"/>
                <w:b/>
                <w:color w:val="000000"/>
                <w:sz w:val="22"/>
              </w:rPr>
            </w:pPr>
            <w:r w:rsidRPr="00DF0D32">
              <w:rPr>
                <w:rFonts w:cs="Arial"/>
                <w:b/>
                <w:color w:val="000000"/>
                <w:sz w:val="22"/>
              </w:rPr>
              <w:t>2015</w:t>
            </w:r>
          </w:p>
        </w:tc>
      </w:tr>
      <w:tr w:rsidR="00AC40FC" w:rsidRPr="00BB4BF0" w:rsidTr="00440B39">
        <w:trPr>
          <w:trHeight w:val="300"/>
          <w:jc w:val="center"/>
        </w:trPr>
        <w:tc>
          <w:tcPr>
            <w:tcW w:w="2445" w:type="dxa"/>
            <w:tcBorders>
              <w:top w:val="nil"/>
              <w:left w:val="single" w:sz="4" w:space="0" w:color="auto"/>
              <w:bottom w:val="single" w:sz="4" w:space="0" w:color="auto"/>
              <w:right w:val="single" w:sz="4" w:space="0" w:color="auto"/>
            </w:tcBorders>
            <w:shd w:val="clear" w:color="auto" w:fill="auto"/>
            <w:noWrap/>
            <w:vAlign w:val="center"/>
            <w:hideMark/>
          </w:tcPr>
          <w:p w:rsidR="00AC40FC" w:rsidRPr="00DF0D32" w:rsidRDefault="00AC40FC" w:rsidP="00440B39">
            <w:pPr>
              <w:spacing w:after="0"/>
              <w:jc w:val="center"/>
              <w:rPr>
                <w:rFonts w:cs="Arial"/>
                <w:color w:val="000000"/>
                <w:sz w:val="22"/>
              </w:rPr>
            </w:pPr>
            <w:r>
              <w:rPr>
                <w:rFonts w:cs="Arial"/>
                <w:color w:val="000000"/>
                <w:sz w:val="22"/>
              </w:rPr>
              <w:t xml:space="preserve">Annual </w:t>
            </w:r>
            <w:r w:rsidRPr="00DF0D32">
              <w:rPr>
                <w:rFonts w:cs="Arial"/>
                <w:color w:val="000000"/>
                <w:sz w:val="22"/>
              </w:rPr>
              <w:t>Referrals</w:t>
            </w:r>
          </w:p>
        </w:tc>
        <w:tc>
          <w:tcPr>
            <w:tcW w:w="1092" w:type="dxa"/>
            <w:tcBorders>
              <w:top w:val="nil"/>
              <w:left w:val="nil"/>
              <w:bottom w:val="single" w:sz="4" w:space="0" w:color="auto"/>
              <w:right w:val="single" w:sz="4" w:space="0" w:color="auto"/>
            </w:tcBorders>
            <w:shd w:val="clear" w:color="auto" w:fill="auto"/>
            <w:noWrap/>
            <w:vAlign w:val="center"/>
            <w:hideMark/>
          </w:tcPr>
          <w:p w:rsidR="00AC40FC" w:rsidRPr="00DF0D32" w:rsidRDefault="00AC40FC" w:rsidP="00440B39">
            <w:pPr>
              <w:spacing w:after="0"/>
              <w:jc w:val="center"/>
              <w:rPr>
                <w:rFonts w:cs="Arial"/>
                <w:color w:val="000000"/>
                <w:sz w:val="22"/>
              </w:rPr>
            </w:pPr>
            <w:r w:rsidRPr="00DF0D32">
              <w:rPr>
                <w:rFonts w:cs="Arial"/>
                <w:color w:val="000000"/>
                <w:sz w:val="22"/>
              </w:rPr>
              <w:t>108,285</w:t>
            </w:r>
          </w:p>
        </w:tc>
        <w:tc>
          <w:tcPr>
            <w:tcW w:w="1080" w:type="dxa"/>
            <w:tcBorders>
              <w:top w:val="nil"/>
              <w:left w:val="nil"/>
              <w:bottom w:val="single" w:sz="4" w:space="0" w:color="auto"/>
              <w:right w:val="single" w:sz="4" w:space="0" w:color="auto"/>
            </w:tcBorders>
            <w:shd w:val="clear" w:color="auto" w:fill="auto"/>
            <w:noWrap/>
            <w:vAlign w:val="center"/>
            <w:hideMark/>
          </w:tcPr>
          <w:p w:rsidR="00AC40FC" w:rsidRPr="00DF0D32" w:rsidRDefault="00AC40FC" w:rsidP="00440B39">
            <w:pPr>
              <w:spacing w:after="0"/>
              <w:jc w:val="center"/>
              <w:rPr>
                <w:rFonts w:cs="Arial"/>
                <w:color w:val="000000"/>
                <w:sz w:val="22"/>
              </w:rPr>
            </w:pPr>
            <w:r w:rsidRPr="00DF0D32">
              <w:rPr>
                <w:rFonts w:cs="Arial"/>
                <w:color w:val="000000"/>
                <w:sz w:val="22"/>
              </w:rPr>
              <w:t>120,987</w:t>
            </w:r>
          </w:p>
        </w:tc>
        <w:tc>
          <w:tcPr>
            <w:tcW w:w="1080" w:type="dxa"/>
            <w:tcBorders>
              <w:top w:val="nil"/>
              <w:left w:val="nil"/>
              <w:bottom w:val="single" w:sz="4" w:space="0" w:color="auto"/>
              <w:right w:val="single" w:sz="4" w:space="0" w:color="auto"/>
            </w:tcBorders>
            <w:shd w:val="clear" w:color="auto" w:fill="auto"/>
            <w:noWrap/>
            <w:vAlign w:val="center"/>
            <w:hideMark/>
          </w:tcPr>
          <w:p w:rsidR="00AC40FC" w:rsidRPr="00DF0D32" w:rsidRDefault="00AC40FC" w:rsidP="00440B39">
            <w:pPr>
              <w:spacing w:after="0"/>
              <w:jc w:val="center"/>
              <w:rPr>
                <w:rFonts w:cs="Arial"/>
                <w:color w:val="000000"/>
                <w:sz w:val="22"/>
              </w:rPr>
            </w:pPr>
            <w:r w:rsidRPr="00DF0D32">
              <w:rPr>
                <w:rFonts w:cs="Arial"/>
                <w:color w:val="000000"/>
                <w:sz w:val="22"/>
              </w:rPr>
              <w:t>124,245</w:t>
            </w:r>
          </w:p>
        </w:tc>
        <w:tc>
          <w:tcPr>
            <w:tcW w:w="1080" w:type="dxa"/>
            <w:tcBorders>
              <w:top w:val="nil"/>
              <w:left w:val="nil"/>
              <w:bottom w:val="single" w:sz="4" w:space="0" w:color="auto"/>
              <w:right w:val="single" w:sz="4" w:space="0" w:color="auto"/>
            </w:tcBorders>
            <w:shd w:val="clear" w:color="auto" w:fill="auto"/>
            <w:noWrap/>
            <w:vAlign w:val="center"/>
            <w:hideMark/>
          </w:tcPr>
          <w:p w:rsidR="00AC40FC" w:rsidRPr="00DF0D32" w:rsidRDefault="00AC40FC" w:rsidP="00440B39">
            <w:pPr>
              <w:spacing w:after="0"/>
              <w:jc w:val="center"/>
              <w:rPr>
                <w:rFonts w:cs="Arial"/>
                <w:color w:val="000000"/>
                <w:sz w:val="22"/>
              </w:rPr>
            </w:pPr>
            <w:r w:rsidRPr="00DF0D32">
              <w:rPr>
                <w:rFonts w:cs="Arial"/>
                <w:color w:val="000000"/>
                <w:sz w:val="22"/>
              </w:rPr>
              <w:t>180,543</w:t>
            </w:r>
          </w:p>
        </w:tc>
        <w:tc>
          <w:tcPr>
            <w:tcW w:w="1080" w:type="dxa"/>
            <w:tcBorders>
              <w:top w:val="nil"/>
              <w:left w:val="nil"/>
              <w:bottom w:val="single" w:sz="4" w:space="0" w:color="auto"/>
              <w:right w:val="single" w:sz="4" w:space="0" w:color="auto"/>
            </w:tcBorders>
            <w:shd w:val="clear" w:color="auto" w:fill="auto"/>
            <w:noWrap/>
            <w:vAlign w:val="center"/>
            <w:hideMark/>
          </w:tcPr>
          <w:p w:rsidR="00AC40FC" w:rsidRPr="00DF0D32" w:rsidRDefault="00AC40FC" w:rsidP="00440B39">
            <w:pPr>
              <w:spacing w:after="0"/>
              <w:jc w:val="center"/>
              <w:rPr>
                <w:rFonts w:cs="Arial"/>
                <w:color w:val="000000"/>
                <w:sz w:val="22"/>
              </w:rPr>
            </w:pPr>
            <w:r w:rsidRPr="00DF0D32">
              <w:rPr>
                <w:rFonts w:cs="Arial"/>
                <w:color w:val="000000"/>
                <w:sz w:val="22"/>
              </w:rPr>
              <w:t>189,412</w:t>
            </w:r>
          </w:p>
        </w:tc>
        <w:tc>
          <w:tcPr>
            <w:tcW w:w="1170" w:type="dxa"/>
            <w:tcBorders>
              <w:top w:val="nil"/>
              <w:left w:val="nil"/>
              <w:bottom w:val="single" w:sz="4" w:space="0" w:color="auto"/>
              <w:right w:val="single" w:sz="4" w:space="0" w:color="auto"/>
            </w:tcBorders>
            <w:vAlign w:val="center"/>
          </w:tcPr>
          <w:p w:rsidR="00AC40FC" w:rsidRPr="00DF0D32" w:rsidRDefault="00AC40FC" w:rsidP="00440B39">
            <w:pPr>
              <w:spacing w:after="0"/>
              <w:jc w:val="center"/>
              <w:rPr>
                <w:rFonts w:cs="Arial"/>
                <w:color w:val="000000"/>
                <w:sz w:val="22"/>
              </w:rPr>
            </w:pPr>
            <w:r>
              <w:rPr>
                <w:rFonts w:cs="Arial"/>
                <w:color w:val="000000"/>
                <w:sz w:val="22"/>
              </w:rPr>
              <w:t>221,998</w:t>
            </w:r>
          </w:p>
        </w:tc>
      </w:tr>
      <w:tr w:rsidR="00AC40FC" w:rsidRPr="00BB4BF0" w:rsidTr="00440B39">
        <w:trPr>
          <w:trHeight w:val="300"/>
          <w:jc w:val="center"/>
        </w:trPr>
        <w:tc>
          <w:tcPr>
            <w:tcW w:w="2445" w:type="dxa"/>
            <w:tcBorders>
              <w:top w:val="nil"/>
              <w:left w:val="single" w:sz="4" w:space="0" w:color="auto"/>
              <w:bottom w:val="single" w:sz="4" w:space="0" w:color="auto"/>
              <w:right w:val="single" w:sz="4" w:space="0" w:color="auto"/>
            </w:tcBorders>
            <w:shd w:val="clear" w:color="auto" w:fill="auto"/>
            <w:noWrap/>
            <w:vAlign w:val="center"/>
            <w:hideMark/>
          </w:tcPr>
          <w:p w:rsidR="00AC40FC" w:rsidRPr="00DF0D32" w:rsidRDefault="00AC40FC" w:rsidP="00440B39">
            <w:pPr>
              <w:spacing w:after="0"/>
              <w:jc w:val="center"/>
              <w:rPr>
                <w:rFonts w:cs="Arial"/>
                <w:color w:val="000000"/>
                <w:sz w:val="22"/>
              </w:rPr>
            </w:pPr>
            <w:r>
              <w:rPr>
                <w:rFonts w:cs="Arial"/>
                <w:color w:val="000000"/>
                <w:sz w:val="22"/>
              </w:rPr>
              <w:t>New</w:t>
            </w:r>
            <w:r w:rsidRPr="00DF0D32">
              <w:rPr>
                <w:rFonts w:cs="Arial"/>
                <w:color w:val="000000"/>
                <w:sz w:val="22"/>
              </w:rPr>
              <w:t xml:space="preserve"> </w:t>
            </w:r>
            <w:r>
              <w:rPr>
                <w:rFonts w:cs="Arial"/>
                <w:color w:val="000000"/>
                <w:sz w:val="22"/>
              </w:rPr>
              <w:t xml:space="preserve">Annual </w:t>
            </w:r>
            <w:r w:rsidRPr="00DF0D32">
              <w:rPr>
                <w:rFonts w:cs="Arial"/>
                <w:color w:val="000000"/>
                <w:sz w:val="22"/>
              </w:rPr>
              <w:t>Enrollments</w:t>
            </w:r>
          </w:p>
        </w:tc>
        <w:tc>
          <w:tcPr>
            <w:tcW w:w="1092" w:type="dxa"/>
            <w:tcBorders>
              <w:top w:val="nil"/>
              <w:left w:val="nil"/>
              <w:bottom w:val="single" w:sz="4" w:space="0" w:color="auto"/>
              <w:right w:val="single" w:sz="4" w:space="0" w:color="auto"/>
            </w:tcBorders>
            <w:shd w:val="clear" w:color="auto" w:fill="auto"/>
            <w:noWrap/>
            <w:vAlign w:val="center"/>
            <w:hideMark/>
          </w:tcPr>
          <w:p w:rsidR="00AC40FC" w:rsidRPr="00DF0D32" w:rsidRDefault="00AC40FC" w:rsidP="00440B39">
            <w:pPr>
              <w:spacing w:after="0"/>
              <w:jc w:val="center"/>
              <w:rPr>
                <w:rFonts w:cs="Arial"/>
                <w:color w:val="000000"/>
                <w:sz w:val="22"/>
              </w:rPr>
            </w:pPr>
            <w:r w:rsidRPr="00DF0D32">
              <w:rPr>
                <w:rFonts w:cs="Arial"/>
                <w:color w:val="000000"/>
                <w:sz w:val="22"/>
              </w:rPr>
              <w:t>19,760</w:t>
            </w:r>
          </w:p>
        </w:tc>
        <w:tc>
          <w:tcPr>
            <w:tcW w:w="1080" w:type="dxa"/>
            <w:tcBorders>
              <w:top w:val="nil"/>
              <w:left w:val="nil"/>
              <w:bottom w:val="single" w:sz="4" w:space="0" w:color="auto"/>
              <w:right w:val="single" w:sz="4" w:space="0" w:color="auto"/>
            </w:tcBorders>
            <w:shd w:val="clear" w:color="auto" w:fill="auto"/>
            <w:noWrap/>
            <w:vAlign w:val="center"/>
            <w:hideMark/>
          </w:tcPr>
          <w:p w:rsidR="00AC40FC" w:rsidRPr="00DF0D32" w:rsidRDefault="00AC40FC" w:rsidP="00440B39">
            <w:pPr>
              <w:spacing w:after="0"/>
              <w:jc w:val="center"/>
              <w:rPr>
                <w:rFonts w:cs="Arial"/>
                <w:color w:val="000000"/>
                <w:sz w:val="22"/>
              </w:rPr>
            </w:pPr>
            <w:r w:rsidRPr="00DF0D32">
              <w:rPr>
                <w:rFonts w:cs="Arial"/>
                <w:color w:val="000000"/>
                <w:sz w:val="22"/>
              </w:rPr>
              <w:t>20,321</w:t>
            </w:r>
          </w:p>
        </w:tc>
        <w:tc>
          <w:tcPr>
            <w:tcW w:w="1080" w:type="dxa"/>
            <w:tcBorders>
              <w:top w:val="nil"/>
              <w:left w:val="nil"/>
              <w:bottom w:val="single" w:sz="4" w:space="0" w:color="auto"/>
              <w:right w:val="single" w:sz="4" w:space="0" w:color="auto"/>
            </w:tcBorders>
            <w:shd w:val="clear" w:color="auto" w:fill="auto"/>
            <w:noWrap/>
            <w:vAlign w:val="center"/>
            <w:hideMark/>
          </w:tcPr>
          <w:p w:rsidR="00AC40FC" w:rsidRPr="00DF0D32" w:rsidRDefault="00AC40FC" w:rsidP="00440B39">
            <w:pPr>
              <w:spacing w:after="0"/>
              <w:jc w:val="center"/>
              <w:rPr>
                <w:rFonts w:cs="Arial"/>
                <w:color w:val="000000"/>
                <w:sz w:val="22"/>
              </w:rPr>
            </w:pPr>
            <w:r w:rsidRPr="00DF0D32">
              <w:rPr>
                <w:rFonts w:cs="Arial"/>
                <w:color w:val="000000"/>
                <w:sz w:val="22"/>
              </w:rPr>
              <w:t>17,934</w:t>
            </w:r>
          </w:p>
        </w:tc>
        <w:tc>
          <w:tcPr>
            <w:tcW w:w="1080" w:type="dxa"/>
            <w:tcBorders>
              <w:top w:val="nil"/>
              <w:left w:val="nil"/>
              <w:bottom w:val="single" w:sz="4" w:space="0" w:color="auto"/>
              <w:right w:val="single" w:sz="4" w:space="0" w:color="auto"/>
            </w:tcBorders>
            <w:shd w:val="clear" w:color="auto" w:fill="auto"/>
            <w:noWrap/>
            <w:vAlign w:val="center"/>
            <w:hideMark/>
          </w:tcPr>
          <w:p w:rsidR="00AC40FC" w:rsidRPr="00DF0D32" w:rsidRDefault="00AC40FC" w:rsidP="00440B39">
            <w:pPr>
              <w:spacing w:after="0"/>
              <w:jc w:val="center"/>
              <w:rPr>
                <w:rFonts w:cs="Arial"/>
                <w:color w:val="000000"/>
                <w:sz w:val="22"/>
              </w:rPr>
            </w:pPr>
            <w:r w:rsidRPr="00DF0D32">
              <w:rPr>
                <w:rFonts w:cs="Arial"/>
                <w:color w:val="000000"/>
                <w:sz w:val="22"/>
              </w:rPr>
              <w:t>22,043</w:t>
            </w:r>
          </w:p>
        </w:tc>
        <w:tc>
          <w:tcPr>
            <w:tcW w:w="1080" w:type="dxa"/>
            <w:tcBorders>
              <w:top w:val="nil"/>
              <w:left w:val="nil"/>
              <w:bottom w:val="single" w:sz="4" w:space="0" w:color="auto"/>
              <w:right w:val="single" w:sz="4" w:space="0" w:color="auto"/>
            </w:tcBorders>
            <w:shd w:val="clear" w:color="auto" w:fill="auto"/>
            <w:noWrap/>
            <w:vAlign w:val="center"/>
            <w:hideMark/>
          </w:tcPr>
          <w:p w:rsidR="00AC40FC" w:rsidRPr="00DF0D32" w:rsidRDefault="00AC40FC" w:rsidP="00440B39">
            <w:pPr>
              <w:spacing w:after="0"/>
              <w:jc w:val="center"/>
              <w:rPr>
                <w:rFonts w:cs="Arial"/>
                <w:color w:val="000000"/>
                <w:sz w:val="22"/>
              </w:rPr>
            </w:pPr>
            <w:r w:rsidRPr="00DF0D32">
              <w:rPr>
                <w:rFonts w:cs="Arial"/>
                <w:color w:val="000000"/>
                <w:sz w:val="22"/>
              </w:rPr>
              <w:t>22,520</w:t>
            </w:r>
          </w:p>
        </w:tc>
        <w:tc>
          <w:tcPr>
            <w:tcW w:w="1170" w:type="dxa"/>
            <w:tcBorders>
              <w:top w:val="nil"/>
              <w:left w:val="nil"/>
              <w:bottom w:val="single" w:sz="4" w:space="0" w:color="auto"/>
              <w:right w:val="single" w:sz="4" w:space="0" w:color="auto"/>
            </w:tcBorders>
            <w:vAlign w:val="center"/>
          </w:tcPr>
          <w:p w:rsidR="00AC40FC" w:rsidRPr="00DF0D32" w:rsidRDefault="00AC40FC" w:rsidP="00440B39">
            <w:pPr>
              <w:spacing w:after="0"/>
              <w:jc w:val="center"/>
              <w:rPr>
                <w:rFonts w:cs="Arial"/>
                <w:color w:val="000000"/>
                <w:sz w:val="22"/>
              </w:rPr>
            </w:pPr>
            <w:r>
              <w:rPr>
                <w:rFonts w:cs="Arial"/>
                <w:color w:val="000000"/>
                <w:sz w:val="22"/>
              </w:rPr>
              <w:t>38,024</w:t>
            </w:r>
          </w:p>
        </w:tc>
      </w:tr>
      <w:tr w:rsidR="00AC40FC" w:rsidRPr="00BB4BF0" w:rsidTr="00440B39">
        <w:trPr>
          <w:trHeight w:val="300"/>
          <w:jc w:val="center"/>
        </w:trPr>
        <w:tc>
          <w:tcPr>
            <w:tcW w:w="2445" w:type="dxa"/>
            <w:tcBorders>
              <w:top w:val="nil"/>
              <w:left w:val="single" w:sz="4" w:space="0" w:color="auto"/>
              <w:bottom w:val="single" w:sz="4" w:space="0" w:color="auto"/>
              <w:right w:val="single" w:sz="4" w:space="0" w:color="auto"/>
            </w:tcBorders>
            <w:shd w:val="clear" w:color="auto" w:fill="auto"/>
            <w:noWrap/>
            <w:vAlign w:val="center"/>
            <w:hideMark/>
          </w:tcPr>
          <w:p w:rsidR="00AC40FC" w:rsidRDefault="00AC40FC" w:rsidP="00440B39">
            <w:pPr>
              <w:spacing w:after="0"/>
              <w:jc w:val="center"/>
              <w:rPr>
                <w:rFonts w:cs="Arial"/>
                <w:color w:val="000000"/>
                <w:sz w:val="22"/>
              </w:rPr>
            </w:pPr>
            <w:r>
              <w:rPr>
                <w:rFonts w:cs="Arial"/>
                <w:color w:val="000000"/>
                <w:sz w:val="22"/>
              </w:rPr>
              <w:t>Active Members</w:t>
            </w:r>
          </w:p>
          <w:p w:rsidR="00AC40FC" w:rsidRPr="00DF0D32" w:rsidRDefault="00AC40FC" w:rsidP="00440B39">
            <w:pPr>
              <w:spacing w:after="0"/>
              <w:jc w:val="center"/>
              <w:rPr>
                <w:rFonts w:cs="Arial"/>
                <w:color w:val="000000"/>
                <w:sz w:val="22"/>
              </w:rPr>
            </w:pPr>
            <w:r>
              <w:rPr>
                <w:rFonts w:cs="Arial"/>
                <w:color w:val="000000"/>
                <w:sz w:val="22"/>
              </w:rPr>
              <w:t xml:space="preserve"> (year-e</w:t>
            </w:r>
            <w:r w:rsidRPr="00DF0D32">
              <w:rPr>
                <w:rFonts w:cs="Arial"/>
                <w:color w:val="000000"/>
                <w:sz w:val="22"/>
              </w:rPr>
              <w:t>nd)</w:t>
            </w:r>
          </w:p>
        </w:tc>
        <w:tc>
          <w:tcPr>
            <w:tcW w:w="1092" w:type="dxa"/>
            <w:tcBorders>
              <w:top w:val="nil"/>
              <w:left w:val="nil"/>
              <w:bottom w:val="single" w:sz="4" w:space="0" w:color="auto"/>
              <w:right w:val="single" w:sz="4" w:space="0" w:color="auto"/>
            </w:tcBorders>
            <w:shd w:val="clear" w:color="auto" w:fill="auto"/>
            <w:noWrap/>
            <w:vAlign w:val="center"/>
            <w:hideMark/>
          </w:tcPr>
          <w:p w:rsidR="00AC40FC" w:rsidRPr="00DF0D32" w:rsidRDefault="00AC40FC" w:rsidP="00440B39">
            <w:pPr>
              <w:spacing w:after="0"/>
              <w:jc w:val="center"/>
              <w:rPr>
                <w:rFonts w:cs="Arial"/>
                <w:color w:val="000000"/>
                <w:sz w:val="22"/>
              </w:rPr>
            </w:pPr>
            <w:r w:rsidRPr="00DF0D32">
              <w:rPr>
                <w:rFonts w:cs="Arial"/>
                <w:color w:val="000000"/>
                <w:sz w:val="22"/>
              </w:rPr>
              <w:t>32,446</w:t>
            </w:r>
          </w:p>
        </w:tc>
        <w:tc>
          <w:tcPr>
            <w:tcW w:w="1080" w:type="dxa"/>
            <w:tcBorders>
              <w:top w:val="nil"/>
              <w:left w:val="nil"/>
              <w:bottom w:val="single" w:sz="4" w:space="0" w:color="auto"/>
              <w:right w:val="single" w:sz="4" w:space="0" w:color="auto"/>
            </w:tcBorders>
            <w:shd w:val="clear" w:color="auto" w:fill="auto"/>
            <w:noWrap/>
            <w:vAlign w:val="center"/>
            <w:hideMark/>
          </w:tcPr>
          <w:p w:rsidR="00AC40FC" w:rsidRPr="00DF0D32" w:rsidRDefault="00AC40FC" w:rsidP="00440B39">
            <w:pPr>
              <w:spacing w:after="0"/>
              <w:jc w:val="center"/>
              <w:rPr>
                <w:rFonts w:cs="Arial"/>
                <w:color w:val="000000"/>
                <w:sz w:val="22"/>
              </w:rPr>
            </w:pPr>
            <w:r w:rsidRPr="00DF0D32">
              <w:rPr>
                <w:rFonts w:cs="Arial"/>
                <w:color w:val="000000"/>
                <w:sz w:val="22"/>
              </w:rPr>
              <w:t>34,308</w:t>
            </w:r>
          </w:p>
        </w:tc>
        <w:tc>
          <w:tcPr>
            <w:tcW w:w="1080" w:type="dxa"/>
            <w:tcBorders>
              <w:top w:val="nil"/>
              <w:left w:val="nil"/>
              <w:bottom w:val="single" w:sz="4" w:space="0" w:color="auto"/>
              <w:right w:val="single" w:sz="4" w:space="0" w:color="auto"/>
            </w:tcBorders>
            <w:shd w:val="clear" w:color="auto" w:fill="auto"/>
            <w:noWrap/>
            <w:vAlign w:val="center"/>
            <w:hideMark/>
          </w:tcPr>
          <w:p w:rsidR="00AC40FC" w:rsidRPr="00DF0D32" w:rsidRDefault="00AC40FC" w:rsidP="00440B39">
            <w:pPr>
              <w:spacing w:after="0"/>
              <w:jc w:val="center"/>
              <w:rPr>
                <w:rFonts w:cs="Arial"/>
                <w:color w:val="000000"/>
                <w:sz w:val="22"/>
              </w:rPr>
            </w:pPr>
            <w:r w:rsidRPr="00DF0D32">
              <w:rPr>
                <w:rFonts w:cs="Arial"/>
                <w:color w:val="000000"/>
                <w:sz w:val="22"/>
              </w:rPr>
              <w:t>31,657</w:t>
            </w:r>
          </w:p>
        </w:tc>
        <w:tc>
          <w:tcPr>
            <w:tcW w:w="1080" w:type="dxa"/>
            <w:tcBorders>
              <w:top w:val="nil"/>
              <w:left w:val="nil"/>
              <w:bottom w:val="single" w:sz="4" w:space="0" w:color="auto"/>
              <w:right w:val="single" w:sz="4" w:space="0" w:color="auto"/>
            </w:tcBorders>
            <w:shd w:val="clear" w:color="auto" w:fill="auto"/>
            <w:noWrap/>
            <w:vAlign w:val="center"/>
            <w:hideMark/>
          </w:tcPr>
          <w:p w:rsidR="00AC40FC" w:rsidRPr="00DF0D32" w:rsidRDefault="00AC40FC" w:rsidP="00440B39">
            <w:pPr>
              <w:spacing w:after="0"/>
              <w:jc w:val="center"/>
              <w:rPr>
                <w:rFonts w:cs="Arial"/>
                <w:color w:val="000000"/>
                <w:sz w:val="22"/>
              </w:rPr>
            </w:pPr>
            <w:r w:rsidRPr="00DF0D32">
              <w:rPr>
                <w:rFonts w:cs="Arial"/>
                <w:color w:val="000000"/>
                <w:sz w:val="22"/>
              </w:rPr>
              <w:t>37,204</w:t>
            </w:r>
          </w:p>
        </w:tc>
        <w:tc>
          <w:tcPr>
            <w:tcW w:w="1080" w:type="dxa"/>
            <w:tcBorders>
              <w:top w:val="nil"/>
              <w:left w:val="nil"/>
              <w:bottom w:val="single" w:sz="4" w:space="0" w:color="auto"/>
              <w:right w:val="single" w:sz="4" w:space="0" w:color="auto"/>
            </w:tcBorders>
            <w:shd w:val="clear" w:color="auto" w:fill="auto"/>
            <w:noWrap/>
            <w:vAlign w:val="center"/>
            <w:hideMark/>
          </w:tcPr>
          <w:p w:rsidR="00AC40FC" w:rsidRPr="00DF0D32" w:rsidRDefault="00AC40FC" w:rsidP="00440B39">
            <w:pPr>
              <w:spacing w:after="0"/>
              <w:jc w:val="center"/>
              <w:rPr>
                <w:rFonts w:cs="Arial"/>
                <w:color w:val="000000"/>
                <w:sz w:val="22"/>
              </w:rPr>
            </w:pPr>
            <w:r w:rsidRPr="00DF0D32">
              <w:rPr>
                <w:rFonts w:cs="Arial"/>
                <w:color w:val="000000"/>
                <w:sz w:val="22"/>
              </w:rPr>
              <w:t>41,288</w:t>
            </w:r>
          </w:p>
        </w:tc>
        <w:tc>
          <w:tcPr>
            <w:tcW w:w="1170" w:type="dxa"/>
            <w:tcBorders>
              <w:top w:val="nil"/>
              <w:left w:val="nil"/>
              <w:bottom w:val="single" w:sz="4" w:space="0" w:color="auto"/>
              <w:right w:val="single" w:sz="4" w:space="0" w:color="auto"/>
            </w:tcBorders>
            <w:vAlign w:val="center"/>
          </w:tcPr>
          <w:p w:rsidR="00AC40FC" w:rsidRPr="00DF0D32" w:rsidRDefault="00AC40FC" w:rsidP="00440B39">
            <w:pPr>
              <w:spacing w:after="0"/>
              <w:jc w:val="center"/>
              <w:rPr>
                <w:rFonts w:cs="Arial"/>
                <w:color w:val="000000"/>
                <w:sz w:val="22"/>
              </w:rPr>
            </w:pPr>
            <w:r>
              <w:rPr>
                <w:rFonts w:cs="Arial"/>
                <w:color w:val="000000"/>
                <w:sz w:val="22"/>
              </w:rPr>
              <w:t>46,936</w:t>
            </w:r>
          </w:p>
        </w:tc>
      </w:tr>
      <w:tr w:rsidR="00AC40FC" w:rsidRPr="00BB4BF0" w:rsidTr="00440B39">
        <w:trPr>
          <w:trHeight w:val="476"/>
          <w:jc w:val="center"/>
        </w:trPr>
        <w:tc>
          <w:tcPr>
            <w:tcW w:w="2445" w:type="dxa"/>
            <w:tcBorders>
              <w:top w:val="nil"/>
              <w:left w:val="single" w:sz="4" w:space="0" w:color="auto"/>
              <w:bottom w:val="single" w:sz="4" w:space="0" w:color="auto"/>
              <w:right w:val="single" w:sz="4" w:space="0" w:color="auto"/>
            </w:tcBorders>
            <w:shd w:val="clear" w:color="auto" w:fill="auto"/>
            <w:noWrap/>
            <w:vAlign w:val="center"/>
            <w:hideMark/>
          </w:tcPr>
          <w:p w:rsidR="00AC40FC" w:rsidRPr="00DF0D32" w:rsidRDefault="00AC40FC" w:rsidP="00440B39">
            <w:pPr>
              <w:spacing w:after="0"/>
              <w:jc w:val="center"/>
              <w:rPr>
                <w:rFonts w:cs="Arial"/>
                <w:color w:val="000000"/>
                <w:sz w:val="22"/>
              </w:rPr>
            </w:pPr>
            <w:r w:rsidRPr="00DF0D32">
              <w:rPr>
                <w:rFonts w:cs="Arial"/>
                <w:color w:val="000000"/>
                <w:sz w:val="22"/>
              </w:rPr>
              <w:t xml:space="preserve">Enrollment </w:t>
            </w:r>
            <w:r>
              <w:rPr>
                <w:rFonts w:cs="Arial"/>
                <w:color w:val="000000"/>
                <w:sz w:val="22"/>
              </w:rPr>
              <w:t xml:space="preserve">to Referral </w:t>
            </w:r>
            <w:r w:rsidRPr="00DF0D32">
              <w:rPr>
                <w:rFonts w:cs="Arial"/>
                <w:color w:val="000000"/>
                <w:sz w:val="22"/>
              </w:rPr>
              <w:t>Ratio</w:t>
            </w:r>
          </w:p>
        </w:tc>
        <w:tc>
          <w:tcPr>
            <w:tcW w:w="1092" w:type="dxa"/>
            <w:tcBorders>
              <w:top w:val="nil"/>
              <w:left w:val="nil"/>
              <w:bottom w:val="single" w:sz="4" w:space="0" w:color="auto"/>
              <w:right w:val="single" w:sz="4" w:space="0" w:color="auto"/>
            </w:tcBorders>
            <w:shd w:val="clear" w:color="auto" w:fill="auto"/>
            <w:noWrap/>
            <w:vAlign w:val="center"/>
            <w:hideMark/>
          </w:tcPr>
          <w:p w:rsidR="00AC40FC" w:rsidRPr="00DF0D32" w:rsidRDefault="00AC40FC" w:rsidP="00440B39">
            <w:pPr>
              <w:spacing w:after="0"/>
              <w:jc w:val="center"/>
              <w:rPr>
                <w:rFonts w:cs="Arial"/>
                <w:color w:val="000000"/>
                <w:sz w:val="22"/>
              </w:rPr>
            </w:pPr>
            <w:r>
              <w:rPr>
                <w:rFonts w:cs="Arial"/>
                <w:color w:val="000000"/>
                <w:sz w:val="22"/>
              </w:rPr>
              <w:t>18.2%</w:t>
            </w:r>
          </w:p>
        </w:tc>
        <w:tc>
          <w:tcPr>
            <w:tcW w:w="1080" w:type="dxa"/>
            <w:tcBorders>
              <w:top w:val="nil"/>
              <w:left w:val="nil"/>
              <w:bottom w:val="single" w:sz="4" w:space="0" w:color="auto"/>
              <w:right w:val="single" w:sz="4" w:space="0" w:color="auto"/>
            </w:tcBorders>
            <w:shd w:val="clear" w:color="auto" w:fill="auto"/>
            <w:noWrap/>
            <w:vAlign w:val="center"/>
            <w:hideMark/>
          </w:tcPr>
          <w:p w:rsidR="00AC40FC" w:rsidRPr="00DF0D32" w:rsidRDefault="00AC40FC" w:rsidP="00440B39">
            <w:pPr>
              <w:spacing w:after="0"/>
              <w:jc w:val="center"/>
              <w:rPr>
                <w:rFonts w:cs="Arial"/>
                <w:color w:val="000000"/>
                <w:sz w:val="22"/>
              </w:rPr>
            </w:pPr>
            <w:r>
              <w:rPr>
                <w:rFonts w:cs="Arial"/>
                <w:color w:val="000000"/>
                <w:sz w:val="22"/>
              </w:rPr>
              <w:t>16.8%</w:t>
            </w:r>
          </w:p>
        </w:tc>
        <w:tc>
          <w:tcPr>
            <w:tcW w:w="1080" w:type="dxa"/>
            <w:tcBorders>
              <w:top w:val="nil"/>
              <w:left w:val="nil"/>
              <w:bottom w:val="single" w:sz="4" w:space="0" w:color="auto"/>
              <w:right w:val="single" w:sz="4" w:space="0" w:color="auto"/>
            </w:tcBorders>
            <w:shd w:val="clear" w:color="auto" w:fill="auto"/>
            <w:noWrap/>
            <w:vAlign w:val="center"/>
            <w:hideMark/>
          </w:tcPr>
          <w:p w:rsidR="00AC40FC" w:rsidRPr="00DF0D32" w:rsidRDefault="00AC40FC" w:rsidP="00440B39">
            <w:pPr>
              <w:spacing w:after="0"/>
              <w:jc w:val="center"/>
              <w:rPr>
                <w:rFonts w:cs="Arial"/>
                <w:color w:val="000000"/>
                <w:sz w:val="22"/>
              </w:rPr>
            </w:pPr>
            <w:r>
              <w:rPr>
                <w:rFonts w:cs="Arial"/>
                <w:color w:val="000000"/>
                <w:sz w:val="22"/>
              </w:rPr>
              <w:t>14.4%</w:t>
            </w:r>
          </w:p>
        </w:tc>
        <w:tc>
          <w:tcPr>
            <w:tcW w:w="1080" w:type="dxa"/>
            <w:tcBorders>
              <w:top w:val="nil"/>
              <w:left w:val="nil"/>
              <w:bottom w:val="single" w:sz="4" w:space="0" w:color="auto"/>
              <w:right w:val="single" w:sz="4" w:space="0" w:color="auto"/>
            </w:tcBorders>
            <w:shd w:val="clear" w:color="auto" w:fill="auto"/>
            <w:noWrap/>
            <w:vAlign w:val="center"/>
            <w:hideMark/>
          </w:tcPr>
          <w:p w:rsidR="00AC40FC" w:rsidRPr="00DF0D32" w:rsidRDefault="00AC40FC" w:rsidP="00440B39">
            <w:pPr>
              <w:spacing w:after="0"/>
              <w:jc w:val="center"/>
              <w:rPr>
                <w:rFonts w:cs="Arial"/>
                <w:color w:val="000000"/>
                <w:sz w:val="22"/>
              </w:rPr>
            </w:pPr>
            <w:r>
              <w:rPr>
                <w:rFonts w:cs="Arial"/>
                <w:color w:val="000000"/>
                <w:sz w:val="22"/>
              </w:rPr>
              <w:t>12.2%</w:t>
            </w:r>
          </w:p>
        </w:tc>
        <w:tc>
          <w:tcPr>
            <w:tcW w:w="1080" w:type="dxa"/>
            <w:tcBorders>
              <w:top w:val="nil"/>
              <w:left w:val="nil"/>
              <w:bottom w:val="single" w:sz="4" w:space="0" w:color="auto"/>
              <w:right w:val="single" w:sz="4" w:space="0" w:color="auto"/>
            </w:tcBorders>
            <w:shd w:val="clear" w:color="auto" w:fill="auto"/>
            <w:noWrap/>
            <w:vAlign w:val="center"/>
            <w:hideMark/>
          </w:tcPr>
          <w:p w:rsidR="00AC40FC" w:rsidRPr="00DF0D32" w:rsidRDefault="00AC40FC" w:rsidP="00440B39">
            <w:pPr>
              <w:spacing w:after="0"/>
              <w:jc w:val="center"/>
              <w:rPr>
                <w:rFonts w:cs="Arial"/>
                <w:color w:val="000000"/>
                <w:sz w:val="22"/>
              </w:rPr>
            </w:pPr>
            <w:r>
              <w:rPr>
                <w:rFonts w:cs="Arial"/>
                <w:color w:val="000000"/>
                <w:sz w:val="22"/>
              </w:rPr>
              <w:t>11.9%</w:t>
            </w:r>
          </w:p>
        </w:tc>
        <w:tc>
          <w:tcPr>
            <w:tcW w:w="1170" w:type="dxa"/>
            <w:tcBorders>
              <w:top w:val="nil"/>
              <w:left w:val="nil"/>
              <w:bottom w:val="single" w:sz="4" w:space="0" w:color="auto"/>
              <w:right w:val="single" w:sz="4" w:space="0" w:color="auto"/>
            </w:tcBorders>
            <w:vAlign w:val="center"/>
          </w:tcPr>
          <w:p w:rsidR="00AC40FC" w:rsidRPr="00DF0D32" w:rsidRDefault="00AC40FC" w:rsidP="00440B39">
            <w:pPr>
              <w:spacing w:after="0"/>
              <w:jc w:val="center"/>
              <w:rPr>
                <w:rFonts w:cs="Arial"/>
                <w:color w:val="000000"/>
                <w:sz w:val="22"/>
              </w:rPr>
            </w:pPr>
            <w:r>
              <w:rPr>
                <w:rFonts w:cs="Arial"/>
                <w:color w:val="000000"/>
                <w:sz w:val="22"/>
              </w:rPr>
              <w:t>17.1%</w:t>
            </w:r>
          </w:p>
        </w:tc>
      </w:tr>
      <w:tr w:rsidR="00AC40FC" w:rsidRPr="00BB4BF0" w:rsidTr="00440B39">
        <w:trPr>
          <w:trHeight w:val="300"/>
          <w:jc w:val="center"/>
        </w:trPr>
        <w:tc>
          <w:tcPr>
            <w:tcW w:w="9027"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C40FC" w:rsidRPr="009D0975" w:rsidRDefault="00AC40FC" w:rsidP="00440B39">
            <w:pPr>
              <w:spacing w:after="0"/>
              <w:jc w:val="left"/>
              <w:rPr>
                <w:rFonts w:cs="Arial"/>
                <w:color w:val="000000"/>
                <w:sz w:val="22"/>
              </w:rPr>
            </w:pPr>
            <w:r w:rsidRPr="009D0975">
              <w:rPr>
                <w:rFonts w:cs="Arial"/>
                <w:color w:val="000000"/>
                <w:sz w:val="22"/>
              </w:rPr>
              <w:t>Source</w:t>
            </w:r>
            <w:r>
              <w:rPr>
                <w:rFonts w:cs="Arial"/>
                <w:color w:val="000000"/>
                <w:sz w:val="22"/>
              </w:rPr>
              <w:t>s</w:t>
            </w:r>
            <w:r w:rsidRPr="009D0975">
              <w:rPr>
                <w:rFonts w:cs="Arial"/>
                <w:color w:val="000000"/>
                <w:sz w:val="22"/>
              </w:rPr>
              <w:t xml:space="preserve">:  DN 14-117; </w:t>
            </w:r>
            <w:r>
              <w:rPr>
                <w:sz w:val="22"/>
              </w:rPr>
              <w:t>PPL EU edits</w:t>
            </w:r>
          </w:p>
        </w:tc>
      </w:tr>
    </w:tbl>
    <w:p w:rsidR="00AC40FC" w:rsidRDefault="00AC40FC" w:rsidP="00440B39">
      <w:pPr>
        <w:pStyle w:val="Normal-aftertable"/>
      </w:pPr>
      <w:r>
        <w:lastRenderedPageBreak/>
        <w:t xml:space="preserve">Annual Referrals have more than doubled, increasing by 105%, and New Annual Enrollments have increased by 92%.  By contrast, the number of Active Members at year-end has increased by less than half of that rate, about 45%, suggesting that more referrals and enrollments are not leading to sustainability of OnTrack participants to successfully complete the program.  </w:t>
      </w:r>
      <w:r w:rsidRPr="00F745A0">
        <w:t xml:space="preserve">The Enrollment to Referral Ratio exhibits no particular trend.  </w:t>
      </w:r>
    </w:p>
    <w:p w:rsidR="00AC40FC" w:rsidRDefault="00AC40FC" w:rsidP="0049591B">
      <w:pPr>
        <w:pStyle w:val="Findings"/>
      </w:pPr>
      <w:r>
        <w:t>Regulatory Programs is seeking to improve the quality of OnTrack referrals so that a higher percentage of referrals result in successful enrollments and sustained participation.</w:t>
      </w:r>
    </w:p>
    <w:p w:rsidR="00AC40FC" w:rsidRDefault="00AC40FC" w:rsidP="00440B39">
      <w:r>
        <w:t xml:space="preserve">There are a number of customers who do not act on the referral and do not mail applications to the agency.  Existing systems will refer the same customer multiple times if the initial referral does not result in an enrollment and, to that extent, the ratio of referrals to enrollments may be overstated.  Also, the number of referrals has been increasing because of expanded efforts to encourage customers to consider OnTrack.  </w:t>
      </w:r>
      <w:r w:rsidRPr="005648B0">
        <w:t>In 2014, PPL EU issued an average of nearly 16,000 referrals monthly to the OnTrack program.  In 2015, the monthly average has been nearly 19,000 referrals</w:t>
      </w:r>
      <w:r w:rsidR="00E32117" w:rsidRPr="005648B0">
        <w:t>.</w:t>
      </w:r>
    </w:p>
    <w:p w:rsidR="00AC40FC" w:rsidRDefault="00AC40FC" w:rsidP="00440B39">
      <w:r>
        <w:t>The Regulatory Programs team has been identifying potentially eligible customers.  As part of a pilot program, beginning in 2015, PPL EU has been doing analytical work using existing customer data and attributes to find and refer customers who appear to be a good fit for the program.  Internally, this is referred to as “leads list” work.  This additional practice is implemented with the use of the PPLSolutions call center to contact customers.</w:t>
      </w:r>
    </w:p>
    <w:p w:rsidR="00AC40FC" w:rsidRDefault="00AC40FC" w:rsidP="00440B39">
      <w:r>
        <w:t>Regulatory Programs is considering developing a new, more intelligent, point-based referral system.  Under this model, the potential referral would build points based on attributes such as: payment history/number of payments, household income, household size, credit history/credit score, LIHEAP recipient, overdue balance amount, collection history, and number of calls to PPL EU.  A weighted average could be developed to provide relative value of these types of attributes in order to build up a total point score for the would-be referral.  PPL EU would have the ability to set the referral “point threshold” (or quality of the referral) based on the time of the year, the regulatory environment, and/or the need for more or less referrals to the program.</w:t>
      </w:r>
    </w:p>
    <w:p w:rsidR="00AC40FC" w:rsidRPr="003169BE" w:rsidRDefault="00AC40FC" w:rsidP="00440B39">
      <w:r>
        <w:t>Regulatory Programs thinks the point system will drive to a higher quality and higher confidence referral.  Conceivably, this type of intelligent referral system would lower the referral to enrollment ratio over time and increasing the penetration rate of eligible customers, reflecting more enrollments, and presumably lower program costs per enrollee.  PPL EU acknowledges that there are no definitive timelines, funding, or project plans, but the team will continue to investigate this project because the benefits appear to be strong.</w:t>
      </w:r>
    </w:p>
    <w:p w:rsidR="00AC40FC" w:rsidRPr="00FD21AF" w:rsidRDefault="00AC40FC" w:rsidP="0049591B">
      <w:pPr>
        <w:pStyle w:val="Findings"/>
      </w:pPr>
      <w:r w:rsidRPr="00FD21AF">
        <w:t>Portraying ratios for cost per enrollment is inconclusive and requires further analysis.</w:t>
      </w:r>
    </w:p>
    <w:p w:rsidR="00AC40FC" w:rsidRDefault="00AC40FC" w:rsidP="00440B39">
      <w:r>
        <w:t>The graph and table below show that the annual unit cost ratios of agency enrollments:</w:t>
      </w:r>
    </w:p>
    <w:p w:rsidR="00AC40FC" w:rsidRPr="002811B4" w:rsidRDefault="00AC40FC" w:rsidP="002B3172">
      <w:pPr>
        <w:pStyle w:val="Caption"/>
      </w:pPr>
      <w:bookmarkStart w:id="177" w:name="_Toc462648434"/>
      <w:bookmarkStart w:id="178" w:name="_Toc464553056"/>
      <w:r>
        <w:lastRenderedPageBreak/>
        <w:t xml:space="preserve">Exhibit </w:t>
      </w:r>
      <w:fldSimple w:instr=" STYLEREF 1 \s ">
        <w:r w:rsidR="00A24205">
          <w:rPr>
            <w:noProof/>
          </w:rPr>
          <w:t>X</w:t>
        </w:r>
      </w:fldSimple>
      <w:r w:rsidR="00264A1B">
        <w:noBreakHyphen/>
      </w:r>
      <w:fldSimple w:instr=" SEQ Exhibit \* ARABIC \s 1 ">
        <w:r w:rsidR="00A24205">
          <w:rPr>
            <w:noProof/>
          </w:rPr>
          <w:t>17</w:t>
        </w:r>
      </w:fldSimple>
      <w:r>
        <w:br/>
        <w:t>OnTrack Agency Cost Per New Enrollment</w:t>
      </w:r>
      <w:bookmarkEnd w:id="177"/>
      <w:bookmarkEnd w:id="178"/>
    </w:p>
    <w:p w:rsidR="00AC40FC" w:rsidRDefault="00AC40FC" w:rsidP="00BB665B">
      <w:pPr>
        <w:jc w:val="center"/>
      </w:pPr>
      <w:r>
        <w:rPr>
          <w:noProof/>
        </w:rPr>
        <w:drawing>
          <wp:inline distT="0" distB="0" distL="0" distR="0">
            <wp:extent cx="3671794" cy="2342776"/>
            <wp:effectExtent l="0" t="0" r="5080" b="635"/>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bl>
      <w:tblPr>
        <w:tblW w:w="8977" w:type="dxa"/>
        <w:jc w:val="center"/>
        <w:tblLook w:val="04A0"/>
      </w:tblPr>
      <w:tblGrid>
        <w:gridCol w:w="1412"/>
        <w:gridCol w:w="1252"/>
        <w:gridCol w:w="1260"/>
        <w:gridCol w:w="1260"/>
        <w:gridCol w:w="1260"/>
        <w:gridCol w:w="1260"/>
        <w:gridCol w:w="1273"/>
      </w:tblGrid>
      <w:tr w:rsidR="00AC40FC" w:rsidRPr="00521E7D" w:rsidTr="00155DDD">
        <w:trPr>
          <w:cantSplit/>
          <w:trHeight w:val="320"/>
          <w:tblHeader/>
          <w:jc w:val="center"/>
        </w:trPr>
        <w:tc>
          <w:tcPr>
            <w:tcW w:w="1412" w:type="dxa"/>
            <w:tcBorders>
              <w:top w:val="single" w:sz="4" w:space="0" w:color="auto"/>
              <w:left w:val="single" w:sz="4" w:space="0" w:color="auto"/>
              <w:bottom w:val="single" w:sz="4" w:space="0" w:color="auto"/>
              <w:right w:val="single" w:sz="4" w:space="0" w:color="auto"/>
            </w:tcBorders>
            <w:shd w:val="clear" w:color="auto" w:fill="A5CD7E"/>
            <w:noWrap/>
            <w:vAlign w:val="center"/>
            <w:hideMark/>
          </w:tcPr>
          <w:p w:rsidR="00AC40FC" w:rsidRPr="00521E7D" w:rsidRDefault="00AC40FC" w:rsidP="00521E7D">
            <w:pPr>
              <w:spacing w:before="120"/>
              <w:jc w:val="center"/>
              <w:rPr>
                <w:rFonts w:cs="Arial"/>
                <w:b/>
                <w:color w:val="000000"/>
                <w:sz w:val="22"/>
              </w:rPr>
            </w:pPr>
            <w:r w:rsidRPr="00521E7D">
              <w:rPr>
                <w:rFonts w:cs="Arial"/>
                <w:b/>
                <w:color w:val="000000"/>
                <w:sz w:val="22"/>
              </w:rPr>
              <w:t>Factor</w:t>
            </w:r>
          </w:p>
        </w:tc>
        <w:tc>
          <w:tcPr>
            <w:tcW w:w="1252"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521E7D" w:rsidRDefault="00AC40FC" w:rsidP="00521E7D">
            <w:pPr>
              <w:spacing w:before="120"/>
              <w:jc w:val="center"/>
              <w:rPr>
                <w:rFonts w:cs="Arial"/>
                <w:b/>
                <w:color w:val="000000"/>
                <w:sz w:val="22"/>
              </w:rPr>
            </w:pPr>
            <w:r w:rsidRPr="00521E7D">
              <w:rPr>
                <w:rFonts w:cs="Arial"/>
                <w:b/>
                <w:color w:val="000000"/>
                <w:sz w:val="22"/>
              </w:rPr>
              <w:t>2010</w:t>
            </w:r>
          </w:p>
        </w:tc>
        <w:tc>
          <w:tcPr>
            <w:tcW w:w="126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521E7D" w:rsidRDefault="00AC40FC" w:rsidP="00521E7D">
            <w:pPr>
              <w:spacing w:before="120"/>
              <w:jc w:val="center"/>
              <w:rPr>
                <w:rFonts w:cs="Arial"/>
                <w:b/>
                <w:color w:val="000000"/>
                <w:sz w:val="22"/>
              </w:rPr>
            </w:pPr>
            <w:r w:rsidRPr="00521E7D">
              <w:rPr>
                <w:rFonts w:cs="Arial"/>
                <w:b/>
                <w:color w:val="000000"/>
                <w:sz w:val="22"/>
              </w:rPr>
              <w:t>2011</w:t>
            </w:r>
          </w:p>
        </w:tc>
        <w:tc>
          <w:tcPr>
            <w:tcW w:w="126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521E7D" w:rsidRDefault="00AC40FC" w:rsidP="00521E7D">
            <w:pPr>
              <w:spacing w:before="120"/>
              <w:jc w:val="center"/>
              <w:rPr>
                <w:rFonts w:cs="Arial"/>
                <w:b/>
                <w:color w:val="000000"/>
                <w:sz w:val="22"/>
              </w:rPr>
            </w:pPr>
            <w:r w:rsidRPr="00521E7D">
              <w:rPr>
                <w:rFonts w:cs="Arial"/>
                <w:b/>
                <w:color w:val="000000"/>
                <w:sz w:val="22"/>
              </w:rPr>
              <w:t>2012</w:t>
            </w:r>
          </w:p>
        </w:tc>
        <w:tc>
          <w:tcPr>
            <w:tcW w:w="126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521E7D" w:rsidRDefault="00AC40FC" w:rsidP="00521E7D">
            <w:pPr>
              <w:spacing w:before="120"/>
              <w:jc w:val="center"/>
              <w:rPr>
                <w:rFonts w:cs="Arial"/>
                <w:b/>
                <w:color w:val="000000"/>
                <w:sz w:val="22"/>
              </w:rPr>
            </w:pPr>
            <w:r w:rsidRPr="00521E7D">
              <w:rPr>
                <w:rFonts w:cs="Arial"/>
                <w:b/>
                <w:color w:val="000000"/>
                <w:sz w:val="22"/>
              </w:rPr>
              <w:t>2013</w:t>
            </w:r>
          </w:p>
        </w:tc>
        <w:tc>
          <w:tcPr>
            <w:tcW w:w="126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521E7D" w:rsidRDefault="00AC40FC" w:rsidP="00521E7D">
            <w:pPr>
              <w:spacing w:before="120"/>
              <w:jc w:val="center"/>
              <w:rPr>
                <w:rFonts w:cs="Arial"/>
                <w:b/>
                <w:color w:val="000000"/>
                <w:sz w:val="22"/>
              </w:rPr>
            </w:pPr>
            <w:r w:rsidRPr="00521E7D">
              <w:rPr>
                <w:rFonts w:cs="Arial"/>
                <w:b/>
                <w:color w:val="000000"/>
                <w:sz w:val="22"/>
              </w:rPr>
              <w:t>2014</w:t>
            </w:r>
          </w:p>
        </w:tc>
        <w:tc>
          <w:tcPr>
            <w:tcW w:w="1273"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521E7D" w:rsidRDefault="00AC40FC" w:rsidP="00521E7D">
            <w:pPr>
              <w:spacing w:before="120"/>
              <w:jc w:val="center"/>
              <w:rPr>
                <w:rFonts w:cs="Arial"/>
                <w:b/>
                <w:color w:val="000000"/>
                <w:sz w:val="22"/>
              </w:rPr>
            </w:pPr>
            <w:r w:rsidRPr="00521E7D">
              <w:rPr>
                <w:rFonts w:cs="Arial"/>
                <w:b/>
                <w:color w:val="000000"/>
                <w:sz w:val="22"/>
              </w:rPr>
              <w:t>2015</w:t>
            </w:r>
          </w:p>
        </w:tc>
      </w:tr>
      <w:tr w:rsidR="00AC40FC" w:rsidRPr="00BD12FB" w:rsidTr="00155DDD">
        <w:trPr>
          <w:trHeight w:val="320"/>
          <w:jc w:val="center"/>
        </w:trPr>
        <w:tc>
          <w:tcPr>
            <w:tcW w:w="1412" w:type="dxa"/>
            <w:tcBorders>
              <w:top w:val="nil"/>
              <w:left w:val="single" w:sz="4" w:space="0" w:color="auto"/>
              <w:bottom w:val="single" w:sz="4" w:space="0" w:color="auto"/>
              <w:right w:val="single" w:sz="4" w:space="0" w:color="auto"/>
            </w:tcBorders>
            <w:shd w:val="clear" w:color="auto" w:fill="auto"/>
            <w:noWrap/>
            <w:vAlign w:val="center"/>
            <w:hideMark/>
          </w:tcPr>
          <w:p w:rsidR="00AC40FC" w:rsidRPr="00BD12FB" w:rsidRDefault="00AC40FC" w:rsidP="00440B39">
            <w:pPr>
              <w:spacing w:after="0"/>
              <w:jc w:val="center"/>
              <w:rPr>
                <w:rFonts w:cs="Arial"/>
                <w:color w:val="000000"/>
                <w:sz w:val="20"/>
                <w:szCs w:val="20"/>
              </w:rPr>
            </w:pPr>
            <w:r w:rsidRPr="00BD12FB">
              <w:rPr>
                <w:rFonts w:cs="Arial"/>
                <w:color w:val="000000"/>
                <w:sz w:val="20"/>
                <w:szCs w:val="20"/>
              </w:rPr>
              <w:t>Agency Admin Costs</w:t>
            </w:r>
          </w:p>
        </w:tc>
        <w:tc>
          <w:tcPr>
            <w:tcW w:w="1252" w:type="dxa"/>
            <w:tcBorders>
              <w:top w:val="nil"/>
              <w:left w:val="nil"/>
              <w:bottom w:val="single" w:sz="4" w:space="0" w:color="auto"/>
              <w:right w:val="single" w:sz="4" w:space="0" w:color="auto"/>
            </w:tcBorders>
            <w:shd w:val="clear" w:color="auto" w:fill="auto"/>
            <w:noWrap/>
            <w:vAlign w:val="center"/>
            <w:hideMark/>
          </w:tcPr>
          <w:p w:rsidR="00AC40FC" w:rsidRPr="00BD12FB" w:rsidRDefault="00AC40FC" w:rsidP="00440B39">
            <w:pPr>
              <w:spacing w:after="0"/>
              <w:jc w:val="center"/>
              <w:rPr>
                <w:rFonts w:cs="Arial"/>
                <w:color w:val="000000"/>
                <w:sz w:val="20"/>
                <w:szCs w:val="20"/>
              </w:rPr>
            </w:pPr>
            <w:r w:rsidRPr="00BD12FB">
              <w:rPr>
                <w:rFonts w:cs="Arial"/>
                <w:color w:val="000000"/>
                <w:sz w:val="20"/>
                <w:szCs w:val="20"/>
              </w:rPr>
              <w:t>$2,114,798</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BD12FB" w:rsidRDefault="00AC40FC" w:rsidP="00440B39">
            <w:pPr>
              <w:spacing w:after="0"/>
              <w:jc w:val="center"/>
              <w:rPr>
                <w:rFonts w:cs="Arial"/>
                <w:color w:val="000000"/>
                <w:sz w:val="20"/>
                <w:szCs w:val="20"/>
              </w:rPr>
            </w:pPr>
            <w:r w:rsidRPr="00BD12FB">
              <w:rPr>
                <w:rFonts w:cs="Arial"/>
                <w:color w:val="000000"/>
                <w:sz w:val="20"/>
                <w:szCs w:val="20"/>
              </w:rPr>
              <w:t>$1,860,419</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BD12FB" w:rsidRDefault="00AC40FC" w:rsidP="00440B39">
            <w:pPr>
              <w:spacing w:after="0"/>
              <w:jc w:val="center"/>
              <w:rPr>
                <w:rFonts w:cs="Arial"/>
                <w:color w:val="000000"/>
                <w:sz w:val="20"/>
                <w:szCs w:val="20"/>
              </w:rPr>
            </w:pPr>
            <w:r w:rsidRPr="00BD12FB">
              <w:rPr>
                <w:rFonts w:cs="Arial"/>
                <w:color w:val="000000"/>
                <w:sz w:val="20"/>
                <w:szCs w:val="20"/>
              </w:rPr>
              <w:t>$2,241,857</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BD12FB" w:rsidRDefault="00AC40FC" w:rsidP="00440B39">
            <w:pPr>
              <w:spacing w:after="0"/>
              <w:jc w:val="center"/>
              <w:rPr>
                <w:rFonts w:cs="Arial"/>
                <w:color w:val="000000"/>
                <w:sz w:val="20"/>
                <w:szCs w:val="20"/>
              </w:rPr>
            </w:pPr>
            <w:r w:rsidRPr="00BD12FB">
              <w:rPr>
                <w:rFonts w:cs="Arial"/>
                <w:color w:val="000000"/>
                <w:sz w:val="20"/>
                <w:szCs w:val="20"/>
              </w:rPr>
              <w:t>$2,341,380</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BD12FB" w:rsidRDefault="00AC40FC" w:rsidP="00440B39">
            <w:pPr>
              <w:spacing w:after="0"/>
              <w:jc w:val="center"/>
              <w:rPr>
                <w:rFonts w:cs="Arial"/>
                <w:color w:val="000000"/>
                <w:sz w:val="20"/>
                <w:szCs w:val="20"/>
              </w:rPr>
            </w:pPr>
            <w:r w:rsidRPr="00BD12FB">
              <w:rPr>
                <w:rFonts w:cs="Arial"/>
                <w:color w:val="000000"/>
                <w:sz w:val="20"/>
                <w:szCs w:val="20"/>
              </w:rPr>
              <w:t>$2,483,220</w:t>
            </w:r>
          </w:p>
        </w:tc>
        <w:tc>
          <w:tcPr>
            <w:tcW w:w="1273" w:type="dxa"/>
            <w:tcBorders>
              <w:top w:val="nil"/>
              <w:left w:val="nil"/>
              <w:bottom w:val="single" w:sz="4" w:space="0" w:color="auto"/>
              <w:right w:val="single" w:sz="4" w:space="0" w:color="auto"/>
            </w:tcBorders>
            <w:shd w:val="clear" w:color="auto" w:fill="auto"/>
            <w:noWrap/>
            <w:vAlign w:val="center"/>
            <w:hideMark/>
          </w:tcPr>
          <w:p w:rsidR="00AC40FC" w:rsidRPr="00BD12FB" w:rsidRDefault="00AC40FC" w:rsidP="00440B39">
            <w:pPr>
              <w:spacing w:after="0"/>
              <w:jc w:val="center"/>
              <w:rPr>
                <w:rFonts w:cs="Arial"/>
                <w:color w:val="000000"/>
                <w:sz w:val="20"/>
                <w:szCs w:val="20"/>
              </w:rPr>
            </w:pPr>
            <w:r w:rsidRPr="00BD12FB">
              <w:rPr>
                <w:rFonts w:cs="Arial"/>
                <w:color w:val="000000"/>
                <w:sz w:val="20"/>
                <w:szCs w:val="20"/>
              </w:rPr>
              <w:t> </w:t>
            </w:r>
            <w:r>
              <w:rPr>
                <w:rFonts w:cs="Arial"/>
                <w:color w:val="000000"/>
                <w:sz w:val="20"/>
                <w:szCs w:val="20"/>
              </w:rPr>
              <w:t>$2,376,716</w:t>
            </w:r>
          </w:p>
        </w:tc>
      </w:tr>
      <w:tr w:rsidR="00AC40FC" w:rsidRPr="00BD12FB" w:rsidTr="00155DDD">
        <w:trPr>
          <w:trHeight w:val="320"/>
          <w:jc w:val="center"/>
        </w:trPr>
        <w:tc>
          <w:tcPr>
            <w:tcW w:w="1412" w:type="dxa"/>
            <w:tcBorders>
              <w:top w:val="nil"/>
              <w:left w:val="single" w:sz="4" w:space="0" w:color="auto"/>
              <w:bottom w:val="single" w:sz="4" w:space="0" w:color="auto"/>
              <w:right w:val="single" w:sz="4" w:space="0" w:color="auto"/>
            </w:tcBorders>
            <w:shd w:val="clear" w:color="auto" w:fill="auto"/>
            <w:noWrap/>
            <w:vAlign w:val="center"/>
            <w:hideMark/>
          </w:tcPr>
          <w:p w:rsidR="00AC40FC" w:rsidRPr="00BD12FB" w:rsidRDefault="00AC40FC" w:rsidP="00440B39">
            <w:pPr>
              <w:spacing w:after="0"/>
              <w:jc w:val="center"/>
              <w:rPr>
                <w:rFonts w:cs="Arial"/>
                <w:color w:val="000000"/>
                <w:sz w:val="20"/>
                <w:szCs w:val="20"/>
              </w:rPr>
            </w:pPr>
            <w:r w:rsidRPr="00BD12FB">
              <w:rPr>
                <w:rFonts w:cs="Arial"/>
                <w:color w:val="000000"/>
                <w:sz w:val="20"/>
                <w:szCs w:val="20"/>
              </w:rPr>
              <w:t>New Enrollments</w:t>
            </w:r>
          </w:p>
        </w:tc>
        <w:tc>
          <w:tcPr>
            <w:tcW w:w="1252" w:type="dxa"/>
            <w:tcBorders>
              <w:top w:val="nil"/>
              <w:left w:val="nil"/>
              <w:bottom w:val="single" w:sz="4" w:space="0" w:color="auto"/>
              <w:right w:val="single" w:sz="4" w:space="0" w:color="auto"/>
            </w:tcBorders>
            <w:shd w:val="clear" w:color="auto" w:fill="auto"/>
            <w:noWrap/>
            <w:vAlign w:val="center"/>
            <w:hideMark/>
          </w:tcPr>
          <w:p w:rsidR="00AC40FC" w:rsidRPr="00BD12FB" w:rsidRDefault="00AC40FC" w:rsidP="00440B39">
            <w:pPr>
              <w:spacing w:after="0"/>
              <w:jc w:val="center"/>
              <w:rPr>
                <w:rFonts w:cs="Arial"/>
                <w:color w:val="000000"/>
                <w:sz w:val="20"/>
                <w:szCs w:val="20"/>
              </w:rPr>
            </w:pPr>
            <w:r w:rsidRPr="00BD12FB">
              <w:rPr>
                <w:rFonts w:cs="Arial"/>
                <w:color w:val="000000"/>
                <w:sz w:val="20"/>
                <w:szCs w:val="20"/>
              </w:rPr>
              <w:t>19,760</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BD12FB" w:rsidRDefault="00AC40FC" w:rsidP="00440B39">
            <w:pPr>
              <w:spacing w:after="0"/>
              <w:jc w:val="center"/>
              <w:rPr>
                <w:rFonts w:cs="Arial"/>
                <w:color w:val="000000"/>
                <w:sz w:val="20"/>
                <w:szCs w:val="20"/>
              </w:rPr>
            </w:pPr>
            <w:r w:rsidRPr="00BD12FB">
              <w:rPr>
                <w:rFonts w:cs="Arial"/>
                <w:color w:val="000000"/>
                <w:sz w:val="20"/>
                <w:szCs w:val="20"/>
              </w:rPr>
              <w:t>20,321</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BD12FB" w:rsidRDefault="00AC40FC" w:rsidP="00440B39">
            <w:pPr>
              <w:spacing w:after="0"/>
              <w:jc w:val="center"/>
              <w:rPr>
                <w:rFonts w:cs="Arial"/>
                <w:color w:val="000000"/>
                <w:sz w:val="20"/>
                <w:szCs w:val="20"/>
              </w:rPr>
            </w:pPr>
            <w:r w:rsidRPr="00BD12FB">
              <w:rPr>
                <w:rFonts w:cs="Arial"/>
                <w:color w:val="000000"/>
                <w:sz w:val="20"/>
                <w:szCs w:val="20"/>
              </w:rPr>
              <w:t>17,934</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BD12FB" w:rsidRDefault="00AC40FC" w:rsidP="00440B39">
            <w:pPr>
              <w:spacing w:after="0"/>
              <w:jc w:val="center"/>
              <w:rPr>
                <w:rFonts w:cs="Arial"/>
                <w:color w:val="000000"/>
                <w:sz w:val="20"/>
                <w:szCs w:val="20"/>
              </w:rPr>
            </w:pPr>
            <w:r w:rsidRPr="00BD12FB">
              <w:rPr>
                <w:rFonts w:cs="Arial"/>
                <w:color w:val="000000"/>
                <w:sz w:val="20"/>
                <w:szCs w:val="20"/>
              </w:rPr>
              <w:t>22,043</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BD12FB" w:rsidRDefault="00AC40FC" w:rsidP="00440B39">
            <w:pPr>
              <w:spacing w:after="0"/>
              <w:jc w:val="center"/>
              <w:rPr>
                <w:rFonts w:cs="Arial"/>
                <w:color w:val="000000"/>
                <w:sz w:val="20"/>
                <w:szCs w:val="20"/>
              </w:rPr>
            </w:pPr>
            <w:r w:rsidRPr="00BD12FB">
              <w:rPr>
                <w:rFonts w:cs="Arial"/>
                <w:color w:val="000000"/>
                <w:sz w:val="20"/>
                <w:szCs w:val="20"/>
              </w:rPr>
              <w:t>22,520</w:t>
            </w:r>
          </w:p>
        </w:tc>
        <w:tc>
          <w:tcPr>
            <w:tcW w:w="1273" w:type="dxa"/>
            <w:tcBorders>
              <w:top w:val="nil"/>
              <w:left w:val="nil"/>
              <w:bottom w:val="single" w:sz="4" w:space="0" w:color="auto"/>
              <w:right w:val="single" w:sz="4" w:space="0" w:color="auto"/>
            </w:tcBorders>
            <w:shd w:val="clear" w:color="auto" w:fill="auto"/>
            <w:noWrap/>
            <w:vAlign w:val="center"/>
            <w:hideMark/>
          </w:tcPr>
          <w:p w:rsidR="00AC40FC" w:rsidRPr="00BD12FB" w:rsidRDefault="00AC40FC" w:rsidP="00440B39">
            <w:pPr>
              <w:spacing w:after="0"/>
              <w:jc w:val="center"/>
              <w:rPr>
                <w:rFonts w:cs="Arial"/>
                <w:color w:val="000000"/>
                <w:sz w:val="20"/>
                <w:szCs w:val="20"/>
              </w:rPr>
            </w:pPr>
            <w:r w:rsidRPr="00BD12FB">
              <w:rPr>
                <w:rFonts w:cs="Arial"/>
                <w:color w:val="000000"/>
                <w:sz w:val="20"/>
                <w:szCs w:val="20"/>
              </w:rPr>
              <w:t> </w:t>
            </w:r>
            <w:r>
              <w:rPr>
                <w:rFonts w:cs="Arial"/>
                <w:color w:val="000000"/>
                <w:sz w:val="20"/>
                <w:szCs w:val="20"/>
              </w:rPr>
              <w:t>38,024</w:t>
            </w:r>
          </w:p>
        </w:tc>
      </w:tr>
      <w:tr w:rsidR="00AC40FC" w:rsidRPr="00BD12FB" w:rsidTr="00155DDD">
        <w:trPr>
          <w:trHeight w:val="320"/>
          <w:jc w:val="center"/>
        </w:trPr>
        <w:tc>
          <w:tcPr>
            <w:tcW w:w="1412" w:type="dxa"/>
            <w:tcBorders>
              <w:top w:val="nil"/>
              <w:left w:val="single" w:sz="4" w:space="0" w:color="auto"/>
              <w:bottom w:val="single" w:sz="4" w:space="0" w:color="auto"/>
              <w:right w:val="single" w:sz="4" w:space="0" w:color="auto"/>
            </w:tcBorders>
            <w:shd w:val="clear" w:color="auto" w:fill="auto"/>
            <w:noWrap/>
            <w:vAlign w:val="center"/>
            <w:hideMark/>
          </w:tcPr>
          <w:p w:rsidR="00AC40FC" w:rsidRPr="00BD12FB" w:rsidRDefault="00AC40FC" w:rsidP="00440B39">
            <w:pPr>
              <w:spacing w:after="0"/>
              <w:jc w:val="center"/>
              <w:rPr>
                <w:rFonts w:cs="Arial"/>
                <w:color w:val="000000"/>
                <w:sz w:val="20"/>
                <w:szCs w:val="20"/>
              </w:rPr>
            </w:pPr>
            <w:r w:rsidRPr="00BD12FB">
              <w:rPr>
                <w:rFonts w:cs="Arial"/>
                <w:color w:val="000000"/>
                <w:sz w:val="20"/>
                <w:szCs w:val="20"/>
              </w:rPr>
              <w:t>Cost per Enrollment</w:t>
            </w:r>
          </w:p>
        </w:tc>
        <w:tc>
          <w:tcPr>
            <w:tcW w:w="1252" w:type="dxa"/>
            <w:tcBorders>
              <w:top w:val="nil"/>
              <w:left w:val="nil"/>
              <w:bottom w:val="single" w:sz="4" w:space="0" w:color="auto"/>
              <w:right w:val="single" w:sz="4" w:space="0" w:color="auto"/>
            </w:tcBorders>
            <w:shd w:val="clear" w:color="auto" w:fill="auto"/>
            <w:noWrap/>
            <w:vAlign w:val="center"/>
            <w:hideMark/>
          </w:tcPr>
          <w:p w:rsidR="00AC40FC" w:rsidRPr="00BD12FB" w:rsidRDefault="00AC40FC" w:rsidP="00440B39">
            <w:pPr>
              <w:spacing w:after="0"/>
              <w:jc w:val="center"/>
              <w:rPr>
                <w:rFonts w:cs="Arial"/>
                <w:color w:val="000000"/>
                <w:sz w:val="20"/>
                <w:szCs w:val="20"/>
              </w:rPr>
            </w:pPr>
            <w:r w:rsidRPr="00BD12FB">
              <w:rPr>
                <w:rFonts w:cs="Arial"/>
                <w:color w:val="000000"/>
                <w:sz w:val="20"/>
                <w:szCs w:val="20"/>
              </w:rPr>
              <w:t>$107.02</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BD12FB" w:rsidRDefault="00AC40FC" w:rsidP="00440B39">
            <w:pPr>
              <w:spacing w:after="0"/>
              <w:jc w:val="center"/>
              <w:rPr>
                <w:rFonts w:cs="Arial"/>
                <w:color w:val="000000"/>
                <w:sz w:val="20"/>
                <w:szCs w:val="20"/>
              </w:rPr>
            </w:pPr>
            <w:r w:rsidRPr="00BD12FB">
              <w:rPr>
                <w:rFonts w:cs="Arial"/>
                <w:color w:val="000000"/>
                <w:sz w:val="20"/>
                <w:szCs w:val="20"/>
              </w:rPr>
              <w:t>$91.55</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BD12FB" w:rsidRDefault="00AC40FC" w:rsidP="00440B39">
            <w:pPr>
              <w:spacing w:after="0"/>
              <w:jc w:val="center"/>
              <w:rPr>
                <w:rFonts w:cs="Arial"/>
                <w:color w:val="000000"/>
                <w:sz w:val="20"/>
                <w:szCs w:val="20"/>
              </w:rPr>
            </w:pPr>
            <w:r w:rsidRPr="00BD12FB">
              <w:rPr>
                <w:rFonts w:cs="Arial"/>
                <w:color w:val="000000"/>
                <w:sz w:val="20"/>
                <w:szCs w:val="20"/>
              </w:rPr>
              <w:t>$125.01</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BD12FB" w:rsidRDefault="00AC40FC" w:rsidP="00440B39">
            <w:pPr>
              <w:spacing w:after="0"/>
              <w:jc w:val="center"/>
              <w:rPr>
                <w:rFonts w:cs="Arial"/>
                <w:color w:val="000000"/>
                <w:sz w:val="20"/>
                <w:szCs w:val="20"/>
              </w:rPr>
            </w:pPr>
            <w:r w:rsidRPr="00BD12FB">
              <w:rPr>
                <w:rFonts w:cs="Arial"/>
                <w:color w:val="000000"/>
                <w:sz w:val="20"/>
                <w:szCs w:val="20"/>
              </w:rPr>
              <w:t>$106.22</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BD12FB" w:rsidRDefault="00AC40FC" w:rsidP="00440B39">
            <w:pPr>
              <w:spacing w:after="0"/>
              <w:jc w:val="center"/>
              <w:rPr>
                <w:rFonts w:cs="Arial"/>
                <w:color w:val="000000"/>
                <w:sz w:val="20"/>
                <w:szCs w:val="20"/>
              </w:rPr>
            </w:pPr>
            <w:r w:rsidRPr="00BD12FB">
              <w:rPr>
                <w:rFonts w:cs="Arial"/>
                <w:color w:val="000000"/>
                <w:sz w:val="20"/>
                <w:szCs w:val="20"/>
              </w:rPr>
              <w:t>$110.27</w:t>
            </w:r>
          </w:p>
        </w:tc>
        <w:tc>
          <w:tcPr>
            <w:tcW w:w="1273" w:type="dxa"/>
            <w:tcBorders>
              <w:top w:val="nil"/>
              <w:left w:val="nil"/>
              <w:bottom w:val="single" w:sz="4" w:space="0" w:color="auto"/>
              <w:right w:val="single" w:sz="4" w:space="0" w:color="auto"/>
            </w:tcBorders>
            <w:shd w:val="clear" w:color="auto" w:fill="auto"/>
            <w:noWrap/>
            <w:vAlign w:val="center"/>
            <w:hideMark/>
          </w:tcPr>
          <w:p w:rsidR="00AC40FC" w:rsidRPr="00BD12FB" w:rsidRDefault="00AC40FC" w:rsidP="00440B39">
            <w:pPr>
              <w:spacing w:after="0"/>
              <w:jc w:val="center"/>
              <w:rPr>
                <w:rFonts w:cs="Arial"/>
                <w:color w:val="000000"/>
                <w:sz w:val="20"/>
                <w:szCs w:val="20"/>
              </w:rPr>
            </w:pPr>
            <w:r w:rsidRPr="00BD12FB">
              <w:rPr>
                <w:rFonts w:cs="Arial"/>
                <w:color w:val="000000"/>
                <w:sz w:val="20"/>
                <w:szCs w:val="20"/>
              </w:rPr>
              <w:t> </w:t>
            </w:r>
            <w:r>
              <w:rPr>
                <w:rFonts w:cs="Arial"/>
                <w:color w:val="000000"/>
                <w:sz w:val="20"/>
                <w:szCs w:val="20"/>
              </w:rPr>
              <w:t>$62.51</w:t>
            </w:r>
          </w:p>
        </w:tc>
      </w:tr>
      <w:tr w:rsidR="00AC40FC" w:rsidRPr="00BD12FB" w:rsidTr="00155DDD">
        <w:trPr>
          <w:trHeight w:val="320"/>
          <w:jc w:val="center"/>
        </w:trPr>
        <w:tc>
          <w:tcPr>
            <w:tcW w:w="8977"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C40FC" w:rsidRPr="00E07A18" w:rsidRDefault="00AC40FC" w:rsidP="00440B39">
            <w:pPr>
              <w:spacing w:after="0"/>
              <w:jc w:val="left"/>
              <w:rPr>
                <w:rFonts w:cs="Arial"/>
                <w:color w:val="000000"/>
                <w:sz w:val="20"/>
                <w:szCs w:val="20"/>
              </w:rPr>
            </w:pPr>
            <w:r w:rsidRPr="00E07A18">
              <w:rPr>
                <w:rFonts w:cs="Arial"/>
                <w:color w:val="000000"/>
                <w:sz w:val="20"/>
                <w:szCs w:val="20"/>
              </w:rPr>
              <w:t>Source</w:t>
            </w:r>
            <w:r>
              <w:rPr>
                <w:rFonts w:cs="Arial"/>
                <w:color w:val="000000"/>
                <w:sz w:val="20"/>
                <w:szCs w:val="20"/>
              </w:rPr>
              <w:t>s</w:t>
            </w:r>
            <w:r w:rsidRPr="00E07A18">
              <w:rPr>
                <w:rFonts w:cs="Arial"/>
                <w:color w:val="000000"/>
                <w:sz w:val="20"/>
                <w:szCs w:val="20"/>
              </w:rPr>
              <w:t xml:space="preserve">:  DN 14-117; </w:t>
            </w:r>
            <w:r>
              <w:rPr>
                <w:sz w:val="20"/>
                <w:szCs w:val="20"/>
              </w:rPr>
              <w:t>PPL EU edits</w:t>
            </w:r>
          </w:p>
        </w:tc>
      </w:tr>
    </w:tbl>
    <w:p w:rsidR="00AC40FC" w:rsidRDefault="00AC40FC" w:rsidP="00440B39">
      <w:pPr>
        <w:pStyle w:val="Normal-aftertable"/>
      </w:pPr>
      <w:r>
        <w:t xml:space="preserve">The unit costs of enrollments have remained relatively flat through 2014 and then decreased by 43% in 2015.  The agencies processed and completed a 69% increase of enrollments in 2015 over 2014, at about 4% lower costs. </w:t>
      </w:r>
    </w:p>
    <w:p w:rsidR="00AC40FC" w:rsidRDefault="00AC40FC" w:rsidP="00440B39">
      <w:pPr>
        <w:pStyle w:val="Normal-aftertable"/>
        <w:rPr>
          <w:highlight w:val="yellow"/>
        </w:rPr>
      </w:pPr>
      <w:r>
        <w:t>Processing enrollments is a significant portion of the billings, but is not the only task that the agencies perform.  The Cost per Enrollment ratios are therefore unit cost proxies meant to illustrate the costs trends.  Possible conclusions are that the agencies have become more efficient or the increased numbers of referrals were not creating more workload for the agencies, which seems contradictory.  Also, it is possible that the agencies are focused on just processing referrals (as they are paid by the hours worked, not based on customers enrolled) and not focused on the number of enrollments, i.e., quantity over quality.  In other words, they can process more referrals in the same time, and thus for about the same cost, but the time isn’t being spent focusing on enrollments.  In any case, further analysis by PPL EU is needed.</w:t>
      </w:r>
    </w:p>
    <w:p w:rsidR="00AC40FC" w:rsidRPr="00191C20" w:rsidRDefault="00AC40FC" w:rsidP="0049591B">
      <w:pPr>
        <w:pStyle w:val="Findings"/>
      </w:pPr>
      <w:r w:rsidRPr="00191C20">
        <w:t xml:space="preserve">Graduation rates, </w:t>
      </w:r>
      <w:r>
        <w:t>one measure of program performance, have decreased since 2012</w:t>
      </w:r>
      <w:r w:rsidRPr="00191C20">
        <w:t>.</w:t>
      </w:r>
    </w:p>
    <w:p w:rsidR="00AC40FC" w:rsidRDefault="00AC40FC" w:rsidP="00440B39">
      <w:r>
        <w:t>Customers are graduated from OnTrack if their pre-program arrearages are at zero and they are paying within ten percent of their normal budget billing amounts.  The average graduation rates per year are shown below:</w:t>
      </w:r>
    </w:p>
    <w:p w:rsidR="00AC40FC" w:rsidRDefault="00AC40FC" w:rsidP="002B3172">
      <w:pPr>
        <w:pStyle w:val="Caption"/>
      </w:pPr>
      <w:bookmarkStart w:id="179" w:name="_Toc462648435"/>
      <w:bookmarkStart w:id="180" w:name="_Toc464553057"/>
      <w:r>
        <w:lastRenderedPageBreak/>
        <w:t xml:space="preserve">Exhibit </w:t>
      </w:r>
      <w:fldSimple w:instr=" STYLEREF 1 \s ">
        <w:r w:rsidR="00A24205">
          <w:rPr>
            <w:noProof/>
          </w:rPr>
          <w:t>X</w:t>
        </w:r>
      </w:fldSimple>
      <w:r w:rsidR="00264A1B">
        <w:noBreakHyphen/>
      </w:r>
      <w:fldSimple w:instr=" SEQ Exhibit \* ARABIC \s 1 ">
        <w:r w:rsidR="00A24205">
          <w:rPr>
            <w:noProof/>
          </w:rPr>
          <w:t>18</w:t>
        </w:r>
      </w:fldSimple>
      <w:r>
        <w:br/>
        <w:t>OnTrack Average Graduation Rates</w:t>
      </w:r>
      <w:bookmarkEnd w:id="179"/>
      <w:bookmarkEnd w:id="180"/>
    </w:p>
    <w:p w:rsidR="00AC40FC" w:rsidRDefault="00AC40FC" w:rsidP="00440B39">
      <w:pPr>
        <w:jc w:val="center"/>
      </w:pPr>
      <w:r>
        <w:rPr>
          <w:noProof/>
        </w:rPr>
        <w:drawing>
          <wp:inline distT="0" distB="0" distL="0" distR="0">
            <wp:extent cx="4208110" cy="2209800"/>
            <wp:effectExtent l="0" t="0" r="0" b="0"/>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bl>
      <w:tblPr>
        <w:tblW w:w="8405" w:type="dxa"/>
        <w:jc w:val="center"/>
        <w:tblLayout w:type="fixed"/>
        <w:tblLook w:val="04A0"/>
      </w:tblPr>
      <w:tblGrid>
        <w:gridCol w:w="2486"/>
        <w:gridCol w:w="1004"/>
        <w:gridCol w:w="990"/>
        <w:gridCol w:w="955"/>
        <w:gridCol w:w="990"/>
        <w:gridCol w:w="990"/>
        <w:gridCol w:w="990"/>
      </w:tblGrid>
      <w:tr w:rsidR="00AC40FC" w:rsidRPr="00B4550E" w:rsidTr="00786363">
        <w:trPr>
          <w:cantSplit/>
          <w:trHeight w:val="300"/>
          <w:tblHeader/>
          <w:jc w:val="center"/>
        </w:trPr>
        <w:tc>
          <w:tcPr>
            <w:tcW w:w="2486" w:type="dxa"/>
            <w:tcBorders>
              <w:top w:val="single" w:sz="4" w:space="0" w:color="auto"/>
              <w:left w:val="single" w:sz="4" w:space="0" w:color="auto"/>
              <w:bottom w:val="single" w:sz="4" w:space="0" w:color="auto"/>
              <w:right w:val="single" w:sz="4" w:space="0" w:color="auto"/>
            </w:tcBorders>
            <w:shd w:val="clear" w:color="auto" w:fill="A5CD7E"/>
            <w:noWrap/>
            <w:vAlign w:val="center"/>
            <w:hideMark/>
          </w:tcPr>
          <w:p w:rsidR="00AC40FC" w:rsidRPr="00C9359A" w:rsidRDefault="00AC40FC" w:rsidP="00521E7D">
            <w:pPr>
              <w:spacing w:before="120"/>
              <w:jc w:val="center"/>
              <w:rPr>
                <w:rFonts w:cs="Arial"/>
                <w:b/>
                <w:color w:val="000000"/>
                <w:szCs w:val="24"/>
              </w:rPr>
            </w:pPr>
            <w:r w:rsidRPr="00C9359A">
              <w:rPr>
                <w:rFonts w:cs="Arial"/>
                <w:b/>
                <w:color w:val="000000"/>
                <w:szCs w:val="24"/>
              </w:rPr>
              <w:t>Factor</w:t>
            </w:r>
          </w:p>
        </w:tc>
        <w:tc>
          <w:tcPr>
            <w:tcW w:w="1004"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C9359A" w:rsidRDefault="00AC40FC" w:rsidP="00521E7D">
            <w:pPr>
              <w:spacing w:before="120"/>
              <w:jc w:val="center"/>
              <w:rPr>
                <w:rFonts w:cs="Arial"/>
                <w:b/>
                <w:color w:val="000000"/>
                <w:szCs w:val="24"/>
              </w:rPr>
            </w:pPr>
            <w:r w:rsidRPr="00C9359A">
              <w:rPr>
                <w:rFonts w:cs="Arial"/>
                <w:b/>
                <w:color w:val="000000"/>
                <w:szCs w:val="24"/>
              </w:rPr>
              <w:t>2010</w:t>
            </w:r>
          </w:p>
        </w:tc>
        <w:tc>
          <w:tcPr>
            <w:tcW w:w="99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C9359A" w:rsidRDefault="00AC40FC" w:rsidP="00521E7D">
            <w:pPr>
              <w:spacing w:before="120"/>
              <w:jc w:val="center"/>
              <w:rPr>
                <w:rFonts w:cs="Arial"/>
                <w:b/>
                <w:color w:val="000000"/>
                <w:szCs w:val="24"/>
              </w:rPr>
            </w:pPr>
            <w:r w:rsidRPr="00C9359A">
              <w:rPr>
                <w:rFonts w:cs="Arial"/>
                <w:b/>
                <w:color w:val="000000"/>
                <w:szCs w:val="24"/>
              </w:rPr>
              <w:t>2011</w:t>
            </w:r>
          </w:p>
        </w:tc>
        <w:tc>
          <w:tcPr>
            <w:tcW w:w="955"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C9359A" w:rsidRDefault="00AC40FC" w:rsidP="00521E7D">
            <w:pPr>
              <w:spacing w:before="120"/>
              <w:jc w:val="center"/>
              <w:rPr>
                <w:rFonts w:cs="Arial"/>
                <w:b/>
                <w:color w:val="000000"/>
                <w:szCs w:val="24"/>
              </w:rPr>
            </w:pPr>
            <w:r w:rsidRPr="00C9359A">
              <w:rPr>
                <w:rFonts w:cs="Arial"/>
                <w:b/>
                <w:color w:val="000000"/>
                <w:szCs w:val="24"/>
              </w:rPr>
              <w:t>2012</w:t>
            </w:r>
          </w:p>
        </w:tc>
        <w:tc>
          <w:tcPr>
            <w:tcW w:w="99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C9359A" w:rsidRDefault="00AC40FC" w:rsidP="00521E7D">
            <w:pPr>
              <w:spacing w:before="120"/>
              <w:jc w:val="center"/>
              <w:rPr>
                <w:rFonts w:cs="Arial"/>
                <w:b/>
                <w:color w:val="000000"/>
                <w:szCs w:val="24"/>
              </w:rPr>
            </w:pPr>
            <w:r w:rsidRPr="00C9359A">
              <w:rPr>
                <w:rFonts w:cs="Arial"/>
                <w:b/>
                <w:color w:val="000000"/>
                <w:szCs w:val="24"/>
              </w:rPr>
              <w:t>2013</w:t>
            </w:r>
          </w:p>
        </w:tc>
        <w:tc>
          <w:tcPr>
            <w:tcW w:w="99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C9359A" w:rsidRDefault="00AC40FC" w:rsidP="00521E7D">
            <w:pPr>
              <w:spacing w:before="120"/>
              <w:jc w:val="center"/>
              <w:rPr>
                <w:rFonts w:cs="Arial"/>
                <w:b/>
                <w:color w:val="000000"/>
                <w:szCs w:val="24"/>
              </w:rPr>
            </w:pPr>
            <w:r w:rsidRPr="00C9359A">
              <w:rPr>
                <w:rFonts w:cs="Arial"/>
                <w:b/>
                <w:color w:val="000000"/>
                <w:szCs w:val="24"/>
              </w:rPr>
              <w:t>2014</w:t>
            </w:r>
          </w:p>
        </w:tc>
        <w:tc>
          <w:tcPr>
            <w:tcW w:w="99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C9359A" w:rsidRDefault="00AC40FC" w:rsidP="00521E7D">
            <w:pPr>
              <w:spacing w:before="120"/>
              <w:jc w:val="center"/>
              <w:rPr>
                <w:rFonts w:cs="Arial"/>
                <w:b/>
                <w:color w:val="000000"/>
                <w:szCs w:val="24"/>
              </w:rPr>
            </w:pPr>
            <w:r w:rsidRPr="00C9359A">
              <w:rPr>
                <w:rFonts w:cs="Arial"/>
                <w:b/>
                <w:color w:val="000000"/>
                <w:szCs w:val="24"/>
              </w:rPr>
              <w:t>2015</w:t>
            </w:r>
          </w:p>
        </w:tc>
      </w:tr>
      <w:tr w:rsidR="00AC40FC" w:rsidRPr="00B4550E" w:rsidTr="00440B39">
        <w:trPr>
          <w:trHeight w:val="300"/>
          <w:jc w:val="center"/>
        </w:trPr>
        <w:tc>
          <w:tcPr>
            <w:tcW w:w="2486" w:type="dxa"/>
            <w:tcBorders>
              <w:top w:val="nil"/>
              <w:left w:val="single" w:sz="4" w:space="0" w:color="auto"/>
              <w:bottom w:val="single" w:sz="4" w:space="0" w:color="auto"/>
              <w:right w:val="single" w:sz="4" w:space="0" w:color="auto"/>
            </w:tcBorders>
            <w:shd w:val="clear" w:color="auto" w:fill="auto"/>
            <w:noWrap/>
            <w:vAlign w:val="center"/>
            <w:hideMark/>
          </w:tcPr>
          <w:p w:rsidR="00AC40FC" w:rsidRPr="00C9359A" w:rsidRDefault="00AC40FC" w:rsidP="00440B39">
            <w:pPr>
              <w:spacing w:after="0"/>
              <w:jc w:val="center"/>
              <w:rPr>
                <w:rFonts w:cs="Arial"/>
                <w:color w:val="000000"/>
                <w:szCs w:val="24"/>
              </w:rPr>
            </w:pPr>
            <w:r w:rsidRPr="00C9359A">
              <w:rPr>
                <w:rFonts w:cs="Arial"/>
                <w:color w:val="000000"/>
                <w:szCs w:val="24"/>
              </w:rPr>
              <w:t>Average Monthly Graduates</w:t>
            </w:r>
          </w:p>
        </w:tc>
        <w:tc>
          <w:tcPr>
            <w:tcW w:w="1004" w:type="dxa"/>
            <w:tcBorders>
              <w:top w:val="nil"/>
              <w:left w:val="nil"/>
              <w:bottom w:val="single" w:sz="4" w:space="0" w:color="auto"/>
              <w:right w:val="single" w:sz="4" w:space="0" w:color="auto"/>
            </w:tcBorders>
            <w:shd w:val="clear" w:color="auto" w:fill="auto"/>
            <w:noWrap/>
            <w:vAlign w:val="center"/>
            <w:hideMark/>
          </w:tcPr>
          <w:p w:rsidR="00AC40FC" w:rsidRPr="00C9359A" w:rsidRDefault="00AC40FC" w:rsidP="00440B39">
            <w:pPr>
              <w:spacing w:after="0"/>
              <w:jc w:val="center"/>
              <w:rPr>
                <w:rFonts w:cs="Arial"/>
                <w:color w:val="000000"/>
                <w:szCs w:val="24"/>
              </w:rPr>
            </w:pPr>
            <w:r w:rsidRPr="00C9359A">
              <w:rPr>
                <w:rFonts w:cs="Arial"/>
                <w:color w:val="000000"/>
                <w:szCs w:val="24"/>
              </w:rPr>
              <w:t>23</w:t>
            </w:r>
          </w:p>
        </w:tc>
        <w:tc>
          <w:tcPr>
            <w:tcW w:w="990" w:type="dxa"/>
            <w:tcBorders>
              <w:top w:val="nil"/>
              <w:left w:val="nil"/>
              <w:bottom w:val="single" w:sz="4" w:space="0" w:color="auto"/>
              <w:right w:val="single" w:sz="4" w:space="0" w:color="auto"/>
            </w:tcBorders>
            <w:shd w:val="clear" w:color="auto" w:fill="auto"/>
            <w:noWrap/>
            <w:vAlign w:val="center"/>
            <w:hideMark/>
          </w:tcPr>
          <w:p w:rsidR="00AC40FC" w:rsidRPr="00C9359A" w:rsidRDefault="00AC40FC" w:rsidP="00440B39">
            <w:pPr>
              <w:spacing w:after="0"/>
              <w:jc w:val="center"/>
              <w:rPr>
                <w:rFonts w:cs="Arial"/>
                <w:color w:val="000000"/>
                <w:szCs w:val="24"/>
              </w:rPr>
            </w:pPr>
            <w:r w:rsidRPr="00C9359A">
              <w:rPr>
                <w:rFonts w:cs="Arial"/>
                <w:color w:val="000000"/>
                <w:szCs w:val="24"/>
              </w:rPr>
              <w:t>27</w:t>
            </w:r>
          </w:p>
        </w:tc>
        <w:tc>
          <w:tcPr>
            <w:tcW w:w="955" w:type="dxa"/>
            <w:tcBorders>
              <w:top w:val="nil"/>
              <w:left w:val="nil"/>
              <w:bottom w:val="single" w:sz="4" w:space="0" w:color="auto"/>
              <w:right w:val="single" w:sz="4" w:space="0" w:color="auto"/>
            </w:tcBorders>
            <w:shd w:val="clear" w:color="auto" w:fill="auto"/>
            <w:noWrap/>
            <w:vAlign w:val="center"/>
            <w:hideMark/>
          </w:tcPr>
          <w:p w:rsidR="00AC40FC" w:rsidRPr="00C9359A" w:rsidRDefault="00AC40FC" w:rsidP="00440B39">
            <w:pPr>
              <w:spacing w:after="0"/>
              <w:jc w:val="center"/>
              <w:rPr>
                <w:rFonts w:cs="Arial"/>
                <w:color w:val="000000"/>
                <w:szCs w:val="24"/>
              </w:rPr>
            </w:pPr>
            <w:r w:rsidRPr="00C9359A">
              <w:rPr>
                <w:rFonts w:cs="Arial"/>
                <w:color w:val="000000"/>
                <w:szCs w:val="24"/>
              </w:rPr>
              <w:t>107</w:t>
            </w:r>
          </w:p>
        </w:tc>
        <w:tc>
          <w:tcPr>
            <w:tcW w:w="990" w:type="dxa"/>
            <w:tcBorders>
              <w:top w:val="nil"/>
              <w:left w:val="nil"/>
              <w:bottom w:val="single" w:sz="4" w:space="0" w:color="auto"/>
              <w:right w:val="single" w:sz="4" w:space="0" w:color="auto"/>
            </w:tcBorders>
            <w:shd w:val="clear" w:color="auto" w:fill="auto"/>
            <w:noWrap/>
            <w:vAlign w:val="center"/>
            <w:hideMark/>
          </w:tcPr>
          <w:p w:rsidR="00AC40FC" w:rsidRPr="00C9359A" w:rsidRDefault="00AC40FC" w:rsidP="00440B39">
            <w:pPr>
              <w:spacing w:after="0"/>
              <w:jc w:val="center"/>
              <w:rPr>
                <w:rFonts w:cs="Arial"/>
                <w:color w:val="000000"/>
                <w:szCs w:val="24"/>
              </w:rPr>
            </w:pPr>
            <w:r w:rsidRPr="00C9359A">
              <w:rPr>
                <w:rFonts w:cs="Arial"/>
                <w:color w:val="000000"/>
                <w:szCs w:val="24"/>
              </w:rPr>
              <w:t>49</w:t>
            </w:r>
          </w:p>
        </w:tc>
        <w:tc>
          <w:tcPr>
            <w:tcW w:w="990" w:type="dxa"/>
            <w:tcBorders>
              <w:top w:val="nil"/>
              <w:left w:val="nil"/>
              <w:bottom w:val="single" w:sz="4" w:space="0" w:color="auto"/>
              <w:right w:val="single" w:sz="4" w:space="0" w:color="auto"/>
            </w:tcBorders>
            <w:shd w:val="clear" w:color="auto" w:fill="auto"/>
            <w:noWrap/>
            <w:vAlign w:val="center"/>
            <w:hideMark/>
          </w:tcPr>
          <w:p w:rsidR="00AC40FC" w:rsidRPr="00C9359A" w:rsidRDefault="00AC40FC" w:rsidP="00440B39">
            <w:pPr>
              <w:spacing w:after="0"/>
              <w:jc w:val="center"/>
              <w:rPr>
                <w:rFonts w:cs="Arial"/>
                <w:color w:val="000000"/>
                <w:szCs w:val="24"/>
              </w:rPr>
            </w:pPr>
            <w:r w:rsidRPr="00C9359A">
              <w:rPr>
                <w:rFonts w:cs="Arial"/>
                <w:color w:val="000000"/>
                <w:szCs w:val="24"/>
              </w:rPr>
              <w:t>54</w:t>
            </w:r>
          </w:p>
        </w:tc>
        <w:tc>
          <w:tcPr>
            <w:tcW w:w="990" w:type="dxa"/>
            <w:tcBorders>
              <w:top w:val="nil"/>
              <w:left w:val="nil"/>
              <w:bottom w:val="single" w:sz="4" w:space="0" w:color="auto"/>
              <w:right w:val="single" w:sz="4" w:space="0" w:color="auto"/>
            </w:tcBorders>
            <w:shd w:val="clear" w:color="auto" w:fill="auto"/>
            <w:noWrap/>
            <w:vAlign w:val="center"/>
            <w:hideMark/>
          </w:tcPr>
          <w:p w:rsidR="00AC40FC" w:rsidRPr="00C9359A" w:rsidRDefault="00AC40FC" w:rsidP="00440B39">
            <w:pPr>
              <w:spacing w:after="0"/>
              <w:jc w:val="center"/>
              <w:rPr>
                <w:rFonts w:cs="Arial"/>
                <w:color w:val="000000"/>
                <w:szCs w:val="24"/>
              </w:rPr>
            </w:pPr>
            <w:r>
              <w:rPr>
                <w:rFonts w:cs="Arial"/>
                <w:color w:val="000000"/>
                <w:szCs w:val="24"/>
              </w:rPr>
              <w:t>49</w:t>
            </w:r>
          </w:p>
        </w:tc>
      </w:tr>
      <w:tr w:rsidR="00AC40FC" w:rsidRPr="00B4550E" w:rsidTr="00440B39">
        <w:trPr>
          <w:trHeight w:val="300"/>
          <w:jc w:val="center"/>
        </w:trPr>
        <w:tc>
          <w:tcPr>
            <w:tcW w:w="2486" w:type="dxa"/>
            <w:tcBorders>
              <w:top w:val="nil"/>
              <w:left w:val="single" w:sz="4" w:space="0" w:color="auto"/>
              <w:bottom w:val="single" w:sz="4" w:space="0" w:color="auto"/>
              <w:right w:val="single" w:sz="4" w:space="0" w:color="auto"/>
            </w:tcBorders>
            <w:shd w:val="clear" w:color="auto" w:fill="auto"/>
            <w:noWrap/>
            <w:vAlign w:val="center"/>
            <w:hideMark/>
          </w:tcPr>
          <w:p w:rsidR="00AC40FC" w:rsidRPr="00C9359A" w:rsidRDefault="00AC40FC" w:rsidP="00440B39">
            <w:pPr>
              <w:spacing w:after="0"/>
              <w:jc w:val="center"/>
              <w:rPr>
                <w:rFonts w:cs="Arial"/>
                <w:color w:val="000000"/>
                <w:szCs w:val="24"/>
              </w:rPr>
            </w:pPr>
            <w:r w:rsidRPr="00C9359A">
              <w:rPr>
                <w:rFonts w:cs="Arial"/>
                <w:color w:val="000000"/>
                <w:szCs w:val="24"/>
              </w:rPr>
              <w:t>Average Monthly Members</w:t>
            </w:r>
          </w:p>
        </w:tc>
        <w:tc>
          <w:tcPr>
            <w:tcW w:w="1004" w:type="dxa"/>
            <w:tcBorders>
              <w:top w:val="nil"/>
              <w:left w:val="nil"/>
              <w:bottom w:val="single" w:sz="4" w:space="0" w:color="auto"/>
              <w:right w:val="single" w:sz="4" w:space="0" w:color="auto"/>
            </w:tcBorders>
            <w:shd w:val="clear" w:color="auto" w:fill="auto"/>
            <w:noWrap/>
            <w:vAlign w:val="center"/>
            <w:hideMark/>
          </w:tcPr>
          <w:p w:rsidR="00AC40FC" w:rsidRPr="00C9359A" w:rsidRDefault="00AC40FC" w:rsidP="00440B39">
            <w:pPr>
              <w:spacing w:after="0"/>
              <w:jc w:val="center"/>
              <w:rPr>
                <w:rFonts w:cs="Arial"/>
                <w:color w:val="000000"/>
                <w:szCs w:val="24"/>
              </w:rPr>
            </w:pPr>
            <w:r w:rsidRPr="00C9359A">
              <w:rPr>
                <w:rFonts w:cs="Arial"/>
                <w:color w:val="000000"/>
                <w:szCs w:val="24"/>
              </w:rPr>
              <w:t>31,138</w:t>
            </w:r>
          </w:p>
        </w:tc>
        <w:tc>
          <w:tcPr>
            <w:tcW w:w="990" w:type="dxa"/>
            <w:tcBorders>
              <w:top w:val="nil"/>
              <w:left w:val="nil"/>
              <w:bottom w:val="single" w:sz="4" w:space="0" w:color="auto"/>
              <w:right w:val="single" w:sz="4" w:space="0" w:color="auto"/>
            </w:tcBorders>
            <w:shd w:val="clear" w:color="auto" w:fill="auto"/>
            <w:noWrap/>
            <w:vAlign w:val="center"/>
            <w:hideMark/>
          </w:tcPr>
          <w:p w:rsidR="00AC40FC" w:rsidRPr="00C9359A" w:rsidRDefault="00AC40FC" w:rsidP="00440B39">
            <w:pPr>
              <w:spacing w:after="0"/>
              <w:jc w:val="center"/>
              <w:rPr>
                <w:rFonts w:cs="Arial"/>
                <w:color w:val="000000"/>
                <w:szCs w:val="24"/>
              </w:rPr>
            </w:pPr>
            <w:r w:rsidRPr="00C9359A">
              <w:rPr>
                <w:rFonts w:cs="Arial"/>
                <w:color w:val="000000"/>
                <w:szCs w:val="24"/>
              </w:rPr>
              <w:t>33,735</w:t>
            </w:r>
          </w:p>
        </w:tc>
        <w:tc>
          <w:tcPr>
            <w:tcW w:w="955" w:type="dxa"/>
            <w:tcBorders>
              <w:top w:val="nil"/>
              <w:left w:val="nil"/>
              <w:bottom w:val="single" w:sz="4" w:space="0" w:color="auto"/>
              <w:right w:val="single" w:sz="4" w:space="0" w:color="auto"/>
            </w:tcBorders>
            <w:shd w:val="clear" w:color="auto" w:fill="auto"/>
            <w:noWrap/>
            <w:vAlign w:val="center"/>
            <w:hideMark/>
          </w:tcPr>
          <w:p w:rsidR="00AC40FC" w:rsidRPr="00C9359A" w:rsidRDefault="00AC40FC" w:rsidP="00440B39">
            <w:pPr>
              <w:spacing w:after="0"/>
              <w:jc w:val="center"/>
              <w:rPr>
                <w:rFonts w:cs="Arial"/>
                <w:color w:val="000000"/>
                <w:szCs w:val="24"/>
              </w:rPr>
            </w:pPr>
            <w:r w:rsidRPr="00C9359A">
              <w:rPr>
                <w:rFonts w:cs="Arial"/>
                <w:color w:val="000000"/>
                <w:szCs w:val="24"/>
              </w:rPr>
              <w:t>34,462</w:t>
            </w:r>
          </w:p>
        </w:tc>
        <w:tc>
          <w:tcPr>
            <w:tcW w:w="990" w:type="dxa"/>
            <w:tcBorders>
              <w:top w:val="nil"/>
              <w:left w:val="nil"/>
              <w:bottom w:val="single" w:sz="4" w:space="0" w:color="auto"/>
              <w:right w:val="single" w:sz="4" w:space="0" w:color="auto"/>
            </w:tcBorders>
            <w:shd w:val="clear" w:color="auto" w:fill="auto"/>
            <w:noWrap/>
            <w:vAlign w:val="center"/>
            <w:hideMark/>
          </w:tcPr>
          <w:p w:rsidR="00AC40FC" w:rsidRPr="00C9359A" w:rsidRDefault="00AC40FC" w:rsidP="00440B39">
            <w:pPr>
              <w:spacing w:after="0"/>
              <w:jc w:val="center"/>
              <w:rPr>
                <w:rFonts w:cs="Arial"/>
                <w:color w:val="000000"/>
                <w:szCs w:val="24"/>
              </w:rPr>
            </w:pPr>
            <w:r w:rsidRPr="00C9359A">
              <w:rPr>
                <w:rFonts w:cs="Arial"/>
                <w:color w:val="000000"/>
                <w:szCs w:val="24"/>
              </w:rPr>
              <w:t>35,197</w:t>
            </w:r>
          </w:p>
        </w:tc>
        <w:tc>
          <w:tcPr>
            <w:tcW w:w="990" w:type="dxa"/>
            <w:tcBorders>
              <w:top w:val="nil"/>
              <w:left w:val="nil"/>
              <w:bottom w:val="single" w:sz="4" w:space="0" w:color="auto"/>
              <w:right w:val="single" w:sz="4" w:space="0" w:color="auto"/>
            </w:tcBorders>
            <w:shd w:val="clear" w:color="auto" w:fill="auto"/>
            <w:noWrap/>
            <w:vAlign w:val="center"/>
            <w:hideMark/>
          </w:tcPr>
          <w:p w:rsidR="00AC40FC" w:rsidRPr="00C9359A" w:rsidRDefault="00AC40FC" w:rsidP="00440B39">
            <w:pPr>
              <w:spacing w:after="0"/>
              <w:jc w:val="center"/>
              <w:rPr>
                <w:rFonts w:cs="Arial"/>
                <w:color w:val="000000"/>
                <w:szCs w:val="24"/>
              </w:rPr>
            </w:pPr>
            <w:r w:rsidRPr="00C9359A">
              <w:rPr>
                <w:rFonts w:cs="Arial"/>
                <w:color w:val="000000"/>
                <w:szCs w:val="24"/>
              </w:rPr>
              <w:t>38,373</w:t>
            </w:r>
          </w:p>
        </w:tc>
        <w:tc>
          <w:tcPr>
            <w:tcW w:w="990" w:type="dxa"/>
            <w:tcBorders>
              <w:top w:val="nil"/>
              <w:left w:val="nil"/>
              <w:bottom w:val="single" w:sz="4" w:space="0" w:color="auto"/>
              <w:right w:val="single" w:sz="4" w:space="0" w:color="auto"/>
            </w:tcBorders>
            <w:shd w:val="clear" w:color="auto" w:fill="auto"/>
            <w:noWrap/>
            <w:vAlign w:val="center"/>
            <w:hideMark/>
          </w:tcPr>
          <w:p w:rsidR="00AC40FC" w:rsidRPr="00C9359A" w:rsidRDefault="00AC40FC" w:rsidP="00440B39">
            <w:pPr>
              <w:spacing w:after="0"/>
              <w:jc w:val="center"/>
              <w:rPr>
                <w:rFonts w:cs="Arial"/>
                <w:color w:val="000000"/>
                <w:szCs w:val="24"/>
              </w:rPr>
            </w:pPr>
            <w:r>
              <w:rPr>
                <w:rFonts w:cs="Arial"/>
                <w:color w:val="000000"/>
                <w:szCs w:val="24"/>
              </w:rPr>
              <w:t>45,801</w:t>
            </w:r>
          </w:p>
        </w:tc>
      </w:tr>
      <w:tr w:rsidR="00AC40FC" w:rsidRPr="00B4550E" w:rsidTr="00440B39">
        <w:trPr>
          <w:trHeight w:val="300"/>
          <w:jc w:val="center"/>
        </w:trPr>
        <w:tc>
          <w:tcPr>
            <w:tcW w:w="2486" w:type="dxa"/>
            <w:tcBorders>
              <w:top w:val="nil"/>
              <w:left w:val="single" w:sz="4" w:space="0" w:color="auto"/>
              <w:bottom w:val="single" w:sz="4" w:space="0" w:color="auto"/>
              <w:right w:val="single" w:sz="4" w:space="0" w:color="auto"/>
            </w:tcBorders>
            <w:shd w:val="clear" w:color="auto" w:fill="auto"/>
            <w:noWrap/>
            <w:vAlign w:val="center"/>
            <w:hideMark/>
          </w:tcPr>
          <w:p w:rsidR="00AC40FC" w:rsidRPr="00C9359A" w:rsidRDefault="00AC40FC" w:rsidP="00440B39">
            <w:pPr>
              <w:spacing w:after="0"/>
              <w:jc w:val="center"/>
              <w:rPr>
                <w:rFonts w:cs="Arial"/>
                <w:color w:val="000000"/>
                <w:szCs w:val="24"/>
              </w:rPr>
            </w:pPr>
            <w:r w:rsidRPr="00C9359A">
              <w:rPr>
                <w:rFonts w:cs="Arial"/>
                <w:color w:val="000000"/>
                <w:szCs w:val="24"/>
              </w:rPr>
              <w:t>Average Monthly Graduation Rate</w:t>
            </w:r>
          </w:p>
        </w:tc>
        <w:tc>
          <w:tcPr>
            <w:tcW w:w="1004" w:type="dxa"/>
            <w:tcBorders>
              <w:top w:val="nil"/>
              <w:left w:val="nil"/>
              <w:bottom w:val="single" w:sz="4" w:space="0" w:color="auto"/>
              <w:right w:val="single" w:sz="4" w:space="0" w:color="auto"/>
            </w:tcBorders>
            <w:shd w:val="clear" w:color="auto" w:fill="auto"/>
            <w:noWrap/>
            <w:vAlign w:val="center"/>
            <w:hideMark/>
          </w:tcPr>
          <w:p w:rsidR="00AC40FC" w:rsidRPr="00C9359A" w:rsidRDefault="00AC40FC" w:rsidP="00440B39">
            <w:pPr>
              <w:spacing w:after="0"/>
              <w:jc w:val="center"/>
              <w:rPr>
                <w:rFonts w:cs="Arial"/>
                <w:color w:val="000000"/>
                <w:szCs w:val="24"/>
              </w:rPr>
            </w:pPr>
            <w:r w:rsidRPr="00C9359A">
              <w:rPr>
                <w:rFonts w:cs="Arial"/>
                <w:color w:val="000000"/>
                <w:szCs w:val="24"/>
              </w:rPr>
              <w:t>0.07%</w:t>
            </w:r>
          </w:p>
        </w:tc>
        <w:tc>
          <w:tcPr>
            <w:tcW w:w="990" w:type="dxa"/>
            <w:tcBorders>
              <w:top w:val="nil"/>
              <w:left w:val="nil"/>
              <w:bottom w:val="single" w:sz="4" w:space="0" w:color="auto"/>
              <w:right w:val="single" w:sz="4" w:space="0" w:color="auto"/>
            </w:tcBorders>
            <w:shd w:val="clear" w:color="auto" w:fill="auto"/>
            <w:noWrap/>
            <w:vAlign w:val="center"/>
            <w:hideMark/>
          </w:tcPr>
          <w:p w:rsidR="00AC40FC" w:rsidRPr="00C9359A" w:rsidRDefault="00AC40FC" w:rsidP="00440B39">
            <w:pPr>
              <w:spacing w:after="0"/>
              <w:jc w:val="center"/>
              <w:rPr>
                <w:rFonts w:cs="Arial"/>
                <w:color w:val="000000"/>
                <w:szCs w:val="24"/>
              </w:rPr>
            </w:pPr>
            <w:r w:rsidRPr="00C9359A">
              <w:rPr>
                <w:rFonts w:cs="Arial"/>
                <w:color w:val="000000"/>
                <w:szCs w:val="24"/>
              </w:rPr>
              <w:t>0.08%</w:t>
            </w:r>
          </w:p>
        </w:tc>
        <w:tc>
          <w:tcPr>
            <w:tcW w:w="955" w:type="dxa"/>
            <w:tcBorders>
              <w:top w:val="nil"/>
              <w:left w:val="nil"/>
              <w:bottom w:val="single" w:sz="4" w:space="0" w:color="auto"/>
              <w:right w:val="single" w:sz="4" w:space="0" w:color="auto"/>
            </w:tcBorders>
            <w:shd w:val="clear" w:color="auto" w:fill="auto"/>
            <w:noWrap/>
            <w:vAlign w:val="center"/>
            <w:hideMark/>
          </w:tcPr>
          <w:p w:rsidR="00AC40FC" w:rsidRPr="00C9359A" w:rsidRDefault="00AC40FC" w:rsidP="00440B39">
            <w:pPr>
              <w:spacing w:after="0"/>
              <w:jc w:val="center"/>
              <w:rPr>
                <w:rFonts w:cs="Arial"/>
                <w:color w:val="000000"/>
                <w:szCs w:val="24"/>
              </w:rPr>
            </w:pPr>
            <w:r w:rsidRPr="00C9359A">
              <w:rPr>
                <w:rFonts w:cs="Arial"/>
                <w:color w:val="000000"/>
                <w:szCs w:val="24"/>
              </w:rPr>
              <w:t>0.31%</w:t>
            </w:r>
          </w:p>
        </w:tc>
        <w:tc>
          <w:tcPr>
            <w:tcW w:w="990" w:type="dxa"/>
            <w:tcBorders>
              <w:top w:val="nil"/>
              <w:left w:val="nil"/>
              <w:bottom w:val="single" w:sz="4" w:space="0" w:color="auto"/>
              <w:right w:val="single" w:sz="4" w:space="0" w:color="auto"/>
            </w:tcBorders>
            <w:shd w:val="clear" w:color="auto" w:fill="auto"/>
            <w:noWrap/>
            <w:vAlign w:val="center"/>
            <w:hideMark/>
          </w:tcPr>
          <w:p w:rsidR="00AC40FC" w:rsidRPr="00C9359A" w:rsidRDefault="00AC40FC" w:rsidP="00440B39">
            <w:pPr>
              <w:spacing w:after="0"/>
              <w:jc w:val="center"/>
              <w:rPr>
                <w:rFonts w:cs="Arial"/>
                <w:color w:val="000000"/>
                <w:szCs w:val="24"/>
              </w:rPr>
            </w:pPr>
            <w:r w:rsidRPr="00C9359A">
              <w:rPr>
                <w:rFonts w:cs="Arial"/>
                <w:color w:val="000000"/>
                <w:szCs w:val="24"/>
              </w:rPr>
              <w:t>0.14%</w:t>
            </w:r>
          </w:p>
        </w:tc>
        <w:tc>
          <w:tcPr>
            <w:tcW w:w="990" w:type="dxa"/>
            <w:tcBorders>
              <w:top w:val="nil"/>
              <w:left w:val="nil"/>
              <w:bottom w:val="single" w:sz="4" w:space="0" w:color="auto"/>
              <w:right w:val="single" w:sz="4" w:space="0" w:color="auto"/>
            </w:tcBorders>
            <w:shd w:val="clear" w:color="auto" w:fill="auto"/>
            <w:noWrap/>
            <w:vAlign w:val="center"/>
            <w:hideMark/>
          </w:tcPr>
          <w:p w:rsidR="00AC40FC" w:rsidRPr="00C9359A" w:rsidRDefault="00AC40FC" w:rsidP="00440B39">
            <w:pPr>
              <w:spacing w:after="0"/>
              <w:jc w:val="center"/>
              <w:rPr>
                <w:rFonts w:cs="Arial"/>
                <w:color w:val="000000"/>
                <w:szCs w:val="24"/>
              </w:rPr>
            </w:pPr>
            <w:r w:rsidRPr="00C9359A">
              <w:rPr>
                <w:rFonts w:cs="Arial"/>
                <w:color w:val="000000"/>
                <w:szCs w:val="24"/>
              </w:rPr>
              <w:t>0.14%</w:t>
            </w:r>
          </w:p>
        </w:tc>
        <w:tc>
          <w:tcPr>
            <w:tcW w:w="990" w:type="dxa"/>
            <w:tcBorders>
              <w:top w:val="nil"/>
              <w:left w:val="nil"/>
              <w:bottom w:val="single" w:sz="4" w:space="0" w:color="auto"/>
              <w:right w:val="single" w:sz="4" w:space="0" w:color="auto"/>
            </w:tcBorders>
            <w:shd w:val="clear" w:color="auto" w:fill="auto"/>
            <w:noWrap/>
            <w:vAlign w:val="center"/>
            <w:hideMark/>
          </w:tcPr>
          <w:p w:rsidR="00AC40FC" w:rsidRPr="00C9359A" w:rsidRDefault="00AC40FC" w:rsidP="00440B39">
            <w:pPr>
              <w:spacing w:after="0"/>
              <w:jc w:val="center"/>
              <w:rPr>
                <w:rFonts w:cs="Arial"/>
                <w:color w:val="000000"/>
                <w:szCs w:val="24"/>
              </w:rPr>
            </w:pPr>
            <w:r w:rsidRPr="00C9359A">
              <w:rPr>
                <w:rFonts w:cs="Arial"/>
                <w:color w:val="000000"/>
                <w:szCs w:val="24"/>
              </w:rPr>
              <w:t>0.11%</w:t>
            </w:r>
          </w:p>
        </w:tc>
      </w:tr>
      <w:tr w:rsidR="00AC40FC" w:rsidRPr="00B4550E" w:rsidTr="00440B39">
        <w:trPr>
          <w:trHeight w:val="300"/>
          <w:jc w:val="center"/>
        </w:trPr>
        <w:tc>
          <w:tcPr>
            <w:tcW w:w="8405"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C40FC" w:rsidRPr="00441403" w:rsidRDefault="00AC40FC" w:rsidP="00440B39">
            <w:pPr>
              <w:spacing w:after="0"/>
              <w:jc w:val="left"/>
              <w:rPr>
                <w:rFonts w:cs="Arial"/>
                <w:color w:val="000000"/>
                <w:sz w:val="22"/>
              </w:rPr>
            </w:pPr>
            <w:r w:rsidRPr="00441403">
              <w:rPr>
                <w:rFonts w:cs="Arial"/>
                <w:color w:val="000000"/>
                <w:sz w:val="22"/>
              </w:rPr>
              <w:t>Source</w:t>
            </w:r>
            <w:r>
              <w:rPr>
                <w:rFonts w:cs="Arial"/>
                <w:color w:val="000000"/>
                <w:sz w:val="22"/>
              </w:rPr>
              <w:t>s</w:t>
            </w:r>
            <w:r w:rsidRPr="00441403">
              <w:rPr>
                <w:rFonts w:cs="Arial"/>
                <w:color w:val="000000"/>
                <w:sz w:val="22"/>
              </w:rPr>
              <w:t xml:space="preserve">:  DN 14-184A; </w:t>
            </w:r>
            <w:r>
              <w:rPr>
                <w:sz w:val="22"/>
              </w:rPr>
              <w:t>PPL EU edits</w:t>
            </w:r>
          </w:p>
        </w:tc>
      </w:tr>
    </w:tbl>
    <w:p w:rsidR="00AC40FC" w:rsidRDefault="00AC40FC" w:rsidP="00440B39">
      <w:pPr>
        <w:pStyle w:val="Normal-aftertable"/>
      </w:pPr>
      <w:r w:rsidRPr="00D41E9A">
        <w:t xml:space="preserve">The graduation rates shown above have been </w:t>
      </w:r>
      <w:r>
        <w:t>decreasing since 2012</w:t>
      </w:r>
      <w:r w:rsidRPr="00D41E9A">
        <w:t xml:space="preserve">.  </w:t>
      </w:r>
      <w:r>
        <w:t>Graduation rates are one measure of the OnTrack program's ability to improve customer payment behaviors.</w:t>
      </w:r>
    </w:p>
    <w:p w:rsidR="00AC40FC" w:rsidRDefault="00AC40FC" w:rsidP="0049591B">
      <w:pPr>
        <w:pStyle w:val="Findings"/>
      </w:pPr>
      <w:r>
        <w:t>OnTrack customer payment behavior is improving.</w:t>
      </w:r>
    </w:p>
    <w:p w:rsidR="00AC40FC" w:rsidRDefault="00AC40FC" w:rsidP="00440B39">
      <w:r>
        <w:t>OnTrack installments billed compared to payments received are shown in the following data:</w:t>
      </w:r>
    </w:p>
    <w:p w:rsidR="00AC40FC" w:rsidRDefault="00AC40FC" w:rsidP="002B3172">
      <w:pPr>
        <w:pStyle w:val="Caption"/>
      </w:pPr>
      <w:bookmarkStart w:id="181" w:name="_Toc462648436"/>
      <w:bookmarkStart w:id="182" w:name="_Toc464553058"/>
      <w:r>
        <w:t xml:space="preserve">Exhibit </w:t>
      </w:r>
      <w:fldSimple w:instr=" STYLEREF 1 \s ">
        <w:r w:rsidR="00A24205">
          <w:rPr>
            <w:noProof/>
          </w:rPr>
          <w:t>X</w:t>
        </w:r>
      </w:fldSimple>
      <w:r w:rsidR="00264A1B">
        <w:noBreakHyphen/>
      </w:r>
      <w:fldSimple w:instr=" SEQ Exhibit \* ARABIC \s 1 ">
        <w:r w:rsidR="00A24205">
          <w:rPr>
            <w:noProof/>
          </w:rPr>
          <w:t>19</w:t>
        </w:r>
      </w:fldSimple>
      <w:r>
        <w:br/>
        <w:t>Percentage of OnTrack Installments Billed That Are Received</w:t>
      </w:r>
      <w:bookmarkEnd w:id="181"/>
      <w:bookmarkEnd w:id="182"/>
    </w:p>
    <w:p w:rsidR="00AC40FC" w:rsidRDefault="00AC40FC" w:rsidP="00440B39">
      <w:pPr>
        <w:jc w:val="center"/>
      </w:pPr>
      <w:r>
        <w:rPr>
          <w:noProof/>
        </w:rPr>
        <w:drawing>
          <wp:inline distT="0" distB="0" distL="0" distR="0">
            <wp:extent cx="4013200" cy="2025650"/>
            <wp:effectExtent l="0" t="0" r="6350" b="12700"/>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bl>
      <w:tblPr>
        <w:tblW w:w="9233" w:type="dxa"/>
        <w:jc w:val="center"/>
        <w:tblLayout w:type="fixed"/>
        <w:tblLook w:val="04A0"/>
      </w:tblPr>
      <w:tblGrid>
        <w:gridCol w:w="1673"/>
        <w:gridCol w:w="1260"/>
        <w:gridCol w:w="1260"/>
        <w:gridCol w:w="1260"/>
        <w:gridCol w:w="1260"/>
        <w:gridCol w:w="1260"/>
        <w:gridCol w:w="1260"/>
      </w:tblGrid>
      <w:tr w:rsidR="00AC40FC" w:rsidRPr="00DA4C40" w:rsidTr="00786363">
        <w:trPr>
          <w:cantSplit/>
          <w:trHeight w:val="300"/>
          <w:tblHeader/>
          <w:jc w:val="center"/>
        </w:trPr>
        <w:tc>
          <w:tcPr>
            <w:tcW w:w="1673" w:type="dxa"/>
            <w:tcBorders>
              <w:top w:val="single" w:sz="4" w:space="0" w:color="auto"/>
              <w:left w:val="single" w:sz="4" w:space="0" w:color="auto"/>
              <w:bottom w:val="single" w:sz="4" w:space="0" w:color="auto"/>
              <w:right w:val="single" w:sz="4" w:space="0" w:color="auto"/>
            </w:tcBorders>
            <w:shd w:val="clear" w:color="auto" w:fill="A5CD7E"/>
            <w:noWrap/>
            <w:vAlign w:val="center"/>
            <w:hideMark/>
          </w:tcPr>
          <w:p w:rsidR="00AC40FC" w:rsidRPr="00292524" w:rsidRDefault="00AC40FC" w:rsidP="00521E7D">
            <w:pPr>
              <w:spacing w:before="120"/>
              <w:jc w:val="center"/>
              <w:rPr>
                <w:rFonts w:cs="Arial"/>
                <w:b/>
                <w:color w:val="000000"/>
                <w:sz w:val="20"/>
                <w:szCs w:val="20"/>
              </w:rPr>
            </w:pPr>
            <w:r w:rsidRPr="00292524">
              <w:rPr>
                <w:rFonts w:cs="Arial"/>
                <w:b/>
                <w:color w:val="000000"/>
                <w:sz w:val="20"/>
                <w:szCs w:val="20"/>
              </w:rPr>
              <w:lastRenderedPageBreak/>
              <w:t>Factor</w:t>
            </w:r>
          </w:p>
        </w:tc>
        <w:tc>
          <w:tcPr>
            <w:tcW w:w="126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292524" w:rsidRDefault="00AC40FC" w:rsidP="00521E7D">
            <w:pPr>
              <w:spacing w:before="120"/>
              <w:jc w:val="center"/>
              <w:rPr>
                <w:rFonts w:cs="Arial"/>
                <w:b/>
                <w:color w:val="000000"/>
                <w:sz w:val="20"/>
                <w:szCs w:val="20"/>
              </w:rPr>
            </w:pPr>
            <w:r w:rsidRPr="00292524">
              <w:rPr>
                <w:rFonts w:cs="Arial"/>
                <w:b/>
                <w:color w:val="000000"/>
                <w:sz w:val="20"/>
                <w:szCs w:val="20"/>
              </w:rPr>
              <w:t>2010</w:t>
            </w:r>
          </w:p>
        </w:tc>
        <w:tc>
          <w:tcPr>
            <w:tcW w:w="126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292524" w:rsidRDefault="00AC40FC" w:rsidP="00521E7D">
            <w:pPr>
              <w:spacing w:before="120"/>
              <w:jc w:val="center"/>
              <w:rPr>
                <w:rFonts w:cs="Arial"/>
                <w:b/>
                <w:color w:val="000000"/>
                <w:sz w:val="20"/>
                <w:szCs w:val="20"/>
              </w:rPr>
            </w:pPr>
            <w:r w:rsidRPr="00292524">
              <w:rPr>
                <w:rFonts w:cs="Arial"/>
                <w:b/>
                <w:color w:val="000000"/>
                <w:sz w:val="20"/>
                <w:szCs w:val="20"/>
              </w:rPr>
              <w:t>2011</w:t>
            </w:r>
          </w:p>
        </w:tc>
        <w:tc>
          <w:tcPr>
            <w:tcW w:w="126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292524" w:rsidRDefault="00AC40FC" w:rsidP="00521E7D">
            <w:pPr>
              <w:spacing w:before="120"/>
              <w:jc w:val="center"/>
              <w:rPr>
                <w:rFonts w:cs="Arial"/>
                <w:b/>
                <w:color w:val="000000"/>
                <w:sz w:val="20"/>
                <w:szCs w:val="20"/>
              </w:rPr>
            </w:pPr>
            <w:r w:rsidRPr="00292524">
              <w:rPr>
                <w:rFonts w:cs="Arial"/>
                <w:b/>
                <w:color w:val="000000"/>
                <w:sz w:val="20"/>
                <w:szCs w:val="20"/>
              </w:rPr>
              <w:t>2012</w:t>
            </w:r>
          </w:p>
        </w:tc>
        <w:tc>
          <w:tcPr>
            <w:tcW w:w="126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292524" w:rsidRDefault="00AC40FC" w:rsidP="00521E7D">
            <w:pPr>
              <w:spacing w:before="120"/>
              <w:jc w:val="center"/>
              <w:rPr>
                <w:rFonts w:cs="Arial"/>
                <w:b/>
                <w:color w:val="000000"/>
                <w:sz w:val="20"/>
                <w:szCs w:val="20"/>
              </w:rPr>
            </w:pPr>
            <w:r w:rsidRPr="00292524">
              <w:rPr>
                <w:rFonts w:cs="Arial"/>
                <w:b/>
                <w:color w:val="000000"/>
                <w:sz w:val="20"/>
                <w:szCs w:val="20"/>
              </w:rPr>
              <w:t>2013</w:t>
            </w:r>
          </w:p>
        </w:tc>
        <w:tc>
          <w:tcPr>
            <w:tcW w:w="126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292524" w:rsidRDefault="00AC40FC" w:rsidP="00521E7D">
            <w:pPr>
              <w:spacing w:before="120"/>
              <w:jc w:val="center"/>
              <w:rPr>
                <w:rFonts w:cs="Arial"/>
                <w:b/>
                <w:color w:val="000000"/>
                <w:sz w:val="20"/>
                <w:szCs w:val="20"/>
              </w:rPr>
            </w:pPr>
            <w:r w:rsidRPr="00292524">
              <w:rPr>
                <w:rFonts w:cs="Arial"/>
                <w:b/>
                <w:color w:val="000000"/>
                <w:sz w:val="20"/>
                <w:szCs w:val="20"/>
              </w:rPr>
              <w:t>2014</w:t>
            </w:r>
          </w:p>
        </w:tc>
        <w:tc>
          <w:tcPr>
            <w:tcW w:w="126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292524" w:rsidRDefault="00AC40FC" w:rsidP="00521E7D">
            <w:pPr>
              <w:spacing w:before="120"/>
              <w:jc w:val="center"/>
              <w:rPr>
                <w:rFonts w:cs="Arial"/>
                <w:b/>
                <w:color w:val="000000"/>
                <w:sz w:val="20"/>
                <w:szCs w:val="20"/>
              </w:rPr>
            </w:pPr>
            <w:r w:rsidRPr="00292524">
              <w:rPr>
                <w:rFonts w:cs="Arial"/>
                <w:b/>
                <w:color w:val="000000"/>
                <w:sz w:val="20"/>
                <w:szCs w:val="20"/>
              </w:rPr>
              <w:t>2015</w:t>
            </w:r>
          </w:p>
        </w:tc>
      </w:tr>
      <w:tr w:rsidR="00AC40FC" w:rsidRPr="00DA4C40" w:rsidTr="00440B39">
        <w:trPr>
          <w:trHeight w:val="300"/>
          <w:jc w:val="center"/>
        </w:trPr>
        <w:tc>
          <w:tcPr>
            <w:tcW w:w="1673" w:type="dxa"/>
            <w:tcBorders>
              <w:top w:val="nil"/>
              <w:left w:val="single" w:sz="4" w:space="0" w:color="auto"/>
              <w:bottom w:val="single" w:sz="4" w:space="0" w:color="auto"/>
              <w:right w:val="single" w:sz="4" w:space="0" w:color="auto"/>
            </w:tcBorders>
            <w:shd w:val="clear" w:color="auto" w:fill="auto"/>
            <w:noWrap/>
            <w:vAlign w:val="center"/>
            <w:hideMark/>
          </w:tcPr>
          <w:p w:rsidR="00AC40FC" w:rsidRPr="00DA4C40" w:rsidRDefault="00AC40FC" w:rsidP="00440B39">
            <w:pPr>
              <w:spacing w:after="0"/>
              <w:jc w:val="center"/>
              <w:rPr>
                <w:rFonts w:cs="Arial"/>
                <w:color w:val="000000"/>
                <w:sz w:val="20"/>
                <w:szCs w:val="20"/>
              </w:rPr>
            </w:pPr>
            <w:r w:rsidRPr="00DA4C40">
              <w:rPr>
                <w:rFonts w:cs="Arial"/>
                <w:color w:val="000000"/>
                <w:sz w:val="20"/>
                <w:szCs w:val="20"/>
              </w:rPr>
              <w:t>OT Installments</w:t>
            </w:r>
            <w:r>
              <w:rPr>
                <w:rFonts w:cs="Arial"/>
                <w:color w:val="000000"/>
                <w:sz w:val="20"/>
                <w:szCs w:val="20"/>
              </w:rPr>
              <w:t xml:space="preserve"> Billed</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DA4C40" w:rsidRDefault="00AC40FC" w:rsidP="00440B39">
            <w:pPr>
              <w:spacing w:after="0"/>
              <w:jc w:val="center"/>
              <w:rPr>
                <w:rFonts w:cs="Arial"/>
                <w:color w:val="000000"/>
                <w:sz w:val="20"/>
                <w:szCs w:val="20"/>
              </w:rPr>
            </w:pPr>
            <w:r w:rsidRPr="00DA4C40">
              <w:rPr>
                <w:rFonts w:cs="Arial"/>
                <w:color w:val="000000"/>
                <w:sz w:val="20"/>
                <w:szCs w:val="20"/>
              </w:rPr>
              <w:t>28,854,679</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DA4C40" w:rsidRDefault="00AC40FC" w:rsidP="00440B39">
            <w:pPr>
              <w:spacing w:after="0"/>
              <w:jc w:val="center"/>
              <w:rPr>
                <w:rFonts w:cs="Arial"/>
                <w:color w:val="000000"/>
                <w:sz w:val="20"/>
                <w:szCs w:val="20"/>
              </w:rPr>
            </w:pPr>
            <w:r w:rsidRPr="00DA4C40">
              <w:rPr>
                <w:rFonts w:cs="Arial"/>
                <w:color w:val="000000"/>
                <w:sz w:val="20"/>
                <w:szCs w:val="20"/>
              </w:rPr>
              <w:t>32,723,343</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DA4C40" w:rsidRDefault="00AC40FC" w:rsidP="00440B39">
            <w:pPr>
              <w:spacing w:after="0"/>
              <w:jc w:val="center"/>
              <w:rPr>
                <w:rFonts w:cs="Arial"/>
                <w:color w:val="000000"/>
                <w:sz w:val="20"/>
                <w:szCs w:val="20"/>
              </w:rPr>
            </w:pPr>
            <w:r w:rsidRPr="00DA4C40">
              <w:rPr>
                <w:rFonts w:cs="Arial"/>
                <w:color w:val="000000"/>
                <w:sz w:val="20"/>
                <w:szCs w:val="20"/>
              </w:rPr>
              <w:t>33,442,888</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DA4C40" w:rsidRDefault="00AC40FC" w:rsidP="00440B39">
            <w:pPr>
              <w:spacing w:after="0"/>
              <w:jc w:val="center"/>
              <w:rPr>
                <w:rFonts w:cs="Arial"/>
                <w:color w:val="000000"/>
                <w:sz w:val="20"/>
                <w:szCs w:val="20"/>
              </w:rPr>
            </w:pPr>
            <w:r w:rsidRPr="00DA4C40">
              <w:rPr>
                <w:rFonts w:cs="Arial"/>
                <w:color w:val="000000"/>
                <w:sz w:val="20"/>
                <w:szCs w:val="20"/>
              </w:rPr>
              <w:t>33,380,598</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DA4C40" w:rsidRDefault="00AC40FC" w:rsidP="00440B39">
            <w:pPr>
              <w:spacing w:after="0"/>
              <w:jc w:val="center"/>
              <w:rPr>
                <w:rFonts w:cs="Arial"/>
                <w:color w:val="000000"/>
                <w:sz w:val="20"/>
                <w:szCs w:val="20"/>
              </w:rPr>
            </w:pPr>
            <w:r w:rsidRPr="00DA4C40">
              <w:rPr>
                <w:rFonts w:cs="Arial"/>
                <w:color w:val="000000"/>
                <w:sz w:val="20"/>
                <w:szCs w:val="20"/>
              </w:rPr>
              <w:t>38,315,479</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DA4C40" w:rsidRDefault="00AC40FC" w:rsidP="00440B39">
            <w:pPr>
              <w:spacing w:after="0"/>
              <w:jc w:val="center"/>
              <w:rPr>
                <w:rFonts w:cs="Arial"/>
                <w:color w:val="000000"/>
                <w:sz w:val="20"/>
                <w:szCs w:val="20"/>
              </w:rPr>
            </w:pPr>
            <w:r w:rsidRPr="00DA4C40">
              <w:rPr>
                <w:rFonts w:cs="Arial"/>
                <w:color w:val="000000"/>
                <w:sz w:val="20"/>
                <w:szCs w:val="20"/>
              </w:rPr>
              <w:t>46,687,996</w:t>
            </w:r>
          </w:p>
        </w:tc>
      </w:tr>
      <w:tr w:rsidR="00AC40FC" w:rsidRPr="00DA4C40" w:rsidTr="00440B39">
        <w:trPr>
          <w:trHeight w:val="300"/>
          <w:jc w:val="center"/>
        </w:trPr>
        <w:tc>
          <w:tcPr>
            <w:tcW w:w="1673" w:type="dxa"/>
            <w:tcBorders>
              <w:top w:val="nil"/>
              <w:left w:val="single" w:sz="4" w:space="0" w:color="auto"/>
              <w:bottom w:val="single" w:sz="4" w:space="0" w:color="auto"/>
              <w:right w:val="single" w:sz="4" w:space="0" w:color="auto"/>
            </w:tcBorders>
            <w:shd w:val="clear" w:color="auto" w:fill="auto"/>
            <w:noWrap/>
            <w:vAlign w:val="center"/>
            <w:hideMark/>
          </w:tcPr>
          <w:p w:rsidR="00AC40FC" w:rsidRPr="00DA4C40" w:rsidRDefault="00AC40FC" w:rsidP="00440B39">
            <w:pPr>
              <w:spacing w:after="0"/>
              <w:jc w:val="center"/>
              <w:rPr>
                <w:rFonts w:cs="Arial"/>
                <w:color w:val="000000"/>
                <w:sz w:val="20"/>
                <w:szCs w:val="20"/>
              </w:rPr>
            </w:pPr>
            <w:r w:rsidRPr="00DA4C40">
              <w:rPr>
                <w:rFonts w:cs="Arial"/>
                <w:color w:val="000000"/>
                <w:sz w:val="20"/>
                <w:szCs w:val="20"/>
              </w:rPr>
              <w:t>OT Payments Received</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DA4C40" w:rsidRDefault="00AC40FC" w:rsidP="00440B39">
            <w:pPr>
              <w:spacing w:after="0"/>
              <w:jc w:val="center"/>
              <w:rPr>
                <w:rFonts w:cs="Arial"/>
                <w:color w:val="000000"/>
                <w:sz w:val="20"/>
                <w:szCs w:val="20"/>
              </w:rPr>
            </w:pPr>
            <w:r w:rsidRPr="00DA4C40">
              <w:rPr>
                <w:rFonts w:cs="Arial"/>
                <w:color w:val="000000"/>
                <w:sz w:val="20"/>
                <w:szCs w:val="20"/>
              </w:rPr>
              <w:t>22,737,463</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DA4C40" w:rsidRDefault="00AC40FC" w:rsidP="00440B39">
            <w:pPr>
              <w:spacing w:after="0"/>
              <w:jc w:val="center"/>
              <w:rPr>
                <w:rFonts w:cs="Arial"/>
                <w:color w:val="000000"/>
                <w:sz w:val="20"/>
                <w:szCs w:val="20"/>
              </w:rPr>
            </w:pPr>
            <w:r w:rsidRPr="00DA4C40">
              <w:rPr>
                <w:rFonts w:cs="Arial"/>
                <w:color w:val="000000"/>
                <w:sz w:val="20"/>
                <w:szCs w:val="20"/>
              </w:rPr>
              <w:t>27,375,363</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DA4C40" w:rsidRDefault="00AC40FC" w:rsidP="00440B39">
            <w:pPr>
              <w:spacing w:after="0"/>
              <w:jc w:val="center"/>
              <w:rPr>
                <w:rFonts w:cs="Arial"/>
                <w:color w:val="000000"/>
                <w:sz w:val="20"/>
                <w:szCs w:val="20"/>
              </w:rPr>
            </w:pPr>
            <w:r w:rsidRPr="00DA4C40">
              <w:rPr>
                <w:rFonts w:cs="Arial"/>
                <w:color w:val="000000"/>
                <w:sz w:val="20"/>
                <w:szCs w:val="20"/>
              </w:rPr>
              <w:t>30,755,992</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DA4C40" w:rsidRDefault="00AC40FC" w:rsidP="00440B39">
            <w:pPr>
              <w:spacing w:after="0"/>
              <w:jc w:val="center"/>
              <w:rPr>
                <w:rFonts w:cs="Arial"/>
                <w:color w:val="000000"/>
                <w:sz w:val="20"/>
                <w:szCs w:val="20"/>
              </w:rPr>
            </w:pPr>
            <w:r w:rsidRPr="00DA4C40">
              <w:rPr>
                <w:rFonts w:cs="Arial"/>
                <w:color w:val="000000"/>
                <w:sz w:val="20"/>
                <w:szCs w:val="20"/>
              </w:rPr>
              <w:t>30,699,658</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DA4C40" w:rsidRDefault="00AC40FC" w:rsidP="00440B39">
            <w:pPr>
              <w:spacing w:after="0"/>
              <w:jc w:val="center"/>
              <w:rPr>
                <w:rFonts w:cs="Arial"/>
                <w:color w:val="000000"/>
                <w:sz w:val="20"/>
                <w:szCs w:val="20"/>
              </w:rPr>
            </w:pPr>
            <w:r w:rsidRPr="00DA4C40">
              <w:rPr>
                <w:rFonts w:cs="Arial"/>
                <w:color w:val="000000"/>
                <w:sz w:val="20"/>
                <w:szCs w:val="20"/>
              </w:rPr>
              <w:t>34,632,313</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DA4C40" w:rsidRDefault="00AC40FC" w:rsidP="00440B39">
            <w:pPr>
              <w:spacing w:after="0"/>
              <w:jc w:val="center"/>
              <w:rPr>
                <w:rFonts w:cs="Arial"/>
                <w:color w:val="000000"/>
                <w:sz w:val="20"/>
                <w:szCs w:val="20"/>
              </w:rPr>
            </w:pPr>
            <w:r w:rsidRPr="00DA4C40">
              <w:rPr>
                <w:rFonts w:cs="Arial"/>
                <w:color w:val="000000"/>
                <w:sz w:val="20"/>
                <w:szCs w:val="20"/>
              </w:rPr>
              <w:t>43,971,254</w:t>
            </w:r>
          </w:p>
        </w:tc>
      </w:tr>
      <w:tr w:rsidR="00AC40FC" w:rsidRPr="00DA4C40" w:rsidTr="00440B39">
        <w:trPr>
          <w:trHeight w:val="300"/>
          <w:jc w:val="center"/>
        </w:trPr>
        <w:tc>
          <w:tcPr>
            <w:tcW w:w="1673" w:type="dxa"/>
            <w:tcBorders>
              <w:top w:val="nil"/>
              <w:left w:val="single" w:sz="4" w:space="0" w:color="auto"/>
              <w:bottom w:val="single" w:sz="4" w:space="0" w:color="auto"/>
              <w:right w:val="single" w:sz="4" w:space="0" w:color="auto"/>
            </w:tcBorders>
            <w:shd w:val="clear" w:color="auto" w:fill="auto"/>
            <w:noWrap/>
            <w:vAlign w:val="center"/>
            <w:hideMark/>
          </w:tcPr>
          <w:p w:rsidR="00AC40FC" w:rsidRPr="00DA4C40" w:rsidRDefault="00AC40FC" w:rsidP="00440B39">
            <w:pPr>
              <w:spacing w:after="0"/>
              <w:jc w:val="center"/>
              <w:rPr>
                <w:rFonts w:cs="Arial"/>
                <w:color w:val="000000"/>
                <w:sz w:val="20"/>
                <w:szCs w:val="20"/>
              </w:rPr>
            </w:pPr>
            <w:r w:rsidRPr="00DA4C40">
              <w:rPr>
                <w:rFonts w:cs="Arial"/>
                <w:color w:val="000000"/>
                <w:sz w:val="20"/>
                <w:szCs w:val="20"/>
              </w:rPr>
              <w:t>Percent Received</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DA4C40" w:rsidRDefault="00AC40FC" w:rsidP="00440B39">
            <w:pPr>
              <w:spacing w:after="0"/>
              <w:jc w:val="center"/>
              <w:rPr>
                <w:rFonts w:cs="Arial"/>
                <w:color w:val="000000"/>
                <w:sz w:val="20"/>
                <w:szCs w:val="20"/>
              </w:rPr>
            </w:pPr>
            <w:r w:rsidRPr="00DA4C40">
              <w:rPr>
                <w:rFonts w:cs="Arial"/>
                <w:color w:val="000000"/>
                <w:sz w:val="20"/>
                <w:szCs w:val="20"/>
              </w:rPr>
              <w:t>79%</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DA4C40" w:rsidRDefault="00AC40FC" w:rsidP="00440B39">
            <w:pPr>
              <w:spacing w:after="0"/>
              <w:jc w:val="center"/>
              <w:rPr>
                <w:rFonts w:cs="Arial"/>
                <w:color w:val="000000"/>
                <w:sz w:val="20"/>
                <w:szCs w:val="20"/>
              </w:rPr>
            </w:pPr>
            <w:r w:rsidRPr="00DA4C40">
              <w:rPr>
                <w:rFonts w:cs="Arial"/>
                <w:color w:val="000000"/>
                <w:sz w:val="20"/>
                <w:szCs w:val="20"/>
              </w:rPr>
              <w:t>84%</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DA4C40" w:rsidRDefault="00AC40FC" w:rsidP="00440B39">
            <w:pPr>
              <w:spacing w:after="0"/>
              <w:jc w:val="center"/>
              <w:rPr>
                <w:rFonts w:cs="Arial"/>
                <w:color w:val="000000"/>
                <w:sz w:val="20"/>
                <w:szCs w:val="20"/>
              </w:rPr>
            </w:pPr>
            <w:r w:rsidRPr="00DA4C40">
              <w:rPr>
                <w:rFonts w:cs="Arial"/>
                <w:color w:val="000000"/>
                <w:sz w:val="20"/>
                <w:szCs w:val="20"/>
              </w:rPr>
              <w:t>92%</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DA4C40" w:rsidRDefault="00AC40FC" w:rsidP="00440B39">
            <w:pPr>
              <w:spacing w:after="0"/>
              <w:jc w:val="center"/>
              <w:rPr>
                <w:rFonts w:cs="Arial"/>
                <w:color w:val="000000"/>
                <w:sz w:val="20"/>
                <w:szCs w:val="20"/>
              </w:rPr>
            </w:pPr>
            <w:r w:rsidRPr="00DA4C40">
              <w:rPr>
                <w:rFonts w:cs="Arial"/>
                <w:color w:val="000000"/>
                <w:sz w:val="20"/>
                <w:szCs w:val="20"/>
              </w:rPr>
              <w:t>92%</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DA4C40" w:rsidRDefault="00AC40FC" w:rsidP="00440B39">
            <w:pPr>
              <w:spacing w:after="0"/>
              <w:jc w:val="center"/>
              <w:rPr>
                <w:rFonts w:cs="Arial"/>
                <w:color w:val="000000"/>
                <w:sz w:val="20"/>
                <w:szCs w:val="20"/>
              </w:rPr>
            </w:pPr>
            <w:r w:rsidRPr="00DA4C40">
              <w:rPr>
                <w:rFonts w:cs="Arial"/>
                <w:color w:val="000000"/>
                <w:sz w:val="20"/>
                <w:szCs w:val="20"/>
              </w:rPr>
              <w:t>90%</w:t>
            </w:r>
          </w:p>
        </w:tc>
        <w:tc>
          <w:tcPr>
            <w:tcW w:w="1260" w:type="dxa"/>
            <w:tcBorders>
              <w:top w:val="nil"/>
              <w:left w:val="nil"/>
              <w:bottom w:val="single" w:sz="4" w:space="0" w:color="auto"/>
              <w:right w:val="single" w:sz="4" w:space="0" w:color="auto"/>
            </w:tcBorders>
            <w:shd w:val="clear" w:color="auto" w:fill="auto"/>
            <w:noWrap/>
            <w:vAlign w:val="center"/>
            <w:hideMark/>
          </w:tcPr>
          <w:p w:rsidR="00AC40FC" w:rsidRPr="00DA4C40" w:rsidRDefault="00AC40FC" w:rsidP="00440B39">
            <w:pPr>
              <w:spacing w:after="0"/>
              <w:jc w:val="center"/>
              <w:rPr>
                <w:rFonts w:cs="Arial"/>
                <w:color w:val="000000"/>
                <w:sz w:val="20"/>
                <w:szCs w:val="20"/>
              </w:rPr>
            </w:pPr>
            <w:r w:rsidRPr="00DA4C40">
              <w:rPr>
                <w:rFonts w:cs="Arial"/>
                <w:color w:val="000000"/>
                <w:sz w:val="20"/>
                <w:szCs w:val="20"/>
              </w:rPr>
              <w:t>94%</w:t>
            </w:r>
          </w:p>
        </w:tc>
      </w:tr>
      <w:tr w:rsidR="00AC40FC" w:rsidRPr="00DA4C40" w:rsidTr="00440B39">
        <w:trPr>
          <w:trHeight w:val="300"/>
          <w:jc w:val="center"/>
        </w:trPr>
        <w:tc>
          <w:tcPr>
            <w:tcW w:w="9233"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C40FC" w:rsidRPr="00DA4C40" w:rsidRDefault="00AC40FC" w:rsidP="00440B39">
            <w:pPr>
              <w:spacing w:after="0"/>
              <w:jc w:val="left"/>
              <w:rPr>
                <w:rFonts w:cs="Arial"/>
                <w:color w:val="000000"/>
                <w:sz w:val="18"/>
                <w:szCs w:val="18"/>
              </w:rPr>
            </w:pPr>
            <w:r w:rsidRPr="00DA4C40">
              <w:rPr>
                <w:rFonts w:cs="Arial"/>
                <w:color w:val="000000"/>
                <w:sz w:val="18"/>
                <w:szCs w:val="18"/>
              </w:rPr>
              <w:t>Source:  DN 14-182</w:t>
            </w:r>
          </w:p>
        </w:tc>
      </w:tr>
    </w:tbl>
    <w:p w:rsidR="00AC40FC" w:rsidRDefault="00AC40FC" w:rsidP="00440B39">
      <w:pPr>
        <w:pStyle w:val="Normal-aftertable"/>
      </w:pPr>
      <w:r>
        <w:t xml:space="preserve">OnTrack customer payment behaviors are improving, based on the amounts of dollars that were billed compared to dollars received.  The Percent Received increased significantly from 79% to 94% between 2010 through 2015.  </w:t>
      </w:r>
    </w:p>
    <w:p w:rsidR="00AC40FC" w:rsidRDefault="00AC40FC" w:rsidP="00440B39">
      <w:r>
        <w:t>PPL EU was unable to provide comparable data for non-OnTrack payment agreements for the same period.  The non-OnTrack billed versus received is not routinely tracked, and PPL EU would need to b</w:t>
      </w:r>
      <w:r w:rsidRPr="00013CB4">
        <w:t>uild a report that look</w:t>
      </w:r>
      <w:r>
        <w:t>s</w:t>
      </w:r>
      <w:r w:rsidRPr="00013CB4">
        <w:t xml:space="preserve"> at every bill and</w:t>
      </w:r>
      <w:r>
        <w:t xml:space="preserve"> show</w:t>
      </w:r>
      <w:r w:rsidRPr="00013CB4">
        <w:t xml:space="preserve"> if it corresponded with a payment agreement installment amount</w:t>
      </w:r>
      <w:r>
        <w:t xml:space="preserve"> over a five-year period.  Comparing OnTrack and non-OnTrack payment experience would be very useful in understanding how the program is changing payment behaviors, one of the program’s objectives.</w:t>
      </w:r>
    </w:p>
    <w:p w:rsidR="00AC40FC" w:rsidRDefault="00AC40FC" w:rsidP="0049591B">
      <w:pPr>
        <w:pStyle w:val="Findings"/>
      </w:pPr>
      <w:r>
        <w:t>Regulatory Programs does not track PUC informal complaints by individual OnTrack agencies.</w:t>
      </w:r>
    </w:p>
    <w:p w:rsidR="00AC40FC" w:rsidRDefault="00AC40FC" w:rsidP="00440B39">
      <w:pPr>
        <w:rPr>
          <w:rFonts w:cs="Arial"/>
          <w:szCs w:val="24"/>
        </w:rPr>
      </w:pPr>
      <w:r>
        <w:rPr>
          <w:rFonts w:cs="Arial"/>
          <w:szCs w:val="24"/>
        </w:rPr>
        <w:t xml:space="preserve">Regulatory Programs </w:t>
      </w:r>
      <w:r w:rsidRPr="00877827">
        <w:rPr>
          <w:rFonts w:cs="Arial"/>
          <w:szCs w:val="24"/>
        </w:rPr>
        <w:t xml:space="preserve">expects the </w:t>
      </w:r>
      <w:r>
        <w:rPr>
          <w:rFonts w:cs="Arial"/>
          <w:szCs w:val="24"/>
        </w:rPr>
        <w:t xml:space="preserve">OnTrack </w:t>
      </w:r>
      <w:r w:rsidRPr="00877827">
        <w:rPr>
          <w:rFonts w:cs="Arial"/>
          <w:szCs w:val="24"/>
        </w:rPr>
        <w:t xml:space="preserve">agencies to address complaints </w:t>
      </w:r>
      <w:r>
        <w:rPr>
          <w:rFonts w:cs="Arial"/>
          <w:szCs w:val="24"/>
        </w:rPr>
        <w:t xml:space="preserve">in a </w:t>
      </w:r>
      <w:r w:rsidRPr="00877827">
        <w:rPr>
          <w:rFonts w:cs="Arial"/>
          <w:szCs w:val="24"/>
        </w:rPr>
        <w:t>timely</w:t>
      </w:r>
      <w:r>
        <w:rPr>
          <w:rFonts w:cs="Arial"/>
          <w:szCs w:val="24"/>
        </w:rPr>
        <w:t xml:space="preserve"> manner</w:t>
      </w:r>
      <w:r w:rsidRPr="00877827">
        <w:rPr>
          <w:rFonts w:cs="Arial"/>
          <w:szCs w:val="24"/>
        </w:rPr>
        <w:t xml:space="preserve">, and </w:t>
      </w:r>
      <w:r>
        <w:rPr>
          <w:rFonts w:cs="Arial"/>
          <w:szCs w:val="24"/>
        </w:rPr>
        <w:t xml:space="preserve">Regulatory Programs </w:t>
      </w:r>
      <w:r w:rsidRPr="00877827">
        <w:rPr>
          <w:rFonts w:cs="Arial"/>
          <w:szCs w:val="24"/>
        </w:rPr>
        <w:t>follow</w:t>
      </w:r>
      <w:r>
        <w:rPr>
          <w:rFonts w:cs="Arial"/>
          <w:szCs w:val="24"/>
        </w:rPr>
        <w:t>s</w:t>
      </w:r>
      <w:r w:rsidRPr="00877827">
        <w:rPr>
          <w:rFonts w:cs="Arial"/>
          <w:szCs w:val="24"/>
        </w:rPr>
        <w:t xml:space="preserve"> up with the agencies</w:t>
      </w:r>
      <w:r>
        <w:rPr>
          <w:rFonts w:cs="Arial"/>
          <w:szCs w:val="24"/>
        </w:rPr>
        <w:t xml:space="preserve"> for corrective actions, training, etc. as necessary.  </w:t>
      </w:r>
      <w:r>
        <w:t>PPL EU’s Complaint system did not have a specific field to identify the specific agency related to the complaint.  R</w:t>
      </w:r>
      <w:r>
        <w:rPr>
          <w:rFonts w:cs="Arial"/>
          <w:szCs w:val="24"/>
        </w:rPr>
        <w:t>egulatory Programs, therefore, does not have a formal tracking mechanism, by agency, that could be used to identify problems and trends at specific agencies.</w:t>
      </w:r>
    </w:p>
    <w:p w:rsidR="00AC40FC" w:rsidRPr="00102C81" w:rsidRDefault="00AC40FC" w:rsidP="0049591B">
      <w:pPr>
        <w:pStyle w:val="Findings"/>
        <w:rPr>
          <w:rFonts w:cs="Arial"/>
          <w:szCs w:val="24"/>
        </w:rPr>
      </w:pPr>
      <w:r>
        <w:t>PUC informal complaints related to OnTrack have been growing, but at a rate slower than the growth of OnTrack customers.</w:t>
      </w:r>
    </w:p>
    <w:p w:rsidR="00AC40FC" w:rsidRPr="00102C81" w:rsidRDefault="00AC40FC" w:rsidP="00440B39">
      <w:r>
        <w:t>The graph and table b</w:t>
      </w:r>
      <w:r w:rsidRPr="00102C81">
        <w:t>elow show the total OnTrack complaints by year:</w:t>
      </w:r>
    </w:p>
    <w:p w:rsidR="00AC40FC" w:rsidRDefault="00AC40FC" w:rsidP="002B3172">
      <w:pPr>
        <w:pStyle w:val="Caption"/>
      </w:pPr>
      <w:bookmarkStart w:id="183" w:name="_Toc462648437"/>
      <w:bookmarkStart w:id="184" w:name="_Toc464553059"/>
      <w:r>
        <w:t xml:space="preserve">Exhibit </w:t>
      </w:r>
      <w:fldSimple w:instr=" STYLEREF 1 \s ">
        <w:r w:rsidR="00A24205">
          <w:rPr>
            <w:noProof/>
          </w:rPr>
          <w:t>X</w:t>
        </w:r>
      </w:fldSimple>
      <w:r w:rsidR="00264A1B">
        <w:noBreakHyphen/>
      </w:r>
      <w:fldSimple w:instr=" SEQ Exhibit \* ARABIC \s 1 ">
        <w:r w:rsidR="00A24205">
          <w:rPr>
            <w:noProof/>
          </w:rPr>
          <w:t>20</w:t>
        </w:r>
      </w:fldSimple>
      <w:r>
        <w:br/>
        <w:t>OnTrack PUC Informal Complaints</w:t>
      </w:r>
      <w:bookmarkEnd w:id="183"/>
      <w:bookmarkEnd w:id="184"/>
    </w:p>
    <w:p w:rsidR="00AC40FC" w:rsidRDefault="00AC40FC" w:rsidP="00440B39">
      <w:pPr>
        <w:jc w:val="center"/>
        <w:rPr>
          <w:rFonts w:cs="Arial"/>
          <w:szCs w:val="24"/>
        </w:rPr>
      </w:pPr>
      <w:r>
        <w:rPr>
          <w:noProof/>
        </w:rPr>
        <w:drawing>
          <wp:inline distT="0" distB="0" distL="0" distR="0">
            <wp:extent cx="3210983" cy="1898650"/>
            <wp:effectExtent l="0" t="0" r="8890" b="6350"/>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bl>
      <w:tblPr>
        <w:tblW w:w="7000" w:type="dxa"/>
        <w:jc w:val="center"/>
        <w:tblLook w:val="04A0"/>
      </w:tblPr>
      <w:tblGrid>
        <w:gridCol w:w="1380"/>
        <w:gridCol w:w="900"/>
        <w:gridCol w:w="920"/>
        <w:gridCol w:w="960"/>
        <w:gridCol w:w="920"/>
        <w:gridCol w:w="940"/>
        <w:gridCol w:w="980"/>
      </w:tblGrid>
      <w:tr w:rsidR="00AC40FC" w:rsidRPr="004E1FA1" w:rsidTr="00786363">
        <w:trPr>
          <w:cantSplit/>
          <w:trHeight w:val="480"/>
          <w:tblHeader/>
          <w:jc w:val="center"/>
        </w:trPr>
        <w:tc>
          <w:tcPr>
            <w:tcW w:w="1380" w:type="dxa"/>
            <w:tcBorders>
              <w:top w:val="single" w:sz="4" w:space="0" w:color="auto"/>
              <w:left w:val="single" w:sz="4" w:space="0" w:color="auto"/>
              <w:bottom w:val="single" w:sz="4" w:space="0" w:color="auto"/>
              <w:right w:val="single" w:sz="4" w:space="0" w:color="auto"/>
            </w:tcBorders>
            <w:shd w:val="clear" w:color="auto" w:fill="A5CD7E"/>
            <w:noWrap/>
            <w:vAlign w:val="center"/>
            <w:hideMark/>
          </w:tcPr>
          <w:p w:rsidR="00AC40FC" w:rsidRPr="004E1FA1" w:rsidRDefault="00AC40FC" w:rsidP="00521E7D">
            <w:pPr>
              <w:spacing w:before="120"/>
              <w:jc w:val="center"/>
              <w:rPr>
                <w:rFonts w:cs="Arial"/>
                <w:b/>
                <w:color w:val="000000"/>
                <w:sz w:val="22"/>
              </w:rPr>
            </w:pPr>
            <w:r>
              <w:rPr>
                <w:rFonts w:cs="Arial"/>
                <w:b/>
                <w:color w:val="000000"/>
                <w:sz w:val="22"/>
              </w:rPr>
              <w:lastRenderedPageBreak/>
              <w:t>Factor</w:t>
            </w:r>
          </w:p>
        </w:tc>
        <w:tc>
          <w:tcPr>
            <w:tcW w:w="90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4E1FA1" w:rsidRDefault="00AC40FC" w:rsidP="00521E7D">
            <w:pPr>
              <w:spacing w:before="120"/>
              <w:jc w:val="center"/>
              <w:rPr>
                <w:rFonts w:cs="Arial"/>
                <w:b/>
                <w:color w:val="000000"/>
                <w:sz w:val="22"/>
              </w:rPr>
            </w:pPr>
            <w:r w:rsidRPr="004E1FA1">
              <w:rPr>
                <w:rFonts w:cs="Arial"/>
                <w:b/>
                <w:color w:val="000000"/>
                <w:sz w:val="22"/>
              </w:rPr>
              <w:t>2010</w:t>
            </w:r>
          </w:p>
        </w:tc>
        <w:tc>
          <w:tcPr>
            <w:tcW w:w="92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4E1FA1" w:rsidRDefault="00AC40FC" w:rsidP="00521E7D">
            <w:pPr>
              <w:spacing w:before="120"/>
              <w:jc w:val="center"/>
              <w:rPr>
                <w:rFonts w:cs="Arial"/>
                <w:b/>
                <w:color w:val="000000"/>
                <w:sz w:val="22"/>
              </w:rPr>
            </w:pPr>
            <w:r w:rsidRPr="004E1FA1">
              <w:rPr>
                <w:rFonts w:cs="Arial"/>
                <w:b/>
                <w:color w:val="000000"/>
                <w:sz w:val="22"/>
              </w:rPr>
              <w:t>2011</w:t>
            </w:r>
          </w:p>
        </w:tc>
        <w:tc>
          <w:tcPr>
            <w:tcW w:w="96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4E1FA1" w:rsidRDefault="00AC40FC" w:rsidP="00521E7D">
            <w:pPr>
              <w:spacing w:before="120"/>
              <w:jc w:val="center"/>
              <w:rPr>
                <w:rFonts w:cs="Arial"/>
                <w:b/>
                <w:color w:val="000000"/>
                <w:sz w:val="22"/>
              </w:rPr>
            </w:pPr>
            <w:r w:rsidRPr="004E1FA1">
              <w:rPr>
                <w:rFonts w:cs="Arial"/>
                <w:b/>
                <w:color w:val="000000"/>
                <w:sz w:val="22"/>
              </w:rPr>
              <w:t>2012</w:t>
            </w:r>
          </w:p>
        </w:tc>
        <w:tc>
          <w:tcPr>
            <w:tcW w:w="92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4E1FA1" w:rsidRDefault="00AC40FC" w:rsidP="00521E7D">
            <w:pPr>
              <w:spacing w:before="120"/>
              <w:jc w:val="center"/>
              <w:rPr>
                <w:rFonts w:cs="Arial"/>
                <w:b/>
                <w:color w:val="000000"/>
                <w:sz w:val="22"/>
              </w:rPr>
            </w:pPr>
            <w:r w:rsidRPr="004E1FA1">
              <w:rPr>
                <w:rFonts w:cs="Arial"/>
                <w:b/>
                <w:color w:val="000000"/>
                <w:sz w:val="22"/>
              </w:rPr>
              <w:t>2013</w:t>
            </w:r>
          </w:p>
        </w:tc>
        <w:tc>
          <w:tcPr>
            <w:tcW w:w="94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4E1FA1" w:rsidRDefault="00AC40FC" w:rsidP="00521E7D">
            <w:pPr>
              <w:spacing w:before="120"/>
              <w:jc w:val="center"/>
              <w:rPr>
                <w:rFonts w:cs="Arial"/>
                <w:b/>
                <w:color w:val="000000"/>
                <w:sz w:val="22"/>
              </w:rPr>
            </w:pPr>
            <w:r w:rsidRPr="004E1FA1">
              <w:rPr>
                <w:rFonts w:cs="Arial"/>
                <w:b/>
                <w:color w:val="000000"/>
                <w:sz w:val="22"/>
              </w:rPr>
              <w:t>2014</w:t>
            </w:r>
          </w:p>
        </w:tc>
        <w:tc>
          <w:tcPr>
            <w:tcW w:w="980" w:type="dxa"/>
            <w:tcBorders>
              <w:top w:val="single" w:sz="4" w:space="0" w:color="auto"/>
              <w:left w:val="nil"/>
              <w:bottom w:val="single" w:sz="4" w:space="0" w:color="auto"/>
              <w:right w:val="single" w:sz="4" w:space="0" w:color="auto"/>
            </w:tcBorders>
            <w:shd w:val="clear" w:color="auto" w:fill="A5CD7E"/>
            <w:vAlign w:val="center"/>
            <w:hideMark/>
          </w:tcPr>
          <w:p w:rsidR="00AC40FC" w:rsidRPr="004E1FA1" w:rsidRDefault="00AC40FC" w:rsidP="00521E7D">
            <w:pPr>
              <w:spacing w:before="120"/>
              <w:jc w:val="center"/>
              <w:rPr>
                <w:rFonts w:cs="Arial"/>
                <w:b/>
                <w:color w:val="000000"/>
                <w:sz w:val="22"/>
              </w:rPr>
            </w:pPr>
            <w:r w:rsidRPr="004E1FA1">
              <w:rPr>
                <w:rFonts w:cs="Arial"/>
                <w:b/>
                <w:color w:val="000000"/>
                <w:sz w:val="22"/>
              </w:rPr>
              <w:t>2015</w:t>
            </w:r>
          </w:p>
        </w:tc>
      </w:tr>
      <w:tr w:rsidR="00AC40FC" w:rsidRPr="00142715" w:rsidTr="00440B39">
        <w:trPr>
          <w:trHeight w:val="300"/>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AC40FC" w:rsidRPr="00D66843" w:rsidRDefault="00AC40FC" w:rsidP="00440B39">
            <w:pPr>
              <w:spacing w:after="0"/>
              <w:jc w:val="center"/>
              <w:rPr>
                <w:rFonts w:cs="Arial"/>
                <w:color w:val="000000"/>
                <w:sz w:val="22"/>
              </w:rPr>
            </w:pPr>
            <w:r w:rsidRPr="00D66843">
              <w:rPr>
                <w:rFonts w:cs="Arial"/>
                <w:color w:val="000000"/>
                <w:sz w:val="22"/>
              </w:rPr>
              <w:t>Complaints</w:t>
            </w:r>
          </w:p>
        </w:tc>
        <w:tc>
          <w:tcPr>
            <w:tcW w:w="900" w:type="dxa"/>
            <w:tcBorders>
              <w:top w:val="nil"/>
              <w:left w:val="nil"/>
              <w:bottom w:val="single" w:sz="4" w:space="0" w:color="auto"/>
              <w:right w:val="single" w:sz="4" w:space="0" w:color="auto"/>
            </w:tcBorders>
            <w:shd w:val="clear" w:color="auto" w:fill="auto"/>
            <w:noWrap/>
            <w:vAlign w:val="center"/>
            <w:hideMark/>
          </w:tcPr>
          <w:p w:rsidR="00AC40FC" w:rsidRPr="00D66843" w:rsidRDefault="00AC40FC" w:rsidP="00440B39">
            <w:pPr>
              <w:spacing w:after="0"/>
              <w:jc w:val="center"/>
              <w:rPr>
                <w:rFonts w:cs="Arial"/>
                <w:color w:val="000000"/>
                <w:sz w:val="22"/>
              </w:rPr>
            </w:pPr>
            <w:r w:rsidRPr="00D66843">
              <w:rPr>
                <w:rFonts w:cs="Arial"/>
                <w:color w:val="000000"/>
                <w:sz w:val="22"/>
              </w:rPr>
              <w:t>185</w:t>
            </w:r>
          </w:p>
        </w:tc>
        <w:tc>
          <w:tcPr>
            <w:tcW w:w="920" w:type="dxa"/>
            <w:tcBorders>
              <w:top w:val="nil"/>
              <w:left w:val="nil"/>
              <w:bottom w:val="single" w:sz="4" w:space="0" w:color="auto"/>
              <w:right w:val="single" w:sz="4" w:space="0" w:color="auto"/>
            </w:tcBorders>
            <w:shd w:val="clear" w:color="auto" w:fill="auto"/>
            <w:noWrap/>
            <w:vAlign w:val="center"/>
            <w:hideMark/>
          </w:tcPr>
          <w:p w:rsidR="00AC40FC" w:rsidRPr="00D66843" w:rsidRDefault="00AC40FC" w:rsidP="00440B39">
            <w:pPr>
              <w:spacing w:after="0"/>
              <w:jc w:val="center"/>
              <w:rPr>
                <w:rFonts w:cs="Arial"/>
                <w:color w:val="000000"/>
                <w:sz w:val="22"/>
              </w:rPr>
            </w:pPr>
            <w:r w:rsidRPr="00D66843">
              <w:rPr>
                <w:rFonts w:cs="Arial"/>
                <w:color w:val="000000"/>
                <w:sz w:val="22"/>
              </w:rPr>
              <w:t>198</w:t>
            </w:r>
          </w:p>
        </w:tc>
        <w:tc>
          <w:tcPr>
            <w:tcW w:w="960" w:type="dxa"/>
            <w:tcBorders>
              <w:top w:val="nil"/>
              <w:left w:val="nil"/>
              <w:bottom w:val="single" w:sz="4" w:space="0" w:color="auto"/>
              <w:right w:val="single" w:sz="4" w:space="0" w:color="auto"/>
            </w:tcBorders>
            <w:shd w:val="clear" w:color="auto" w:fill="auto"/>
            <w:noWrap/>
            <w:vAlign w:val="center"/>
            <w:hideMark/>
          </w:tcPr>
          <w:p w:rsidR="00AC40FC" w:rsidRPr="00D66843" w:rsidRDefault="00AC40FC" w:rsidP="00440B39">
            <w:pPr>
              <w:spacing w:after="0"/>
              <w:jc w:val="center"/>
              <w:rPr>
                <w:rFonts w:cs="Arial"/>
                <w:color w:val="000000"/>
                <w:sz w:val="22"/>
              </w:rPr>
            </w:pPr>
            <w:r w:rsidRPr="00D66843">
              <w:rPr>
                <w:rFonts w:cs="Arial"/>
                <w:color w:val="000000"/>
                <w:sz w:val="22"/>
              </w:rPr>
              <w:t>187</w:t>
            </w:r>
          </w:p>
        </w:tc>
        <w:tc>
          <w:tcPr>
            <w:tcW w:w="920" w:type="dxa"/>
            <w:tcBorders>
              <w:top w:val="nil"/>
              <w:left w:val="nil"/>
              <w:bottom w:val="single" w:sz="4" w:space="0" w:color="auto"/>
              <w:right w:val="single" w:sz="4" w:space="0" w:color="auto"/>
            </w:tcBorders>
            <w:shd w:val="clear" w:color="auto" w:fill="auto"/>
            <w:noWrap/>
            <w:vAlign w:val="center"/>
            <w:hideMark/>
          </w:tcPr>
          <w:p w:rsidR="00AC40FC" w:rsidRPr="00D66843" w:rsidRDefault="00AC40FC" w:rsidP="00440B39">
            <w:pPr>
              <w:spacing w:after="0"/>
              <w:jc w:val="center"/>
              <w:rPr>
                <w:rFonts w:cs="Arial"/>
                <w:color w:val="000000"/>
                <w:sz w:val="22"/>
              </w:rPr>
            </w:pPr>
            <w:r w:rsidRPr="00D66843">
              <w:rPr>
                <w:rFonts w:cs="Arial"/>
                <w:color w:val="000000"/>
                <w:sz w:val="22"/>
              </w:rPr>
              <w:t>211</w:t>
            </w:r>
          </w:p>
        </w:tc>
        <w:tc>
          <w:tcPr>
            <w:tcW w:w="940" w:type="dxa"/>
            <w:tcBorders>
              <w:top w:val="nil"/>
              <w:left w:val="nil"/>
              <w:bottom w:val="single" w:sz="4" w:space="0" w:color="auto"/>
              <w:right w:val="single" w:sz="4" w:space="0" w:color="auto"/>
            </w:tcBorders>
            <w:shd w:val="clear" w:color="auto" w:fill="auto"/>
            <w:noWrap/>
            <w:vAlign w:val="center"/>
            <w:hideMark/>
          </w:tcPr>
          <w:p w:rsidR="00AC40FC" w:rsidRPr="00D66843" w:rsidRDefault="00AC40FC" w:rsidP="00440B39">
            <w:pPr>
              <w:spacing w:after="0"/>
              <w:jc w:val="center"/>
              <w:rPr>
                <w:rFonts w:cs="Arial"/>
                <w:color w:val="000000"/>
                <w:sz w:val="22"/>
              </w:rPr>
            </w:pPr>
            <w:r w:rsidRPr="00D66843">
              <w:rPr>
                <w:rFonts w:cs="Arial"/>
                <w:color w:val="000000"/>
                <w:sz w:val="22"/>
              </w:rPr>
              <w:t>200</w:t>
            </w:r>
          </w:p>
        </w:tc>
        <w:tc>
          <w:tcPr>
            <w:tcW w:w="980" w:type="dxa"/>
            <w:tcBorders>
              <w:top w:val="nil"/>
              <w:left w:val="nil"/>
              <w:bottom w:val="single" w:sz="4" w:space="0" w:color="auto"/>
              <w:right w:val="single" w:sz="4" w:space="0" w:color="auto"/>
            </w:tcBorders>
            <w:shd w:val="clear" w:color="auto" w:fill="auto"/>
            <w:noWrap/>
            <w:vAlign w:val="center"/>
            <w:hideMark/>
          </w:tcPr>
          <w:p w:rsidR="00AC40FC" w:rsidRPr="00D66843" w:rsidRDefault="00AC40FC" w:rsidP="00440B39">
            <w:pPr>
              <w:spacing w:after="0"/>
              <w:jc w:val="center"/>
              <w:rPr>
                <w:rFonts w:cs="Arial"/>
                <w:color w:val="000000"/>
                <w:sz w:val="22"/>
              </w:rPr>
            </w:pPr>
            <w:r>
              <w:rPr>
                <w:rFonts w:cs="Arial"/>
                <w:color w:val="000000"/>
                <w:sz w:val="22"/>
              </w:rPr>
              <w:t>232</w:t>
            </w:r>
          </w:p>
        </w:tc>
      </w:tr>
      <w:tr w:rsidR="00AC40FC" w:rsidRPr="00142715" w:rsidTr="00440B39">
        <w:trPr>
          <w:trHeight w:val="300"/>
          <w:jc w:val="center"/>
        </w:trPr>
        <w:tc>
          <w:tcPr>
            <w:tcW w:w="700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C40FC" w:rsidRPr="000B6558" w:rsidRDefault="00AC40FC" w:rsidP="00440B39">
            <w:pPr>
              <w:spacing w:after="0"/>
              <w:jc w:val="left"/>
              <w:rPr>
                <w:rFonts w:cs="Arial"/>
                <w:color w:val="000000"/>
                <w:sz w:val="22"/>
              </w:rPr>
            </w:pPr>
            <w:r w:rsidRPr="000B6558">
              <w:rPr>
                <w:rFonts w:cs="Arial"/>
                <w:color w:val="000000"/>
                <w:sz w:val="22"/>
              </w:rPr>
              <w:t xml:space="preserve">Source:  DN 14-177; </w:t>
            </w:r>
            <w:r>
              <w:rPr>
                <w:sz w:val="22"/>
              </w:rPr>
              <w:t>PPL EU edits</w:t>
            </w:r>
          </w:p>
        </w:tc>
      </w:tr>
    </w:tbl>
    <w:p w:rsidR="00AC40FC" w:rsidRPr="005303E4" w:rsidRDefault="00AC40FC" w:rsidP="00440B39">
      <w:pPr>
        <w:pStyle w:val="Normal-aftertable"/>
      </w:pPr>
      <w:r>
        <w:t xml:space="preserve">The number of complaints have varied year-to-year, are generally growing.  </w:t>
      </w:r>
    </w:p>
    <w:p w:rsidR="00AC40FC" w:rsidRDefault="00AC40FC" w:rsidP="00440B39">
      <w:pPr>
        <w:rPr>
          <w:rFonts w:cs="Arial"/>
          <w:szCs w:val="24"/>
        </w:rPr>
      </w:pPr>
      <w:r w:rsidRPr="00245243">
        <w:rPr>
          <w:rFonts w:cs="Arial"/>
          <w:szCs w:val="24"/>
        </w:rPr>
        <w:t>By plotting the ratio of O</w:t>
      </w:r>
      <w:r>
        <w:rPr>
          <w:rFonts w:cs="Arial"/>
          <w:szCs w:val="24"/>
        </w:rPr>
        <w:t>n</w:t>
      </w:r>
      <w:r w:rsidRPr="00245243">
        <w:rPr>
          <w:rFonts w:cs="Arial"/>
          <w:szCs w:val="24"/>
        </w:rPr>
        <w:t>T</w:t>
      </w:r>
      <w:r>
        <w:rPr>
          <w:rFonts w:cs="Arial"/>
          <w:szCs w:val="24"/>
        </w:rPr>
        <w:t>rack</w:t>
      </w:r>
      <w:r w:rsidRPr="00245243">
        <w:rPr>
          <w:rFonts w:cs="Arial"/>
          <w:szCs w:val="24"/>
        </w:rPr>
        <w:t xml:space="preserve"> complaints per 1,000 </w:t>
      </w:r>
      <w:r>
        <w:rPr>
          <w:rFonts w:cs="Arial"/>
          <w:szCs w:val="24"/>
        </w:rPr>
        <w:t xml:space="preserve">average monthly </w:t>
      </w:r>
      <w:r w:rsidRPr="00245243">
        <w:rPr>
          <w:rFonts w:cs="Arial"/>
          <w:szCs w:val="24"/>
        </w:rPr>
        <w:t>O</w:t>
      </w:r>
      <w:r>
        <w:rPr>
          <w:rFonts w:cs="Arial"/>
          <w:szCs w:val="24"/>
        </w:rPr>
        <w:t>n</w:t>
      </w:r>
      <w:r w:rsidRPr="00245243">
        <w:rPr>
          <w:rFonts w:cs="Arial"/>
          <w:szCs w:val="24"/>
        </w:rPr>
        <w:t>T</w:t>
      </w:r>
      <w:r>
        <w:rPr>
          <w:rFonts w:cs="Arial"/>
          <w:szCs w:val="24"/>
        </w:rPr>
        <w:t>rack</w:t>
      </w:r>
      <w:r w:rsidRPr="00245243">
        <w:rPr>
          <w:rFonts w:cs="Arial"/>
          <w:szCs w:val="24"/>
        </w:rPr>
        <w:t xml:space="preserve"> customers, the </w:t>
      </w:r>
      <w:r>
        <w:rPr>
          <w:rFonts w:cs="Arial"/>
          <w:szCs w:val="24"/>
        </w:rPr>
        <w:t xml:space="preserve">information </w:t>
      </w:r>
      <w:r w:rsidRPr="00245243">
        <w:rPr>
          <w:rFonts w:cs="Arial"/>
          <w:szCs w:val="24"/>
        </w:rPr>
        <w:t>show</w:t>
      </w:r>
      <w:r>
        <w:rPr>
          <w:rFonts w:cs="Arial"/>
          <w:szCs w:val="24"/>
        </w:rPr>
        <w:t>s</w:t>
      </w:r>
      <w:r w:rsidRPr="00245243">
        <w:rPr>
          <w:rFonts w:cs="Arial"/>
          <w:szCs w:val="24"/>
        </w:rPr>
        <w:t xml:space="preserve"> that complaints are growing at a rate less than the increase in the number of O</w:t>
      </w:r>
      <w:r>
        <w:rPr>
          <w:rFonts w:cs="Arial"/>
          <w:szCs w:val="24"/>
        </w:rPr>
        <w:t>nTrack</w:t>
      </w:r>
      <w:r w:rsidRPr="00245243">
        <w:rPr>
          <w:rFonts w:cs="Arial"/>
          <w:szCs w:val="24"/>
        </w:rPr>
        <w:t xml:space="preserve"> customers, as shown below:</w:t>
      </w:r>
    </w:p>
    <w:p w:rsidR="00AC40FC" w:rsidRDefault="00AC40FC" w:rsidP="002B3172">
      <w:pPr>
        <w:pStyle w:val="Caption"/>
      </w:pPr>
      <w:bookmarkStart w:id="185" w:name="_Toc462648438"/>
      <w:bookmarkStart w:id="186" w:name="_Toc464553060"/>
      <w:r>
        <w:t xml:space="preserve">Exhibit </w:t>
      </w:r>
      <w:fldSimple w:instr=" STYLEREF 1 \s ">
        <w:r w:rsidR="00A24205">
          <w:rPr>
            <w:noProof/>
          </w:rPr>
          <w:t>X</w:t>
        </w:r>
      </w:fldSimple>
      <w:r w:rsidR="00264A1B">
        <w:noBreakHyphen/>
      </w:r>
      <w:fldSimple w:instr=" SEQ Exhibit \* ARABIC \s 1 ">
        <w:r w:rsidR="00A24205">
          <w:rPr>
            <w:noProof/>
          </w:rPr>
          <w:t>21</w:t>
        </w:r>
      </w:fldSimple>
      <w:r>
        <w:br/>
        <w:t>OnTrack Complaints Per 1,000 OnTrack Customers</w:t>
      </w:r>
      <w:bookmarkEnd w:id="185"/>
      <w:bookmarkEnd w:id="186"/>
    </w:p>
    <w:p w:rsidR="00AC40FC" w:rsidRDefault="00AC40FC" w:rsidP="00440B39">
      <w:pPr>
        <w:jc w:val="center"/>
        <w:rPr>
          <w:rFonts w:cs="Arial"/>
          <w:szCs w:val="24"/>
          <w:highlight w:val="yellow"/>
        </w:rPr>
      </w:pPr>
      <w:r>
        <w:rPr>
          <w:noProof/>
        </w:rPr>
        <w:drawing>
          <wp:inline distT="0" distB="0" distL="0" distR="0">
            <wp:extent cx="3780155" cy="2237436"/>
            <wp:effectExtent l="0" t="0" r="10795" b="10795"/>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bl>
      <w:tblPr>
        <w:tblW w:w="7371" w:type="dxa"/>
        <w:jc w:val="center"/>
        <w:tblLayout w:type="fixed"/>
        <w:tblLook w:val="04A0"/>
      </w:tblPr>
      <w:tblGrid>
        <w:gridCol w:w="1815"/>
        <w:gridCol w:w="971"/>
        <w:gridCol w:w="900"/>
        <w:gridCol w:w="900"/>
        <w:gridCol w:w="900"/>
        <w:gridCol w:w="900"/>
        <w:gridCol w:w="985"/>
      </w:tblGrid>
      <w:tr w:rsidR="00AC40FC" w:rsidRPr="00732BBF" w:rsidTr="00440B39">
        <w:trPr>
          <w:cantSplit/>
          <w:trHeight w:val="480"/>
          <w:tblHeader/>
          <w:jc w:val="center"/>
        </w:trPr>
        <w:tc>
          <w:tcPr>
            <w:tcW w:w="1815" w:type="dxa"/>
            <w:tcBorders>
              <w:top w:val="single" w:sz="4" w:space="0" w:color="auto"/>
              <w:left w:val="single" w:sz="4" w:space="0" w:color="auto"/>
              <w:bottom w:val="single" w:sz="4" w:space="0" w:color="auto"/>
              <w:right w:val="single" w:sz="4" w:space="0" w:color="auto"/>
            </w:tcBorders>
            <w:shd w:val="clear" w:color="auto" w:fill="A5CD7E"/>
            <w:noWrap/>
            <w:vAlign w:val="center"/>
            <w:hideMark/>
          </w:tcPr>
          <w:p w:rsidR="00AC40FC" w:rsidRPr="00C9359A" w:rsidRDefault="00AC40FC" w:rsidP="00521E7D">
            <w:pPr>
              <w:spacing w:before="120"/>
              <w:jc w:val="center"/>
              <w:rPr>
                <w:rFonts w:cs="Arial"/>
                <w:b/>
                <w:color w:val="000000"/>
                <w:sz w:val="22"/>
              </w:rPr>
            </w:pPr>
            <w:r w:rsidRPr="00C9359A">
              <w:rPr>
                <w:rFonts w:cs="Arial"/>
                <w:b/>
                <w:color w:val="000000"/>
                <w:sz w:val="22"/>
              </w:rPr>
              <w:t>Factor</w:t>
            </w:r>
          </w:p>
        </w:tc>
        <w:tc>
          <w:tcPr>
            <w:tcW w:w="971"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C9359A" w:rsidRDefault="00AC40FC" w:rsidP="00521E7D">
            <w:pPr>
              <w:spacing w:before="120"/>
              <w:jc w:val="center"/>
              <w:rPr>
                <w:rFonts w:cs="Arial"/>
                <w:b/>
                <w:color w:val="000000"/>
                <w:sz w:val="22"/>
              </w:rPr>
            </w:pPr>
            <w:r w:rsidRPr="00C9359A">
              <w:rPr>
                <w:rFonts w:cs="Arial"/>
                <w:b/>
                <w:color w:val="000000"/>
                <w:sz w:val="22"/>
              </w:rPr>
              <w:t>2010</w:t>
            </w:r>
          </w:p>
        </w:tc>
        <w:tc>
          <w:tcPr>
            <w:tcW w:w="90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C9359A" w:rsidRDefault="00AC40FC" w:rsidP="00521E7D">
            <w:pPr>
              <w:spacing w:before="120"/>
              <w:jc w:val="center"/>
              <w:rPr>
                <w:rFonts w:cs="Arial"/>
                <w:b/>
                <w:color w:val="000000"/>
                <w:sz w:val="22"/>
              </w:rPr>
            </w:pPr>
            <w:r w:rsidRPr="00C9359A">
              <w:rPr>
                <w:rFonts w:cs="Arial"/>
                <w:b/>
                <w:color w:val="000000"/>
                <w:sz w:val="22"/>
              </w:rPr>
              <w:t>2011</w:t>
            </w:r>
          </w:p>
        </w:tc>
        <w:tc>
          <w:tcPr>
            <w:tcW w:w="90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C9359A" w:rsidRDefault="00AC40FC" w:rsidP="00521E7D">
            <w:pPr>
              <w:spacing w:before="120"/>
              <w:jc w:val="center"/>
              <w:rPr>
                <w:rFonts w:cs="Arial"/>
                <w:b/>
                <w:color w:val="000000"/>
                <w:sz w:val="22"/>
              </w:rPr>
            </w:pPr>
            <w:r w:rsidRPr="00C9359A">
              <w:rPr>
                <w:rFonts w:cs="Arial"/>
                <w:b/>
                <w:color w:val="000000"/>
                <w:sz w:val="22"/>
              </w:rPr>
              <w:t>2012</w:t>
            </w:r>
          </w:p>
        </w:tc>
        <w:tc>
          <w:tcPr>
            <w:tcW w:w="90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C9359A" w:rsidRDefault="00AC40FC" w:rsidP="00521E7D">
            <w:pPr>
              <w:spacing w:before="120"/>
              <w:jc w:val="center"/>
              <w:rPr>
                <w:rFonts w:cs="Arial"/>
                <w:b/>
                <w:color w:val="000000"/>
                <w:sz w:val="22"/>
              </w:rPr>
            </w:pPr>
            <w:r w:rsidRPr="00C9359A">
              <w:rPr>
                <w:rFonts w:cs="Arial"/>
                <w:b/>
                <w:color w:val="000000"/>
                <w:sz w:val="22"/>
              </w:rPr>
              <w:t>2013</w:t>
            </w:r>
          </w:p>
        </w:tc>
        <w:tc>
          <w:tcPr>
            <w:tcW w:w="90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C9359A" w:rsidRDefault="00AC40FC" w:rsidP="00521E7D">
            <w:pPr>
              <w:spacing w:before="120"/>
              <w:jc w:val="center"/>
              <w:rPr>
                <w:rFonts w:cs="Arial"/>
                <w:b/>
                <w:color w:val="000000"/>
                <w:sz w:val="22"/>
              </w:rPr>
            </w:pPr>
            <w:r w:rsidRPr="00C9359A">
              <w:rPr>
                <w:rFonts w:cs="Arial"/>
                <w:b/>
                <w:color w:val="000000"/>
                <w:sz w:val="22"/>
              </w:rPr>
              <w:t>2014</w:t>
            </w:r>
          </w:p>
        </w:tc>
        <w:tc>
          <w:tcPr>
            <w:tcW w:w="985" w:type="dxa"/>
            <w:tcBorders>
              <w:top w:val="single" w:sz="4" w:space="0" w:color="auto"/>
              <w:left w:val="nil"/>
              <w:bottom w:val="single" w:sz="4" w:space="0" w:color="auto"/>
              <w:right w:val="single" w:sz="4" w:space="0" w:color="auto"/>
            </w:tcBorders>
            <w:shd w:val="clear" w:color="auto" w:fill="A5CD7E"/>
            <w:vAlign w:val="center"/>
            <w:hideMark/>
          </w:tcPr>
          <w:p w:rsidR="00AC40FC" w:rsidRPr="00C9359A" w:rsidRDefault="00AC40FC" w:rsidP="00521E7D">
            <w:pPr>
              <w:spacing w:before="120"/>
              <w:jc w:val="center"/>
              <w:rPr>
                <w:rFonts w:cs="Arial"/>
                <w:b/>
                <w:color w:val="000000"/>
                <w:sz w:val="22"/>
              </w:rPr>
            </w:pPr>
            <w:r w:rsidRPr="00C9359A">
              <w:rPr>
                <w:rFonts w:cs="Arial"/>
                <w:b/>
                <w:color w:val="000000"/>
                <w:sz w:val="22"/>
              </w:rPr>
              <w:t xml:space="preserve"> 2015</w:t>
            </w:r>
          </w:p>
        </w:tc>
      </w:tr>
      <w:tr w:rsidR="00AC40FC" w:rsidRPr="00732BBF" w:rsidTr="00440B39">
        <w:trPr>
          <w:cantSplit/>
          <w:trHeight w:val="300"/>
          <w:jc w:val="center"/>
        </w:trPr>
        <w:tc>
          <w:tcPr>
            <w:tcW w:w="1815" w:type="dxa"/>
            <w:tcBorders>
              <w:top w:val="nil"/>
              <w:left w:val="single" w:sz="4" w:space="0" w:color="auto"/>
              <w:bottom w:val="single" w:sz="4" w:space="0" w:color="auto"/>
              <w:right w:val="single" w:sz="4" w:space="0" w:color="auto"/>
            </w:tcBorders>
            <w:shd w:val="clear" w:color="auto" w:fill="auto"/>
            <w:noWrap/>
            <w:vAlign w:val="center"/>
            <w:hideMark/>
          </w:tcPr>
          <w:p w:rsidR="00AC40FC" w:rsidRPr="00C9359A" w:rsidRDefault="00AC40FC" w:rsidP="00440B39">
            <w:pPr>
              <w:spacing w:after="0"/>
              <w:jc w:val="center"/>
              <w:rPr>
                <w:rFonts w:cs="Arial"/>
                <w:color w:val="000000"/>
                <w:sz w:val="22"/>
              </w:rPr>
            </w:pPr>
            <w:r w:rsidRPr="00C9359A">
              <w:rPr>
                <w:rFonts w:cs="Arial"/>
                <w:color w:val="000000"/>
                <w:sz w:val="22"/>
              </w:rPr>
              <w:t xml:space="preserve">Complaints per 1,000 Customers </w:t>
            </w:r>
          </w:p>
        </w:tc>
        <w:tc>
          <w:tcPr>
            <w:tcW w:w="971" w:type="dxa"/>
            <w:tcBorders>
              <w:top w:val="nil"/>
              <w:left w:val="nil"/>
              <w:bottom w:val="single" w:sz="4" w:space="0" w:color="auto"/>
              <w:right w:val="single" w:sz="4" w:space="0" w:color="auto"/>
            </w:tcBorders>
            <w:shd w:val="clear" w:color="auto" w:fill="auto"/>
            <w:noWrap/>
            <w:vAlign w:val="center"/>
            <w:hideMark/>
          </w:tcPr>
          <w:p w:rsidR="00AC40FC" w:rsidRPr="00C9359A" w:rsidRDefault="00AC40FC" w:rsidP="00440B39">
            <w:pPr>
              <w:spacing w:after="0"/>
              <w:jc w:val="center"/>
              <w:rPr>
                <w:rFonts w:cs="Arial"/>
                <w:color w:val="000000"/>
                <w:sz w:val="22"/>
              </w:rPr>
            </w:pPr>
            <w:r w:rsidRPr="00C9359A">
              <w:rPr>
                <w:rFonts w:cs="Arial"/>
                <w:color w:val="000000"/>
                <w:sz w:val="22"/>
              </w:rPr>
              <w:t>5.94</w:t>
            </w:r>
          </w:p>
        </w:tc>
        <w:tc>
          <w:tcPr>
            <w:tcW w:w="900" w:type="dxa"/>
            <w:tcBorders>
              <w:top w:val="nil"/>
              <w:left w:val="nil"/>
              <w:bottom w:val="single" w:sz="4" w:space="0" w:color="auto"/>
              <w:right w:val="single" w:sz="4" w:space="0" w:color="auto"/>
            </w:tcBorders>
            <w:shd w:val="clear" w:color="auto" w:fill="auto"/>
            <w:noWrap/>
            <w:vAlign w:val="center"/>
            <w:hideMark/>
          </w:tcPr>
          <w:p w:rsidR="00AC40FC" w:rsidRPr="00C9359A" w:rsidRDefault="00AC40FC" w:rsidP="00440B39">
            <w:pPr>
              <w:spacing w:after="0"/>
              <w:jc w:val="center"/>
              <w:rPr>
                <w:rFonts w:cs="Arial"/>
                <w:color w:val="000000"/>
                <w:sz w:val="22"/>
              </w:rPr>
            </w:pPr>
            <w:r w:rsidRPr="00C9359A">
              <w:rPr>
                <w:rFonts w:cs="Arial"/>
                <w:color w:val="000000"/>
                <w:sz w:val="22"/>
              </w:rPr>
              <w:t>5.87</w:t>
            </w:r>
          </w:p>
        </w:tc>
        <w:tc>
          <w:tcPr>
            <w:tcW w:w="900" w:type="dxa"/>
            <w:tcBorders>
              <w:top w:val="nil"/>
              <w:left w:val="nil"/>
              <w:bottom w:val="single" w:sz="4" w:space="0" w:color="auto"/>
              <w:right w:val="single" w:sz="4" w:space="0" w:color="auto"/>
            </w:tcBorders>
            <w:shd w:val="clear" w:color="auto" w:fill="auto"/>
            <w:noWrap/>
            <w:vAlign w:val="center"/>
            <w:hideMark/>
          </w:tcPr>
          <w:p w:rsidR="00AC40FC" w:rsidRPr="00C9359A" w:rsidRDefault="00AC40FC" w:rsidP="00440B39">
            <w:pPr>
              <w:spacing w:after="0"/>
              <w:jc w:val="center"/>
              <w:rPr>
                <w:rFonts w:cs="Arial"/>
                <w:color w:val="000000"/>
                <w:sz w:val="22"/>
              </w:rPr>
            </w:pPr>
            <w:r w:rsidRPr="00C9359A">
              <w:rPr>
                <w:rFonts w:cs="Arial"/>
                <w:color w:val="000000"/>
                <w:sz w:val="22"/>
              </w:rPr>
              <w:t>5.43</w:t>
            </w:r>
          </w:p>
        </w:tc>
        <w:tc>
          <w:tcPr>
            <w:tcW w:w="900" w:type="dxa"/>
            <w:tcBorders>
              <w:top w:val="nil"/>
              <w:left w:val="nil"/>
              <w:bottom w:val="single" w:sz="4" w:space="0" w:color="auto"/>
              <w:right w:val="single" w:sz="4" w:space="0" w:color="auto"/>
            </w:tcBorders>
            <w:shd w:val="clear" w:color="auto" w:fill="auto"/>
            <w:noWrap/>
            <w:vAlign w:val="center"/>
            <w:hideMark/>
          </w:tcPr>
          <w:p w:rsidR="00AC40FC" w:rsidRPr="00C9359A" w:rsidRDefault="00AC40FC" w:rsidP="00440B39">
            <w:pPr>
              <w:spacing w:after="0"/>
              <w:jc w:val="center"/>
              <w:rPr>
                <w:rFonts w:cs="Arial"/>
                <w:color w:val="000000"/>
                <w:sz w:val="22"/>
              </w:rPr>
            </w:pPr>
            <w:r w:rsidRPr="00C9359A">
              <w:rPr>
                <w:rFonts w:cs="Arial"/>
                <w:color w:val="000000"/>
                <w:sz w:val="22"/>
              </w:rPr>
              <w:t>5.99</w:t>
            </w:r>
          </w:p>
        </w:tc>
        <w:tc>
          <w:tcPr>
            <w:tcW w:w="900" w:type="dxa"/>
            <w:tcBorders>
              <w:top w:val="nil"/>
              <w:left w:val="nil"/>
              <w:bottom w:val="single" w:sz="4" w:space="0" w:color="auto"/>
              <w:right w:val="single" w:sz="4" w:space="0" w:color="auto"/>
            </w:tcBorders>
            <w:shd w:val="clear" w:color="auto" w:fill="auto"/>
            <w:noWrap/>
            <w:vAlign w:val="center"/>
            <w:hideMark/>
          </w:tcPr>
          <w:p w:rsidR="00AC40FC" w:rsidRPr="00C9359A" w:rsidRDefault="00AC40FC" w:rsidP="00440B39">
            <w:pPr>
              <w:spacing w:after="0"/>
              <w:jc w:val="center"/>
              <w:rPr>
                <w:rFonts w:cs="Arial"/>
                <w:color w:val="000000"/>
                <w:sz w:val="22"/>
              </w:rPr>
            </w:pPr>
            <w:r w:rsidRPr="00C9359A">
              <w:rPr>
                <w:rFonts w:cs="Arial"/>
                <w:color w:val="000000"/>
                <w:sz w:val="22"/>
              </w:rPr>
              <w:t>5.21</w:t>
            </w:r>
          </w:p>
        </w:tc>
        <w:tc>
          <w:tcPr>
            <w:tcW w:w="985" w:type="dxa"/>
            <w:tcBorders>
              <w:top w:val="nil"/>
              <w:left w:val="nil"/>
              <w:bottom w:val="single" w:sz="4" w:space="0" w:color="auto"/>
              <w:right w:val="single" w:sz="4" w:space="0" w:color="auto"/>
            </w:tcBorders>
            <w:shd w:val="clear" w:color="auto" w:fill="auto"/>
            <w:noWrap/>
            <w:vAlign w:val="center"/>
            <w:hideMark/>
          </w:tcPr>
          <w:p w:rsidR="00AC40FC" w:rsidRPr="00C9359A" w:rsidRDefault="00AC40FC" w:rsidP="00440B39">
            <w:pPr>
              <w:spacing w:after="0"/>
              <w:jc w:val="center"/>
              <w:rPr>
                <w:rFonts w:cs="Arial"/>
                <w:color w:val="000000"/>
                <w:sz w:val="22"/>
              </w:rPr>
            </w:pPr>
            <w:r>
              <w:rPr>
                <w:rFonts w:cs="Arial"/>
                <w:color w:val="000000"/>
                <w:sz w:val="22"/>
              </w:rPr>
              <w:t>5.07</w:t>
            </w:r>
          </w:p>
        </w:tc>
      </w:tr>
      <w:tr w:rsidR="00AC40FC" w:rsidRPr="00732BBF" w:rsidTr="00440B39">
        <w:trPr>
          <w:cantSplit/>
          <w:trHeight w:val="300"/>
          <w:jc w:val="center"/>
        </w:trPr>
        <w:tc>
          <w:tcPr>
            <w:tcW w:w="1815" w:type="dxa"/>
            <w:tcBorders>
              <w:top w:val="nil"/>
              <w:left w:val="single" w:sz="4" w:space="0" w:color="auto"/>
              <w:bottom w:val="single" w:sz="4" w:space="0" w:color="auto"/>
              <w:right w:val="single" w:sz="4" w:space="0" w:color="auto"/>
            </w:tcBorders>
            <w:shd w:val="clear" w:color="auto" w:fill="auto"/>
            <w:noWrap/>
            <w:vAlign w:val="center"/>
          </w:tcPr>
          <w:p w:rsidR="00AC40FC" w:rsidRPr="00C9359A" w:rsidRDefault="00AC40FC" w:rsidP="00440B39">
            <w:pPr>
              <w:spacing w:after="0"/>
              <w:jc w:val="center"/>
              <w:rPr>
                <w:rFonts w:cs="Arial"/>
                <w:color w:val="000000"/>
                <w:sz w:val="22"/>
              </w:rPr>
            </w:pPr>
            <w:r w:rsidRPr="00C9359A">
              <w:rPr>
                <w:rFonts w:cs="Arial"/>
                <w:color w:val="000000"/>
                <w:sz w:val="22"/>
              </w:rPr>
              <w:t>PUC Informal Complaints</w:t>
            </w:r>
          </w:p>
        </w:tc>
        <w:tc>
          <w:tcPr>
            <w:tcW w:w="971" w:type="dxa"/>
            <w:tcBorders>
              <w:top w:val="nil"/>
              <w:left w:val="nil"/>
              <w:bottom w:val="single" w:sz="4" w:space="0" w:color="auto"/>
              <w:right w:val="single" w:sz="4" w:space="0" w:color="auto"/>
            </w:tcBorders>
            <w:shd w:val="clear" w:color="auto" w:fill="auto"/>
            <w:noWrap/>
            <w:vAlign w:val="center"/>
          </w:tcPr>
          <w:p w:rsidR="00AC40FC" w:rsidRPr="00C9359A" w:rsidRDefault="00AC40FC" w:rsidP="00440B39">
            <w:pPr>
              <w:spacing w:after="0"/>
              <w:jc w:val="center"/>
              <w:rPr>
                <w:rFonts w:cs="Arial"/>
                <w:color w:val="000000"/>
                <w:sz w:val="22"/>
              </w:rPr>
            </w:pPr>
            <w:r w:rsidRPr="00C9359A">
              <w:rPr>
                <w:rFonts w:cs="Arial"/>
                <w:color w:val="000000"/>
                <w:sz w:val="22"/>
              </w:rPr>
              <w:t>185</w:t>
            </w:r>
          </w:p>
        </w:tc>
        <w:tc>
          <w:tcPr>
            <w:tcW w:w="900" w:type="dxa"/>
            <w:tcBorders>
              <w:top w:val="nil"/>
              <w:left w:val="nil"/>
              <w:bottom w:val="single" w:sz="4" w:space="0" w:color="auto"/>
              <w:right w:val="single" w:sz="4" w:space="0" w:color="auto"/>
            </w:tcBorders>
            <w:shd w:val="clear" w:color="auto" w:fill="auto"/>
            <w:noWrap/>
            <w:vAlign w:val="center"/>
          </w:tcPr>
          <w:p w:rsidR="00AC40FC" w:rsidRPr="00C9359A" w:rsidRDefault="00AC40FC" w:rsidP="00440B39">
            <w:pPr>
              <w:spacing w:after="0"/>
              <w:jc w:val="center"/>
              <w:rPr>
                <w:rFonts w:cs="Arial"/>
                <w:color w:val="000000"/>
                <w:sz w:val="22"/>
              </w:rPr>
            </w:pPr>
            <w:r w:rsidRPr="00C9359A">
              <w:rPr>
                <w:rFonts w:cs="Arial"/>
                <w:color w:val="000000"/>
                <w:sz w:val="22"/>
              </w:rPr>
              <w:t>198</w:t>
            </w:r>
          </w:p>
        </w:tc>
        <w:tc>
          <w:tcPr>
            <w:tcW w:w="900" w:type="dxa"/>
            <w:tcBorders>
              <w:top w:val="nil"/>
              <w:left w:val="nil"/>
              <w:bottom w:val="single" w:sz="4" w:space="0" w:color="auto"/>
              <w:right w:val="single" w:sz="4" w:space="0" w:color="auto"/>
            </w:tcBorders>
            <w:shd w:val="clear" w:color="auto" w:fill="auto"/>
            <w:noWrap/>
            <w:vAlign w:val="center"/>
          </w:tcPr>
          <w:p w:rsidR="00AC40FC" w:rsidRPr="00C9359A" w:rsidRDefault="00AC40FC" w:rsidP="00440B39">
            <w:pPr>
              <w:spacing w:after="0"/>
              <w:jc w:val="center"/>
              <w:rPr>
                <w:rFonts w:cs="Arial"/>
                <w:color w:val="000000"/>
                <w:sz w:val="22"/>
              </w:rPr>
            </w:pPr>
            <w:r w:rsidRPr="00C9359A">
              <w:rPr>
                <w:rFonts w:cs="Arial"/>
                <w:color w:val="000000"/>
                <w:sz w:val="22"/>
              </w:rPr>
              <w:t>187</w:t>
            </w:r>
          </w:p>
        </w:tc>
        <w:tc>
          <w:tcPr>
            <w:tcW w:w="900" w:type="dxa"/>
            <w:tcBorders>
              <w:top w:val="nil"/>
              <w:left w:val="nil"/>
              <w:bottom w:val="single" w:sz="4" w:space="0" w:color="auto"/>
              <w:right w:val="single" w:sz="4" w:space="0" w:color="auto"/>
            </w:tcBorders>
            <w:shd w:val="clear" w:color="auto" w:fill="auto"/>
            <w:noWrap/>
            <w:vAlign w:val="center"/>
          </w:tcPr>
          <w:p w:rsidR="00AC40FC" w:rsidRPr="00C9359A" w:rsidRDefault="00AC40FC" w:rsidP="00440B39">
            <w:pPr>
              <w:spacing w:after="0"/>
              <w:jc w:val="center"/>
              <w:rPr>
                <w:rFonts w:cs="Arial"/>
                <w:color w:val="000000"/>
                <w:sz w:val="22"/>
              </w:rPr>
            </w:pPr>
            <w:r w:rsidRPr="00C9359A">
              <w:rPr>
                <w:rFonts w:cs="Arial"/>
                <w:color w:val="000000"/>
                <w:sz w:val="22"/>
              </w:rPr>
              <w:t>211</w:t>
            </w:r>
          </w:p>
        </w:tc>
        <w:tc>
          <w:tcPr>
            <w:tcW w:w="900" w:type="dxa"/>
            <w:tcBorders>
              <w:top w:val="nil"/>
              <w:left w:val="nil"/>
              <w:bottom w:val="single" w:sz="4" w:space="0" w:color="auto"/>
              <w:right w:val="single" w:sz="4" w:space="0" w:color="auto"/>
            </w:tcBorders>
            <w:shd w:val="clear" w:color="auto" w:fill="auto"/>
            <w:noWrap/>
            <w:vAlign w:val="center"/>
          </w:tcPr>
          <w:p w:rsidR="00AC40FC" w:rsidRPr="00C9359A" w:rsidRDefault="00AC40FC" w:rsidP="00440B39">
            <w:pPr>
              <w:spacing w:after="0"/>
              <w:jc w:val="center"/>
              <w:rPr>
                <w:rFonts w:cs="Arial"/>
                <w:color w:val="000000"/>
                <w:sz w:val="22"/>
              </w:rPr>
            </w:pPr>
            <w:r w:rsidRPr="00C9359A">
              <w:rPr>
                <w:rFonts w:cs="Arial"/>
                <w:color w:val="000000"/>
                <w:sz w:val="22"/>
              </w:rPr>
              <w:t>200</w:t>
            </w:r>
          </w:p>
        </w:tc>
        <w:tc>
          <w:tcPr>
            <w:tcW w:w="985" w:type="dxa"/>
            <w:tcBorders>
              <w:top w:val="nil"/>
              <w:left w:val="nil"/>
              <w:bottom w:val="single" w:sz="4" w:space="0" w:color="auto"/>
              <w:right w:val="single" w:sz="4" w:space="0" w:color="auto"/>
            </w:tcBorders>
            <w:shd w:val="clear" w:color="auto" w:fill="auto"/>
            <w:noWrap/>
            <w:vAlign w:val="center"/>
          </w:tcPr>
          <w:p w:rsidR="00AC40FC" w:rsidRPr="00C9359A" w:rsidRDefault="00AC40FC" w:rsidP="00440B39">
            <w:pPr>
              <w:spacing w:after="0"/>
              <w:jc w:val="center"/>
              <w:rPr>
                <w:rFonts w:cs="Arial"/>
                <w:color w:val="000000"/>
                <w:sz w:val="22"/>
              </w:rPr>
            </w:pPr>
            <w:r>
              <w:rPr>
                <w:rFonts w:cs="Arial"/>
                <w:color w:val="000000"/>
                <w:sz w:val="22"/>
              </w:rPr>
              <w:t>232</w:t>
            </w:r>
          </w:p>
        </w:tc>
      </w:tr>
      <w:tr w:rsidR="00AC40FC" w:rsidRPr="00732BBF" w:rsidTr="00440B39">
        <w:trPr>
          <w:cantSplit/>
          <w:trHeight w:val="300"/>
          <w:jc w:val="center"/>
        </w:trPr>
        <w:tc>
          <w:tcPr>
            <w:tcW w:w="1815" w:type="dxa"/>
            <w:tcBorders>
              <w:top w:val="nil"/>
              <w:left w:val="single" w:sz="4" w:space="0" w:color="auto"/>
              <w:bottom w:val="single" w:sz="4" w:space="0" w:color="auto"/>
              <w:right w:val="single" w:sz="4" w:space="0" w:color="auto"/>
            </w:tcBorders>
            <w:shd w:val="clear" w:color="auto" w:fill="auto"/>
            <w:noWrap/>
            <w:vAlign w:val="center"/>
          </w:tcPr>
          <w:p w:rsidR="00AC40FC" w:rsidRPr="00C9359A" w:rsidRDefault="00AC40FC" w:rsidP="00440B39">
            <w:pPr>
              <w:spacing w:after="0"/>
              <w:jc w:val="center"/>
              <w:rPr>
                <w:rFonts w:cs="Arial"/>
                <w:color w:val="000000"/>
                <w:sz w:val="22"/>
              </w:rPr>
            </w:pPr>
            <w:r w:rsidRPr="00C9359A">
              <w:rPr>
                <w:rFonts w:cs="Arial"/>
                <w:color w:val="000000"/>
                <w:sz w:val="22"/>
              </w:rPr>
              <w:t>Average Monthly Customers</w:t>
            </w:r>
          </w:p>
        </w:tc>
        <w:tc>
          <w:tcPr>
            <w:tcW w:w="971" w:type="dxa"/>
            <w:tcBorders>
              <w:top w:val="nil"/>
              <w:left w:val="nil"/>
              <w:bottom w:val="single" w:sz="4" w:space="0" w:color="auto"/>
              <w:right w:val="single" w:sz="4" w:space="0" w:color="auto"/>
            </w:tcBorders>
            <w:shd w:val="clear" w:color="auto" w:fill="auto"/>
            <w:noWrap/>
            <w:vAlign w:val="center"/>
          </w:tcPr>
          <w:p w:rsidR="00AC40FC" w:rsidRPr="00C9359A" w:rsidRDefault="00AC40FC" w:rsidP="00440B39">
            <w:pPr>
              <w:spacing w:after="0"/>
              <w:jc w:val="center"/>
              <w:rPr>
                <w:rFonts w:cs="Arial"/>
                <w:color w:val="000000"/>
                <w:sz w:val="22"/>
              </w:rPr>
            </w:pPr>
            <w:r w:rsidRPr="00C9359A">
              <w:rPr>
                <w:rFonts w:cs="Arial"/>
                <w:color w:val="000000"/>
                <w:sz w:val="22"/>
              </w:rPr>
              <w:t>31,138</w:t>
            </w:r>
          </w:p>
        </w:tc>
        <w:tc>
          <w:tcPr>
            <w:tcW w:w="900" w:type="dxa"/>
            <w:tcBorders>
              <w:top w:val="nil"/>
              <w:left w:val="nil"/>
              <w:bottom w:val="single" w:sz="4" w:space="0" w:color="auto"/>
              <w:right w:val="single" w:sz="4" w:space="0" w:color="auto"/>
            </w:tcBorders>
            <w:shd w:val="clear" w:color="auto" w:fill="auto"/>
            <w:noWrap/>
            <w:vAlign w:val="center"/>
          </w:tcPr>
          <w:p w:rsidR="00AC40FC" w:rsidRPr="00C9359A" w:rsidRDefault="00AC40FC" w:rsidP="00440B39">
            <w:pPr>
              <w:spacing w:after="0"/>
              <w:jc w:val="center"/>
              <w:rPr>
                <w:rFonts w:cs="Arial"/>
                <w:color w:val="000000"/>
                <w:sz w:val="22"/>
              </w:rPr>
            </w:pPr>
            <w:r w:rsidRPr="00C9359A">
              <w:rPr>
                <w:rFonts w:cs="Arial"/>
                <w:color w:val="000000"/>
                <w:sz w:val="22"/>
              </w:rPr>
              <w:t>33,735</w:t>
            </w:r>
          </w:p>
        </w:tc>
        <w:tc>
          <w:tcPr>
            <w:tcW w:w="900" w:type="dxa"/>
            <w:tcBorders>
              <w:top w:val="nil"/>
              <w:left w:val="nil"/>
              <w:bottom w:val="single" w:sz="4" w:space="0" w:color="auto"/>
              <w:right w:val="single" w:sz="4" w:space="0" w:color="auto"/>
            </w:tcBorders>
            <w:shd w:val="clear" w:color="auto" w:fill="auto"/>
            <w:noWrap/>
            <w:vAlign w:val="center"/>
          </w:tcPr>
          <w:p w:rsidR="00AC40FC" w:rsidRPr="00C9359A" w:rsidRDefault="00AC40FC" w:rsidP="00440B39">
            <w:pPr>
              <w:spacing w:after="0"/>
              <w:jc w:val="center"/>
              <w:rPr>
                <w:rFonts w:cs="Arial"/>
                <w:color w:val="000000"/>
                <w:sz w:val="22"/>
              </w:rPr>
            </w:pPr>
            <w:r w:rsidRPr="00C9359A">
              <w:rPr>
                <w:rFonts w:cs="Arial"/>
                <w:color w:val="000000"/>
                <w:sz w:val="22"/>
              </w:rPr>
              <w:t>34,462</w:t>
            </w:r>
          </w:p>
        </w:tc>
        <w:tc>
          <w:tcPr>
            <w:tcW w:w="900" w:type="dxa"/>
            <w:tcBorders>
              <w:top w:val="nil"/>
              <w:left w:val="nil"/>
              <w:bottom w:val="single" w:sz="4" w:space="0" w:color="auto"/>
              <w:right w:val="single" w:sz="4" w:space="0" w:color="auto"/>
            </w:tcBorders>
            <w:shd w:val="clear" w:color="auto" w:fill="auto"/>
            <w:noWrap/>
            <w:vAlign w:val="center"/>
          </w:tcPr>
          <w:p w:rsidR="00AC40FC" w:rsidRPr="00C9359A" w:rsidRDefault="00AC40FC" w:rsidP="00440B39">
            <w:pPr>
              <w:spacing w:after="0"/>
              <w:jc w:val="center"/>
              <w:rPr>
                <w:rFonts w:cs="Arial"/>
                <w:color w:val="000000"/>
                <w:sz w:val="22"/>
              </w:rPr>
            </w:pPr>
            <w:r w:rsidRPr="00C9359A">
              <w:rPr>
                <w:rFonts w:cs="Arial"/>
                <w:color w:val="000000"/>
                <w:sz w:val="22"/>
              </w:rPr>
              <w:t>35,197</w:t>
            </w:r>
          </w:p>
        </w:tc>
        <w:tc>
          <w:tcPr>
            <w:tcW w:w="900" w:type="dxa"/>
            <w:tcBorders>
              <w:top w:val="nil"/>
              <w:left w:val="nil"/>
              <w:bottom w:val="single" w:sz="4" w:space="0" w:color="auto"/>
              <w:right w:val="single" w:sz="4" w:space="0" w:color="auto"/>
            </w:tcBorders>
            <w:shd w:val="clear" w:color="auto" w:fill="auto"/>
            <w:noWrap/>
            <w:vAlign w:val="center"/>
          </w:tcPr>
          <w:p w:rsidR="00AC40FC" w:rsidRPr="00C9359A" w:rsidRDefault="00AC40FC" w:rsidP="00440B39">
            <w:pPr>
              <w:spacing w:after="0"/>
              <w:jc w:val="center"/>
              <w:rPr>
                <w:rFonts w:cs="Arial"/>
                <w:color w:val="000000"/>
                <w:sz w:val="22"/>
              </w:rPr>
            </w:pPr>
            <w:r w:rsidRPr="00C9359A">
              <w:rPr>
                <w:rFonts w:cs="Arial"/>
                <w:color w:val="000000"/>
                <w:sz w:val="22"/>
              </w:rPr>
              <w:t>38,373</w:t>
            </w:r>
          </w:p>
        </w:tc>
        <w:tc>
          <w:tcPr>
            <w:tcW w:w="985" w:type="dxa"/>
            <w:tcBorders>
              <w:top w:val="nil"/>
              <w:left w:val="nil"/>
              <w:bottom w:val="single" w:sz="4" w:space="0" w:color="auto"/>
              <w:right w:val="single" w:sz="4" w:space="0" w:color="auto"/>
            </w:tcBorders>
            <w:shd w:val="clear" w:color="auto" w:fill="auto"/>
            <w:noWrap/>
            <w:vAlign w:val="center"/>
          </w:tcPr>
          <w:p w:rsidR="00AC40FC" w:rsidRPr="00C9359A" w:rsidRDefault="00AC40FC" w:rsidP="00440B39">
            <w:pPr>
              <w:spacing w:after="0"/>
              <w:jc w:val="center"/>
              <w:rPr>
                <w:rFonts w:cs="Arial"/>
                <w:color w:val="000000"/>
                <w:sz w:val="22"/>
              </w:rPr>
            </w:pPr>
            <w:r w:rsidRPr="00C9359A">
              <w:rPr>
                <w:rFonts w:cs="Arial"/>
                <w:color w:val="000000"/>
                <w:sz w:val="22"/>
              </w:rPr>
              <w:t>4</w:t>
            </w:r>
            <w:r>
              <w:rPr>
                <w:rFonts w:cs="Arial"/>
                <w:color w:val="000000"/>
                <w:sz w:val="22"/>
              </w:rPr>
              <w:t>5,801</w:t>
            </w:r>
          </w:p>
        </w:tc>
      </w:tr>
      <w:tr w:rsidR="00AC40FC" w:rsidRPr="00732BBF" w:rsidTr="00440B39">
        <w:trPr>
          <w:cantSplit/>
          <w:trHeight w:val="300"/>
          <w:jc w:val="center"/>
        </w:trPr>
        <w:tc>
          <w:tcPr>
            <w:tcW w:w="7371"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C40FC" w:rsidRPr="00C9359A" w:rsidRDefault="00AC40FC" w:rsidP="00440B39">
            <w:pPr>
              <w:spacing w:after="0"/>
              <w:jc w:val="left"/>
              <w:rPr>
                <w:rFonts w:cs="Arial"/>
                <w:color w:val="000000"/>
                <w:sz w:val="22"/>
              </w:rPr>
            </w:pPr>
            <w:r w:rsidRPr="00C9359A">
              <w:rPr>
                <w:rFonts w:cs="Arial"/>
                <w:color w:val="000000"/>
                <w:sz w:val="22"/>
              </w:rPr>
              <w:t>Source:  DN 14-184</w:t>
            </w:r>
            <w:r>
              <w:rPr>
                <w:rFonts w:cs="Arial"/>
                <w:color w:val="000000"/>
                <w:sz w:val="22"/>
              </w:rPr>
              <w:t>A;</w:t>
            </w:r>
            <w:r w:rsidRPr="00C9359A">
              <w:rPr>
                <w:rFonts w:cs="Arial"/>
                <w:color w:val="000000"/>
                <w:sz w:val="22"/>
              </w:rPr>
              <w:t xml:space="preserve"> 14-177</w:t>
            </w:r>
            <w:r>
              <w:rPr>
                <w:rFonts w:cs="Arial"/>
                <w:color w:val="000000"/>
                <w:sz w:val="22"/>
              </w:rPr>
              <w:t xml:space="preserve">; </w:t>
            </w:r>
            <w:r>
              <w:rPr>
                <w:sz w:val="22"/>
              </w:rPr>
              <w:t>PPL EU edits</w:t>
            </w:r>
          </w:p>
        </w:tc>
      </w:tr>
    </w:tbl>
    <w:p w:rsidR="00AC40FC" w:rsidRPr="009B612E" w:rsidRDefault="00AC40FC" w:rsidP="00440B39">
      <w:pPr>
        <w:pStyle w:val="Normal-aftertable"/>
      </w:pPr>
      <w:r w:rsidRPr="009B612E">
        <w:t>The rate</w:t>
      </w:r>
      <w:r>
        <w:t xml:space="preserve"> of</w:t>
      </w:r>
      <w:r w:rsidRPr="009B612E">
        <w:t xml:space="preserve"> </w:t>
      </w:r>
      <w:r>
        <w:t xml:space="preserve">growth </w:t>
      </w:r>
      <w:r w:rsidRPr="009B612E">
        <w:t xml:space="preserve">of PUC informal </w:t>
      </w:r>
      <w:r>
        <w:t xml:space="preserve">OnTrack </w:t>
      </w:r>
      <w:r w:rsidRPr="009B612E">
        <w:t xml:space="preserve">complaints </w:t>
      </w:r>
      <w:r>
        <w:t>per thousand OnTrack customers has decreased from 5.94 in 2010 to 5.07 in 2015, about a 15% decrease.</w:t>
      </w:r>
    </w:p>
    <w:p w:rsidR="00AC40FC" w:rsidRPr="00F81C6F" w:rsidRDefault="00AC40FC" w:rsidP="0049591B">
      <w:pPr>
        <w:pStyle w:val="Findings"/>
      </w:pPr>
      <w:r>
        <w:t>A</w:t>
      </w:r>
      <w:r w:rsidRPr="00F81C6F">
        <w:t>pplication de</w:t>
      </w:r>
      <w:r>
        <w:t>lays resulting from enrollment backlogs were a major source of customer dissatisfaction and o</w:t>
      </w:r>
      <w:r w:rsidRPr="00F81C6F">
        <w:t xml:space="preserve">f </w:t>
      </w:r>
      <w:r>
        <w:t>PUC informal complaints that were related to the OnTrack program.</w:t>
      </w:r>
    </w:p>
    <w:p w:rsidR="00AC40FC" w:rsidRDefault="00AC40FC" w:rsidP="00440B39">
      <w:pPr>
        <w:rPr>
          <w:rFonts w:cs="Arial"/>
          <w:szCs w:val="24"/>
        </w:rPr>
      </w:pPr>
      <w:r>
        <w:rPr>
          <w:rFonts w:cs="Arial"/>
          <w:szCs w:val="24"/>
        </w:rPr>
        <w:t>The types of OnTrack informal complaints filed with the PUC in 2015 are shown in the table below:</w:t>
      </w:r>
    </w:p>
    <w:p w:rsidR="00AC40FC" w:rsidRDefault="00AC40FC" w:rsidP="002B3172">
      <w:pPr>
        <w:pStyle w:val="Caption"/>
      </w:pPr>
      <w:bookmarkStart w:id="187" w:name="_Toc462648439"/>
      <w:bookmarkStart w:id="188" w:name="_Toc464553061"/>
      <w:r>
        <w:lastRenderedPageBreak/>
        <w:t xml:space="preserve">Exhibit </w:t>
      </w:r>
      <w:fldSimple w:instr=" STYLEREF 1 \s ">
        <w:r w:rsidR="00A24205">
          <w:rPr>
            <w:noProof/>
          </w:rPr>
          <w:t>X</w:t>
        </w:r>
      </w:fldSimple>
      <w:r w:rsidR="00264A1B">
        <w:noBreakHyphen/>
      </w:r>
      <w:fldSimple w:instr=" SEQ Exhibit \* ARABIC \s 1 ">
        <w:r w:rsidR="00A24205">
          <w:rPr>
            <w:noProof/>
          </w:rPr>
          <w:t>22</w:t>
        </w:r>
      </w:fldSimple>
      <w:r>
        <w:br/>
        <w:t>OnTrack PUC Informal Complaints by Type for 2015</w:t>
      </w:r>
      <w:bookmarkEnd w:id="187"/>
      <w:bookmarkEnd w:id="188"/>
    </w:p>
    <w:tbl>
      <w:tblPr>
        <w:tblW w:w="6060" w:type="dxa"/>
        <w:jc w:val="center"/>
        <w:tblLook w:val="04A0"/>
      </w:tblPr>
      <w:tblGrid>
        <w:gridCol w:w="3840"/>
        <w:gridCol w:w="1123"/>
        <w:gridCol w:w="1097"/>
      </w:tblGrid>
      <w:tr w:rsidR="00AC40FC" w:rsidRPr="00240DA3" w:rsidTr="00786363">
        <w:trPr>
          <w:cantSplit/>
          <w:trHeight w:val="300"/>
          <w:tblHeader/>
          <w:jc w:val="center"/>
        </w:trPr>
        <w:tc>
          <w:tcPr>
            <w:tcW w:w="4280" w:type="dxa"/>
            <w:tcBorders>
              <w:top w:val="single" w:sz="4" w:space="0" w:color="auto"/>
              <w:left w:val="single" w:sz="4" w:space="0" w:color="auto"/>
              <w:bottom w:val="single" w:sz="4" w:space="0" w:color="auto"/>
              <w:right w:val="single" w:sz="4" w:space="0" w:color="auto"/>
            </w:tcBorders>
            <w:shd w:val="clear" w:color="auto" w:fill="A5CD7E"/>
            <w:vAlign w:val="center"/>
            <w:hideMark/>
          </w:tcPr>
          <w:p w:rsidR="00AC40FC" w:rsidRPr="00C9359A" w:rsidRDefault="00AC40FC" w:rsidP="00521E7D">
            <w:pPr>
              <w:spacing w:before="120"/>
              <w:jc w:val="center"/>
              <w:rPr>
                <w:rFonts w:cs="Arial"/>
                <w:b/>
                <w:bCs/>
                <w:color w:val="000000"/>
                <w:szCs w:val="24"/>
              </w:rPr>
            </w:pPr>
            <w:r w:rsidRPr="00C9359A">
              <w:rPr>
                <w:rFonts w:cs="Arial"/>
                <w:b/>
                <w:bCs/>
                <w:color w:val="000000"/>
                <w:szCs w:val="24"/>
              </w:rPr>
              <w:t>Type of Complaint</w:t>
            </w:r>
          </w:p>
        </w:tc>
        <w:tc>
          <w:tcPr>
            <w:tcW w:w="900" w:type="dxa"/>
            <w:tcBorders>
              <w:top w:val="single" w:sz="4" w:space="0" w:color="auto"/>
              <w:left w:val="nil"/>
              <w:bottom w:val="single" w:sz="4" w:space="0" w:color="auto"/>
              <w:right w:val="single" w:sz="4" w:space="0" w:color="auto"/>
            </w:tcBorders>
            <w:shd w:val="clear" w:color="auto" w:fill="A5CD7E"/>
            <w:vAlign w:val="center"/>
            <w:hideMark/>
          </w:tcPr>
          <w:p w:rsidR="00AC40FC" w:rsidRPr="00C9359A" w:rsidRDefault="00AC40FC" w:rsidP="00521E7D">
            <w:pPr>
              <w:spacing w:before="120"/>
              <w:jc w:val="center"/>
              <w:rPr>
                <w:rFonts w:cs="Arial"/>
                <w:b/>
                <w:bCs/>
                <w:color w:val="000000"/>
                <w:szCs w:val="24"/>
              </w:rPr>
            </w:pPr>
            <w:r w:rsidRPr="00C9359A">
              <w:rPr>
                <w:rFonts w:cs="Arial"/>
                <w:b/>
                <w:bCs/>
                <w:color w:val="000000"/>
                <w:szCs w:val="24"/>
              </w:rPr>
              <w:t>Number</w:t>
            </w:r>
          </w:p>
        </w:tc>
        <w:tc>
          <w:tcPr>
            <w:tcW w:w="880" w:type="dxa"/>
            <w:tcBorders>
              <w:top w:val="single" w:sz="4" w:space="0" w:color="auto"/>
              <w:left w:val="nil"/>
              <w:bottom w:val="single" w:sz="4" w:space="0" w:color="auto"/>
              <w:right w:val="single" w:sz="4" w:space="0" w:color="auto"/>
            </w:tcBorders>
            <w:shd w:val="clear" w:color="auto" w:fill="A5CD7E"/>
            <w:noWrap/>
            <w:vAlign w:val="center"/>
            <w:hideMark/>
          </w:tcPr>
          <w:p w:rsidR="00AC40FC" w:rsidRPr="00C9359A" w:rsidRDefault="00AC40FC" w:rsidP="00521E7D">
            <w:pPr>
              <w:spacing w:before="120"/>
              <w:jc w:val="center"/>
              <w:rPr>
                <w:rFonts w:cs="Arial"/>
                <w:b/>
                <w:bCs/>
                <w:color w:val="000000"/>
                <w:szCs w:val="24"/>
              </w:rPr>
            </w:pPr>
            <w:r w:rsidRPr="00C9359A">
              <w:rPr>
                <w:rFonts w:cs="Arial"/>
                <w:b/>
                <w:bCs/>
                <w:color w:val="000000"/>
                <w:szCs w:val="24"/>
              </w:rPr>
              <w:t>Percent</w:t>
            </w:r>
          </w:p>
        </w:tc>
      </w:tr>
      <w:tr w:rsidR="00AC40FC" w:rsidRPr="00240DA3" w:rsidTr="00440B39">
        <w:trPr>
          <w:trHeight w:val="300"/>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rsidR="00AC40FC" w:rsidRPr="00C9359A" w:rsidRDefault="00AC40FC" w:rsidP="00440B39">
            <w:pPr>
              <w:spacing w:after="0"/>
              <w:jc w:val="center"/>
              <w:rPr>
                <w:rFonts w:cs="Arial"/>
                <w:color w:val="000000"/>
                <w:szCs w:val="24"/>
              </w:rPr>
            </w:pPr>
            <w:r w:rsidRPr="00C9359A">
              <w:rPr>
                <w:rFonts w:cs="Arial"/>
                <w:color w:val="000000"/>
                <w:szCs w:val="24"/>
              </w:rPr>
              <w:t>Application delay</w:t>
            </w:r>
          </w:p>
        </w:tc>
        <w:tc>
          <w:tcPr>
            <w:tcW w:w="900" w:type="dxa"/>
            <w:tcBorders>
              <w:top w:val="nil"/>
              <w:left w:val="nil"/>
              <w:bottom w:val="single" w:sz="4" w:space="0" w:color="auto"/>
              <w:right w:val="single" w:sz="4" w:space="0" w:color="auto"/>
            </w:tcBorders>
            <w:shd w:val="clear" w:color="auto" w:fill="auto"/>
            <w:vAlign w:val="center"/>
            <w:hideMark/>
          </w:tcPr>
          <w:p w:rsidR="00AC40FC" w:rsidRPr="00C9359A" w:rsidRDefault="00AC40FC" w:rsidP="00440B39">
            <w:pPr>
              <w:spacing w:after="0"/>
              <w:jc w:val="center"/>
              <w:rPr>
                <w:rFonts w:cs="Arial"/>
                <w:color w:val="000000"/>
                <w:szCs w:val="24"/>
              </w:rPr>
            </w:pPr>
            <w:r w:rsidRPr="00C9359A">
              <w:rPr>
                <w:rFonts w:cs="Arial"/>
                <w:color w:val="000000"/>
                <w:szCs w:val="24"/>
              </w:rPr>
              <w:t>68</w:t>
            </w:r>
          </w:p>
        </w:tc>
        <w:tc>
          <w:tcPr>
            <w:tcW w:w="880" w:type="dxa"/>
            <w:tcBorders>
              <w:top w:val="nil"/>
              <w:left w:val="nil"/>
              <w:bottom w:val="single" w:sz="4" w:space="0" w:color="auto"/>
              <w:right w:val="single" w:sz="4" w:space="0" w:color="auto"/>
            </w:tcBorders>
            <w:shd w:val="clear" w:color="auto" w:fill="auto"/>
            <w:noWrap/>
            <w:vAlign w:val="center"/>
            <w:hideMark/>
          </w:tcPr>
          <w:p w:rsidR="00AC40FC" w:rsidRPr="00C9359A" w:rsidRDefault="00AC40FC" w:rsidP="00440B39">
            <w:pPr>
              <w:spacing w:after="0"/>
              <w:jc w:val="center"/>
              <w:rPr>
                <w:rFonts w:cs="Arial"/>
                <w:color w:val="000000"/>
                <w:szCs w:val="24"/>
              </w:rPr>
            </w:pPr>
            <w:r w:rsidRPr="00C9359A">
              <w:rPr>
                <w:rFonts w:cs="Arial"/>
                <w:color w:val="000000"/>
                <w:szCs w:val="24"/>
              </w:rPr>
              <w:t>31%</w:t>
            </w:r>
          </w:p>
        </w:tc>
      </w:tr>
      <w:tr w:rsidR="00AC40FC" w:rsidRPr="00240DA3" w:rsidTr="00440B39">
        <w:trPr>
          <w:trHeight w:val="300"/>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rsidR="00AC40FC" w:rsidRPr="00C9359A" w:rsidRDefault="00AC40FC" w:rsidP="00440B39">
            <w:pPr>
              <w:spacing w:after="0"/>
              <w:jc w:val="center"/>
              <w:rPr>
                <w:rFonts w:cs="Arial"/>
                <w:color w:val="000000"/>
                <w:szCs w:val="24"/>
              </w:rPr>
            </w:pPr>
            <w:r w:rsidRPr="00C9359A">
              <w:rPr>
                <w:rFonts w:cs="Arial"/>
                <w:color w:val="000000"/>
                <w:szCs w:val="24"/>
              </w:rPr>
              <w:t>Reinstatement amount</w:t>
            </w:r>
          </w:p>
        </w:tc>
        <w:tc>
          <w:tcPr>
            <w:tcW w:w="900" w:type="dxa"/>
            <w:tcBorders>
              <w:top w:val="nil"/>
              <w:left w:val="nil"/>
              <w:bottom w:val="single" w:sz="4" w:space="0" w:color="auto"/>
              <w:right w:val="single" w:sz="4" w:space="0" w:color="auto"/>
            </w:tcBorders>
            <w:shd w:val="clear" w:color="auto" w:fill="auto"/>
            <w:vAlign w:val="center"/>
            <w:hideMark/>
          </w:tcPr>
          <w:p w:rsidR="00AC40FC" w:rsidRPr="00C9359A" w:rsidRDefault="00AC40FC" w:rsidP="00440B39">
            <w:pPr>
              <w:spacing w:after="0"/>
              <w:jc w:val="center"/>
              <w:rPr>
                <w:rFonts w:cs="Arial"/>
                <w:color w:val="000000"/>
                <w:szCs w:val="24"/>
              </w:rPr>
            </w:pPr>
            <w:r w:rsidRPr="00C9359A">
              <w:rPr>
                <w:rFonts w:cs="Arial"/>
                <w:color w:val="000000"/>
                <w:szCs w:val="24"/>
              </w:rPr>
              <w:t>23</w:t>
            </w:r>
          </w:p>
        </w:tc>
        <w:tc>
          <w:tcPr>
            <w:tcW w:w="880" w:type="dxa"/>
            <w:tcBorders>
              <w:top w:val="nil"/>
              <w:left w:val="nil"/>
              <w:bottom w:val="single" w:sz="4" w:space="0" w:color="auto"/>
              <w:right w:val="single" w:sz="4" w:space="0" w:color="auto"/>
            </w:tcBorders>
            <w:shd w:val="clear" w:color="auto" w:fill="auto"/>
            <w:noWrap/>
            <w:vAlign w:val="center"/>
            <w:hideMark/>
          </w:tcPr>
          <w:p w:rsidR="00AC40FC" w:rsidRPr="00C9359A" w:rsidRDefault="00AC40FC" w:rsidP="00440B39">
            <w:pPr>
              <w:spacing w:after="0"/>
              <w:jc w:val="center"/>
              <w:rPr>
                <w:rFonts w:cs="Arial"/>
                <w:color w:val="000000"/>
                <w:szCs w:val="24"/>
              </w:rPr>
            </w:pPr>
            <w:r w:rsidRPr="00C9359A">
              <w:rPr>
                <w:rFonts w:cs="Arial"/>
                <w:color w:val="000000"/>
                <w:szCs w:val="24"/>
              </w:rPr>
              <w:t>11%</w:t>
            </w:r>
          </w:p>
        </w:tc>
      </w:tr>
      <w:tr w:rsidR="00AC40FC" w:rsidRPr="00240DA3" w:rsidTr="00440B39">
        <w:trPr>
          <w:trHeight w:val="300"/>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rsidR="00AC40FC" w:rsidRPr="00C9359A" w:rsidRDefault="00AC40FC" w:rsidP="00440B39">
            <w:pPr>
              <w:spacing w:after="0"/>
              <w:jc w:val="center"/>
              <w:rPr>
                <w:rFonts w:cs="Arial"/>
                <w:color w:val="000000"/>
                <w:szCs w:val="24"/>
              </w:rPr>
            </w:pPr>
            <w:r w:rsidRPr="00C9359A">
              <w:rPr>
                <w:rFonts w:cs="Arial"/>
                <w:color w:val="000000"/>
                <w:szCs w:val="24"/>
              </w:rPr>
              <w:t>Not eligible</w:t>
            </w:r>
          </w:p>
        </w:tc>
        <w:tc>
          <w:tcPr>
            <w:tcW w:w="900" w:type="dxa"/>
            <w:tcBorders>
              <w:top w:val="nil"/>
              <w:left w:val="nil"/>
              <w:bottom w:val="single" w:sz="4" w:space="0" w:color="auto"/>
              <w:right w:val="single" w:sz="4" w:space="0" w:color="auto"/>
            </w:tcBorders>
            <w:shd w:val="clear" w:color="auto" w:fill="auto"/>
            <w:vAlign w:val="center"/>
            <w:hideMark/>
          </w:tcPr>
          <w:p w:rsidR="00AC40FC" w:rsidRPr="00C9359A" w:rsidRDefault="00AC40FC" w:rsidP="00440B39">
            <w:pPr>
              <w:spacing w:after="0"/>
              <w:jc w:val="center"/>
              <w:rPr>
                <w:rFonts w:cs="Arial"/>
                <w:color w:val="000000"/>
                <w:szCs w:val="24"/>
              </w:rPr>
            </w:pPr>
            <w:r w:rsidRPr="00C9359A">
              <w:rPr>
                <w:rFonts w:cs="Arial"/>
                <w:color w:val="000000"/>
                <w:szCs w:val="24"/>
              </w:rPr>
              <w:t>27</w:t>
            </w:r>
          </w:p>
        </w:tc>
        <w:tc>
          <w:tcPr>
            <w:tcW w:w="880" w:type="dxa"/>
            <w:tcBorders>
              <w:top w:val="nil"/>
              <w:left w:val="nil"/>
              <w:bottom w:val="single" w:sz="4" w:space="0" w:color="auto"/>
              <w:right w:val="single" w:sz="4" w:space="0" w:color="auto"/>
            </w:tcBorders>
            <w:shd w:val="clear" w:color="auto" w:fill="auto"/>
            <w:noWrap/>
            <w:vAlign w:val="center"/>
            <w:hideMark/>
          </w:tcPr>
          <w:p w:rsidR="00AC40FC" w:rsidRPr="00C9359A" w:rsidRDefault="00AC40FC" w:rsidP="00440B39">
            <w:pPr>
              <w:spacing w:after="0"/>
              <w:jc w:val="center"/>
              <w:rPr>
                <w:rFonts w:cs="Arial"/>
                <w:color w:val="000000"/>
                <w:szCs w:val="24"/>
              </w:rPr>
            </w:pPr>
            <w:r w:rsidRPr="00C9359A">
              <w:rPr>
                <w:rFonts w:cs="Arial"/>
                <w:color w:val="000000"/>
                <w:szCs w:val="24"/>
              </w:rPr>
              <w:t>12%</w:t>
            </w:r>
          </w:p>
        </w:tc>
      </w:tr>
      <w:tr w:rsidR="00AC40FC" w:rsidRPr="00240DA3" w:rsidTr="00440B39">
        <w:trPr>
          <w:trHeight w:val="300"/>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rsidR="00AC40FC" w:rsidRPr="00C9359A" w:rsidRDefault="00AC40FC" w:rsidP="00440B39">
            <w:pPr>
              <w:spacing w:after="0"/>
              <w:jc w:val="center"/>
              <w:rPr>
                <w:rFonts w:cs="Arial"/>
                <w:color w:val="000000"/>
                <w:szCs w:val="24"/>
              </w:rPr>
            </w:pPr>
            <w:r w:rsidRPr="00C9359A">
              <w:rPr>
                <w:rFonts w:cs="Arial"/>
                <w:color w:val="000000"/>
                <w:szCs w:val="24"/>
              </w:rPr>
              <w:t>Shortfall removal</w:t>
            </w:r>
          </w:p>
        </w:tc>
        <w:tc>
          <w:tcPr>
            <w:tcW w:w="900" w:type="dxa"/>
            <w:tcBorders>
              <w:top w:val="nil"/>
              <w:left w:val="nil"/>
              <w:bottom w:val="single" w:sz="4" w:space="0" w:color="auto"/>
              <w:right w:val="single" w:sz="4" w:space="0" w:color="auto"/>
            </w:tcBorders>
            <w:shd w:val="clear" w:color="auto" w:fill="auto"/>
            <w:vAlign w:val="center"/>
            <w:hideMark/>
          </w:tcPr>
          <w:p w:rsidR="00AC40FC" w:rsidRPr="00C9359A" w:rsidRDefault="00AC40FC" w:rsidP="00440B39">
            <w:pPr>
              <w:spacing w:after="0"/>
              <w:jc w:val="center"/>
              <w:rPr>
                <w:rFonts w:cs="Arial"/>
                <w:color w:val="000000"/>
                <w:szCs w:val="24"/>
              </w:rPr>
            </w:pPr>
            <w:r w:rsidRPr="00C9359A">
              <w:rPr>
                <w:rFonts w:cs="Arial"/>
                <w:color w:val="000000"/>
                <w:szCs w:val="24"/>
              </w:rPr>
              <w:t>77</w:t>
            </w:r>
          </w:p>
        </w:tc>
        <w:tc>
          <w:tcPr>
            <w:tcW w:w="880" w:type="dxa"/>
            <w:tcBorders>
              <w:top w:val="nil"/>
              <w:left w:val="nil"/>
              <w:bottom w:val="single" w:sz="4" w:space="0" w:color="auto"/>
              <w:right w:val="single" w:sz="4" w:space="0" w:color="auto"/>
            </w:tcBorders>
            <w:shd w:val="clear" w:color="auto" w:fill="auto"/>
            <w:noWrap/>
            <w:vAlign w:val="center"/>
            <w:hideMark/>
          </w:tcPr>
          <w:p w:rsidR="00AC40FC" w:rsidRPr="00C9359A" w:rsidRDefault="00AC40FC" w:rsidP="00440B39">
            <w:pPr>
              <w:spacing w:after="0"/>
              <w:jc w:val="center"/>
              <w:rPr>
                <w:rFonts w:cs="Arial"/>
                <w:color w:val="000000"/>
                <w:szCs w:val="24"/>
              </w:rPr>
            </w:pPr>
            <w:r w:rsidRPr="00C9359A">
              <w:rPr>
                <w:rFonts w:cs="Arial"/>
                <w:color w:val="000000"/>
                <w:szCs w:val="24"/>
              </w:rPr>
              <w:t>35%</w:t>
            </w:r>
          </w:p>
        </w:tc>
      </w:tr>
      <w:tr w:rsidR="00AC40FC" w:rsidRPr="00240DA3" w:rsidTr="00440B39">
        <w:trPr>
          <w:trHeight w:val="300"/>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rsidR="00AC40FC" w:rsidRPr="00C9359A" w:rsidRDefault="00AC40FC" w:rsidP="00440B39">
            <w:pPr>
              <w:spacing w:after="0"/>
              <w:jc w:val="center"/>
              <w:rPr>
                <w:rFonts w:cs="Arial"/>
                <w:color w:val="000000"/>
                <w:szCs w:val="24"/>
              </w:rPr>
            </w:pPr>
            <w:r w:rsidRPr="00C9359A">
              <w:rPr>
                <w:rFonts w:cs="Arial"/>
                <w:color w:val="000000"/>
                <w:szCs w:val="24"/>
              </w:rPr>
              <w:t>Payment increase</w:t>
            </w:r>
          </w:p>
        </w:tc>
        <w:tc>
          <w:tcPr>
            <w:tcW w:w="900" w:type="dxa"/>
            <w:tcBorders>
              <w:top w:val="nil"/>
              <w:left w:val="nil"/>
              <w:bottom w:val="single" w:sz="4" w:space="0" w:color="auto"/>
              <w:right w:val="single" w:sz="4" w:space="0" w:color="auto"/>
            </w:tcBorders>
            <w:shd w:val="clear" w:color="auto" w:fill="auto"/>
            <w:vAlign w:val="center"/>
            <w:hideMark/>
          </w:tcPr>
          <w:p w:rsidR="00AC40FC" w:rsidRPr="00C9359A" w:rsidRDefault="00AC40FC" w:rsidP="00440B39">
            <w:pPr>
              <w:spacing w:after="0"/>
              <w:jc w:val="center"/>
              <w:rPr>
                <w:rFonts w:cs="Arial"/>
                <w:color w:val="000000"/>
                <w:szCs w:val="24"/>
              </w:rPr>
            </w:pPr>
            <w:r w:rsidRPr="00C9359A">
              <w:rPr>
                <w:rFonts w:cs="Arial"/>
                <w:color w:val="000000"/>
                <w:szCs w:val="24"/>
              </w:rPr>
              <w:t>8</w:t>
            </w:r>
          </w:p>
        </w:tc>
        <w:tc>
          <w:tcPr>
            <w:tcW w:w="880" w:type="dxa"/>
            <w:tcBorders>
              <w:top w:val="nil"/>
              <w:left w:val="nil"/>
              <w:bottom w:val="single" w:sz="4" w:space="0" w:color="auto"/>
              <w:right w:val="single" w:sz="4" w:space="0" w:color="auto"/>
            </w:tcBorders>
            <w:shd w:val="clear" w:color="auto" w:fill="auto"/>
            <w:noWrap/>
            <w:vAlign w:val="center"/>
            <w:hideMark/>
          </w:tcPr>
          <w:p w:rsidR="00AC40FC" w:rsidRPr="00C9359A" w:rsidRDefault="00AC40FC" w:rsidP="00440B39">
            <w:pPr>
              <w:spacing w:after="0"/>
              <w:jc w:val="center"/>
              <w:rPr>
                <w:rFonts w:cs="Arial"/>
                <w:color w:val="000000"/>
                <w:szCs w:val="24"/>
              </w:rPr>
            </w:pPr>
            <w:r w:rsidRPr="00C9359A">
              <w:rPr>
                <w:rFonts w:cs="Arial"/>
                <w:color w:val="000000"/>
                <w:szCs w:val="24"/>
              </w:rPr>
              <w:t>4%</w:t>
            </w:r>
          </w:p>
        </w:tc>
      </w:tr>
      <w:tr w:rsidR="00AC40FC" w:rsidRPr="00240DA3" w:rsidTr="00440B39">
        <w:trPr>
          <w:trHeight w:val="300"/>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rsidR="00AC40FC" w:rsidRPr="00C9359A" w:rsidRDefault="00AC40FC" w:rsidP="00440B39">
            <w:pPr>
              <w:spacing w:after="0"/>
              <w:jc w:val="center"/>
              <w:rPr>
                <w:rFonts w:cs="Arial"/>
                <w:color w:val="000000"/>
                <w:szCs w:val="24"/>
              </w:rPr>
            </w:pPr>
            <w:r w:rsidRPr="00C9359A">
              <w:rPr>
                <w:rFonts w:cs="Arial"/>
                <w:color w:val="000000"/>
                <w:szCs w:val="24"/>
              </w:rPr>
              <w:t>Unwanted collection calls</w:t>
            </w:r>
          </w:p>
        </w:tc>
        <w:tc>
          <w:tcPr>
            <w:tcW w:w="900" w:type="dxa"/>
            <w:tcBorders>
              <w:top w:val="nil"/>
              <w:left w:val="nil"/>
              <w:bottom w:val="single" w:sz="4" w:space="0" w:color="auto"/>
              <w:right w:val="single" w:sz="4" w:space="0" w:color="auto"/>
            </w:tcBorders>
            <w:shd w:val="clear" w:color="auto" w:fill="auto"/>
            <w:vAlign w:val="center"/>
            <w:hideMark/>
          </w:tcPr>
          <w:p w:rsidR="00AC40FC" w:rsidRPr="00C9359A" w:rsidRDefault="00AC40FC" w:rsidP="00440B39">
            <w:pPr>
              <w:spacing w:after="0"/>
              <w:jc w:val="center"/>
              <w:rPr>
                <w:rFonts w:cs="Arial"/>
                <w:color w:val="000000"/>
                <w:szCs w:val="24"/>
              </w:rPr>
            </w:pPr>
            <w:r w:rsidRPr="00C9359A">
              <w:rPr>
                <w:rFonts w:cs="Arial"/>
                <w:color w:val="000000"/>
                <w:szCs w:val="24"/>
              </w:rPr>
              <w:t>1</w:t>
            </w:r>
          </w:p>
        </w:tc>
        <w:tc>
          <w:tcPr>
            <w:tcW w:w="880" w:type="dxa"/>
            <w:tcBorders>
              <w:top w:val="nil"/>
              <w:left w:val="nil"/>
              <w:bottom w:val="single" w:sz="4" w:space="0" w:color="auto"/>
              <w:right w:val="single" w:sz="4" w:space="0" w:color="auto"/>
            </w:tcBorders>
            <w:shd w:val="clear" w:color="auto" w:fill="auto"/>
            <w:noWrap/>
            <w:vAlign w:val="center"/>
            <w:hideMark/>
          </w:tcPr>
          <w:p w:rsidR="00AC40FC" w:rsidRPr="00C9359A" w:rsidRDefault="00AC40FC" w:rsidP="00440B39">
            <w:pPr>
              <w:spacing w:after="0"/>
              <w:jc w:val="center"/>
              <w:rPr>
                <w:rFonts w:cs="Arial"/>
                <w:color w:val="000000"/>
                <w:szCs w:val="24"/>
              </w:rPr>
            </w:pPr>
            <w:r w:rsidRPr="00C9359A">
              <w:rPr>
                <w:rFonts w:cs="Arial"/>
                <w:color w:val="000000"/>
                <w:szCs w:val="24"/>
              </w:rPr>
              <w:t>0%</w:t>
            </w:r>
          </w:p>
        </w:tc>
      </w:tr>
      <w:tr w:rsidR="00AC40FC" w:rsidRPr="00240DA3" w:rsidTr="00440B39">
        <w:trPr>
          <w:trHeight w:val="300"/>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rsidR="00AC40FC" w:rsidRPr="00C9359A" w:rsidRDefault="00AC40FC" w:rsidP="00440B39">
            <w:pPr>
              <w:spacing w:after="0"/>
              <w:jc w:val="center"/>
              <w:rPr>
                <w:rFonts w:cs="Arial"/>
                <w:color w:val="000000"/>
                <w:szCs w:val="24"/>
              </w:rPr>
            </w:pPr>
            <w:r w:rsidRPr="00C9359A">
              <w:rPr>
                <w:rFonts w:cs="Arial"/>
                <w:color w:val="000000"/>
                <w:szCs w:val="24"/>
              </w:rPr>
              <w:t>OnTrack programming error</w:t>
            </w:r>
          </w:p>
        </w:tc>
        <w:tc>
          <w:tcPr>
            <w:tcW w:w="900" w:type="dxa"/>
            <w:tcBorders>
              <w:top w:val="nil"/>
              <w:left w:val="nil"/>
              <w:bottom w:val="single" w:sz="4" w:space="0" w:color="auto"/>
              <w:right w:val="single" w:sz="4" w:space="0" w:color="auto"/>
            </w:tcBorders>
            <w:shd w:val="clear" w:color="auto" w:fill="auto"/>
            <w:vAlign w:val="center"/>
            <w:hideMark/>
          </w:tcPr>
          <w:p w:rsidR="00AC40FC" w:rsidRPr="00C9359A" w:rsidRDefault="00AC40FC" w:rsidP="00440B39">
            <w:pPr>
              <w:spacing w:after="0"/>
              <w:jc w:val="center"/>
              <w:rPr>
                <w:rFonts w:cs="Arial"/>
                <w:color w:val="000000"/>
                <w:szCs w:val="24"/>
              </w:rPr>
            </w:pPr>
            <w:r w:rsidRPr="00C9359A">
              <w:rPr>
                <w:rFonts w:cs="Arial"/>
                <w:color w:val="000000"/>
                <w:szCs w:val="24"/>
              </w:rPr>
              <w:t>1</w:t>
            </w:r>
          </w:p>
        </w:tc>
        <w:tc>
          <w:tcPr>
            <w:tcW w:w="880" w:type="dxa"/>
            <w:tcBorders>
              <w:top w:val="nil"/>
              <w:left w:val="nil"/>
              <w:bottom w:val="single" w:sz="4" w:space="0" w:color="auto"/>
              <w:right w:val="single" w:sz="4" w:space="0" w:color="auto"/>
            </w:tcBorders>
            <w:shd w:val="clear" w:color="auto" w:fill="auto"/>
            <w:noWrap/>
            <w:vAlign w:val="center"/>
            <w:hideMark/>
          </w:tcPr>
          <w:p w:rsidR="00AC40FC" w:rsidRPr="00C9359A" w:rsidRDefault="00AC40FC" w:rsidP="00440B39">
            <w:pPr>
              <w:spacing w:after="0"/>
              <w:jc w:val="center"/>
              <w:rPr>
                <w:rFonts w:cs="Arial"/>
                <w:color w:val="000000"/>
                <w:szCs w:val="24"/>
              </w:rPr>
            </w:pPr>
            <w:r w:rsidRPr="00C9359A">
              <w:rPr>
                <w:rFonts w:cs="Arial"/>
                <w:color w:val="000000"/>
                <w:szCs w:val="24"/>
              </w:rPr>
              <w:t>0%</w:t>
            </w:r>
          </w:p>
        </w:tc>
      </w:tr>
      <w:tr w:rsidR="00AC40FC" w:rsidRPr="00240DA3" w:rsidTr="00440B39">
        <w:trPr>
          <w:trHeight w:val="300"/>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rsidR="00AC40FC" w:rsidRPr="00C9359A" w:rsidRDefault="00AC40FC" w:rsidP="00440B39">
            <w:pPr>
              <w:spacing w:after="0"/>
              <w:jc w:val="center"/>
              <w:rPr>
                <w:rFonts w:cs="Arial"/>
                <w:color w:val="000000"/>
                <w:szCs w:val="24"/>
              </w:rPr>
            </w:pPr>
            <w:r w:rsidRPr="00C9359A">
              <w:rPr>
                <w:rFonts w:cs="Arial"/>
                <w:color w:val="000000"/>
                <w:szCs w:val="24"/>
              </w:rPr>
              <w:t>Moved</w:t>
            </w:r>
          </w:p>
        </w:tc>
        <w:tc>
          <w:tcPr>
            <w:tcW w:w="900" w:type="dxa"/>
            <w:tcBorders>
              <w:top w:val="nil"/>
              <w:left w:val="nil"/>
              <w:bottom w:val="single" w:sz="4" w:space="0" w:color="auto"/>
              <w:right w:val="single" w:sz="4" w:space="0" w:color="auto"/>
            </w:tcBorders>
            <w:shd w:val="clear" w:color="auto" w:fill="auto"/>
            <w:vAlign w:val="center"/>
            <w:hideMark/>
          </w:tcPr>
          <w:p w:rsidR="00AC40FC" w:rsidRPr="00C9359A" w:rsidRDefault="00AC40FC" w:rsidP="00440B39">
            <w:pPr>
              <w:spacing w:after="0"/>
              <w:jc w:val="center"/>
              <w:rPr>
                <w:rFonts w:cs="Arial"/>
                <w:color w:val="000000"/>
                <w:szCs w:val="24"/>
              </w:rPr>
            </w:pPr>
            <w:r w:rsidRPr="00C9359A">
              <w:rPr>
                <w:rFonts w:cs="Arial"/>
                <w:color w:val="000000"/>
                <w:szCs w:val="24"/>
              </w:rPr>
              <w:t>7</w:t>
            </w:r>
          </w:p>
        </w:tc>
        <w:tc>
          <w:tcPr>
            <w:tcW w:w="880" w:type="dxa"/>
            <w:tcBorders>
              <w:top w:val="nil"/>
              <w:left w:val="nil"/>
              <w:bottom w:val="single" w:sz="4" w:space="0" w:color="auto"/>
              <w:right w:val="single" w:sz="4" w:space="0" w:color="auto"/>
            </w:tcBorders>
            <w:shd w:val="clear" w:color="auto" w:fill="auto"/>
            <w:noWrap/>
            <w:vAlign w:val="center"/>
            <w:hideMark/>
          </w:tcPr>
          <w:p w:rsidR="00AC40FC" w:rsidRPr="00C9359A" w:rsidRDefault="00AC40FC" w:rsidP="00440B39">
            <w:pPr>
              <w:spacing w:after="0"/>
              <w:jc w:val="center"/>
              <w:rPr>
                <w:rFonts w:cs="Arial"/>
                <w:color w:val="000000"/>
                <w:szCs w:val="24"/>
              </w:rPr>
            </w:pPr>
            <w:r w:rsidRPr="00C9359A">
              <w:rPr>
                <w:rFonts w:cs="Arial"/>
                <w:color w:val="000000"/>
                <w:szCs w:val="24"/>
              </w:rPr>
              <w:t>3%</w:t>
            </w:r>
          </w:p>
        </w:tc>
      </w:tr>
      <w:tr w:rsidR="00AC40FC" w:rsidRPr="00240DA3" w:rsidTr="00440B39">
        <w:trPr>
          <w:trHeight w:val="300"/>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rsidR="00AC40FC" w:rsidRPr="00C9359A" w:rsidRDefault="00AC40FC" w:rsidP="00440B39">
            <w:pPr>
              <w:spacing w:after="0"/>
              <w:jc w:val="center"/>
              <w:rPr>
                <w:rFonts w:cs="Arial"/>
                <w:color w:val="000000"/>
                <w:szCs w:val="24"/>
              </w:rPr>
            </w:pPr>
            <w:r w:rsidRPr="00C9359A">
              <w:rPr>
                <w:rFonts w:cs="Arial"/>
                <w:color w:val="000000"/>
                <w:szCs w:val="24"/>
              </w:rPr>
              <w:t>Payment needed to stop termination</w:t>
            </w:r>
          </w:p>
        </w:tc>
        <w:tc>
          <w:tcPr>
            <w:tcW w:w="900" w:type="dxa"/>
            <w:tcBorders>
              <w:top w:val="nil"/>
              <w:left w:val="nil"/>
              <w:bottom w:val="single" w:sz="4" w:space="0" w:color="auto"/>
              <w:right w:val="single" w:sz="4" w:space="0" w:color="auto"/>
            </w:tcBorders>
            <w:shd w:val="clear" w:color="auto" w:fill="auto"/>
            <w:vAlign w:val="center"/>
            <w:hideMark/>
          </w:tcPr>
          <w:p w:rsidR="00AC40FC" w:rsidRPr="00C9359A" w:rsidRDefault="00AC40FC" w:rsidP="00440B39">
            <w:pPr>
              <w:spacing w:after="0"/>
              <w:jc w:val="center"/>
              <w:rPr>
                <w:rFonts w:cs="Arial"/>
                <w:color w:val="000000"/>
                <w:szCs w:val="24"/>
              </w:rPr>
            </w:pPr>
            <w:r w:rsidRPr="00C9359A">
              <w:rPr>
                <w:rFonts w:cs="Arial"/>
                <w:color w:val="000000"/>
                <w:szCs w:val="24"/>
              </w:rPr>
              <w:t>2</w:t>
            </w:r>
          </w:p>
        </w:tc>
        <w:tc>
          <w:tcPr>
            <w:tcW w:w="880" w:type="dxa"/>
            <w:tcBorders>
              <w:top w:val="nil"/>
              <w:left w:val="nil"/>
              <w:bottom w:val="single" w:sz="4" w:space="0" w:color="auto"/>
              <w:right w:val="single" w:sz="4" w:space="0" w:color="auto"/>
            </w:tcBorders>
            <w:shd w:val="clear" w:color="auto" w:fill="auto"/>
            <w:noWrap/>
            <w:vAlign w:val="center"/>
            <w:hideMark/>
          </w:tcPr>
          <w:p w:rsidR="00AC40FC" w:rsidRPr="00C9359A" w:rsidRDefault="00AC40FC" w:rsidP="00440B39">
            <w:pPr>
              <w:spacing w:after="0"/>
              <w:jc w:val="center"/>
              <w:rPr>
                <w:rFonts w:cs="Arial"/>
                <w:color w:val="000000"/>
                <w:szCs w:val="24"/>
              </w:rPr>
            </w:pPr>
            <w:r w:rsidRPr="00C9359A">
              <w:rPr>
                <w:rFonts w:cs="Arial"/>
                <w:color w:val="000000"/>
                <w:szCs w:val="24"/>
              </w:rPr>
              <w:t>1%</w:t>
            </w:r>
          </w:p>
        </w:tc>
      </w:tr>
      <w:tr w:rsidR="00AC40FC" w:rsidRPr="00240DA3" w:rsidTr="00440B39">
        <w:trPr>
          <w:trHeight w:val="300"/>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rsidR="00AC40FC" w:rsidRPr="00C9359A" w:rsidRDefault="00AC40FC" w:rsidP="00440B39">
            <w:pPr>
              <w:spacing w:after="0"/>
              <w:jc w:val="center"/>
              <w:rPr>
                <w:rFonts w:cs="Arial"/>
                <w:color w:val="000000"/>
                <w:szCs w:val="24"/>
              </w:rPr>
            </w:pPr>
            <w:r w:rsidRPr="00C9359A">
              <w:rPr>
                <w:rFonts w:cs="Arial"/>
                <w:color w:val="000000"/>
                <w:szCs w:val="24"/>
              </w:rPr>
              <w:t>Customer wanted overpayment refunded</w:t>
            </w:r>
          </w:p>
        </w:tc>
        <w:tc>
          <w:tcPr>
            <w:tcW w:w="900" w:type="dxa"/>
            <w:tcBorders>
              <w:top w:val="nil"/>
              <w:left w:val="nil"/>
              <w:bottom w:val="single" w:sz="4" w:space="0" w:color="auto"/>
              <w:right w:val="single" w:sz="4" w:space="0" w:color="auto"/>
            </w:tcBorders>
            <w:shd w:val="clear" w:color="auto" w:fill="auto"/>
            <w:vAlign w:val="center"/>
            <w:hideMark/>
          </w:tcPr>
          <w:p w:rsidR="00AC40FC" w:rsidRPr="00C9359A" w:rsidRDefault="00AC40FC" w:rsidP="00440B39">
            <w:pPr>
              <w:spacing w:after="0"/>
              <w:jc w:val="center"/>
              <w:rPr>
                <w:rFonts w:cs="Arial"/>
                <w:color w:val="000000"/>
                <w:szCs w:val="24"/>
              </w:rPr>
            </w:pPr>
            <w:r w:rsidRPr="00C9359A">
              <w:rPr>
                <w:rFonts w:cs="Arial"/>
                <w:color w:val="000000"/>
                <w:szCs w:val="24"/>
              </w:rPr>
              <w:t>2</w:t>
            </w:r>
          </w:p>
        </w:tc>
        <w:tc>
          <w:tcPr>
            <w:tcW w:w="880" w:type="dxa"/>
            <w:tcBorders>
              <w:top w:val="nil"/>
              <w:left w:val="nil"/>
              <w:bottom w:val="single" w:sz="4" w:space="0" w:color="auto"/>
              <w:right w:val="single" w:sz="4" w:space="0" w:color="auto"/>
            </w:tcBorders>
            <w:shd w:val="clear" w:color="auto" w:fill="auto"/>
            <w:noWrap/>
            <w:vAlign w:val="center"/>
            <w:hideMark/>
          </w:tcPr>
          <w:p w:rsidR="00AC40FC" w:rsidRPr="00C9359A" w:rsidRDefault="00AC40FC" w:rsidP="00440B39">
            <w:pPr>
              <w:spacing w:after="0"/>
              <w:jc w:val="center"/>
              <w:rPr>
                <w:rFonts w:cs="Arial"/>
                <w:color w:val="000000"/>
                <w:szCs w:val="24"/>
              </w:rPr>
            </w:pPr>
            <w:r w:rsidRPr="00C9359A">
              <w:rPr>
                <w:rFonts w:cs="Arial"/>
                <w:color w:val="000000"/>
                <w:szCs w:val="24"/>
              </w:rPr>
              <w:t>1%</w:t>
            </w:r>
          </w:p>
        </w:tc>
      </w:tr>
      <w:tr w:rsidR="00AC40FC" w:rsidRPr="00240DA3" w:rsidTr="00440B39">
        <w:trPr>
          <w:trHeight w:val="300"/>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rsidR="00AC40FC" w:rsidRPr="00C9359A" w:rsidRDefault="00AC40FC" w:rsidP="00440B39">
            <w:pPr>
              <w:spacing w:after="0"/>
              <w:jc w:val="center"/>
              <w:rPr>
                <w:rFonts w:cs="Arial"/>
                <w:color w:val="000000"/>
                <w:szCs w:val="24"/>
              </w:rPr>
            </w:pPr>
            <w:r w:rsidRPr="00C9359A">
              <w:rPr>
                <w:rFonts w:cs="Arial"/>
                <w:color w:val="000000"/>
                <w:szCs w:val="24"/>
              </w:rPr>
              <w:t>Unable to reach OnTrack agency</w:t>
            </w:r>
          </w:p>
        </w:tc>
        <w:tc>
          <w:tcPr>
            <w:tcW w:w="900" w:type="dxa"/>
            <w:tcBorders>
              <w:top w:val="nil"/>
              <w:left w:val="nil"/>
              <w:bottom w:val="single" w:sz="4" w:space="0" w:color="auto"/>
              <w:right w:val="single" w:sz="4" w:space="0" w:color="auto"/>
            </w:tcBorders>
            <w:shd w:val="clear" w:color="auto" w:fill="auto"/>
            <w:vAlign w:val="center"/>
            <w:hideMark/>
          </w:tcPr>
          <w:p w:rsidR="00AC40FC" w:rsidRPr="00C9359A" w:rsidRDefault="00AC40FC" w:rsidP="00440B39">
            <w:pPr>
              <w:spacing w:after="0"/>
              <w:jc w:val="center"/>
              <w:rPr>
                <w:rFonts w:cs="Arial"/>
                <w:color w:val="000000"/>
                <w:szCs w:val="24"/>
              </w:rPr>
            </w:pPr>
            <w:r w:rsidRPr="00C9359A">
              <w:rPr>
                <w:rFonts w:cs="Arial"/>
                <w:color w:val="000000"/>
                <w:szCs w:val="24"/>
              </w:rPr>
              <w:t>2</w:t>
            </w:r>
          </w:p>
        </w:tc>
        <w:tc>
          <w:tcPr>
            <w:tcW w:w="880" w:type="dxa"/>
            <w:tcBorders>
              <w:top w:val="nil"/>
              <w:left w:val="nil"/>
              <w:bottom w:val="single" w:sz="4" w:space="0" w:color="auto"/>
              <w:right w:val="single" w:sz="4" w:space="0" w:color="auto"/>
            </w:tcBorders>
            <w:shd w:val="clear" w:color="auto" w:fill="auto"/>
            <w:noWrap/>
            <w:vAlign w:val="center"/>
            <w:hideMark/>
          </w:tcPr>
          <w:p w:rsidR="00AC40FC" w:rsidRPr="00C9359A" w:rsidRDefault="00AC40FC" w:rsidP="00440B39">
            <w:pPr>
              <w:spacing w:after="0"/>
              <w:jc w:val="center"/>
              <w:rPr>
                <w:rFonts w:cs="Arial"/>
                <w:color w:val="000000"/>
                <w:szCs w:val="24"/>
              </w:rPr>
            </w:pPr>
            <w:r w:rsidRPr="00C9359A">
              <w:rPr>
                <w:rFonts w:cs="Arial"/>
                <w:color w:val="000000"/>
                <w:szCs w:val="24"/>
              </w:rPr>
              <w:t>1%</w:t>
            </w:r>
          </w:p>
        </w:tc>
      </w:tr>
      <w:tr w:rsidR="00AC40FC" w:rsidRPr="00240DA3" w:rsidTr="00440B39">
        <w:trPr>
          <w:trHeight w:val="300"/>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rsidR="00AC40FC" w:rsidRPr="00C9359A" w:rsidRDefault="00AC40FC" w:rsidP="00440B39">
            <w:pPr>
              <w:spacing w:after="0"/>
              <w:jc w:val="center"/>
              <w:rPr>
                <w:rFonts w:cs="Arial"/>
                <w:color w:val="000000"/>
                <w:szCs w:val="24"/>
              </w:rPr>
            </w:pPr>
            <w:r w:rsidRPr="00C9359A">
              <w:rPr>
                <w:rFonts w:cs="Arial"/>
                <w:color w:val="000000"/>
                <w:szCs w:val="24"/>
              </w:rPr>
              <w:t>PPL EU had no record of OnTrack application</w:t>
            </w:r>
          </w:p>
        </w:tc>
        <w:tc>
          <w:tcPr>
            <w:tcW w:w="900" w:type="dxa"/>
            <w:tcBorders>
              <w:top w:val="nil"/>
              <w:left w:val="nil"/>
              <w:bottom w:val="single" w:sz="4" w:space="0" w:color="auto"/>
              <w:right w:val="single" w:sz="4" w:space="0" w:color="auto"/>
            </w:tcBorders>
            <w:shd w:val="clear" w:color="auto" w:fill="auto"/>
            <w:vAlign w:val="center"/>
            <w:hideMark/>
          </w:tcPr>
          <w:p w:rsidR="00AC40FC" w:rsidRPr="00C9359A" w:rsidRDefault="00AC40FC" w:rsidP="00440B39">
            <w:pPr>
              <w:spacing w:after="0"/>
              <w:jc w:val="center"/>
              <w:rPr>
                <w:rFonts w:cs="Arial"/>
                <w:color w:val="000000"/>
                <w:szCs w:val="24"/>
              </w:rPr>
            </w:pPr>
            <w:r w:rsidRPr="00C9359A">
              <w:rPr>
                <w:rFonts w:cs="Arial"/>
                <w:color w:val="000000"/>
                <w:szCs w:val="24"/>
              </w:rPr>
              <w:t>1</w:t>
            </w:r>
          </w:p>
        </w:tc>
        <w:tc>
          <w:tcPr>
            <w:tcW w:w="880" w:type="dxa"/>
            <w:tcBorders>
              <w:top w:val="nil"/>
              <w:left w:val="nil"/>
              <w:bottom w:val="single" w:sz="4" w:space="0" w:color="auto"/>
              <w:right w:val="single" w:sz="4" w:space="0" w:color="auto"/>
            </w:tcBorders>
            <w:shd w:val="clear" w:color="auto" w:fill="auto"/>
            <w:noWrap/>
            <w:vAlign w:val="center"/>
            <w:hideMark/>
          </w:tcPr>
          <w:p w:rsidR="00AC40FC" w:rsidRPr="00C9359A" w:rsidRDefault="00AC40FC" w:rsidP="00440B39">
            <w:pPr>
              <w:spacing w:after="0"/>
              <w:jc w:val="center"/>
              <w:rPr>
                <w:rFonts w:cs="Arial"/>
                <w:color w:val="000000"/>
                <w:szCs w:val="24"/>
              </w:rPr>
            </w:pPr>
            <w:r w:rsidRPr="00C9359A">
              <w:rPr>
                <w:rFonts w:cs="Arial"/>
                <w:color w:val="000000"/>
                <w:szCs w:val="24"/>
              </w:rPr>
              <w:t>0%</w:t>
            </w:r>
          </w:p>
        </w:tc>
      </w:tr>
      <w:tr w:rsidR="00AC40FC" w:rsidRPr="00240DA3" w:rsidTr="00440B39">
        <w:trPr>
          <w:trHeight w:val="300"/>
          <w:jc w:val="center"/>
        </w:trPr>
        <w:tc>
          <w:tcPr>
            <w:tcW w:w="606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C40FC" w:rsidRPr="00C9359A" w:rsidRDefault="00AC40FC" w:rsidP="00440B39">
            <w:pPr>
              <w:spacing w:after="0"/>
              <w:jc w:val="left"/>
              <w:rPr>
                <w:rFonts w:cs="Arial"/>
                <w:color w:val="000000"/>
                <w:szCs w:val="24"/>
              </w:rPr>
            </w:pPr>
            <w:r w:rsidRPr="00C9359A">
              <w:rPr>
                <w:rFonts w:cs="Arial"/>
                <w:color w:val="000000"/>
                <w:szCs w:val="24"/>
              </w:rPr>
              <w:t>Source:  DN 14-177 and V&amp;A calculation</w:t>
            </w:r>
          </w:p>
        </w:tc>
      </w:tr>
    </w:tbl>
    <w:p w:rsidR="00AC40FC" w:rsidRDefault="00AC40FC" w:rsidP="00440B39">
      <w:pPr>
        <w:pStyle w:val="Normal-aftertable"/>
      </w:pPr>
      <w:r w:rsidRPr="00F81C6F">
        <w:t xml:space="preserve">The four largest complaint types </w:t>
      </w:r>
      <w:r>
        <w:t xml:space="preserve">(Application Delay, Reinstatement Amount, Not Eligible, and Shortfall Removal) </w:t>
      </w:r>
      <w:r w:rsidRPr="00F81C6F">
        <w:t xml:space="preserve">account for </w:t>
      </w:r>
      <w:r>
        <w:t>89%</w:t>
      </w:r>
      <w:r w:rsidRPr="00F81C6F">
        <w:t xml:space="preserve"> of total PUC informal O</w:t>
      </w:r>
      <w:r>
        <w:t>n</w:t>
      </w:r>
      <w:r w:rsidRPr="00F81C6F">
        <w:t>T</w:t>
      </w:r>
      <w:r>
        <w:t>rack</w:t>
      </w:r>
      <w:r w:rsidRPr="00F81C6F">
        <w:t xml:space="preserve"> </w:t>
      </w:r>
      <w:r>
        <w:t>complaints.  The largest type (35%), Shortfall Removal, is a function of the OnTrack continuing eligibility requirements, and does not represent an actionable improvement or correction opportunity for PPL EU.</w:t>
      </w:r>
    </w:p>
    <w:p w:rsidR="00AC40FC" w:rsidRDefault="00AC40FC" w:rsidP="00440B39">
      <w:pPr>
        <w:pStyle w:val="Normal-aftertable"/>
      </w:pPr>
      <w:r>
        <w:t>The second largest (31%), “Application Delay,” is most susceptible to improvement.  Application delays, to the extent that they are a consequence of enrollment backlogs, are the most controllable type of complaint by actions that could be taken by PPL EU.</w:t>
      </w:r>
    </w:p>
    <w:p w:rsidR="00AC40FC" w:rsidRDefault="00AC40FC" w:rsidP="00440B39">
      <w:r>
        <w:t xml:space="preserve">Enrollment backlog information is not tracked by the Customer Services Monthly Performance Indicators Report, but significant enrollment backlogs have occurred that trigger more than the typical number of complaints.  One notable and significant example happened in late 2014 that caused an increase in complaints to the PUC from the Harrisburg area.  PPL EU had introduced a new computer server for all of the OnTrack agencies.  However, the OnTrack agency in Harrisburg had difficulty in maintaining connectivity with the server.  </w:t>
      </w:r>
    </w:p>
    <w:p w:rsidR="00AC40FC" w:rsidRPr="00233B2F" w:rsidRDefault="00AC40FC" w:rsidP="00440B39">
      <w:r>
        <w:t>To handle the backlog of applications in the Harrisburg area, PPL EU re-distributed the work to other agencies.  The OnTrack agency in Lancaster processed about 600 applications and the agency in Selinsgrove handled about 175 applications.  This effort helped to mitigate delays in the processing of OnTrack applications.  PPL EU worked with the Harrisburg agency and eventually discovered and corrected the connectivity problem.</w:t>
      </w:r>
    </w:p>
    <w:p w:rsidR="00AC40FC" w:rsidRDefault="00AC40FC" w:rsidP="00BB665B">
      <w:pPr>
        <w:pStyle w:val="Findings"/>
        <w:keepNext/>
      </w:pPr>
      <w:r>
        <w:lastRenderedPageBreak/>
        <w:t>Neither the internal audit function nor the external auditor has performed a comprehensive operational or compliance audit of the OnTrack program.</w:t>
      </w:r>
    </w:p>
    <w:p w:rsidR="00AC40FC" w:rsidRDefault="00AC40FC" w:rsidP="00440B39">
      <w:r>
        <w:t xml:space="preserve">The PPL SC internal audit function has not audited any aspect of the OnTrack program. Also, the external auditor has said that:  </w:t>
      </w:r>
    </w:p>
    <w:p w:rsidR="00AC40FC" w:rsidRDefault="00AC40FC" w:rsidP="00440B39">
      <w:pPr>
        <w:pStyle w:val="Quotation-Sage"/>
        <w:rPr>
          <w:i w:val="0"/>
        </w:rPr>
      </w:pPr>
      <w:r w:rsidRPr="00D950B7">
        <w:t>We did not perform audit procedures to test your OnTrack program’s compliance with all PUC guidelines. We requested data related to OnTrack customers as a part of our accounts receivable and regulatory asset/liability account balance and internal control testing procedures for PPL Electric Utilities as a whole because transactions with OnTrack customers impact these account balances in the Company’s financial statements and revenue processes. These audit procedures were performed as a part of our financial statement and internal control of financial reporting audit engagements for PPL Corp.</w:t>
      </w:r>
      <w:r>
        <w:rPr>
          <w:i w:val="0"/>
        </w:rPr>
        <w:t xml:space="preserve"> </w:t>
      </w:r>
    </w:p>
    <w:p w:rsidR="00AC40FC" w:rsidRDefault="00AC40FC" w:rsidP="0049591B">
      <w:pPr>
        <w:pStyle w:val="Findings"/>
      </w:pPr>
      <w:r>
        <w:t>Customer Services does not explicitly measure the shorter- and longer-term net effects of the OnTrack program on customer payment behaviors and the incremental effects on total accounts receivable, uncollectible expenses, and write-offs.</w:t>
      </w:r>
    </w:p>
    <w:p w:rsidR="00AC40FC" w:rsidRDefault="00AC40FC" w:rsidP="00440B39">
      <w:pPr>
        <w:pStyle w:val="Normal-aftertable"/>
      </w:pPr>
      <w:r>
        <w:t>When asked if PPL EU measures the impact of OnTrack on uncollectible expenses, its   response supplied the following:</w:t>
      </w:r>
    </w:p>
    <w:p w:rsidR="00AC40FC" w:rsidRDefault="00AC40FC" w:rsidP="002B3172">
      <w:pPr>
        <w:pStyle w:val="Caption"/>
      </w:pPr>
      <w:bookmarkStart w:id="189" w:name="_Toc462648440"/>
      <w:bookmarkStart w:id="190" w:name="_Toc464553062"/>
      <w:r>
        <w:t xml:space="preserve">Exhibit </w:t>
      </w:r>
      <w:fldSimple w:instr=" STYLEREF 1 \s ">
        <w:r w:rsidR="00A24205">
          <w:rPr>
            <w:noProof/>
          </w:rPr>
          <w:t>X</w:t>
        </w:r>
      </w:fldSimple>
      <w:r w:rsidR="00264A1B">
        <w:noBreakHyphen/>
      </w:r>
      <w:fldSimple w:instr=" SEQ Exhibit \* ARABIC \s 1 ">
        <w:r w:rsidR="00A24205">
          <w:rPr>
            <w:noProof/>
          </w:rPr>
          <w:t>23</w:t>
        </w:r>
      </w:fldSimple>
      <w:r>
        <w:br/>
        <w:t>Past-Due Accounts Receivable Recovered for OnTrack Participants</w:t>
      </w:r>
      <w:bookmarkEnd w:id="189"/>
      <w:bookmarkEnd w:id="190"/>
    </w:p>
    <w:p w:rsidR="00AC40FC" w:rsidRDefault="00AC40FC" w:rsidP="00440B39">
      <w:pPr>
        <w:pStyle w:val="Normal-aftertable"/>
        <w:jc w:val="center"/>
      </w:pPr>
      <w:r>
        <w:rPr>
          <w:noProof/>
        </w:rPr>
        <w:drawing>
          <wp:inline distT="0" distB="0" distL="0" distR="0">
            <wp:extent cx="3455737" cy="1679073"/>
            <wp:effectExtent l="0" t="0" r="11430" b="16510"/>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bl>
      <w:tblPr>
        <w:tblW w:w="8960" w:type="dxa"/>
        <w:jc w:val="center"/>
        <w:tblLook w:val="04A0"/>
      </w:tblPr>
      <w:tblGrid>
        <w:gridCol w:w="1197"/>
        <w:gridCol w:w="1300"/>
        <w:gridCol w:w="1300"/>
        <w:gridCol w:w="1300"/>
        <w:gridCol w:w="1300"/>
        <w:gridCol w:w="1300"/>
        <w:gridCol w:w="1263"/>
      </w:tblGrid>
      <w:tr w:rsidR="00AC40FC" w:rsidRPr="00742B8A" w:rsidTr="00786363">
        <w:trPr>
          <w:cantSplit/>
          <w:trHeight w:val="340"/>
          <w:tblHeader/>
          <w:jc w:val="center"/>
        </w:trPr>
        <w:tc>
          <w:tcPr>
            <w:tcW w:w="1160" w:type="dxa"/>
            <w:tcBorders>
              <w:top w:val="single" w:sz="8" w:space="0" w:color="auto"/>
              <w:left w:val="single" w:sz="8" w:space="0" w:color="auto"/>
              <w:bottom w:val="single" w:sz="8" w:space="0" w:color="auto"/>
              <w:right w:val="single" w:sz="8" w:space="0" w:color="auto"/>
            </w:tcBorders>
            <w:shd w:val="clear" w:color="auto" w:fill="A5CD7E"/>
            <w:vAlign w:val="center"/>
            <w:hideMark/>
          </w:tcPr>
          <w:p w:rsidR="00AC40FC" w:rsidRPr="00742B8A" w:rsidRDefault="00AC40FC" w:rsidP="00521E7D">
            <w:pPr>
              <w:spacing w:before="80" w:after="80"/>
              <w:jc w:val="center"/>
              <w:rPr>
                <w:rFonts w:cs="Arial"/>
                <w:b/>
                <w:bCs/>
                <w:color w:val="000000"/>
                <w:sz w:val="18"/>
                <w:szCs w:val="18"/>
              </w:rPr>
            </w:pPr>
            <w:r w:rsidRPr="00742B8A">
              <w:rPr>
                <w:rFonts w:cs="Arial"/>
                <w:b/>
                <w:bCs/>
                <w:color w:val="000000"/>
                <w:sz w:val="18"/>
                <w:szCs w:val="18"/>
              </w:rPr>
              <w:t>Factor</w:t>
            </w:r>
          </w:p>
        </w:tc>
        <w:tc>
          <w:tcPr>
            <w:tcW w:w="1300" w:type="dxa"/>
            <w:tcBorders>
              <w:top w:val="single" w:sz="8" w:space="0" w:color="auto"/>
              <w:left w:val="nil"/>
              <w:bottom w:val="single" w:sz="8" w:space="0" w:color="auto"/>
              <w:right w:val="single" w:sz="8" w:space="0" w:color="auto"/>
            </w:tcBorders>
            <w:shd w:val="clear" w:color="auto" w:fill="A5CD7E"/>
            <w:noWrap/>
            <w:vAlign w:val="center"/>
            <w:hideMark/>
          </w:tcPr>
          <w:p w:rsidR="00AC40FC" w:rsidRPr="00742B8A" w:rsidRDefault="00AC40FC" w:rsidP="00521E7D">
            <w:pPr>
              <w:spacing w:before="80" w:after="80"/>
              <w:jc w:val="center"/>
              <w:rPr>
                <w:rFonts w:cs="Arial"/>
                <w:b/>
                <w:bCs/>
                <w:color w:val="000000"/>
                <w:sz w:val="18"/>
                <w:szCs w:val="18"/>
              </w:rPr>
            </w:pPr>
            <w:r w:rsidRPr="00742B8A">
              <w:rPr>
                <w:rFonts w:cs="Arial"/>
                <w:b/>
                <w:bCs/>
                <w:color w:val="000000"/>
                <w:sz w:val="18"/>
                <w:szCs w:val="18"/>
              </w:rPr>
              <w:t>2010</w:t>
            </w:r>
          </w:p>
        </w:tc>
        <w:tc>
          <w:tcPr>
            <w:tcW w:w="1300" w:type="dxa"/>
            <w:tcBorders>
              <w:top w:val="single" w:sz="8" w:space="0" w:color="auto"/>
              <w:left w:val="nil"/>
              <w:bottom w:val="single" w:sz="8" w:space="0" w:color="auto"/>
              <w:right w:val="single" w:sz="8" w:space="0" w:color="auto"/>
            </w:tcBorders>
            <w:shd w:val="clear" w:color="auto" w:fill="A5CD7E"/>
            <w:noWrap/>
            <w:vAlign w:val="center"/>
            <w:hideMark/>
          </w:tcPr>
          <w:p w:rsidR="00AC40FC" w:rsidRPr="00742B8A" w:rsidRDefault="00AC40FC" w:rsidP="00521E7D">
            <w:pPr>
              <w:spacing w:before="80" w:after="80"/>
              <w:jc w:val="center"/>
              <w:rPr>
                <w:rFonts w:cs="Arial"/>
                <w:b/>
                <w:bCs/>
                <w:color w:val="000000"/>
                <w:sz w:val="18"/>
                <w:szCs w:val="18"/>
              </w:rPr>
            </w:pPr>
            <w:r w:rsidRPr="00742B8A">
              <w:rPr>
                <w:rFonts w:cs="Arial"/>
                <w:b/>
                <w:bCs/>
                <w:color w:val="000000"/>
                <w:sz w:val="18"/>
                <w:szCs w:val="18"/>
              </w:rPr>
              <w:t>2011</w:t>
            </w:r>
          </w:p>
        </w:tc>
        <w:tc>
          <w:tcPr>
            <w:tcW w:w="1300" w:type="dxa"/>
            <w:tcBorders>
              <w:top w:val="single" w:sz="8" w:space="0" w:color="auto"/>
              <w:left w:val="nil"/>
              <w:bottom w:val="single" w:sz="8" w:space="0" w:color="auto"/>
              <w:right w:val="single" w:sz="8" w:space="0" w:color="auto"/>
            </w:tcBorders>
            <w:shd w:val="clear" w:color="auto" w:fill="A5CD7E"/>
            <w:noWrap/>
            <w:vAlign w:val="center"/>
            <w:hideMark/>
          </w:tcPr>
          <w:p w:rsidR="00AC40FC" w:rsidRPr="00742B8A" w:rsidRDefault="00AC40FC" w:rsidP="00521E7D">
            <w:pPr>
              <w:spacing w:before="80" w:after="80"/>
              <w:jc w:val="center"/>
              <w:rPr>
                <w:rFonts w:cs="Arial"/>
                <w:b/>
                <w:bCs/>
                <w:color w:val="000000"/>
                <w:sz w:val="18"/>
                <w:szCs w:val="18"/>
              </w:rPr>
            </w:pPr>
            <w:r w:rsidRPr="00742B8A">
              <w:rPr>
                <w:rFonts w:cs="Arial"/>
                <w:b/>
                <w:bCs/>
                <w:color w:val="000000"/>
                <w:sz w:val="18"/>
                <w:szCs w:val="18"/>
              </w:rPr>
              <w:t>2012</w:t>
            </w:r>
          </w:p>
        </w:tc>
        <w:tc>
          <w:tcPr>
            <w:tcW w:w="1300" w:type="dxa"/>
            <w:tcBorders>
              <w:top w:val="single" w:sz="8" w:space="0" w:color="auto"/>
              <w:left w:val="nil"/>
              <w:bottom w:val="single" w:sz="8" w:space="0" w:color="auto"/>
              <w:right w:val="single" w:sz="8" w:space="0" w:color="auto"/>
            </w:tcBorders>
            <w:shd w:val="clear" w:color="auto" w:fill="A5CD7E"/>
            <w:noWrap/>
            <w:vAlign w:val="center"/>
            <w:hideMark/>
          </w:tcPr>
          <w:p w:rsidR="00AC40FC" w:rsidRPr="00742B8A" w:rsidRDefault="00AC40FC" w:rsidP="00521E7D">
            <w:pPr>
              <w:spacing w:before="80" w:after="80"/>
              <w:jc w:val="center"/>
              <w:rPr>
                <w:rFonts w:cs="Arial"/>
                <w:b/>
                <w:bCs/>
                <w:color w:val="000000"/>
                <w:sz w:val="18"/>
                <w:szCs w:val="18"/>
              </w:rPr>
            </w:pPr>
            <w:r w:rsidRPr="00742B8A">
              <w:rPr>
                <w:rFonts w:cs="Arial"/>
                <w:b/>
                <w:bCs/>
                <w:color w:val="000000"/>
                <w:sz w:val="18"/>
                <w:szCs w:val="18"/>
              </w:rPr>
              <w:t>2013</w:t>
            </w:r>
          </w:p>
        </w:tc>
        <w:tc>
          <w:tcPr>
            <w:tcW w:w="1300" w:type="dxa"/>
            <w:tcBorders>
              <w:top w:val="single" w:sz="8" w:space="0" w:color="auto"/>
              <w:left w:val="nil"/>
              <w:bottom w:val="single" w:sz="8" w:space="0" w:color="auto"/>
              <w:right w:val="single" w:sz="8" w:space="0" w:color="auto"/>
            </w:tcBorders>
            <w:shd w:val="clear" w:color="auto" w:fill="A5CD7E"/>
            <w:noWrap/>
            <w:vAlign w:val="center"/>
            <w:hideMark/>
          </w:tcPr>
          <w:p w:rsidR="00AC40FC" w:rsidRPr="00742B8A" w:rsidRDefault="00AC40FC" w:rsidP="00521E7D">
            <w:pPr>
              <w:spacing w:before="80" w:after="80"/>
              <w:jc w:val="center"/>
              <w:rPr>
                <w:rFonts w:cs="Arial"/>
                <w:b/>
                <w:bCs/>
                <w:color w:val="000000"/>
                <w:sz w:val="18"/>
                <w:szCs w:val="18"/>
              </w:rPr>
            </w:pPr>
            <w:r w:rsidRPr="00742B8A">
              <w:rPr>
                <w:rFonts w:cs="Arial"/>
                <w:b/>
                <w:bCs/>
                <w:color w:val="000000"/>
                <w:sz w:val="18"/>
                <w:szCs w:val="18"/>
              </w:rPr>
              <w:t>2014</w:t>
            </w:r>
          </w:p>
        </w:tc>
        <w:tc>
          <w:tcPr>
            <w:tcW w:w="1300" w:type="dxa"/>
            <w:tcBorders>
              <w:top w:val="single" w:sz="8" w:space="0" w:color="auto"/>
              <w:left w:val="nil"/>
              <w:bottom w:val="single" w:sz="8" w:space="0" w:color="auto"/>
              <w:right w:val="single" w:sz="8" w:space="0" w:color="auto"/>
            </w:tcBorders>
            <w:shd w:val="clear" w:color="auto" w:fill="A5CD7E"/>
            <w:vAlign w:val="center"/>
            <w:hideMark/>
          </w:tcPr>
          <w:p w:rsidR="00AC40FC" w:rsidRPr="00742B8A" w:rsidRDefault="00AC40FC" w:rsidP="00521E7D">
            <w:pPr>
              <w:spacing w:before="80" w:after="80"/>
              <w:jc w:val="center"/>
              <w:rPr>
                <w:rFonts w:cs="Arial"/>
                <w:b/>
                <w:bCs/>
                <w:color w:val="000000"/>
                <w:sz w:val="18"/>
                <w:szCs w:val="18"/>
              </w:rPr>
            </w:pPr>
            <w:r w:rsidRPr="00742B8A">
              <w:rPr>
                <w:rFonts w:cs="Arial"/>
                <w:b/>
                <w:bCs/>
                <w:color w:val="000000"/>
                <w:sz w:val="18"/>
                <w:szCs w:val="18"/>
              </w:rPr>
              <w:t>2015</w:t>
            </w:r>
          </w:p>
        </w:tc>
      </w:tr>
      <w:tr w:rsidR="00AC40FC" w:rsidRPr="00742B8A" w:rsidTr="00440B39">
        <w:trPr>
          <w:trHeight w:val="500"/>
          <w:jc w:val="center"/>
        </w:trPr>
        <w:tc>
          <w:tcPr>
            <w:tcW w:w="1160" w:type="dxa"/>
            <w:tcBorders>
              <w:top w:val="nil"/>
              <w:left w:val="single" w:sz="8" w:space="0" w:color="auto"/>
              <w:bottom w:val="single" w:sz="8" w:space="0" w:color="auto"/>
              <w:right w:val="single" w:sz="8" w:space="0" w:color="auto"/>
            </w:tcBorders>
            <w:shd w:val="clear" w:color="auto" w:fill="auto"/>
            <w:vAlign w:val="center"/>
            <w:hideMark/>
          </w:tcPr>
          <w:p w:rsidR="00AC40FC" w:rsidRPr="00742B8A" w:rsidRDefault="00AC40FC" w:rsidP="00440B39">
            <w:pPr>
              <w:spacing w:after="0"/>
              <w:jc w:val="center"/>
              <w:rPr>
                <w:rFonts w:cs="Arial"/>
                <w:color w:val="000000"/>
                <w:sz w:val="18"/>
                <w:szCs w:val="18"/>
              </w:rPr>
            </w:pPr>
            <w:r w:rsidRPr="00742B8A">
              <w:rPr>
                <w:rFonts w:cs="Arial"/>
                <w:color w:val="000000"/>
                <w:sz w:val="18"/>
                <w:szCs w:val="18"/>
              </w:rPr>
              <w:t>Arrearage Forgiveness</w:t>
            </w:r>
          </w:p>
        </w:tc>
        <w:tc>
          <w:tcPr>
            <w:tcW w:w="1300" w:type="dxa"/>
            <w:tcBorders>
              <w:top w:val="nil"/>
              <w:left w:val="nil"/>
              <w:bottom w:val="single" w:sz="8" w:space="0" w:color="auto"/>
              <w:right w:val="single" w:sz="8" w:space="0" w:color="auto"/>
            </w:tcBorders>
            <w:shd w:val="clear" w:color="auto" w:fill="auto"/>
            <w:noWrap/>
            <w:vAlign w:val="center"/>
            <w:hideMark/>
          </w:tcPr>
          <w:p w:rsidR="00AC40FC" w:rsidRPr="00742B8A" w:rsidRDefault="00AC40FC" w:rsidP="00440B39">
            <w:pPr>
              <w:spacing w:after="0"/>
              <w:jc w:val="center"/>
              <w:rPr>
                <w:rFonts w:cs="Arial"/>
                <w:color w:val="000000"/>
                <w:sz w:val="18"/>
                <w:szCs w:val="18"/>
              </w:rPr>
            </w:pPr>
            <w:r w:rsidRPr="00742B8A">
              <w:rPr>
                <w:rFonts w:cs="Arial"/>
                <w:color w:val="000000"/>
                <w:sz w:val="18"/>
                <w:szCs w:val="18"/>
              </w:rPr>
              <w:t xml:space="preserve">$10,340,863 </w:t>
            </w:r>
          </w:p>
        </w:tc>
        <w:tc>
          <w:tcPr>
            <w:tcW w:w="1300" w:type="dxa"/>
            <w:tcBorders>
              <w:top w:val="nil"/>
              <w:left w:val="nil"/>
              <w:bottom w:val="single" w:sz="8" w:space="0" w:color="auto"/>
              <w:right w:val="single" w:sz="8" w:space="0" w:color="auto"/>
            </w:tcBorders>
            <w:shd w:val="clear" w:color="auto" w:fill="auto"/>
            <w:noWrap/>
            <w:vAlign w:val="center"/>
            <w:hideMark/>
          </w:tcPr>
          <w:p w:rsidR="00AC40FC" w:rsidRPr="00742B8A" w:rsidRDefault="00AC40FC" w:rsidP="00440B39">
            <w:pPr>
              <w:spacing w:after="0"/>
              <w:jc w:val="center"/>
              <w:rPr>
                <w:rFonts w:cs="Arial"/>
                <w:color w:val="000000"/>
                <w:sz w:val="18"/>
                <w:szCs w:val="18"/>
              </w:rPr>
            </w:pPr>
            <w:r w:rsidRPr="00742B8A">
              <w:rPr>
                <w:rFonts w:cs="Arial"/>
                <w:color w:val="000000"/>
                <w:sz w:val="18"/>
                <w:szCs w:val="18"/>
              </w:rPr>
              <w:t xml:space="preserve">$14,881,769 </w:t>
            </w:r>
          </w:p>
        </w:tc>
        <w:tc>
          <w:tcPr>
            <w:tcW w:w="1300" w:type="dxa"/>
            <w:tcBorders>
              <w:top w:val="nil"/>
              <w:left w:val="nil"/>
              <w:bottom w:val="single" w:sz="8" w:space="0" w:color="auto"/>
              <w:right w:val="single" w:sz="8" w:space="0" w:color="auto"/>
            </w:tcBorders>
            <w:shd w:val="clear" w:color="auto" w:fill="auto"/>
            <w:noWrap/>
            <w:vAlign w:val="center"/>
            <w:hideMark/>
          </w:tcPr>
          <w:p w:rsidR="00AC40FC" w:rsidRPr="00742B8A" w:rsidRDefault="00AC40FC" w:rsidP="00440B39">
            <w:pPr>
              <w:spacing w:after="0"/>
              <w:jc w:val="center"/>
              <w:rPr>
                <w:rFonts w:cs="Arial"/>
                <w:color w:val="000000"/>
                <w:sz w:val="18"/>
                <w:szCs w:val="18"/>
              </w:rPr>
            </w:pPr>
            <w:r w:rsidRPr="00742B8A">
              <w:rPr>
                <w:rFonts w:cs="Arial"/>
                <w:color w:val="000000"/>
                <w:sz w:val="18"/>
                <w:szCs w:val="18"/>
              </w:rPr>
              <w:t xml:space="preserve">$16,906,808 </w:t>
            </w:r>
          </w:p>
        </w:tc>
        <w:tc>
          <w:tcPr>
            <w:tcW w:w="1300" w:type="dxa"/>
            <w:tcBorders>
              <w:top w:val="nil"/>
              <w:left w:val="nil"/>
              <w:bottom w:val="single" w:sz="8" w:space="0" w:color="auto"/>
              <w:right w:val="single" w:sz="8" w:space="0" w:color="auto"/>
            </w:tcBorders>
            <w:shd w:val="clear" w:color="auto" w:fill="auto"/>
            <w:noWrap/>
            <w:vAlign w:val="center"/>
            <w:hideMark/>
          </w:tcPr>
          <w:p w:rsidR="00AC40FC" w:rsidRPr="00742B8A" w:rsidRDefault="00AC40FC" w:rsidP="00440B39">
            <w:pPr>
              <w:spacing w:after="0"/>
              <w:jc w:val="center"/>
              <w:rPr>
                <w:rFonts w:cs="Arial"/>
                <w:color w:val="000000"/>
                <w:sz w:val="18"/>
                <w:szCs w:val="18"/>
              </w:rPr>
            </w:pPr>
            <w:r w:rsidRPr="00742B8A">
              <w:rPr>
                <w:rFonts w:cs="Arial"/>
                <w:color w:val="000000"/>
                <w:sz w:val="18"/>
                <w:szCs w:val="18"/>
              </w:rPr>
              <w:t xml:space="preserve">$16,473,194 </w:t>
            </w:r>
          </w:p>
        </w:tc>
        <w:tc>
          <w:tcPr>
            <w:tcW w:w="1300" w:type="dxa"/>
            <w:tcBorders>
              <w:top w:val="nil"/>
              <w:left w:val="nil"/>
              <w:bottom w:val="single" w:sz="8" w:space="0" w:color="auto"/>
              <w:right w:val="single" w:sz="8" w:space="0" w:color="auto"/>
            </w:tcBorders>
            <w:shd w:val="clear" w:color="auto" w:fill="auto"/>
            <w:noWrap/>
            <w:vAlign w:val="center"/>
            <w:hideMark/>
          </w:tcPr>
          <w:p w:rsidR="00AC40FC" w:rsidRPr="00742B8A" w:rsidRDefault="00AC40FC" w:rsidP="00440B39">
            <w:pPr>
              <w:spacing w:after="0"/>
              <w:jc w:val="center"/>
              <w:rPr>
                <w:rFonts w:cs="Arial"/>
                <w:color w:val="000000"/>
                <w:sz w:val="18"/>
                <w:szCs w:val="18"/>
              </w:rPr>
            </w:pPr>
            <w:r w:rsidRPr="00742B8A">
              <w:rPr>
                <w:rFonts w:cs="Arial"/>
                <w:color w:val="000000"/>
                <w:sz w:val="18"/>
                <w:szCs w:val="18"/>
              </w:rPr>
              <w:t xml:space="preserve">$19,643,249 </w:t>
            </w:r>
          </w:p>
        </w:tc>
        <w:tc>
          <w:tcPr>
            <w:tcW w:w="1300" w:type="dxa"/>
            <w:tcBorders>
              <w:top w:val="nil"/>
              <w:left w:val="nil"/>
              <w:bottom w:val="single" w:sz="8" w:space="0" w:color="auto"/>
              <w:right w:val="single" w:sz="8" w:space="0" w:color="auto"/>
            </w:tcBorders>
            <w:shd w:val="clear" w:color="auto" w:fill="auto"/>
            <w:vAlign w:val="center"/>
            <w:hideMark/>
          </w:tcPr>
          <w:p w:rsidR="00AC40FC" w:rsidRPr="00742B8A" w:rsidRDefault="00AC40FC" w:rsidP="00440B39">
            <w:pPr>
              <w:spacing w:after="0"/>
              <w:jc w:val="center"/>
              <w:rPr>
                <w:rFonts w:cs="Arial"/>
                <w:color w:val="000000"/>
                <w:sz w:val="18"/>
                <w:szCs w:val="18"/>
              </w:rPr>
            </w:pPr>
            <w:r w:rsidRPr="00742B8A">
              <w:rPr>
                <w:rFonts w:cs="Arial"/>
                <w:color w:val="000000"/>
                <w:sz w:val="18"/>
                <w:szCs w:val="18"/>
              </w:rPr>
              <w:t xml:space="preserve">$26,878,833 </w:t>
            </w:r>
          </w:p>
        </w:tc>
      </w:tr>
      <w:tr w:rsidR="00AC40FC" w:rsidRPr="00742B8A" w:rsidTr="00215673">
        <w:trPr>
          <w:trHeight w:val="223"/>
          <w:jc w:val="center"/>
        </w:trPr>
        <w:tc>
          <w:tcPr>
            <w:tcW w:w="896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C40FC" w:rsidRPr="00742B8A" w:rsidRDefault="00AC40FC" w:rsidP="00440B39">
            <w:pPr>
              <w:spacing w:after="0"/>
              <w:jc w:val="left"/>
              <w:rPr>
                <w:rFonts w:cs="Arial"/>
                <w:color w:val="000000"/>
                <w:sz w:val="18"/>
                <w:szCs w:val="18"/>
              </w:rPr>
            </w:pPr>
            <w:r w:rsidRPr="00742B8A">
              <w:rPr>
                <w:rFonts w:cs="Arial"/>
                <w:color w:val="000000"/>
                <w:sz w:val="18"/>
                <w:szCs w:val="18"/>
              </w:rPr>
              <w:t>Source</w:t>
            </w:r>
            <w:r>
              <w:rPr>
                <w:rFonts w:cs="Arial"/>
                <w:color w:val="000000"/>
                <w:sz w:val="18"/>
                <w:szCs w:val="18"/>
              </w:rPr>
              <w:t>s</w:t>
            </w:r>
            <w:r w:rsidRPr="00742B8A">
              <w:rPr>
                <w:rFonts w:cs="Arial"/>
                <w:color w:val="000000"/>
                <w:sz w:val="18"/>
                <w:szCs w:val="18"/>
              </w:rPr>
              <w:t>:  DN 14</w:t>
            </w:r>
            <w:r>
              <w:rPr>
                <w:rFonts w:cs="Arial"/>
                <w:color w:val="000000"/>
                <w:sz w:val="18"/>
                <w:szCs w:val="18"/>
              </w:rPr>
              <w:t>-149; PPL EU edits</w:t>
            </w:r>
          </w:p>
        </w:tc>
      </w:tr>
    </w:tbl>
    <w:p w:rsidR="00AC40FC" w:rsidRDefault="00AC40FC" w:rsidP="00440B39">
      <w:pPr>
        <w:pStyle w:val="Normal-aftertable"/>
      </w:pPr>
      <w:r w:rsidRPr="00A22957">
        <w:t xml:space="preserve">The </w:t>
      </w:r>
      <w:r>
        <w:t xml:space="preserve">facts show </w:t>
      </w:r>
      <w:r w:rsidRPr="00A22957">
        <w:t xml:space="preserve">the amount of past due balances that PPL </w:t>
      </w:r>
      <w:r>
        <w:t xml:space="preserve">EU </w:t>
      </w:r>
      <w:r w:rsidRPr="00A22957">
        <w:t>pulled from traditional accounts receivable and recovered through the Universal Service Rider for OnTrack participants.</w:t>
      </w:r>
      <w:r>
        <w:t xml:space="preserve">  The facts merely show that OnTrack expenditures, recovered through the Universal Service Rider, have increased over the years.  The facts do not show that the OnTrack program has improved customer payment behaviors and the incremental effects on total accounts receivable, uncollectible expenses, and write-offs.</w:t>
      </w:r>
    </w:p>
    <w:p w:rsidR="00AC40FC" w:rsidRDefault="00AC40FC" w:rsidP="00440B39">
      <w:r>
        <w:t xml:space="preserve">Customer Services reports several monthly measures that relate to past due accounts receivable, but does not show the impact of the OnTrack program on past due </w:t>
      </w:r>
      <w:r>
        <w:lastRenderedPageBreak/>
        <w:t>receivables, as needed to measure and support the OnTrack program objective of “d</w:t>
      </w:r>
      <w:r w:rsidRPr="00D620C6">
        <w:t xml:space="preserve">etermine overall impact on </w:t>
      </w:r>
      <w:r>
        <w:t>PPL EU’s</w:t>
      </w:r>
      <w:r w:rsidRPr="00D620C6">
        <w:t xml:space="preserve"> overdue accounts r</w:t>
      </w:r>
      <w:r>
        <w:t>eceivable</w:t>
      </w:r>
      <w:r w:rsidRPr="00920B21">
        <w:t>s</w:t>
      </w:r>
      <w:r w:rsidRPr="00300A27">
        <w:t>.</w:t>
      </w:r>
      <w:r>
        <w:t>”</w:t>
      </w:r>
    </w:p>
    <w:p w:rsidR="00AC40FC" w:rsidRDefault="00AC40FC" w:rsidP="0049591B">
      <w:pPr>
        <w:pStyle w:val="Findings"/>
      </w:pPr>
      <w:r>
        <w:t>The APPRISE Final Evaluation Report of PPL EU’s Universal Service Programs includes the OnTrack program but is an incomplete assessment of OnTrack.</w:t>
      </w:r>
    </w:p>
    <w:p w:rsidR="00AC40FC" w:rsidRPr="00D6792D" w:rsidRDefault="00AC40FC" w:rsidP="00440B39">
      <w:r>
        <w:t xml:space="preserve">The Applied Public Policy Research Institute for Study and Evaluation (APPRISE) Final Evaluation Report of PPL EU’s Universal Service Programs (USP), dated October 2014, is a comprehensive study of the USP programs.  The findings for OnTrack are a compilation of interviews with sample customers, agency caseworkers, and Regulatory Programs staff, as well as program statistics.  The report is a valuable tool but does not address the more fundamental issues of quantifying OnTrack’s longer term effects on the program’s objectives to </w:t>
      </w:r>
      <w:r w:rsidRPr="00D620C6">
        <w:t>improve customers’ bill payment habits and attitudes, stabilize or reduce customers’ energy usage, decrease uncollectible balance</w:t>
      </w:r>
      <w:r>
        <w:t>s for program participants, and d</w:t>
      </w:r>
      <w:r w:rsidRPr="00D620C6">
        <w:t xml:space="preserve">etermine overall impact on </w:t>
      </w:r>
      <w:r>
        <w:t>PPL EU’s</w:t>
      </w:r>
      <w:r w:rsidRPr="00D620C6">
        <w:t xml:space="preserve"> overdue accounts r</w:t>
      </w:r>
      <w:r>
        <w:t>eceivable.</w:t>
      </w:r>
    </w:p>
    <w:p w:rsidR="00AC40FC" w:rsidRDefault="00AC40FC" w:rsidP="00BB665B">
      <w:pPr>
        <w:pStyle w:val="Heading-forToC"/>
      </w:pPr>
      <w:bookmarkStart w:id="191" w:name="_Toc462647872"/>
      <w:bookmarkStart w:id="192" w:name="_Toc464552111"/>
      <w:r w:rsidRPr="00B05A94">
        <w:t>Recommendations</w:t>
      </w:r>
      <w:bookmarkEnd w:id="191"/>
      <w:bookmarkEnd w:id="192"/>
      <w:r w:rsidRPr="00B05A94">
        <w:t xml:space="preserve"> </w:t>
      </w:r>
    </w:p>
    <w:p w:rsidR="00AC40FC" w:rsidRDefault="00AC40FC" w:rsidP="004F00E5">
      <w:pPr>
        <w:pStyle w:val="Findings"/>
        <w:numPr>
          <w:ilvl w:val="0"/>
          <w:numId w:val="61"/>
        </w:numPr>
      </w:pPr>
      <w:r>
        <w:t xml:space="preserve">Establish metrics that will measure the success in meeting the four key and overarching objectives of the OnTrack program.  </w:t>
      </w:r>
      <w:r w:rsidRPr="004E64D0">
        <w:t>(</w:t>
      </w:r>
      <w:r>
        <w:t xml:space="preserve">See </w:t>
      </w:r>
      <w:r w:rsidRPr="004E64D0">
        <w:t xml:space="preserve">Findings </w:t>
      </w:r>
      <w:r>
        <w:t>2, 14,</w:t>
      </w:r>
      <w:r w:rsidRPr="004E64D0">
        <w:t xml:space="preserve"> and </w:t>
      </w:r>
      <w:r>
        <w:t>15</w:t>
      </w:r>
      <w:r w:rsidRPr="004E64D0">
        <w:t>)</w:t>
      </w:r>
    </w:p>
    <w:p w:rsidR="00AC40FC" w:rsidRDefault="00AC40FC" w:rsidP="00440B39">
      <w:r>
        <w:rPr>
          <w:bCs/>
        </w:rPr>
        <w:t>The PPL EU</w:t>
      </w:r>
      <w:r w:rsidRPr="00D620C6">
        <w:rPr>
          <w:bCs/>
        </w:rPr>
        <w:t xml:space="preserve"> objective</w:t>
      </w:r>
      <w:r>
        <w:rPr>
          <w:bCs/>
        </w:rPr>
        <w:t>s for its OnTrack program are</w:t>
      </w:r>
      <w:r w:rsidRPr="00D620C6">
        <w:rPr>
          <w:bCs/>
        </w:rPr>
        <w:t xml:space="preserve"> to:  </w:t>
      </w:r>
      <w:r>
        <w:rPr>
          <w:bCs/>
        </w:rPr>
        <w:t xml:space="preserve">(1) </w:t>
      </w:r>
      <w:r w:rsidRPr="00D620C6">
        <w:t xml:space="preserve">improve customers’ bill payment habits and attitudes, </w:t>
      </w:r>
      <w:r>
        <w:t xml:space="preserve">(2) </w:t>
      </w:r>
      <w:r w:rsidRPr="00D620C6">
        <w:t xml:space="preserve">stabilize or reduce customers’ energy usage, </w:t>
      </w:r>
      <w:r>
        <w:t xml:space="preserve">(3) </w:t>
      </w:r>
      <w:r w:rsidRPr="00D620C6">
        <w:t>decrease uncollectible balance</w:t>
      </w:r>
      <w:r>
        <w:t>s for program participants, and (4) d</w:t>
      </w:r>
      <w:r w:rsidRPr="00D620C6">
        <w:t xml:space="preserve">etermine overall impact on </w:t>
      </w:r>
      <w:r>
        <w:t>PPL EU’s</w:t>
      </w:r>
      <w:r w:rsidRPr="00D620C6">
        <w:t xml:space="preserve"> overdue accounts r</w:t>
      </w:r>
      <w:r>
        <w:t>eceivable</w:t>
      </w:r>
      <w:r w:rsidRPr="00920B21">
        <w:t>s</w:t>
      </w:r>
      <w:r w:rsidRPr="00300A27">
        <w:t>.</w:t>
      </w:r>
      <w:r>
        <w:t xml:space="preserve"> </w:t>
      </w:r>
      <w:r w:rsidRPr="00300A27">
        <w:t xml:space="preserve"> </w:t>
      </w:r>
      <w:r>
        <w:t>These are appropriate objectives, were established at the start of the program, and presumably continue to meet legislative and PUC requirements.  The existing Customer Services OnTrack performance indicators, while useful, do not support these objectives.</w:t>
      </w:r>
    </w:p>
    <w:p w:rsidR="00AC40FC" w:rsidRDefault="00AC40FC" w:rsidP="00440B39">
      <w:r>
        <w:t>The first objective, "</w:t>
      </w:r>
      <w:r w:rsidRPr="00D620C6">
        <w:t>improve customers’ bill payment habits and attitudes</w:t>
      </w:r>
      <w:r>
        <w:t>" (or payment behaviors) can be measured by:</w:t>
      </w:r>
    </w:p>
    <w:p w:rsidR="00AC40FC" w:rsidRDefault="00AC40FC" w:rsidP="00786363">
      <w:pPr>
        <w:pStyle w:val="Bullet"/>
        <w:spacing w:before="120"/>
      </w:pPr>
      <w:r>
        <w:t>Customer payment frequency (percent), pre- and post-enrollment</w:t>
      </w:r>
    </w:p>
    <w:p w:rsidR="00AC40FC" w:rsidRDefault="00AC40FC" w:rsidP="00786363">
      <w:pPr>
        <w:pStyle w:val="Bullet"/>
        <w:spacing w:before="120"/>
      </w:pPr>
      <w:r>
        <w:t>Customer billed versus paid amounts (percent received), pre- and post-enrollment</w:t>
      </w:r>
    </w:p>
    <w:p w:rsidR="00AC40FC" w:rsidRDefault="00AC40FC" w:rsidP="00786363">
      <w:pPr>
        <w:pStyle w:val="Bullet"/>
        <w:spacing w:before="120"/>
      </w:pPr>
      <w:r>
        <w:t>Graduated customer payment frequency (percent), pre- and post-program</w:t>
      </w:r>
    </w:p>
    <w:p w:rsidR="00AC40FC" w:rsidRDefault="00AC40FC" w:rsidP="00786363">
      <w:pPr>
        <w:pStyle w:val="Bullet"/>
        <w:spacing w:before="120"/>
      </w:pPr>
      <w:r>
        <w:t>Non-graduated (post-program) payment frequency (percent), pre- and post-program</w:t>
      </w:r>
    </w:p>
    <w:p w:rsidR="00AC40FC" w:rsidRDefault="00AC40FC" w:rsidP="00786363">
      <w:pPr>
        <w:pStyle w:val="Bullet"/>
        <w:spacing w:before="120"/>
      </w:pPr>
      <w:r>
        <w:t>Graduated customer billed versus paid amounts (percent received), pre- and post-program</w:t>
      </w:r>
    </w:p>
    <w:p w:rsidR="00AC40FC" w:rsidRDefault="00AC40FC" w:rsidP="00786363">
      <w:pPr>
        <w:pStyle w:val="Bullet"/>
        <w:spacing w:before="120"/>
      </w:pPr>
      <w:r>
        <w:t>Non-graduated customer billed versus paid amounts (percent received), pre- and post-program</w:t>
      </w:r>
    </w:p>
    <w:p w:rsidR="00AC40FC" w:rsidRDefault="00AC40FC" w:rsidP="00440B39">
      <w:pPr>
        <w:pStyle w:val="Normal-aftertable"/>
      </w:pPr>
      <w:r>
        <w:t>Quantification is needed to assess whether the second objective, "</w:t>
      </w:r>
      <w:r w:rsidRPr="00D620C6">
        <w:t>stabilize or reduce customers’ energy usage</w:t>
      </w:r>
      <w:r>
        <w:t xml:space="preserve">," is being achieved.  Assessing the impact of OnTrack on customers' energy usage will require that Customer Services develop a data base that </w:t>
      </w:r>
      <w:r>
        <w:lastRenderedPageBreak/>
        <w:t>captures specific information about household electric appliances, housing types, seasonal variation in usage, and algorithms that can infer/predict pre-program, program, and post program consumption.  Comparing this to non-OnTrack customers who are on payment agreements will add to the understanding of OnTrack impacts on energy usage.   Neither the PUC CAP policy statement nor PPL EU's current USECP requires the program to implement specific usage control features or reporting requirements around usage/consumption.  However, without some consistently applied and quantified assessment, achievement of the second objective is unknown.</w:t>
      </w:r>
    </w:p>
    <w:p w:rsidR="00AC40FC" w:rsidRPr="00FC619F" w:rsidRDefault="00AC40FC" w:rsidP="00440B39">
      <w:r>
        <w:t>The third objective, "</w:t>
      </w:r>
      <w:r w:rsidRPr="00D620C6">
        <w:t>decrease uncollectible balance</w:t>
      </w:r>
      <w:r>
        <w:t xml:space="preserve">s for program participants," requires, among other things, a comparison of how OnTrack customers and non-OnTrack customers perform with respect to the OnTrack and non-OnTrack payment agreements. Customer Services should develop queries and extract data </w:t>
      </w:r>
      <w:r w:rsidRPr="00FC619F">
        <w:t xml:space="preserve">for the last five years and </w:t>
      </w:r>
      <w:r>
        <w:t xml:space="preserve">track the same data </w:t>
      </w:r>
      <w:r w:rsidRPr="00FC619F">
        <w:t>on a current and on-going basis for:</w:t>
      </w:r>
    </w:p>
    <w:p w:rsidR="00AC40FC" w:rsidRDefault="00AC40FC" w:rsidP="00786363">
      <w:pPr>
        <w:pStyle w:val="Bullet"/>
        <w:spacing w:before="120"/>
      </w:pPr>
      <w:r w:rsidRPr="00AD02A3">
        <w:t>OnTrack</w:t>
      </w:r>
      <w:r>
        <w:t xml:space="preserve">, showing </w:t>
      </w:r>
      <w:r w:rsidRPr="00AD02A3">
        <w:t>billed installment dollars and dollars paid</w:t>
      </w:r>
    </w:p>
    <w:p w:rsidR="00AC40FC" w:rsidRDefault="00AC40FC" w:rsidP="00786363">
      <w:pPr>
        <w:pStyle w:val="Bullet"/>
        <w:spacing w:before="120"/>
      </w:pPr>
      <w:r w:rsidRPr="00AD02A3">
        <w:t xml:space="preserve">Payment </w:t>
      </w:r>
      <w:r>
        <w:t>Agreements/</w:t>
      </w:r>
      <w:r w:rsidRPr="00AD02A3">
        <w:t>Arrangements (excluding OnTrack dollars)</w:t>
      </w:r>
      <w:r>
        <w:t xml:space="preserve">, showing dollars billed and </w:t>
      </w:r>
      <w:r w:rsidRPr="00AD02A3">
        <w:t>dollars paid</w:t>
      </w:r>
    </w:p>
    <w:p w:rsidR="00AC40FC" w:rsidRDefault="00AC40FC" w:rsidP="00440B39">
      <w:pPr>
        <w:pStyle w:val="Normal-aftertable"/>
      </w:pPr>
      <w:r>
        <w:t>Customer Services will need to build a report that would</w:t>
      </w:r>
      <w:r w:rsidRPr="00013CB4">
        <w:t xml:space="preserve"> look at every bill and if it corresponded with a payment agreement installment amoun</w:t>
      </w:r>
      <w:r>
        <w:t>t.  Non-OnTrack payment agreements performance, net of the costs, should be compared to OnTrack program customer payments, net of the costs, over the short and longer term.</w:t>
      </w:r>
    </w:p>
    <w:p w:rsidR="00AC40FC" w:rsidRDefault="00AC40FC" w:rsidP="00440B39">
      <w:r>
        <w:t>With regard to the fourth objective, "d</w:t>
      </w:r>
      <w:r w:rsidRPr="00D620C6">
        <w:t xml:space="preserve">etermine overall impact on </w:t>
      </w:r>
      <w:r>
        <w:t>PPL EU’s</w:t>
      </w:r>
      <w:r w:rsidRPr="00D620C6">
        <w:t xml:space="preserve"> overdue accounts r</w:t>
      </w:r>
      <w:r>
        <w:t>eceivable</w:t>
      </w:r>
      <w:r w:rsidRPr="00920B21">
        <w:t>s</w:t>
      </w:r>
      <w:r>
        <w:t xml:space="preserve">," Customer Services should measure the </w:t>
      </w:r>
      <w:r w:rsidRPr="00D620C6">
        <w:t xml:space="preserve">decrease </w:t>
      </w:r>
      <w:r>
        <w:t xml:space="preserve">in </w:t>
      </w:r>
      <w:r w:rsidRPr="00D620C6">
        <w:t>uncollectible balance</w:t>
      </w:r>
      <w:r>
        <w:t>s for program participants and d</w:t>
      </w:r>
      <w:r w:rsidRPr="00D620C6">
        <w:t xml:space="preserve">etermine </w:t>
      </w:r>
      <w:r>
        <w:t xml:space="preserve">the </w:t>
      </w:r>
      <w:r w:rsidRPr="00D620C6">
        <w:t xml:space="preserve">overall impact on </w:t>
      </w:r>
      <w:r>
        <w:t>PPL EU’s</w:t>
      </w:r>
      <w:r w:rsidRPr="00D620C6">
        <w:t xml:space="preserve"> overdue accounts r</w:t>
      </w:r>
      <w:r>
        <w:t>eceivable</w:t>
      </w:r>
      <w:r w:rsidRPr="00920B21">
        <w:t>s</w:t>
      </w:r>
      <w:r>
        <w:t>.</w:t>
      </w:r>
    </w:p>
    <w:p w:rsidR="00AC40FC" w:rsidRDefault="00AC40FC" w:rsidP="00440B39">
      <w:r>
        <w:t>Customer Services should compare the past-due accounts receivable that are recovered for OnTrack participants via the Universal Service Rider with non-OnTrack past-due accounts receivable that are recovered through rates.  Both of those data sets should be compared to bad debt and write-offs.  Information should be reported that shows customer payments that would not have been made, if not for the OnTrack program.</w:t>
      </w:r>
    </w:p>
    <w:p w:rsidR="00AC40FC" w:rsidRDefault="00AC40FC" w:rsidP="00440B39">
      <w:r>
        <w:t>These metrics will enable PPL EU to better understand its performance in meeting the four key OnTrack objectives.</w:t>
      </w:r>
    </w:p>
    <w:p w:rsidR="00AC40FC" w:rsidRPr="003D73FE" w:rsidRDefault="00AC40FC" w:rsidP="004F00E5">
      <w:pPr>
        <w:pStyle w:val="Findings"/>
        <w:numPr>
          <w:ilvl w:val="0"/>
          <w:numId w:val="61"/>
        </w:numPr>
      </w:pPr>
      <w:r>
        <w:t>A</w:t>
      </w:r>
      <w:r w:rsidRPr="003D73FE">
        <w:t xml:space="preserve">ccelerate analysis of actual historical </w:t>
      </w:r>
      <w:r>
        <w:t xml:space="preserve">unit </w:t>
      </w:r>
      <w:r w:rsidRPr="003D73FE">
        <w:t>cost</w:t>
      </w:r>
      <w:r>
        <w:t>s</w:t>
      </w:r>
      <w:r w:rsidRPr="003D73FE">
        <w:t xml:space="preserve"> with the OnTrack agencies and consider changing </w:t>
      </w:r>
      <w:r>
        <w:t xml:space="preserve">the contract pricing structure </w:t>
      </w:r>
      <w:r w:rsidRPr="003D73FE">
        <w:t xml:space="preserve">to a </w:t>
      </w:r>
      <w:r>
        <w:t>unit price per task completed</w:t>
      </w:r>
      <w:r w:rsidRPr="004E64D0">
        <w:t>.  (</w:t>
      </w:r>
      <w:r>
        <w:t xml:space="preserve">See </w:t>
      </w:r>
      <w:r w:rsidRPr="004E64D0">
        <w:t xml:space="preserve">Finding </w:t>
      </w:r>
      <w:r>
        <w:t>4 and 7</w:t>
      </w:r>
      <w:r w:rsidRPr="004E64D0">
        <w:t>)</w:t>
      </w:r>
    </w:p>
    <w:p w:rsidR="00AC40FC" w:rsidRDefault="00AC40FC" w:rsidP="00440B39">
      <w:r w:rsidRPr="003D73FE">
        <w:t>There is currently no way of measuring how long it takes an agency to work a referral, what is done</w:t>
      </w:r>
      <w:r w:rsidRPr="00C05B0E">
        <w:t xml:space="preserve"> with the referral, and what the result is.</w:t>
      </w:r>
      <w:r>
        <w:t xml:space="preserve">  PPL EU has not developed metrics related to the number of program enrollments per agency caseworker.  PPL EU cannot determine the value it receives for the hourly fees it pays to agencies.</w:t>
      </w:r>
    </w:p>
    <w:p w:rsidR="00AC40FC" w:rsidRDefault="00AC40FC" w:rsidP="00440B39">
      <w:r>
        <w:t xml:space="preserve">A unit price approach, using a flat fee per enrollment and other tasks completed, would provide several important benefits:  PPL EU will be able to assess the value received from each of the agencies, will provide an incentive to the agencies to improve their </w:t>
      </w:r>
      <w:r>
        <w:lastRenderedPageBreak/>
        <w:t xml:space="preserve">enrollment performance, and will have a basis to compare performance among agencies.  </w:t>
      </w:r>
    </w:p>
    <w:p w:rsidR="00AC40FC" w:rsidRDefault="00AC40FC" w:rsidP="00440B39">
      <w:r>
        <w:t>Given the importance of the OnTrack program to assist troubled payment customers, the costs of the program that are borne by other customers, and the benefits to reduce uncollectible expenses and write-offs, PPL EU should place a priority on its unit cost analysis that should be used for performance and contract management and to modify its existing contracts from an hourly rate to unit pricing.</w:t>
      </w:r>
    </w:p>
    <w:p w:rsidR="00AC40FC" w:rsidRPr="001002F0" w:rsidRDefault="00AC40FC" w:rsidP="004F00E5">
      <w:pPr>
        <w:pStyle w:val="Findings"/>
        <w:keepNext/>
        <w:numPr>
          <w:ilvl w:val="0"/>
          <w:numId w:val="61"/>
        </w:numPr>
      </w:pPr>
      <w:r w:rsidRPr="002004DA">
        <w:t xml:space="preserve">Develop </w:t>
      </w:r>
      <w:r>
        <w:t>new performance indicators and other metrics that will improve month-to-month management of the OnTrack program and</w:t>
      </w:r>
      <w:r w:rsidRPr="00976221">
        <w:t xml:space="preserve"> </w:t>
      </w:r>
      <w:r>
        <w:t xml:space="preserve">identify </w:t>
      </w:r>
      <w:r w:rsidRPr="00300A27">
        <w:t xml:space="preserve">changes to </w:t>
      </w:r>
      <w:r>
        <w:t xml:space="preserve">the </w:t>
      </w:r>
      <w:r w:rsidRPr="00300A27">
        <w:t>design and eligibility requirements</w:t>
      </w:r>
      <w:r>
        <w:t xml:space="preserve"> that will improve PPL EU’s ability to meet OnTrack objectives.  </w:t>
      </w:r>
      <w:r w:rsidRPr="001002F0">
        <w:t>(</w:t>
      </w:r>
      <w:r>
        <w:t xml:space="preserve">See </w:t>
      </w:r>
      <w:r w:rsidRPr="001002F0">
        <w:t xml:space="preserve">Findings </w:t>
      </w:r>
      <w:r>
        <w:t>2</w:t>
      </w:r>
      <w:r w:rsidRPr="001002F0">
        <w:t xml:space="preserve">, </w:t>
      </w:r>
      <w:r>
        <w:t>4</w:t>
      </w:r>
      <w:r w:rsidRPr="001002F0">
        <w:t xml:space="preserve">, </w:t>
      </w:r>
      <w:r>
        <w:t>5</w:t>
      </w:r>
      <w:r w:rsidRPr="001002F0">
        <w:t xml:space="preserve">, </w:t>
      </w:r>
      <w:r>
        <w:t>6</w:t>
      </w:r>
      <w:r w:rsidRPr="001002F0">
        <w:t xml:space="preserve">, </w:t>
      </w:r>
      <w:r>
        <w:t>7, 8</w:t>
      </w:r>
      <w:r w:rsidRPr="001002F0">
        <w:t xml:space="preserve">, </w:t>
      </w:r>
      <w:r>
        <w:t>9, 10</w:t>
      </w:r>
      <w:r w:rsidRPr="001002F0">
        <w:t xml:space="preserve">, </w:t>
      </w:r>
      <w:r>
        <w:t>11</w:t>
      </w:r>
      <w:r w:rsidRPr="001002F0">
        <w:t xml:space="preserve">, </w:t>
      </w:r>
      <w:r>
        <w:t>12, 14, and 15</w:t>
      </w:r>
      <w:r w:rsidRPr="001002F0">
        <w:t>)</w:t>
      </w:r>
    </w:p>
    <w:p w:rsidR="00AC40FC" w:rsidRDefault="00AC40FC" w:rsidP="00440B39">
      <w:r>
        <w:t>In addition to the metrics needed to address the four overarching objectives, Customer Services should develop metrics for tracking and measuring shorter term performance, including cost management, contract management, and cost effectiveness:</w:t>
      </w:r>
    </w:p>
    <w:p w:rsidR="00AC40FC" w:rsidRDefault="00AC40FC" w:rsidP="00AC40FC">
      <w:pPr>
        <w:pStyle w:val="Numbering"/>
        <w:numPr>
          <w:ilvl w:val="0"/>
          <w:numId w:val="9"/>
        </w:numPr>
      </w:pPr>
      <w:r>
        <w:t xml:space="preserve">Establish cost-to-serve metrics that are reported monthly.  The existing Customer Services Monthly Performance Indicators Report shows </w:t>
      </w:r>
      <w:r w:rsidRPr="00972B1B">
        <w:t>Year-to-Date Program Costs (by budget category)</w:t>
      </w:r>
      <w:r>
        <w:t>.  Although the budget spend per category is useful as a budget management tool, it does not serve as a performance indicator that leads to trend analysis and actionable impro</w:t>
      </w:r>
      <w:r w:rsidR="00E32117">
        <w:t>vements in processes, practices,</w:t>
      </w:r>
      <w:r>
        <w:t xml:space="preserve"> and policies.  Customer Services should create unit cost metrics and other ratio measures, including:</w:t>
      </w:r>
    </w:p>
    <w:p w:rsidR="00AC40FC" w:rsidRDefault="00AC40FC" w:rsidP="00440B39">
      <w:pPr>
        <w:pStyle w:val="Bullet-indent1"/>
      </w:pPr>
      <w:r>
        <w:t>CAP credits per OnTrack customer and per all customers who are subject to the Universal Service Rider</w:t>
      </w:r>
    </w:p>
    <w:p w:rsidR="00AC40FC" w:rsidRDefault="00AC40FC" w:rsidP="00440B39">
      <w:pPr>
        <w:pStyle w:val="Bullet-indent1"/>
      </w:pPr>
      <w:r>
        <w:t>Arrearage forgiveness per OnTrack customer and per all customers who are subject to the Universal Service Rider</w:t>
      </w:r>
    </w:p>
    <w:p w:rsidR="00AC40FC" w:rsidRDefault="00AC40FC" w:rsidP="00440B39">
      <w:pPr>
        <w:pStyle w:val="Bullet-indent1"/>
      </w:pPr>
      <w:r>
        <w:t>Agency administration costs per OnTrack customer and per all customers who are subject to the Universal Service Rider (the agency unit costs should be further sub-categorized (cost per referral processed, cost per new enrollment, etc.) as recommended elsewhere)</w:t>
      </w:r>
    </w:p>
    <w:p w:rsidR="00AC40FC" w:rsidRDefault="00AC40FC" w:rsidP="00440B39">
      <w:pPr>
        <w:pStyle w:val="Bullet-indent1"/>
      </w:pPr>
      <w:r>
        <w:t>PPL EU O&amp;M (non-agency) and any capital costs per OnTrack customer and per all customers who are subject to the Universal Service Rider</w:t>
      </w:r>
    </w:p>
    <w:p w:rsidR="00AC40FC" w:rsidRDefault="00AC40FC" w:rsidP="00440B39">
      <w:pPr>
        <w:pStyle w:val="Bullet-indent1"/>
      </w:pPr>
      <w:r>
        <w:t>PPL EU FTEs dedicated or allocated to the OnTrack program</w:t>
      </w:r>
    </w:p>
    <w:p w:rsidR="00AC40FC" w:rsidRDefault="00AC40FC" w:rsidP="00AC40FC">
      <w:pPr>
        <w:pStyle w:val="Numbering"/>
        <w:numPr>
          <w:ilvl w:val="0"/>
          <w:numId w:val="9"/>
        </w:numPr>
        <w:spacing w:before="120"/>
      </w:pPr>
      <w:r>
        <w:t xml:space="preserve">Establish metrics that measure “quality” of the referrals.  Some percentage of referrals never lead to enrollments and some enrolled participants prematurely end the program.  Customer services should identify characteristics of household/customer referrals that are most likely to result in a successful enrollment.  Conversely, characteristics of referrals should be identified that are least likely to result in an enrollment.  This sort of intelligence will help prioritize the referrals that are likely to result in an application and applications that are likely to result in new enrollments.  The prioritization will help agencies/contractors manage the referral and application workload and backlog and will optimize agency/contractor, PPL EU staff, and other resources.  This will </w:t>
      </w:r>
      <w:r>
        <w:lastRenderedPageBreak/>
        <w:t xml:space="preserve">lead to meeting existing and new measurable program objectives, increase the number of new enrollments, and increase the probability that participants will remain in the program and graduate. </w:t>
      </w:r>
    </w:p>
    <w:p w:rsidR="00AC40FC" w:rsidRDefault="00AC40FC" w:rsidP="00AC40FC">
      <w:pPr>
        <w:pStyle w:val="Numbering"/>
        <w:numPr>
          <w:ilvl w:val="0"/>
          <w:numId w:val="9"/>
        </w:numPr>
      </w:pPr>
      <w:r>
        <w:t>To the extent that PPL EU continues to use multiple agency/contractors, metrics should be used to track individual agency performance, assemble aggregate metrics for all agencies/contractors, and compare performance among the individual agency/contractors.  PPL EU should require that each agency/contractor use the same metrics to track individual and aggregate caseworker performance for the purposes of identifying the need for training, coaching, etc.  These metrics should also be used to develop unit cost contracts and contract and performance management.  They include:</w:t>
      </w:r>
    </w:p>
    <w:p w:rsidR="00AC40FC" w:rsidRDefault="00AC40FC" w:rsidP="00440B39">
      <w:pPr>
        <w:pStyle w:val="Bullet-indent1"/>
      </w:pPr>
      <w:r>
        <w:t>Hours and related costs expended to process referrals that result in applications (cost per received application)</w:t>
      </w:r>
    </w:p>
    <w:p w:rsidR="00AC40FC" w:rsidRDefault="00AC40FC" w:rsidP="00440B39">
      <w:pPr>
        <w:pStyle w:val="Bullet-indent1"/>
      </w:pPr>
      <w:r>
        <w:t>Hours and related costs to process referrals that do not result in applications (cost per non-received application)</w:t>
      </w:r>
    </w:p>
    <w:p w:rsidR="00AC40FC" w:rsidRDefault="00AC40FC" w:rsidP="00440B39">
      <w:pPr>
        <w:pStyle w:val="Bullet-indent1"/>
      </w:pPr>
      <w:r>
        <w:t>Hours and related costs that result in a successful enrollment (cost per enrollment)</w:t>
      </w:r>
    </w:p>
    <w:p w:rsidR="00AC40FC" w:rsidRDefault="00AC40FC" w:rsidP="00440B39">
      <w:pPr>
        <w:pStyle w:val="Bullet-indent1"/>
      </w:pPr>
      <w:r>
        <w:t>Hours and related costs that do not result in enrollments (cost per non-enrollment)</w:t>
      </w:r>
    </w:p>
    <w:p w:rsidR="00AC40FC" w:rsidRDefault="00AC40FC" w:rsidP="00440B39">
      <w:pPr>
        <w:pStyle w:val="Bullet-indent1"/>
      </w:pPr>
      <w:r>
        <w:t>Enrollments completed per caseworker per month</w:t>
      </w:r>
    </w:p>
    <w:p w:rsidR="00AC40FC" w:rsidRDefault="00AC40FC" w:rsidP="00440B39">
      <w:pPr>
        <w:pStyle w:val="Bullet-indent1"/>
      </w:pPr>
      <w:r>
        <w:t>Applications processed per caseworker per month</w:t>
      </w:r>
    </w:p>
    <w:p w:rsidR="00AC40FC" w:rsidRDefault="00AC40FC" w:rsidP="00440B39">
      <w:pPr>
        <w:pStyle w:val="Bullet-indent1"/>
      </w:pPr>
      <w:r>
        <w:t>Hours, related costs and number of days from date of referral to date of enrollment (processing cost and duration per enrollment)</w:t>
      </w:r>
    </w:p>
    <w:p w:rsidR="00AC40FC" w:rsidRDefault="00AC40FC" w:rsidP="00440B39">
      <w:pPr>
        <w:pStyle w:val="Bullet-indent1"/>
      </w:pPr>
      <w:r>
        <w:t>Hours and related costs expended per completed re-certification (cost per re-certification)</w:t>
      </w:r>
    </w:p>
    <w:p w:rsidR="00AC40FC" w:rsidRDefault="00AC40FC" w:rsidP="00440B39">
      <w:pPr>
        <w:pStyle w:val="Bullet-indent1"/>
      </w:pPr>
      <w:r>
        <w:t>Re-certifications completed per caseworker per month</w:t>
      </w:r>
    </w:p>
    <w:p w:rsidR="00AC40FC" w:rsidRDefault="00AC40FC" w:rsidP="00440B39">
      <w:pPr>
        <w:pStyle w:val="Bullet-indent1"/>
      </w:pPr>
      <w:r>
        <w:t>Hours and related costs expended per graduation (cost per graduation)</w:t>
      </w:r>
    </w:p>
    <w:p w:rsidR="00AC40FC" w:rsidRDefault="00AC40FC" w:rsidP="00440B39">
      <w:pPr>
        <w:pStyle w:val="Bullet-indent1"/>
      </w:pPr>
      <w:r>
        <w:t>Graduations per caseworker per month</w:t>
      </w:r>
    </w:p>
    <w:p w:rsidR="00AC40FC" w:rsidRDefault="00AC40FC" w:rsidP="00440B39">
      <w:pPr>
        <w:pStyle w:val="Bullet-indent1"/>
      </w:pPr>
      <w:r>
        <w:t>Hours and related costs expended to determine ineligibility (cost per ineligible determination)</w:t>
      </w:r>
    </w:p>
    <w:p w:rsidR="00AC40FC" w:rsidRDefault="00AC40FC" w:rsidP="00440B39">
      <w:pPr>
        <w:pStyle w:val="Bullet-indent1"/>
      </w:pPr>
      <w:r w:rsidRPr="00B23441">
        <w:t>I</w:t>
      </w:r>
      <w:r>
        <w:t>neligible determinations per caseworker per month</w:t>
      </w:r>
    </w:p>
    <w:p w:rsidR="00AC40FC" w:rsidRDefault="00AC40FC" w:rsidP="00440B39">
      <w:pPr>
        <w:pStyle w:val="Bullet-indent1"/>
      </w:pPr>
      <w:r>
        <w:t>Backlog aging</w:t>
      </w:r>
    </w:p>
    <w:p w:rsidR="00AC40FC" w:rsidRDefault="00AC40FC" w:rsidP="00AC40FC">
      <w:pPr>
        <w:pStyle w:val="Numbering"/>
        <w:numPr>
          <w:ilvl w:val="0"/>
          <w:numId w:val="9"/>
        </w:numPr>
      </w:pPr>
      <w:r>
        <w:t>OnTrack-related PUC informal complaints should be tracked and reported that relate to each agency/contractor, by complaint type, so that root cause analyses, corrective actions, and improvements can be targeted to each agency/contractor as needed.</w:t>
      </w:r>
    </w:p>
    <w:p w:rsidR="00AC40FC" w:rsidRDefault="00AC40FC" w:rsidP="00440B39">
      <w:r>
        <w:t xml:space="preserve">Additionally, Customer Services should identify program design changes that meet the OnTrack objectives, for the purposes of improving the customer experience, streamlining and simplifying work processes, and reducing program administrative costs.  Opportunities may be discovered that would require adjustments to the eligibility requirements and other OnTrack program elements.  Consideration should be given to changing the income eligibility requirements that expands the universe of customers to include low income households that routinely pay their electric bills (may not have had </w:t>
      </w:r>
      <w:r>
        <w:lastRenderedPageBreak/>
        <w:t>previous payment agreements, etc.) but who may be sacrificing other basic needs, such as health care.  These and other “hard to reach” customers may not have had a reason to contact PPL EU and thereby learn about OnTrack and WRAP.</w:t>
      </w:r>
    </w:p>
    <w:p w:rsidR="00AC40FC" w:rsidRDefault="00AC40FC" w:rsidP="004F00E5">
      <w:pPr>
        <w:pStyle w:val="Findings"/>
        <w:keepNext/>
        <w:numPr>
          <w:ilvl w:val="0"/>
          <w:numId w:val="61"/>
        </w:numPr>
      </w:pPr>
      <w:r>
        <w:t>E</w:t>
      </w:r>
      <w:r w:rsidRPr="00FF5AE7">
        <w:t>stablish periodic operational and compliance audits by</w:t>
      </w:r>
      <w:r>
        <w:t xml:space="preserve"> the</w:t>
      </w:r>
      <w:r w:rsidRPr="00FF5AE7">
        <w:t xml:space="preserve"> PPL </w:t>
      </w:r>
      <w:r>
        <w:t>SC</w:t>
      </w:r>
      <w:r w:rsidRPr="00FF5AE7">
        <w:t xml:space="preserve"> internal auditors.  </w:t>
      </w:r>
      <w:r>
        <w:t>(See Finding 13)</w:t>
      </w:r>
    </w:p>
    <w:p w:rsidR="00AC40FC" w:rsidRDefault="00AC40FC" w:rsidP="00440B39">
      <w:r>
        <w:t>Regulatory P</w:t>
      </w:r>
      <w:r w:rsidRPr="00200965">
        <w:t>rog</w:t>
      </w:r>
      <w:r>
        <w:t>rams should request periodic aud</w:t>
      </w:r>
      <w:r w:rsidRPr="00200965">
        <w:t xml:space="preserve">its by the internal </w:t>
      </w:r>
      <w:r>
        <w:t>auditors for operational and</w:t>
      </w:r>
      <w:r w:rsidRPr="00200965">
        <w:t xml:space="preserve"> other auditing objectives.  This standardized and formalized approach will also help with contract and performance management</w:t>
      </w:r>
      <w:r>
        <w:t xml:space="preserve"> of the agencies/contractors</w:t>
      </w:r>
      <w:r w:rsidRPr="00200965">
        <w:t>.</w:t>
      </w:r>
    </w:p>
    <w:p w:rsidR="00AC40FC" w:rsidRDefault="00AC40FC" w:rsidP="008305C3">
      <w:pPr>
        <w:pStyle w:val="Bullet"/>
        <w:numPr>
          <w:ilvl w:val="0"/>
          <w:numId w:val="0"/>
        </w:numPr>
      </w:pPr>
    </w:p>
    <w:p w:rsidR="00AC40FC" w:rsidRDefault="00AC40FC" w:rsidP="008305C3">
      <w:pPr>
        <w:pStyle w:val="Bullet"/>
        <w:numPr>
          <w:ilvl w:val="0"/>
          <w:numId w:val="0"/>
        </w:numPr>
        <w:sectPr w:rsidR="00AC40FC" w:rsidSect="00C73199">
          <w:footerReference w:type="default" r:id="rId60"/>
          <w:type w:val="continuous"/>
          <w:pgSz w:w="12240" w:h="15840"/>
          <w:pgMar w:top="1440" w:right="1440" w:bottom="1440" w:left="1440" w:header="720" w:footer="576" w:gutter="0"/>
          <w:cols w:space="720"/>
          <w:docGrid w:linePitch="360"/>
        </w:sectPr>
      </w:pPr>
    </w:p>
    <w:p w:rsidR="00AC40FC" w:rsidRDefault="00AC40FC" w:rsidP="00AC40FC">
      <w:pPr>
        <w:pStyle w:val="Heading1"/>
        <w:ind w:left="720"/>
      </w:pPr>
      <w:bookmarkStart w:id="193" w:name="_Toc462647873"/>
      <w:bookmarkStart w:id="194" w:name="_Toc464552112"/>
      <w:r>
        <w:lastRenderedPageBreak/>
        <w:t>Information technology and systems</w:t>
      </w:r>
      <w:bookmarkEnd w:id="193"/>
      <w:bookmarkEnd w:id="194"/>
    </w:p>
    <w:p w:rsidR="00AC40FC" w:rsidRDefault="00AC40FC" w:rsidP="004F00E5">
      <w:pPr>
        <w:pStyle w:val="Heading2"/>
        <w:numPr>
          <w:ilvl w:val="0"/>
          <w:numId w:val="119"/>
        </w:numPr>
      </w:pPr>
      <w:bookmarkStart w:id="195" w:name="_Toc462647874"/>
      <w:bookmarkStart w:id="196" w:name="_Toc464552113"/>
      <w:r>
        <w:t>background</w:t>
      </w:r>
      <w:bookmarkEnd w:id="195"/>
      <w:bookmarkEnd w:id="196"/>
    </w:p>
    <w:p w:rsidR="00AC40FC" w:rsidRDefault="00AC40FC" w:rsidP="00652B0E">
      <w:r>
        <w:t xml:space="preserve">This chapter addresses how information technology (IT) services are provided to the PPL Electric Utilities Corporation (PPL EU).  The field work for this task report was conducted in July, August, and September of 2015, when the IT function was in the midst of significant structural change.  As a result, some information contained later in this report, primarily in Chapters XV, Staffing Planning Process and XVI, Merger Synergy Opportunities, in which field work was completed in April 2016 may not correspond with (and ultimately supersede) some information contained throughout this chapter.   </w:t>
      </w:r>
    </w:p>
    <w:p w:rsidR="00AC40FC" w:rsidRDefault="00AC40FC" w:rsidP="00057E8B">
      <w:pPr>
        <w:pStyle w:val="Heading30"/>
      </w:pPr>
      <w:r>
        <w:t xml:space="preserve">ORGANIZATION STRUCTURE, staffing, mission, AND FUNCTIONS </w:t>
      </w:r>
    </w:p>
    <w:p w:rsidR="00AC40FC" w:rsidRDefault="00AC40FC" w:rsidP="00057E8B">
      <w:pPr>
        <w:pStyle w:val="Heading40"/>
      </w:pPr>
      <w:r>
        <w:t>Structure</w:t>
      </w:r>
    </w:p>
    <w:p w:rsidR="00AC40FC" w:rsidRDefault="00AC40FC" w:rsidP="00057E8B">
      <w:pPr>
        <w:rPr>
          <w:rFonts w:cs="Arial"/>
          <w:szCs w:val="24"/>
        </w:rPr>
      </w:pPr>
      <w:r>
        <w:rPr>
          <w:rFonts w:cs="Arial"/>
          <w:szCs w:val="24"/>
        </w:rPr>
        <w:t xml:space="preserve">There is a single Chief Information Officer (CIO) for PPL Corporation in the United States.  This position reports to the Chief Financial Officer of </w:t>
      </w:r>
      <w:r w:rsidRPr="00DD5858">
        <w:rPr>
          <w:rFonts w:cs="Arial"/>
          <w:szCs w:val="24"/>
        </w:rPr>
        <w:t>Lou</w:t>
      </w:r>
      <w:r>
        <w:rPr>
          <w:rFonts w:cs="Arial"/>
          <w:szCs w:val="24"/>
        </w:rPr>
        <w:t xml:space="preserve">isville Gas and Electric and Kentucky Utilities Services </w:t>
      </w:r>
      <w:r w:rsidRPr="00DD5858">
        <w:rPr>
          <w:rFonts w:cs="Arial"/>
          <w:szCs w:val="24"/>
        </w:rPr>
        <w:t>Company</w:t>
      </w:r>
      <w:r>
        <w:rPr>
          <w:rFonts w:cs="Arial"/>
          <w:szCs w:val="24"/>
        </w:rPr>
        <w:t xml:space="preserve"> (LKE SC), as well as to the President of PPL EU.  The CIO is an employee of LKE SC, although he serves a dual role as the CIO of both PPL Services Corporation (PPL SC) and LKE Services. </w:t>
      </w:r>
      <w:r w:rsidRPr="00145ABD">
        <w:rPr>
          <w:rFonts w:cs="Arial"/>
          <w:szCs w:val="24"/>
        </w:rPr>
        <w:t xml:space="preserve"> </w:t>
      </w:r>
      <w:r>
        <w:rPr>
          <w:rFonts w:cs="Arial"/>
          <w:szCs w:val="24"/>
        </w:rPr>
        <w:t xml:space="preserve">The incumbent has been the CIO of both the Kentucky and Pennsylvania operations since mid-2014. </w:t>
      </w:r>
      <w:r w:rsidRPr="00145ABD">
        <w:rPr>
          <w:rFonts w:cs="Arial"/>
          <w:szCs w:val="24"/>
        </w:rPr>
        <w:t xml:space="preserve"> </w:t>
      </w:r>
      <w:r>
        <w:rPr>
          <w:rFonts w:cs="Arial"/>
          <w:szCs w:val="24"/>
        </w:rPr>
        <w:t>To enhance consistency and coordination, much work has been done in recent years to standardize the job titles and job duties of the Kentucky and Pennsylvania IT operations.</w:t>
      </w:r>
    </w:p>
    <w:p w:rsidR="00AC40FC" w:rsidRDefault="00AC40FC" w:rsidP="00057E8B">
      <w:pPr>
        <w:rPr>
          <w:rFonts w:cs="Arial"/>
          <w:szCs w:val="24"/>
        </w:rPr>
      </w:pPr>
      <w:r>
        <w:rPr>
          <w:rFonts w:cs="Arial"/>
          <w:szCs w:val="24"/>
        </w:rPr>
        <w:t>As depicted in the organizational chart below, within PPL SC, there are six direct reports to the CIO.</w:t>
      </w:r>
    </w:p>
    <w:p w:rsidR="00AC40FC" w:rsidRDefault="00AC40FC" w:rsidP="00BB665B">
      <w:pPr>
        <w:pStyle w:val="Caption"/>
        <w:rPr>
          <w:rFonts w:cs="Arial"/>
          <w:szCs w:val="24"/>
        </w:rPr>
      </w:pPr>
      <w:bookmarkStart w:id="197" w:name="_Toc462648441"/>
      <w:bookmarkStart w:id="198" w:name="_Toc464553063"/>
      <w:r>
        <w:t xml:space="preserve">Exhibit </w:t>
      </w:r>
      <w:fldSimple w:instr=" STYLEREF 1 \s ">
        <w:r w:rsidR="00A24205">
          <w:rPr>
            <w:noProof/>
          </w:rPr>
          <w:t>XI</w:t>
        </w:r>
      </w:fldSimple>
      <w:r w:rsidR="00264A1B">
        <w:noBreakHyphen/>
      </w:r>
      <w:fldSimple w:instr=" SEQ Exhibit \* ARABIC \s 1 ">
        <w:r w:rsidR="00A24205">
          <w:rPr>
            <w:noProof/>
          </w:rPr>
          <w:t>1</w:t>
        </w:r>
      </w:fldSimple>
      <w:r>
        <w:br/>
        <w:t>PPL SC Information Technology Organization Chart</w:t>
      </w:r>
      <w:bookmarkEnd w:id="197"/>
      <w:bookmarkEnd w:id="198"/>
    </w:p>
    <w:p w:rsidR="00AC40FC" w:rsidRDefault="00AC40FC" w:rsidP="00057E8B">
      <w:pPr>
        <w:rPr>
          <w:rFonts w:cs="Arial"/>
          <w:szCs w:val="24"/>
        </w:rPr>
      </w:pPr>
      <w:r>
        <w:rPr>
          <w:rFonts w:cs="Arial"/>
          <w:noProof/>
          <w:szCs w:val="24"/>
        </w:rPr>
        <w:drawing>
          <wp:inline distT="0" distB="0" distL="0" distR="0">
            <wp:extent cx="5943600" cy="1974850"/>
            <wp:effectExtent l="0" t="0" r="0" b="63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PL-IT_page126_v5.jpg"/>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1974850"/>
                    </a:xfrm>
                    <a:prstGeom prst="rect">
                      <a:avLst/>
                    </a:prstGeom>
                  </pic:spPr>
                </pic:pic>
              </a:graphicData>
            </a:graphic>
          </wp:inline>
        </w:drawing>
      </w:r>
    </w:p>
    <w:p w:rsidR="00AC40FC" w:rsidRDefault="00AC40FC" w:rsidP="00057E8B">
      <w:pPr>
        <w:rPr>
          <w:rFonts w:cs="Arial"/>
          <w:szCs w:val="24"/>
        </w:rPr>
      </w:pPr>
      <w:r>
        <w:rPr>
          <w:rFonts w:cs="Arial"/>
          <w:szCs w:val="24"/>
        </w:rPr>
        <w:t>Source:  DN 01-009</w:t>
      </w:r>
    </w:p>
    <w:p w:rsidR="00AC40FC" w:rsidRDefault="00AC40FC" w:rsidP="00057E8B">
      <w:pPr>
        <w:pStyle w:val="Heading40"/>
      </w:pPr>
      <w:r>
        <w:lastRenderedPageBreak/>
        <w:t>Staffing</w:t>
      </w:r>
    </w:p>
    <w:p w:rsidR="00AC40FC" w:rsidRDefault="00AC40FC" w:rsidP="00057E8B">
      <w:pPr>
        <w:rPr>
          <w:rFonts w:cs="Arial"/>
          <w:szCs w:val="24"/>
        </w:rPr>
      </w:pPr>
      <w:r>
        <w:rPr>
          <w:rFonts w:cs="Arial"/>
          <w:szCs w:val="24"/>
        </w:rPr>
        <w:t>The head count for Pennsylvania IT operations reporting to the CIO, associated with the organization chart presented above, is about 235. Those numbers are exclusive of contractors.</w:t>
      </w:r>
      <w:r>
        <w:rPr>
          <w:rFonts w:cs="Arial"/>
          <w:szCs w:val="24"/>
          <w:vertAlign w:val="superscript"/>
        </w:rPr>
        <w:t xml:space="preserve"> </w:t>
      </w:r>
      <w:r>
        <w:rPr>
          <w:rFonts w:cs="Arial"/>
          <w:szCs w:val="24"/>
        </w:rPr>
        <w:t xml:space="preserve">  </w:t>
      </w:r>
    </w:p>
    <w:p w:rsidR="00AC40FC" w:rsidRDefault="00AC40FC" w:rsidP="00057E8B">
      <w:r>
        <w:rPr>
          <w:rFonts w:cs="Arial"/>
          <w:szCs w:val="24"/>
        </w:rPr>
        <w:t>Within personnel providing services to Pennsylvania, this management audit identified two small groups of IT personnel who do not report to the CIO.  In PPLSolutions, LLC, the Supervisor of Information Systems directs ten developers and one business analyst.  These personnel are focused on back office services, such as billing, for</w:t>
      </w:r>
      <w:r w:rsidRPr="00D1377D">
        <w:rPr>
          <w:rFonts w:cs="Arial"/>
          <w:szCs w:val="24"/>
        </w:rPr>
        <w:t xml:space="preserve"> competitive energy suppliers</w:t>
      </w:r>
      <w:r>
        <w:rPr>
          <w:rFonts w:cs="Arial"/>
          <w:szCs w:val="24"/>
        </w:rPr>
        <w:t>.  Likewise, in a different branch of</w:t>
      </w:r>
      <w:r w:rsidRPr="001B3F90">
        <w:rPr>
          <w:rFonts w:cs="Arial"/>
          <w:szCs w:val="24"/>
        </w:rPr>
        <w:t xml:space="preserve"> </w:t>
      </w:r>
      <w:r>
        <w:rPr>
          <w:rFonts w:cs="Arial"/>
          <w:szCs w:val="24"/>
        </w:rPr>
        <w:t>the PPL SC, reporting through the Human Resources and Services chain of command, the Director of Operations has five business analysts as direct reports.</w:t>
      </w:r>
    </w:p>
    <w:p w:rsidR="00AC40FC" w:rsidRDefault="00AC40FC" w:rsidP="00057E8B">
      <w:pPr>
        <w:pStyle w:val="Heading40"/>
      </w:pPr>
      <w:r w:rsidRPr="00C2362E">
        <w:t>Mission</w:t>
      </w:r>
    </w:p>
    <w:p w:rsidR="00AC40FC" w:rsidRDefault="00AC40FC" w:rsidP="00057E8B">
      <w:pPr>
        <w:rPr>
          <w:rFonts w:cs="Arial"/>
          <w:szCs w:val="24"/>
        </w:rPr>
      </w:pPr>
      <w:r w:rsidRPr="00885C64">
        <w:t xml:space="preserve">The mission of </w:t>
      </w:r>
      <w:r>
        <w:t>IT</w:t>
      </w:r>
      <w:r w:rsidRPr="00885C64">
        <w:t xml:space="preserve"> is to plan, deliver, a</w:t>
      </w:r>
      <w:r>
        <w:t xml:space="preserve">nd support IT functionality for PPL Corporation, PPL </w:t>
      </w:r>
      <w:r w:rsidRPr="00885C64">
        <w:t>EU</w:t>
      </w:r>
      <w:r>
        <w:t>, PPL Electric Utility Services (PPL EUS), PPL SC, PPLSolutions, and other Pennsylvania based PPL Corporation subsidiaries</w:t>
      </w:r>
      <w:r w:rsidRPr="00885C64">
        <w:t>.</w:t>
      </w:r>
      <w:r>
        <w:t xml:space="preserve">  There is an overlap of this mission with the PPL Corporation subsidiaries operating in Kentucky and synergies are actively being investigated through joint committees of Kentucky and Pennsylvania employees.</w:t>
      </w:r>
      <w:r>
        <w:rPr>
          <w:rFonts w:cs="Arial"/>
          <w:szCs w:val="24"/>
        </w:rPr>
        <w:t xml:space="preserve"> Commonality and overlap with PPL Corporation operations in the United Kingdom are not addressed in this report.</w:t>
      </w:r>
      <w:r w:rsidRPr="00992348">
        <w:t xml:space="preserve"> </w:t>
      </w:r>
    </w:p>
    <w:p w:rsidR="00AC40FC" w:rsidRDefault="00AC40FC" w:rsidP="00057E8B">
      <w:pPr>
        <w:pStyle w:val="Heading40"/>
      </w:pPr>
      <w:r>
        <w:t>Functions</w:t>
      </w:r>
    </w:p>
    <w:p w:rsidR="00AC40FC" w:rsidRDefault="00AC40FC" w:rsidP="00057E8B">
      <w:r>
        <w:t>The IT organization chart displayed above, reflecting direct reports in Pennsylvania to the CIO, identifies six major functions; however, the IT Department addresses the Talen Transition Services Agreement provided as part of the Talen spinoff and is not in the scope of this audit.  Moving from left to right across the chart, the remaining five functions are discussed below.</w:t>
      </w:r>
    </w:p>
    <w:p w:rsidR="00AC40FC" w:rsidRDefault="00AC40FC" w:rsidP="00057E8B">
      <w:r w:rsidRPr="00297C25">
        <w:rPr>
          <w:b/>
        </w:rPr>
        <w:t>IT Information Assurance</w:t>
      </w:r>
      <w:r>
        <w:t xml:space="preserve"> (IAG) has four key responsibilities:  1) protect information, 2) protect confidentiality, 3) availability, and 4) integrity.  Cyber security is one of the core assignments overlaying these four responsibilities.</w:t>
      </w:r>
    </w:p>
    <w:p w:rsidR="00AC40FC" w:rsidRDefault="00AC40FC" w:rsidP="00057E8B">
      <w:r w:rsidRPr="00297C25">
        <w:rPr>
          <w:b/>
        </w:rPr>
        <w:t>IT Strategy and Business Services</w:t>
      </w:r>
      <w:r>
        <w:t xml:space="preserve"> leads and facilitates the IT planning process and has a major role in monitoring performance to plan.  This section also governs change management and manages incident response.  There is heavy collaboration not only within IT, but also with PPL EUS, PPL EU, and with contractors.</w:t>
      </w:r>
    </w:p>
    <w:p w:rsidR="00AC40FC" w:rsidRDefault="00AC40FC" w:rsidP="00057E8B">
      <w:r w:rsidRPr="00297C25">
        <w:rPr>
          <w:b/>
        </w:rPr>
        <w:t>Solution Delivery – PPL EU and Corporate Services</w:t>
      </w:r>
      <w:r>
        <w:t xml:space="preserve"> is responsible for implementing and maintaining commercial software, internally-developed software, and interfaces between systems. The</w:t>
      </w:r>
      <w:r w:rsidRPr="00213472">
        <w:t xml:space="preserve"> emphasis </w:t>
      </w:r>
      <w:r>
        <w:t xml:space="preserve">is </w:t>
      </w:r>
      <w:r w:rsidRPr="00213472">
        <w:t>on back-office areas such as finance, human resources, and legal.</w:t>
      </w:r>
    </w:p>
    <w:p w:rsidR="00AC40FC" w:rsidRDefault="00AC40FC" w:rsidP="00057E8B">
      <w:r w:rsidRPr="00297C25">
        <w:rPr>
          <w:b/>
        </w:rPr>
        <w:t>Solution Delivery – PPL EU Operations</w:t>
      </w:r>
      <w:r>
        <w:t xml:space="preserve"> is responsible for implementing and maintaining commercial software, internally-developed software, and interfaces between systems.  The</w:t>
      </w:r>
      <w:r w:rsidRPr="00213472">
        <w:t xml:space="preserve"> emphasis </w:t>
      </w:r>
      <w:r>
        <w:t xml:space="preserve">is </w:t>
      </w:r>
      <w:r w:rsidRPr="00213472">
        <w:t>on areas such as transmission, distribution, and customer service</w:t>
      </w:r>
      <w:r>
        <w:t xml:space="preserve">.  </w:t>
      </w:r>
    </w:p>
    <w:p w:rsidR="00AC40FC" w:rsidRDefault="00AC40FC" w:rsidP="00057E8B">
      <w:r w:rsidRPr="00102FEB">
        <w:rPr>
          <w:b/>
        </w:rPr>
        <w:t>IT Infrastructure</w:t>
      </w:r>
      <w:r>
        <w:t xml:space="preserve"> is responsible for purchasing, installing, and maintaining data center and hardware and software.  These same responsibilities extend to the network and </w:t>
      </w:r>
      <w:r>
        <w:lastRenderedPageBreak/>
        <w:t>communication links.  The</w:t>
      </w:r>
      <w:r w:rsidRPr="005F72B2">
        <w:t xml:space="preserve"> </w:t>
      </w:r>
      <w:r>
        <w:t>IT I</w:t>
      </w:r>
      <w:r w:rsidRPr="005F72B2">
        <w:t>nfrastructure group “owns” the platforms for the operating systems and the databases, while the business user owns the data.</w:t>
      </w:r>
      <w:r>
        <w:t xml:space="preserve">  </w:t>
      </w:r>
    </w:p>
    <w:p w:rsidR="00AC40FC" w:rsidRDefault="00AC40FC" w:rsidP="00057E8B">
      <w:pPr>
        <w:rPr>
          <w:rFonts w:cs="Arial"/>
          <w:szCs w:val="24"/>
        </w:rPr>
      </w:pPr>
      <w:r>
        <w:rPr>
          <w:rFonts w:cs="Arial"/>
          <w:szCs w:val="24"/>
        </w:rPr>
        <w:t>All personnel reporting to the CIO in Pennsylvania are currently employees of PPL SC.  During 2016, the Pennsylvania PPL SC IT group is scheduled to be transferred to PPL EUS.  The PPL SC CIO currently reports to the PPL EU President.</w:t>
      </w:r>
    </w:p>
    <w:p w:rsidR="00AC40FC" w:rsidRDefault="00AC40FC" w:rsidP="002B3172">
      <w:pPr>
        <w:pStyle w:val="Heading30"/>
        <w:rPr>
          <w:rFonts w:cs="Arial"/>
          <w:szCs w:val="24"/>
        </w:rPr>
      </w:pPr>
      <w:r>
        <w:t>CONTRACTOR USE</w:t>
      </w:r>
    </w:p>
    <w:p w:rsidR="00AC40FC" w:rsidRDefault="00AC40FC" w:rsidP="00057E8B">
      <w:pPr>
        <w:rPr>
          <w:rFonts w:cs="Arial"/>
          <w:szCs w:val="24"/>
        </w:rPr>
      </w:pPr>
      <w:r>
        <w:rPr>
          <w:rFonts w:cs="Arial"/>
          <w:szCs w:val="24"/>
        </w:rPr>
        <w:t xml:space="preserve">Contractors are heavily involved in IT activities, such as help desk, cyber security monitoring, and large development projects.  </w:t>
      </w:r>
      <w:r>
        <w:t>All commercially developed applications, external interfacing applications, and development work performed by external vendors are subject to the same cyber security standards and tests as internally developed applications.</w:t>
      </w:r>
      <w:r w:rsidRPr="004333E0">
        <w:rPr>
          <w:rFonts w:cs="Arial"/>
          <w:szCs w:val="24"/>
        </w:rPr>
        <w:t xml:space="preserve"> </w:t>
      </w:r>
    </w:p>
    <w:p w:rsidR="00AC40FC" w:rsidRDefault="00AC40FC" w:rsidP="00057E8B">
      <w:pPr>
        <w:rPr>
          <w:rFonts w:cs="Arial"/>
          <w:szCs w:val="24"/>
        </w:rPr>
      </w:pPr>
      <w:r>
        <w:rPr>
          <w:rFonts w:cs="Arial"/>
          <w:szCs w:val="24"/>
        </w:rPr>
        <w:t>Contract monitoring is accomplished from five different levels or perspectives:</w:t>
      </w:r>
    </w:p>
    <w:p w:rsidR="00AC40FC" w:rsidRDefault="00AC40FC" w:rsidP="00057E8B">
      <w:pPr>
        <w:pStyle w:val="Bullet"/>
      </w:pPr>
      <w:r>
        <w:t>The IT Planning and Supplier Management group</w:t>
      </w:r>
    </w:p>
    <w:p w:rsidR="00AC40FC" w:rsidRDefault="00AC40FC" w:rsidP="00057E8B">
      <w:pPr>
        <w:pStyle w:val="Bullet"/>
      </w:pPr>
      <w:r>
        <w:t>The IT Service Management group</w:t>
      </w:r>
    </w:p>
    <w:p w:rsidR="00AC40FC" w:rsidRDefault="00AC40FC" w:rsidP="00057E8B">
      <w:pPr>
        <w:pStyle w:val="Bullet"/>
      </w:pPr>
      <w:r>
        <w:t>The Project Management Office</w:t>
      </w:r>
    </w:p>
    <w:p w:rsidR="00AC40FC" w:rsidRDefault="00AC40FC" w:rsidP="00057E8B">
      <w:pPr>
        <w:pStyle w:val="Bullet"/>
      </w:pPr>
      <w:r>
        <w:t>The Corporate financial group</w:t>
      </w:r>
    </w:p>
    <w:p w:rsidR="00AC40FC" w:rsidRDefault="00AC40FC" w:rsidP="00864BDD">
      <w:pPr>
        <w:pStyle w:val="Bullet"/>
      </w:pPr>
      <w:r>
        <w:t>The IT business relationship managers, who have an electric utility/customer perspective</w:t>
      </w:r>
    </w:p>
    <w:p w:rsidR="00AC40FC" w:rsidRDefault="00AC40FC" w:rsidP="00864BDD">
      <w:pPr>
        <w:pStyle w:val="Normal-aftertable"/>
      </w:pPr>
      <w:r>
        <w:t>Examples of m</w:t>
      </w:r>
      <w:r w:rsidRPr="00FE0FC1">
        <w:t>ajor contract</w:t>
      </w:r>
      <w:r>
        <w:t>ed arenas</w:t>
      </w:r>
      <w:r w:rsidRPr="00FE0FC1">
        <w:t xml:space="preserve"> include </w:t>
      </w:r>
      <w:r>
        <w:t xml:space="preserve">the </w:t>
      </w:r>
      <w:r w:rsidRPr="00FE0FC1">
        <w:t xml:space="preserve">Help Desk </w:t>
      </w:r>
      <w:r>
        <w:t>function as well as</w:t>
      </w:r>
      <w:r w:rsidRPr="00FE0FC1">
        <w:t xml:space="preserve"> </w:t>
      </w:r>
      <w:r>
        <w:t>on-site</w:t>
      </w:r>
      <w:r w:rsidRPr="00FE0FC1">
        <w:t xml:space="preserve"> services such as desktop deployment, staff augmentation, multifunction printer</w:t>
      </w:r>
      <w:r>
        <w:t xml:space="preserve"> management</w:t>
      </w:r>
      <w:r w:rsidRPr="00FE0FC1">
        <w:t>, system administration, and integration.</w:t>
      </w:r>
      <w:r>
        <w:t xml:space="preserve">  The Top 12 contract agreements put in place during the five-year period of 2010 - 2014 are presented in the table below.  The start dates range from January 1, 2010 through May 31, 2014.  The end dates range from December 31, 2014 to June 30, 2018.</w:t>
      </w:r>
    </w:p>
    <w:p w:rsidR="00AC40FC" w:rsidRPr="00B769CF" w:rsidRDefault="00AC40FC" w:rsidP="00BB665B">
      <w:pPr>
        <w:pStyle w:val="Caption"/>
        <w:contextualSpacing/>
      </w:pPr>
      <w:bookmarkStart w:id="199" w:name="_Toc462648442"/>
      <w:bookmarkStart w:id="200" w:name="_Toc464553064"/>
      <w:r>
        <w:t xml:space="preserve">Exhibit </w:t>
      </w:r>
      <w:fldSimple w:instr=" STYLEREF 1 \s ">
        <w:r w:rsidR="00A24205">
          <w:rPr>
            <w:noProof/>
          </w:rPr>
          <w:t>XI</w:t>
        </w:r>
      </w:fldSimple>
      <w:r w:rsidR="00264A1B">
        <w:noBreakHyphen/>
      </w:r>
      <w:fldSimple w:instr=" SEQ Exhibit \* ARABIC \s 1 ">
        <w:r w:rsidR="00A24205">
          <w:rPr>
            <w:noProof/>
          </w:rPr>
          <w:t>2</w:t>
        </w:r>
      </w:fldSimple>
      <w:r>
        <w:rPr>
          <w:noProof/>
        </w:rPr>
        <w:br/>
      </w:r>
      <w:r w:rsidRPr="00B769CF">
        <w:t xml:space="preserve">Top 12 IT Contract Agreements </w:t>
      </w:r>
      <w:r>
        <w:t>Awarded 2010–</w:t>
      </w:r>
      <w:r w:rsidRPr="00B769CF">
        <w:t>2014</w:t>
      </w:r>
      <w:bookmarkEnd w:id="199"/>
      <w:bookmarkEnd w:id="2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60"/>
        <w:gridCol w:w="3618"/>
      </w:tblGrid>
      <w:tr w:rsidR="00AC40FC" w:rsidRPr="00483D19" w:rsidTr="00057E8B">
        <w:trPr>
          <w:cantSplit/>
          <w:tblHeader/>
          <w:jc w:val="center"/>
        </w:trPr>
        <w:tc>
          <w:tcPr>
            <w:tcW w:w="5760" w:type="dxa"/>
            <w:shd w:val="clear" w:color="auto" w:fill="A5CD7E"/>
            <w:vAlign w:val="center"/>
          </w:tcPr>
          <w:p w:rsidR="00AC40FC" w:rsidRPr="00483D19" w:rsidRDefault="00AC40FC" w:rsidP="00521E7D">
            <w:pPr>
              <w:spacing w:before="120"/>
              <w:jc w:val="center"/>
              <w:rPr>
                <w:rFonts w:cs="Arial"/>
                <w:b/>
                <w:bCs/>
                <w:sz w:val="22"/>
              </w:rPr>
            </w:pPr>
            <w:r w:rsidRPr="00483D19">
              <w:rPr>
                <w:rFonts w:cs="Arial"/>
                <w:b/>
                <w:bCs/>
                <w:sz w:val="22"/>
              </w:rPr>
              <w:t>Contract Title</w:t>
            </w:r>
          </w:p>
        </w:tc>
        <w:tc>
          <w:tcPr>
            <w:tcW w:w="2160" w:type="dxa"/>
            <w:shd w:val="clear" w:color="auto" w:fill="A5CD7E"/>
            <w:vAlign w:val="center"/>
          </w:tcPr>
          <w:p w:rsidR="00AC40FC" w:rsidRPr="00483D19" w:rsidRDefault="00AC40FC" w:rsidP="00521E7D">
            <w:pPr>
              <w:spacing w:before="120"/>
              <w:jc w:val="center"/>
              <w:rPr>
                <w:rFonts w:cs="Arial"/>
                <w:b/>
                <w:bCs/>
                <w:sz w:val="22"/>
              </w:rPr>
            </w:pPr>
            <w:r w:rsidRPr="00483D19">
              <w:rPr>
                <w:rFonts w:cs="Arial"/>
                <w:b/>
                <w:bCs/>
                <w:sz w:val="22"/>
              </w:rPr>
              <w:t>Contract Amount</w:t>
            </w:r>
          </w:p>
        </w:tc>
      </w:tr>
      <w:tr w:rsidR="00AC40FC" w:rsidRPr="00483D19" w:rsidTr="00057E8B">
        <w:trPr>
          <w:jc w:val="center"/>
        </w:trPr>
        <w:tc>
          <w:tcPr>
            <w:tcW w:w="5760" w:type="dxa"/>
            <w:vAlign w:val="center"/>
          </w:tcPr>
          <w:p w:rsidR="00AC40FC" w:rsidRPr="00483D19" w:rsidRDefault="00AC40FC" w:rsidP="00057E8B">
            <w:pPr>
              <w:spacing w:after="0"/>
              <w:jc w:val="center"/>
              <w:rPr>
                <w:rFonts w:cs="Arial"/>
                <w:sz w:val="22"/>
              </w:rPr>
            </w:pPr>
            <w:r w:rsidRPr="00483D19">
              <w:rPr>
                <w:rFonts w:cs="Arial"/>
                <w:sz w:val="22"/>
              </w:rPr>
              <w:t>Business Intelligence Infrastructure Investments</w:t>
            </w:r>
          </w:p>
        </w:tc>
        <w:tc>
          <w:tcPr>
            <w:tcW w:w="2160" w:type="dxa"/>
            <w:vAlign w:val="center"/>
          </w:tcPr>
          <w:p w:rsidR="00AC40FC" w:rsidRPr="00483D19" w:rsidRDefault="00AC40FC" w:rsidP="00057E8B">
            <w:pPr>
              <w:spacing w:after="0"/>
              <w:jc w:val="center"/>
              <w:rPr>
                <w:rFonts w:cs="Arial"/>
                <w:sz w:val="22"/>
              </w:rPr>
            </w:pPr>
            <w:r w:rsidRPr="00483D19">
              <w:rPr>
                <w:rFonts w:cs="Arial"/>
                <w:sz w:val="22"/>
              </w:rPr>
              <w:t>$6,512,368</w:t>
            </w:r>
          </w:p>
        </w:tc>
      </w:tr>
      <w:tr w:rsidR="00AC40FC" w:rsidRPr="00483D19" w:rsidTr="00057E8B">
        <w:trPr>
          <w:jc w:val="center"/>
        </w:trPr>
        <w:tc>
          <w:tcPr>
            <w:tcW w:w="5760" w:type="dxa"/>
            <w:vAlign w:val="center"/>
          </w:tcPr>
          <w:p w:rsidR="00AC40FC" w:rsidRPr="00483D19" w:rsidRDefault="00AC40FC" w:rsidP="00057E8B">
            <w:pPr>
              <w:spacing w:after="0"/>
              <w:jc w:val="center"/>
              <w:rPr>
                <w:rFonts w:cs="Arial"/>
                <w:sz w:val="22"/>
              </w:rPr>
            </w:pPr>
            <w:r w:rsidRPr="00483D19">
              <w:rPr>
                <w:rFonts w:cs="Arial"/>
                <w:sz w:val="22"/>
              </w:rPr>
              <w:t>Level 1 Services</w:t>
            </w:r>
          </w:p>
        </w:tc>
        <w:tc>
          <w:tcPr>
            <w:tcW w:w="2160" w:type="dxa"/>
            <w:vAlign w:val="center"/>
          </w:tcPr>
          <w:p w:rsidR="00AC40FC" w:rsidRPr="00483D19" w:rsidRDefault="00AC40FC" w:rsidP="00057E8B">
            <w:pPr>
              <w:spacing w:after="0"/>
              <w:jc w:val="center"/>
              <w:rPr>
                <w:rFonts w:cs="Arial"/>
                <w:sz w:val="22"/>
              </w:rPr>
            </w:pPr>
            <w:r w:rsidRPr="00483D19">
              <w:rPr>
                <w:rFonts w:cs="Arial"/>
                <w:sz w:val="22"/>
              </w:rPr>
              <w:t>$5,017,102</w:t>
            </w:r>
          </w:p>
        </w:tc>
      </w:tr>
      <w:tr w:rsidR="00AC40FC" w:rsidRPr="00483D19" w:rsidTr="00057E8B">
        <w:trPr>
          <w:jc w:val="center"/>
        </w:trPr>
        <w:tc>
          <w:tcPr>
            <w:tcW w:w="5760" w:type="dxa"/>
            <w:vAlign w:val="center"/>
          </w:tcPr>
          <w:p w:rsidR="00AC40FC" w:rsidRPr="00483D19" w:rsidRDefault="00AC40FC" w:rsidP="00057E8B">
            <w:pPr>
              <w:spacing w:after="0"/>
              <w:jc w:val="center"/>
              <w:rPr>
                <w:rFonts w:cs="Arial"/>
                <w:sz w:val="22"/>
              </w:rPr>
            </w:pPr>
            <w:r w:rsidRPr="00483D19">
              <w:rPr>
                <w:rFonts w:cs="Arial"/>
                <w:sz w:val="22"/>
              </w:rPr>
              <w:t xml:space="preserve">Managed Print Services - Distributed Fleet And Output Center     </w:t>
            </w:r>
          </w:p>
        </w:tc>
        <w:tc>
          <w:tcPr>
            <w:tcW w:w="2160" w:type="dxa"/>
            <w:vAlign w:val="center"/>
          </w:tcPr>
          <w:p w:rsidR="00AC40FC" w:rsidRPr="00483D19" w:rsidRDefault="00AC40FC" w:rsidP="00057E8B">
            <w:pPr>
              <w:spacing w:after="0"/>
              <w:jc w:val="center"/>
              <w:rPr>
                <w:rFonts w:cs="Arial"/>
                <w:sz w:val="22"/>
              </w:rPr>
            </w:pPr>
            <w:r w:rsidRPr="00483D19">
              <w:rPr>
                <w:rFonts w:cs="Arial"/>
                <w:sz w:val="22"/>
              </w:rPr>
              <w:t>$4,114,557</w:t>
            </w:r>
          </w:p>
        </w:tc>
      </w:tr>
      <w:tr w:rsidR="00AC40FC" w:rsidRPr="00483D19" w:rsidTr="00057E8B">
        <w:trPr>
          <w:jc w:val="center"/>
        </w:trPr>
        <w:tc>
          <w:tcPr>
            <w:tcW w:w="5760" w:type="dxa"/>
            <w:vAlign w:val="center"/>
          </w:tcPr>
          <w:p w:rsidR="00AC40FC" w:rsidRPr="00483D19" w:rsidRDefault="00AC40FC" w:rsidP="00057E8B">
            <w:pPr>
              <w:spacing w:after="0"/>
              <w:jc w:val="center"/>
              <w:rPr>
                <w:rFonts w:cs="Arial"/>
                <w:sz w:val="22"/>
              </w:rPr>
            </w:pPr>
            <w:r w:rsidRPr="00483D19">
              <w:rPr>
                <w:rFonts w:cs="Arial"/>
                <w:sz w:val="22"/>
              </w:rPr>
              <w:t>Software And Maintenance Support 5/14 - 5/15</w:t>
            </w:r>
          </w:p>
        </w:tc>
        <w:tc>
          <w:tcPr>
            <w:tcW w:w="2160" w:type="dxa"/>
            <w:vAlign w:val="center"/>
          </w:tcPr>
          <w:p w:rsidR="00AC40FC" w:rsidRPr="00483D19" w:rsidRDefault="00AC40FC" w:rsidP="00057E8B">
            <w:pPr>
              <w:spacing w:after="0"/>
              <w:jc w:val="center"/>
              <w:rPr>
                <w:rFonts w:cs="Arial"/>
                <w:sz w:val="22"/>
              </w:rPr>
            </w:pPr>
            <w:r w:rsidRPr="00483D19">
              <w:rPr>
                <w:rFonts w:cs="Arial"/>
                <w:sz w:val="22"/>
              </w:rPr>
              <w:t>$4,078,865</w:t>
            </w:r>
          </w:p>
        </w:tc>
      </w:tr>
      <w:tr w:rsidR="00AC40FC" w:rsidRPr="00483D19" w:rsidTr="00057E8B">
        <w:trPr>
          <w:jc w:val="center"/>
        </w:trPr>
        <w:tc>
          <w:tcPr>
            <w:tcW w:w="5760" w:type="dxa"/>
            <w:vAlign w:val="center"/>
          </w:tcPr>
          <w:p w:rsidR="00AC40FC" w:rsidRPr="00483D19" w:rsidRDefault="00AC40FC" w:rsidP="00057E8B">
            <w:pPr>
              <w:spacing w:after="0"/>
              <w:jc w:val="center"/>
              <w:rPr>
                <w:rFonts w:cs="Arial"/>
                <w:sz w:val="22"/>
              </w:rPr>
            </w:pPr>
            <w:r w:rsidRPr="00483D19">
              <w:rPr>
                <w:rFonts w:cs="Arial"/>
                <w:sz w:val="22"/>
              </w:rPr>
              <w:t xml:space="preserve">DMS System </w:t>
            </w:r>
          </w:p>
        </w:tc>
        <w:tc>
          <w:tcPr>
            <w:tcW w:w="2160" w:type="dxa"/>
            <w:vAlign w:val="center"/>
          </w:tcPr>
          <w:p w:rsidR="00AC40FC" w:rsidRPr="00483D19" w:rsidRDefault="00AC40FC" w:rsidP="00057E8B">
            <w:pPr>
              <w:spacing w:after="0"/>
              <w:jc w:val="center"/>
              <w:rPr>
                <w:rFonts w:cs="Arial"/>
                <w:sz w:val="22"/>
              </w:rPr>
            </w:pPr>
            <w:r w:rsidRPr="00483D19">
              <w:rPr>
                <w:rFonts w:cs="Arial"/>
                <w:sz w:val="22"/>
              </w:rPr>
              <w:t>$3,692,360</w:t>
            </w:r>
          </w:p>
        </w:tc>
      </w:tr>
      <w:tr w:rsidR="00AC40FC" w:rsidRPr="00483D19" w:rsidTr="00057E8B">
        <w:trPr>
          <w:jc w:val="center"/>
        </w:trPr>
        <w:tc>
          <w:tcPr>
            <w:tcW w:w="5760" w:type="dxa"/>
            <w:vAlign w:val="center"/>
          </w:tcPr>
          <w:p w:rsidR="00AC40FC" w:rsidRPr="00483D19" w:rsidRDefault="00AC40FC" w:rsidP="00057E8B">
            <w:pPr>
              <w:spacing w:after="0"/>
              <w:jc w:val="center"/>
              <w:rPr>
                <w:rFonts w:cs="Arial"/>
                <w:sz w:val="22"/>
              </w:rPr>
            </w:pPr>
            <w:r w:rsidRPr="00483D19">
              <w:rPr>
                <w:rFonts w:cs="Arial"/>
                <w:sz w:val="22"/>
              </w:rPr>
              <w:t>Customer Interaction Center (CIC) Solution</w:t>
            </w:r>
          </w:p>
        </w:tc>
        <w:tc>
          <w:tcPr>
            <w:tcW w:w="2160" w:type="dxa"/>
            <w:vAlign w:val="center"/>
          </w:tcPr>
          <w:p w:rsidR="00AC40FC" w:rsidRPr="00483D19" w:rsidRDefault="00AC40FC" w:rsidP="00057E8B">
            <w:pPr>
              <w:spacing w:after="0"/>
              <w:jc w:val="center"/>
              <w:rPr>
                <w:rFonts w:cs="Arial"/>
                <w:sz w:val="22"/>
              </w:rPr>
            </w:pPr>
            <w:r w:rsidRPr="00483D19">
              <w:rPr>
                <w:rFonts w:cs="Arial"/>
                <w:sz w:val="22"/>
              </w:rPr>
              <w:t>$3,201,604</w:t>
            </w:r>
          </w:p>
        </w:tc>
      </w:tr>
      <w:tr w:rsidR="00AC40FC" w:rsidRPr="00483D19" w:rsidTr="00057E8B">
        <w:trPr>
          <w:jc w:val="center"/>
        </w:trPr>
        <w:tc>
          <w:tcPr>
            <w:tcW w:w="5760" w:type="dxa"/>
            <w:vAlign w:val="center"/>
          </w:tcPr>
          <w:p w:rsidR="00AC40FC" w:rsidRPr="00483D19" w:rsidRDefault="00AC40FC" w:rsidP="00057E8B">
            <w:pPr>
              <w:spacing w:after="0"/>
              <w:jc w:val="center"/>
              <w:rPr>
                <w:rFonts w:cs="Arial"/>
                <w:sz w:val="22"/>
              </w:rPr>
            </w:pPr>
            <w:r w:rsidRPr="00483D19">
              <w:rPr>
                <w:rFonts w:cs="Arial"/>
                <w:sz w:val="22"/>
              </w:rPr>
              <w:t>MS Server And Cloud Enrollment</w:t>
            </w:r>
          </w:p>
        </w:tc>
        <w:tc>
          <w:tcPr>
            <w:tcW w:w="2160" w:type="dxa"/>
            <w:vAlign w:val="center"/>
          </w:tcPr>
          <w:p w:rsidR="00AC40FC" w:rsidRPr="00483D19" w:rsidRDefault="00AC40FC" w:rsidP="00057E8B">
            <w:pPr>
              <w:spacing w:after="0"/>
              <w:jc w:val="center"/>
              <w:rPr>
                <w:rFonts w:cs="Arial"/>
                <w:sz w:val="22"/>
              </w:rPr>
            </w:pPr>
            <w:r w:rsidRPr="00483D19">
              <w:rPr>
                <w:rFonts w:cs="Arial"/>
                <w:sz w:val="22"/>
              </w:rPr>
              <w:t>$2,684,766</w:t>
            </w:r>
          </w:p>
        </w:tc>
      </w:tr>
      <w:tr w:rsidR="00AC40FC" w:rsidRPr="00483D19" w:rsidTr="00057E8B">
        <w:trPr>
          <w:jc w:val="center"/>
        </w:trPr>
        <w:tc>
          <w:tcPr>
            <w:tcW w:w="5760" w:type="dxa"/>
            <w:vAlign w:val="center"/>
          </w:tcPr>
          <w:p w:rsidR="00AC40FC" w:rsidRPr="00483D19" w:rsidRDefault="00AC40FC" w:rsidP="00057E8B">
            <w:pPr>
              <w:spacing w:after="0"/>
              <w:jc w:val="center"/>
              <w:rPr>
                <w:rFonts w:cs="Arial"/>
                <w:sz w:val="22"/>
              </w:rPr>
            </w:pPr>
            <w:r w:rsidRPr="00483D19">
              <w:rPr>
                <w:rFonts w:cs="Arial"/>
                <w:sz w:val="22"/>
              </w:rPr>
              <w:t xml:space="preserve">ETL (Extract, Transform, Load) And Data Integration Tool Subscription &amp; Support </w:t>
            </w:r>
          </w:p>
        </w:tc>
        <w:tc>
          <w:tcPr>
            <w:tcW w:w="2160" w:type="dxa"/>
            <w:vAlign w:val="center"/>
          </w:tcPr>
          <w:p w:rsidR="00AC40FC" w:rsidRPr="00483D19" w:rsidRDefault="00AC40FC" w:rsidP="00057E8B">
            <w:pPr>
              <w:spacing w:after="0"/>
              <w:jc w:val="center"/>
              <w:rPr>
                <w:rFonts w:cs="Arial"/>
                <w:sz w:val="22"/>
              </w:rPr>
            </w:pPr>
            <w:r w:rsidRPr="00483D19">
              <w:rPr>
                <w:rFonts w:cs="Arial"/>
                <w:sz w:val="22"/>
              </w:rPr>
              <w:t>$2,301,582</w:t>
            </w:r>
          </w:p>
        </w:tc>
      </w:tr>
      <w:tr w:rsidR="00AC40FC" w:rsidRPr="00483D19" w:rsidTr="00057E8B">
        <w:trPr>
          <w:jc w:val="center"/>
        </w:trPr>
        <w:tc>
          <w:tcPr>
            <w:tcW w:w="5760" w:type="dxa"/>
            <w:vAlign w:val="center"/>
          </w:tcPr>
          <w:p w:rsidR="00AC40FC" w:rsidRPr="00483D19" w:rsidRDefault="00AC40FC" w:rsidP="00057E8B">
            <w:pPr>
              <w:spacing w:after="0"/>
              <w:jc w:val="center"/>
              <w:rPr>
                <w:rFonts w:cs="Arial"/>
                <w:sz w:val="22"/>
              </w:rPr>
            </w:pPr>
            <w:r w:rsidRPr="00483D19">
              <w:rPr>
                <w:rFonts w:cs="Arial"/>
                <w:sz w:val="22"/>
              </w:rPr>
              <w:t>DMS System</w:t>
            </w:r>
            <w:r w:rsidRPr="00483D19" w:rsidDel="00821DFE">
              <w:rPr>
                <w:rFonts w:cs="Arial"/>
                <w:sz w:val="22"/>
              </w:rPr>
              <w:t xml:space="preserve"> </w:t>
            </w:r>
          </w:p>
        </w:tc>
        <w:tc>
          <w:tcPr>
            <w:tcW w:w="2160" w:type="dxa"/>
            <w:vAlign w:val="center"/>
          </w:tcPr>
          <w:p w:rsidR="00AC40FC" w:rsidRPr="00483D19" w:rsidRDefault="00AC40FC" w:rsidP="00057E8B">
            <w:pPr>
              <w:spacing w:after="0"/>
              <w:jc w:val="center"/>
              <w:rPr>
                <w:rFonts w:cs="Arial"/>
                <w:sz w:val="22"/>
              </w:rPr>
            </w:pPr>
            <w:r w:rsidRPr="00483D19">
              <w:rPr>
                <w:rFonts w:cs="Arial"/>
                <w:sz w:val="22"/>
              </w:rPr>
              <w:t>$1,970,500</w:t>
            </w:r>
          </w:p>
        </w:tc>
      </w:tr>
      <w:tr w:rsidR="00AC40FC" w:rsidRPr="00483D19" w:rsidTr="00057E8B">
        <w:trPr>
          <w:jc w:val="center"/>
        </w:trPr>
        <w:tc>
          <w:tcPr>
            <w:tcW w:w="5760" w:type="dxa"/>
            <w:vAlign w:val="center"/>
          </w:tcPr>
          <w:p w:rsidR="00AC40FC" w:rsidRPr="00483D19" w:rsidRDefault="00AC40FC" w:rsidP="00057E8B">
            <w:pPr>
              <w:spacing w:after="0"/>
              <w:jc w:val="center"/>
              <w:rPr>
                <w:rFonts w:cs="Arial"/>
                <w:sz w:val="22"/>
              </w:rPr>
            </w:pPr>
            <w:r w:rsidRPr="00483D19">
              <w:rPr>
                <w:rFonts w:cs="Arial"/>
                <w:sz w:val="22"/>
              </w:rPr>
              <w:t xml:space="preserve">Managed Maintenance For </w:t>
            </w:r>
            <w:r>
              <w:rPr>
                <w:rFonts w:cs="Arial"/>
                <w:sz w:val="22"/>
              </w:rPr>
              <w:t>PPLSolutions</w:t>
            </w:r>
            <w:r w:rsidRPr="00483D19" w:rsidDel="00821DFE">
              <w:rPr>
                <w:rFonts w:cs="Arial"/>
                <w:sz w:val="22"/>
              </w:rPr>
              <w:t xml:space="preserve"> </w:t>
            </w:r>
          </w:p>
        </w:tc>
        <w:tc>
          <w:tcPr>
            <w:tcW w:w="2160" w:type="dxa"/>
            <w:vAlign w:val="center"/>
          </w:tcPr>
          <w:p w:rsidR="00AC40FC" w:rsidRPr="00483D19" w:rsidRDefault="00AC40FC" w:rsidP="00057E8B">
            <w:pPr>
              <w:spacing w:after="0"/>
              <w:jc w:val="center"/>
              <w:rPr>
                <w:rFonts w:cs="Arial"/>
                <w:sz w:val="22"/>
              </w:rPr>
            </w:pPr>
            <w:r w:rsidRPr="00483D19">
              <w:rPr>
                <w:rFonts w:cs="Arial"/>
                <w:sz w:val="22"/>
              </w:rPr>
              <w:t>$1,647,145</w:t>
            </w:r>
          </w:p>
        </w:tc>
      </w:tr>
      <w:tr w:rsidR="00AC40FC" w:rsidRPr="00483D19" w:rsidTr="00057E8B">
        <w:trPr>
          <w:jc w:val="center"/>
        </w:trPr>
        <w:tc>
          <w:tcPr>
            <w:tcW w:w="5760" w:type="dxa"/>
            <w:vAlign w:val="center"/>
          </w:tcPr>
          <w:p w:rsidR="00AC40FC" w:rsidRPr="00483D19" w:rsidRDefault="00AC40FC" w:rsidP="00057E8B">
            <w:pPr>
              <w:spacing w:after="0"/>
              <w:jc w:val="center"/>
              <w:rPr>
                <w:rFonts w:cs="Arial"/>
                <w:sz w:val="22"/>
              </w:rPr>
            </w:pPr>
            <w:r w:rsidRPr="00483D19">
              <w:rPr>
                <w:rFonts w:cs="Arial"/>
                <w:sz w:val="22"/>
              </w:rPr>
              <w:t xml:space="preserve">Enterprise Work &amp; Asset Management System </w:t>
            </w:r>
          </w:p>
        </w:tc>
        <w:tc>
          <w:tcPr>
            <w:tcW w:w="2160" w:type="dxa"/>
            <w:vAlign w:val="center"/>
          </w:tcPr>
          <w:p w:rsidR="00AC40FC" w:rsidRPr="00483D19" w:rsidRDefault="00AC40FC" w:rsidP="00057E8B">
            <w:pPr>
              <w:spacing w:after="0"/>
              <w:jc w:val="center"/>
              <w:rPr>
                <w:rFonts w:cs="Arial"/>
                <w:sz w:val="22"/>
              </w:rPr>
            </w:pPr>
            <w:r w:rsidRPr="00483D19">
              <w:rPr>
                <w:rFonts w:cs="Arial"/>
                <w:sz w:val="22"/>
              </w:rPr>
              <w:t>$1,541,703</w:t>
            </w:r>
          </w:p>
        </w:tc>
      </w:tr>
      <w:tr w:rsidR="00AC40FC" w:rsidRPr="00483D19" w:rsidTr="00057E8B">
        <w:trPr>
          <w:jc w:val="center"/>
        </w:trPr>
        <w:tc>
          <w:tcPr>
            <w:tcW w:w="5760" w:type="dxa"/>
            <w:vAlign w:val="center"/>
          </w:tcPr>
          <w:p w:rsidR="00AC40FC" w:rsidRPr="00483D19" w:rsidRDefault="00AC40FC" w:rsidP="00057E8B">
            <w:pPr>
              <w:spacing w:after="0"/>
              <w:jc w:val="center"/>
              <w:rPr>
                <w:rFonts w:cs="Arial"/>
                <w:sz w:val="22"/>
              </w:rPr>
            </w:pPr>
            <w:r w:rsidRPr="00483D19">
              <w:rPr>
                <w:rFonts w:cs="Arial"/>
                <w:sz w:val="22"/>
              </w:rPr>
              <w:t>SMO Management/Telecom Management</w:t>
            </w:r>
            <w:r w:rsidRPr="00483D19" w:rsidDel="00821DFE">
              <w:rPr>
                <w:rFonts w:cs="Arial"/>
                <w:sz w:val="22"/>
              </w:rPr>
              <w:t xml:space="preserve"> </w:t>
            </w:r>
          </w:p>
        </w:tc>
        <w:tc>
          <w:tcPr>
            <w:tcW w:w="2160" w:type="dxa"/>
            <w:vAlign w:val="center"/>
          </w:tcPr>
          <w:p w:rsidR="00AC40FC" w:rsidRPr="00483D19" w:rsidRDefault="00AC40FC" w:rsidP="00057E8B">
            <w:pPr>
              <w:spacing w:after="0"/>
              <w:jc w:val="center"/>
              <w:rPr>
                <w:rFonts w:cs="Arial"/>
                <w:sz w:val="22"/>
              </w:rPr>
            </w:pPr>
            <w:r w:rsidRPr="00483D19">
              <w:rPr>
                <w:rFonts w:cs="Arial"/>
                <w:sz w:val="22"/>
              </w:rPr>
              <w:t>$1,203,607</w:t>
            </w:r>
          </w:p>
        </w:tc>
      </w:tr>
      <w:tr w:rsidR="00AC40FC" w:rsidRPr="00483D19" w:rsidTr="00057E8B">
        <w:trPr>
          <w:jc w:val="center"/>
        </w:trPr>
        <w:tc>
          <w:tcPr>
            <w:tcW w:w="9378" w:type="dxa"/>
            <w:gridSpan w:val="2"/>
            <w:vAlign w:val="center"/>
          </w:tcPr>
          <w:p w:rsidR="00AC40FC" w:rsidRPr="00483D19" w:rsidRDefault="00AC40FC" w:rsidP="00057E8B">
            <w:pPr>
              <w:spacing w:after="0"/>
              <w:jc w:val="left"/>
              <w:rPr>
                <w:rFonts w:cs="Arial"/>
                <w:sz w:val="22"/>
              </w:rPr>
            </w:pPr>
            <w:r w:rsidRPr="00483D19">
              <w:rPr>
                <w:rFonts w:cs="Arial"/>
                <w:sz w:val="22"/>
              </w:rPr>
              <w:t>Source: DN 01-048</w:t>
            </w:r>
          </w:p>
        </w:tc>
      </w:tr>
    </w:tbl>
    <w:p w:rsidR="00AC40FC" w:rsidRDefault="00AC40FC" w:rsidP="00057E8B">
      <w:pPr>
        <w:pStyle w:val="Heading30"/>
      </w:pPr>
      <w:r>
        <w:lastRenderedPageBreak/>
        <w:t>Transformation in Progress</w:t>
      </w:r>
    </w:p>
    <w:p w:rsidR="00AC40FC" w:rsidRDefault="00AC40FC" w:rsidP="00057E8B">
      <w:pPr>
        <w:rPr>
          <w:rFonts w:cs="Arial"/>
          <w:szCs w:val="24"/>
        </w:rPr>
      </w:pPr>
      <w:r>
        <w:rPr>
          <w:rFonts w:cs="Arial"/>
          <w:szCs w:val="24"/>
        </w:rPr>
        <w:t xml:space="preserve">PPL SC is in the midst of over-arching changes that are transforming the way IT functionality is delivered.  These changes are impacting the way IT services are defined, interaction with the user communities, IT-specific software tools, and the organization structure. </w:t>
      </w:r>
    </w:p>
    <w:p w:rsidR="00AC40FC" w:rsidRDefault="00AC40FC" w:rsidP="00057E8B">
      <w:pPr>
        <w:rPr>
          <w:rFonts w:cs="Arial"/>
          <w:szCs w:val="24"/>
        </w:rPr>
      </w:pPr>
      <w:r w:rsidRPr="009970BE">
        <w:rPr>
          <w:rFonts w:cs="Arial"/>
          <w:b/>
          <w:szCs w:val="24"/>
        </w:rPr>
        <w:t xml:space="preserve">IT </w:t>
      </w:r>
      <w:r>
        <w:rPr>
          <w:rFonts w:cs="Arial"/>
          <w:b/>
          <w:szCs w:val="24"/>
        </w:rPr>
        <w:t>S</w:t>
      </w:r>
      <w:r w:rsidRPr="009970BE">
        <w:rPr>
          <w:rFonts w:cs="Arial"/>
          <w:b/>
          <w:szCs w:val="24"/>
        </w:rPr>
        <w:t xml:space="preserve">ervice </w:t>
      </w:r>
      <w:r>
        <w:rPr>
          <w:rFonts w:cs="Arial"/>
          <w:b/>
          <w:szCs w:val="24"/>
        </w:rPr>
        <w:t>M</w:t>
      </w:r>
      <w:r w:rsidRPr="009970BE">
        <w:rPr>
          <w:rFonts w:cs="Arial"/>
          <w:b/>
          <w:szCs w:val="24"/>
        </w:rPr>
        <w:t xml:space="preserve">anagement </w:t>
      </w:r>
      <w:r>
        <w:rPr>
          <w:rFonts w:cs="Arial"/>
          <w:szCs w:val="24"/>
        </w:rPr>
        <w:t xml:space="preserve"> </w:t>
      </w:r>
    </w:p>
    <w:p w:rsidR="00AC40FC" w:rsidRDefault="00AC40FC" w:rsidP="00057E8B">
      <w:pPr>
        <w:rPr>
          <w:rFonts w:cs="Arial"/>
          <w:szCs w:val="24"/>
        </w:rPr>
      </w:pPr>
      <w:r>
        <w:rPr>
          <w:rFonts w:cs="Arial"/>
          <w:szCs w:val="24"/>
        </w:rPr>
        <w:t>Like many other large complex enterprises, PPL has been migrating IT management from technology-oriented approaches to an IT Service Management (ITSM) approach.  ITSM focuses on services that meet the needs of customers (both internal and external), as compared to traditional IT management approaches that focus on networks or systems.  Migration to ITSM can be characterized as a paradigm shift.  The change takes multiple years and requires evolution in IT staff thinking patterns.  This journey was first initiated in the Kentucky operations, and was adopted for Pennsylvania use in early 2012.  The overall PPL SC schedule for the ITSM migration is displayed in the exhibit that follows:</w:t>
      </w:r>
    </w:p>
    <w:p w:rsidR="00AC40FC" w:rsidRPr="00402416" w:rsidRDefault="00AC40FC" w:rsidP="002B3172">
      <w:pPr>
        <w:pStyle w:val="Caption"/>
      </w:pPr>
      <w:bookmarkStart w:id="201" w:name="_Toc462648443"/>
      <w:bookmarkStart w:id="202" w:name="_Toc464553065"/>
      <w:r>
        <w:t xml:space="preserve">Exhibit </w:t>
      </w:r>
      <w:fldSimple w:instr=" STYLEREF 1 \s ">
        <w:r w:rsidR="00A24205">
          <w:rPr>
            <w:noProof/>
          </w:rPr>
          <w:t>XI</w:t>
        </w:r>
      </w:fldSimple>
      <w:r w:rsidR="00264A1B">
        <w:noBreakHyphen/>
      </w:r>
      <w:fldSimple w:instr=" SEQ Exhibit \* ARABIC \s 1 ">
        <w:r w:rsidR="00A24205">
          <w:rPr>
            <w:noProof/>
          </w:rPr>
          <w:t>3</w:t>
        </w:r>
      </w:fldSimple>
      <w:r>
        <w:br/>
      </w:r>
      <w:r w:rsidRPr="00402416">
        <w:t>PPL ITSM Project Schedule</w:t>
      </w:r>
      <w:bookmarkEnd w:id="201"/>
      <w:bookmarkEnd w:id="202"/>
    </w:p>
    <w:p w:rsidR="00AC40FC" w:rsidRPr="00756A9D" w:rsidRDefault="00AC40FC" w:rsidP="00057E8B">
      <w:pPr>
        <w:jc w:val="center"/>
      </w:pPr>
      <w:r>
        <w:rPr>
          <w:noProof/>
        </w:rPr>
        <w:drawing>
          <wp:inline distT="0" distB="0" distL="0" distR="0">
            <wp:extent cx="5886450" cy="3860926"/>
            <wp:effectExtent l="0" t="0" r="0" b="63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TSM_Roadmap.jpg"/>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86450" cy="3860926"/>
                    </a:xfrm>
                    <a:prstGeom prst="rect">
                      <a:avLst/>
                    </a:prstGeom>
                  </pic:spPr>
                </pic:pic>
              </a:graphicData>
            </a:graphic>
          </wp:inline>
        </w:drawing>
      </w:r>
    </w:p>
    <w:p w:rsidR="00AC40FC" w:rsidRDefault="00AC40FC" w:rsidP="00057E8B">
      <w:pPr>
        <w:pStyle w:val="Normal-aftertable"/>
      </w:pPr>
      <w:r>
        <w:t xml:space="preserve">Source: DN 09-008b  </w:t>
      </w:r>
    </w:p>
    <w:p w:rsidR="00AC40FC" w:rsidRDefault="00AC40FC" w:rsidP="00057E8B">
      <w:r>
        <w:t>In the opening descriptive sentence to the exhibit above, there are references to “ITIL” and “ServiceNow.” ITIL is described immediately below and ServiceNow is discussed in the succeeding section.</w:t>
      </w:r>
    </w:p>
    <w:p w:rsidR="00AC40FC" w:rsidRDefault="00AC40FC" w:rsidP="00057E8B">
      <w:pPr>
        <w:pStyle w:val="Heading40"/>
      </w:pPr>
      <w:r w:rsidRPr="009970BE">
        <w:lastRenderedPageBreak/>
        <w:t xml:space="preserve">Information Technology Infrastructure Library </w:t>
      </w:r>
    </w:p>
    <w:p w:rsidR="00AC40FC" w:rsidRDefault="00AC40FC" w:rsidP="00057E8B">
      <w:pPr>
        <w:rPr>
          <w:rFonts w:cs="Arial"/>
          <w:szCs w:val="24"/>
        </w:rPr>
      </w:pPr>
      <w:r>
        <w:rPr>
          <w:rFonts w:cs="Arial"/>
          <w:szCs w:val="24"/>
        </w:rPr>
        <w:t xml:space="preserve">The ITSM model is high level, and thus requires an underlying framework to realize the benefits.  The ITSM framework adopted by PPL SC is Information Technology Infrastructure Library (ITIL).  ITIL </w:t>
      </w:r>
      <w:r w:rsidRPr="001678C1">
        <w:rPr>
          <w:rFonts w:cs="Arial"/>
          <w:szCs w:val="24"/>
        </w:rPr>
        <w:t>is a best practice framework</w:t>
      </w:r>
      <w:r>
        <w:rPr>
          <w:rFonts w:cs="Arial"/>
          <w:szCs w:val="24"/>
        </w:rPr>
        <w:t>, originally developed within the government in the United Kingdom,</w:t>
      </w:r>
      <w:r w:rsidRPr="001678C1">
        <w:rPr>
          <w:rFonts w:cs="Arial"/>
          <w:szCs w:val="24"/>
        </w:rPr>
        <w:t xml:space="preserve"> </w:t>
      </w:r>
      <w:r>
        <w:rPr>
          <w:rFonts w:cs="Arial"/>
          <w:szCs w:val="24"/>
        </w:rPr>
        <w:t xml:space="preserve">and has been </w:t>
      </w:r>
      <w:r w:rsidRPr="001678C1">
        <w:rPr>
          <w:rFonts w:cs="Arial"/>
          <w:szCs w:val="24"/>
        </w:rPr>
        <w:t xml:space="preserve">available for </w:t>
      </w:r>
      <w:r>
        <w:rPr>
          <w:rFonts w:cs="Arial"/>
          <w:szCs w:val="24"/>
        </w:rPr>
        <w:t xml:space="preserve">public </w:t>
      </w:r>
      <w:r w:rsidRPr="001678C1">
        <w:rPr>
          <w:rFonts w:cs="Arial"/>
          <w:szCs w:val="24"/>
        </w:rPr>
        <w:t>use.</w:t>
      </w:r>
      <w:r>
        <w:rPr>
          <w:rFonts w:cs="Arial"/>
          <w:szCs w:val="24"/>
        </w:rPr>
        <w:t xml:space="preserve"> </w:t>
      </w:r>
      <w:r w:rsidRPr="001678C1">
        <w:rPr>
          <w:rFonts w:cs="Arial"/>
          <w:szCs w:val="24"/>
        </w:rPr>
        <w:t xml:space="preserve"> While ITIL has been in existence for over twenty years, the global adoption of ITIL </w:t>
      </w:r>
      <w:r>
        <w:rPr>
          <w:rFonts w:cs="Arial"/>
          <w:szCs w:val="24"/>
        </w:rPr>
        <w:t xml:space="preserve">has increased significantly </w:t>
      </w:r>
      <w:r w:rsidRPr="00F92DB8">
        <w:rPr>
          <w:rFonts w:cs="Arial"/>
          <w:szCs w:val="24"/>
        </w:rPr>
        <w:t>in recent years.</w:t>
      </w:r>
      <w:r>
        <w:rPr>
          <w:rFonts w:cs="Arial"/>
          <w:szCs w:val="24"/>
        </w:rPr>
        <w:t xml:space="preserve">  Even though other frameworks exist for ITSM purposes, ITIL is now often equated with ITSM.  ITIL is now marketed and managed by Axelos, under license from the United Kingdom.</w:t>
      </w:r>
      <w:r w:rsidRPr="00992348">
        <w:t xml:space="preserve"> </w:t>
      </w:r>
    </w:p>
    <w:p w:rsidR="00AC40FC" w:rsidRDefault="00AC40FC" w:rsidP="00057E8B">
      <w:pPr>
        <w:rPr>
          <w:rFonts w:cs="Arial"/>
          <w:szCs w:val="24"/>
        </w:rPr>
      </w:pPr>
      <w:r>
        <w:rPr>
          <w:rFonts w:cs="Arial"/>
          <w:szCs w:val="24"/>
        </w:rPr>
        <w:t xml:space="preserve">The ITIL framework contains </w:t>
      </w:r>
      <w:r w:rsidRPr="00A37D86">
        <w:rPr>
          <w:rFonts w:cs="Arial"/>
          <w:szCs w:val="24"/>
        </w:rPr>
        <w:t>five parts: Strategy, Design, Transition, Operations</w:t>
      </w:r>
      <w:r>
        <w:rPr>
          <w:rFonts w:cs="Arial"/>
          <w:szCs w:val="24"/>
        </w:rPr>
        <w:t>,</w:t>
      </w:r>
      <w:r w:rsidRPr="00A37D86">
        <w:rPr>
          <w:rFonts w:cs="Arial"/>
          <w:szCs w:val="24"/>
        </w:rPr>
        <w:t xml:space="preserve"> and Continual Service Improvement</w:t>
      </w:r>
      <w:r>
        <w:rPr>
          <w:rFonts w:cs="Arial"/>
          <w:szCs w:val="24"/>
        </w:rPr>
        <w:t>.  Underlying these parts, the ITIL best practice framework specifies</w:t>
      </w:r>
      <w:r w:rsidRPr="00F92DB8">
        <w:rPr>
          <w:rFonts w:cs="Arial"/>
          <w:szCs w:val="24"/>
        </w:rPr>
        <w:t xml:space="preserve"> a set of key processes </w:t>
      </w:r>
      <w:r>
        <w:rPr>
          <w:rFonts w:cs="Arial"/>
          <w:szCs w:val="24"/>
        </w:rPr>
        <w:t xml:space="preserve">to promote </w:t>
      </w:r>
      <w:r w:rsidRPr="00417AD8">
        <w:rPr>
          <w:rFonts w:cs="Arial"/>
          <w:szCs w:val="24"/>
        </w:rPr>
        <w:t>integration</w:t>
      </w:r>
      <w:r>
        <w:rPr>
          <w:rFonts w:cs="Arial"/>
          <w:szCs w:val="24"/>
        </w:rPr>
        <w:t xml:space="preserve"> of</w:t>
      </w:r>
      <w:r w:rsidRPr="00417AD8">
        <w:rPr>
          <w:rFonts w:cs="Arial"/>
          <w:szCs w:val="24"/>
        </w:rPr>
        <w:t xml:space="preserve"> </w:t>
      </w:r>
      <w:r>
        <w:rPr>
          <w:rFonts w:cs="Arial"/>
          <w:szCs w:val="24"/>
        </w:rPr>
        <w:t>the IT</w:t>
      </w:r>
      <w:r w:rsidRPr="00417AD8">
        <w:rPr>
          <w:rFonts w:cs="Arial"/>
          <w:szCs w:val="24"/>
        </w:rPr>
        <w:t xml:space="preserve"> </w:t>
      </w:r>
      <w:r>
        <w:rPr>
          <w:rFonts w:cs="Arial"/>
          <w:szCs w:val="24"/>
        </w:rPr>
        <w:t>activities</w:t>
      </w:r>
      <w:r w:rsidRPr="00417AD8">
        <w:rPr>
          <w:rFonts w:cs="Arial"/>
          <w:szCs w:val="24"/>
        </w:rPr>
        <w:t xml:space="preserve"> with the organization's </w:t>
      </w:r>
      <w:r>
        <w:rPr>
          <w:rFonts w:cs="Arial"/>
          <w:szCs w:val="24"/>
        </w:rPr>
        <w:t xml:space="preserve">business </w:t>
      </w:r>
      <w:r w:rsidRPr="00417AD8">
        <w:rPr>
          <w:rFonts w:cs="Arial"/>
          <w:szCs w:val="24"/>
        </w:rPr>
        <w:t>strategy</w:t>
      </w:r>
      <w:r>
        <w:rPr>
          <w:rFonts w:cs="Arial"/>
          <w:szCs w:val="24"/>
        </w:rPr>
        <w:t>.  These</w:t>
      </w:r>
      <w:r w:rsidRPr="00F92DB8">
        <w:rPr>
          <w:rFonts w:cs="Arial"/>
          <w:szCs w:val="24"/>
        </w:rPr>
        <w:t xml:space="preserve"> pro</w:t>
      </w:r>
      <w:r w:rsidRPr="00417AD8">
        <w:rPr>
          <w:rFonts w:cs="Arial"/>
          <w:szCs w:val="24"/>
        </w:rPr>
        <w:t>cesses</w:t>
      </w:r>
      <w:r>
        <w:rPr>
          <w:rFonts w:cs="Arial"/>
          <w:szCs w:val="24"/>
        </w:rPr>
        <w:t xml:space="preserve"> are not detailed or organization specific.  Rather, each entity defines its own</w:t>
      </w:r>
      <w:r w:rsidRPr="00417AD8">
        <w:rPr>
          <w:rFonts w:cs="Arial"/>
          <w:szCs w:val="24"/>
        </w:rPr>
        <w:t xml:space="preserve"> procedures, tasks</w:t>
      </w:r>
      <w:r>
        <w:rPr>
          <w:rFonts w:cs="Arial"/>
          <w:szCs w:val="24"/>
        </w:rPr>
        <w:t>,</w:t>
      </w:r>
      <w:r w:rsidRPr="00417AD8">
        <w:rPr>
          <w:rFonts w:cs="Arial"/>
          <w:szCs w:val="24"/>
        </w:rPr>
        <w:t xml:space="preserve"> and checklists</w:t>
      </w:r>
      <w:r>
        <w:rPr>
          <w:rFonts w:cs="Arial"/>
          <w:szCs w:val="24"/>
        </w:rPr>
        <w:t>.  ITIL</w:t>
      </w:r>
      <w:r w:rsidRPr="00417AD8">
        <w:rPr>
          <w:rFonts w:cs="Arial"/>
          <w:szCs w:val="24"/>
        </w:rPr>
        <w:t xml:space="preserve"> allows the organization to establish a baseline from which it can plan, implement, and measure.</w:t>
      </w:r>
      <w:r>
        <w:rPr>
          <w:rFonts w:cs="Arial"/>
          <w:szCs w:val="24"/>
        </w:rPr>
        <w:t xml:space="preserve"> </w:t>
      </w:r>
      <w:r w:rsidRPr="00417AD8">
        <w:rPr>
          <w:rFonts w:cs="Arial"/>
          <w:szCs w:val="24"/>
        </w:rPr>
        <w:t xml:space="preserve"> </w:t>
      </w:r>
      <w:r>
        <w:rPr>
          <w:rFonts w:cs="Arial"/>
          <w:szCs w:val="24"/>
        </w:rPr>
        <w:t>Accordingly, the ITIL framework</w:t>
      </w:r>
      <w:r w:rsidRPr="00417AD8">
        <w:rPr>
          <w:rFonts w:cs="Arial"/>
          <w:szCs w:val="24"/>
        </w:rPr>
        <w:t xml:space="preserve"> </w:t>
      </w:r>
      <w:r>
        <w:rPr>
          <w:rFonts w:cs="Arial"/>
          <w:szCs w:val="24"/>
        </w:rPr>
        <w:t>can also be</w:t>
      </w:r>
      <w:r w:rsidRPr="00417AD8">
        <w:rPr>
          <w:rFonts w:cs="Arial"/>
          <w:szCs w:val="24"/>
        </w:rPr>
        <w:t xml:space="preserve"> used to demonstrate compliance and to measure improvement.</w:t>
      </w:r>
    </w:p>
    <w:p w:rsidR="00AC40FC" w:rsidRDefault="00AC40FC" w:rsidP="00057E8B">
      <w:pPr>
        <w:rPr>
          <w:rFonts w:cs="Arial"/>
          <w:szCs w:val="24"/>
        </w:rPr>
      </w:pPr>
      <w:r>
        <w:rPr>
          <w:rFonts w:cs="Arial"/>
          <w:szCs w:val="24"/>
        </w:rPr>
        <w:t>At the point of adoption, most organizations focus on “righting the ship” activities in Transition and Operations, and in later phases more fully address Strategy, Design, and Continual Service Improvement.  The ITSM Project Schedule for PPL SC IT generally adheres to this common practice.</w:t>
      </w:r>
    </w:p>
    <w:p w:rsidR="00AC40FC" w:rsidRDefault="00AC40FC" w:rsidP="00057E8B">
      <w:pPr>
        <w:pStyle w:val="Heading40"/>
      </w:pPr>
      <w:r>
        <w:t xml:space="preserve">ServiceNow </w:t>
      </w:r>
      <w:r w:rsidR="000F5FF3">
        <w:t>–</w:t>
      </w:r>
      <w:r>
        <w:t xml:space="preserve"> Major Toolset to Support the Mission</w:t>
      </w:r>
    </w:p>
    <w:p w:rsidR="00AC40FC" w:rsidRDefault="00AC40FC" w:rsidP="00057E8B">
      <w:r>
        <w:t>To support the IT Department’s mission and to actively promote ITSM and ITIL processes, the IT Department licensed ServiceNow, a</w:t>
      </w:r>
      <w:r>
        <w:rPr>
          <w:rFonts w:cs="Arial"/>
          <w:szCs w:val="24"/>
        </w:rPr>
        <w:t xml:space="preserve"> comprehensive IT software toolset based on ITIL principles</w:t>
      </w:r>
      <w:r>
        <w:t xml:space="preserve">.  A basic diagram of ServiceNow is presented below.  </w:t>
      </w:r>
    </w:p>
    <w:p w:rsidR="00AC40FC" w:rsidRDefault="00AC40FC" w:rsidP="002B3172">
      <w:pPr>
        <w:pStyle w:val="Caption"/>
      </w:pPr>
      <w:bookmarkStart w:id="203" w:name="_Toc462648444"/>
      <w:bookmarkStart w:id="204" w:name="_Toc464553066"/>
      <w:r>
        <w:lastRenderedPageBreak/>
        <w:t xml:space="preserve">Exhibit </w:t>
      </w:r>
      <w:fldSimple w:instr=" STYLEREF 1 \s ">
        <w:r w:rsidR="00A24205">
          <w:rPr>
            <w:noProof/>
          </w:rPr>
          <w:t>XI</w:t>
        </w:r>
      </w:fldSimple>
      <w:r w:rsidR="00264A1B">
        <w:noBreakHyphen/>
      </w:r>
      <w:fldSimple w:instr=" SEQ Exhibit \* ARABIC \s 1 ">
        <w:r w:rsidR="00A24205">
          <w:rPr>
            <w:noProof/>
          </w:rPr>
          <w:t>4</w:t>
        </w:r>
      </w:fldSimple>
      <w:r>
        <w:br/>
        <w:t>Vendor Depicted ServiceNow Base Diagram</w:t>
      </w:r>
      <w:bookmarkEnd w:id="203"/>
      <w:bookmarkEnd w:id="204"/>
    </w:p>
    <w:p w:rsidR="00AC40FC" w:rsidRPr="007254BD" w:rsidRDefault="00AC40FC" w:rsidP="00057E8B">
      <w:pPr>
        <w:jc w:val="center"/>
      </w:pPr>
      <w:r>
        <w:rPr>
          <w:rFonts w:cs="Arial"/>
          <w:noProof/>
          <w:szCs w:val="24"/>
        </w:rPr>
        <w:drawing>
          <wp:inline distT="0" distB="0" distL="0" distR="0">
            <wp:extent cx="4209707" cy="4095750"/>
            <wp:effectExtent l="0" t="0" r="63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rviceNow base diagram.jpg"/>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09707" cy="4095750"/>
                    </a:xfrm>
                    <a:prstGeom prst="rect">
                      <a:avLst/>
                    </a:prstGeom>
                  </pic:spPr>
                </pic:pic>
              </a:graphicData>
            </a:graphic>
          </wp:inline>
        </w:drawing>
      </w:r>
    </w:p>
    <w:p w:rsidR="00AC40FC" w:rsidRDefault="00AC40FC" w:rsidP="00057E8B">
      <w:pPr>
        <w:jc w:val="left"/>
      </w:pPr>
      <w:r>
        <w:t xml:space="preserve">Source: </w:t>
      </w:r>
      <w:hyperlink r:id="rId64" w:history="1">
        <w:r w:rsidRPr="009F1B0D">
          <w:rPr>
            <w:rStyle w:val="Hyperlink"/>
          </w:rPr>
          <w:t>http://media.corporate-ir.net/media_files/IROL/25/251291/ServiceNow%20Financial%20Analyst%20Day%202015%20..pdf</w:t>
        </w:r>
      </w:hyperlink>
    </w:p>
    <w:p w:rsidR="00AC40FC" w:rsidRDefault="00AC40FC" w:rsidP="00057E8B">
      <w:pPr>
        <w:rPr>
          <w:rFonts w:cs="Arial"/>
          <w:szCs w:val="24"/>
        </w:rPr>
      </w:pPr>
      <w:r>
        <w:t>The center blocks of the diagram are the Asset Data Base (Asset DB) and the Configuration Management Data Base (CMDB).  These two databases are the repositories for the IT assets (or components), the way in which those components are configured, and the party responsible for each asset.  Other than the Service Level Tracking block (at the bottom) the other surrounding blocks represent the processes for installing and maintaining the assets and for registering and tracking requests, incidents, and problems.</w:t>
      </w:r>
    </w:p>
    <w:p w:rsidR="00AC40FC" w:rsidRDefault="00AC40FC" w:rsidP="00057E8B">
      <w:r>
        <w:t>In a Gartner “Magic Quadrant” study released in August 2012, ServiceNow was compared to ten similar software platforms.  The platform scored very well on the “ability to execute” and “completeness of vision” factors in the evaluation.  The study noted ServiceNow had become publicly listed in June 2012, and further stated ServiceNow was the fastest growing of the 11 companies in the comparison.</w:t>
      </w:r>
    </w:p>
    <w:p w:rsidR="00AC40FC" w:rsidRDefault="00AC40FC" w:rsidP="00057E8B">
      <w:pPr>
        <w:rPr>
          <w:rFonts w:cs="Arial"/>
          <w:szCs w:val="24"/>
        </w:rPr>
      </w:pPr>
      <w:r>
        <w:t xml:space="preserve">To implement ServiceNow, the IT Department took a phased, “first </w:t>
      </w:r>
      <w:r>
        <w:rPr>
          <w:rFonts w:cs="Arial"/>
          <w:szCs w:val="24"/>
        </w:rPr>
        <w:t>right the ship,”</w:t>
      </w:r>
      <w:r>
        <w:t xml:space="preserve"> approach.  Incident Management and Problem Management (through the </w:t>
      </w:r>
      <w:r>
        <w:rPr>
          <w:rFonts w:cs="Arial"/>
          <w:szCs w:val="24"/>
        </w:rPr>
        <w:t>Help Desk)</w:t>
      </w:r>
      <w:r w:rsidRPr="00797462">
        <w:rPr>
          <w:rFonts w:cs="Arial"/>
          <w:szCs w:val="24"/>
        </w:rPr>
        <w:t xml:space="preserve"> </w:t>
      </w:r>
      <w:r>
        <w:rPr>
          <w:rFonts w:cs="Arial"/>
          <w:szCs w:val="24"/>
        </w:rPr>
        <w:t xml:space="preserve">have been up and running in the IT Department since 2012.  All of the modules in the ServiceNow Base Image have since been implemented, though CMDB and Change </w:t>
      </w:r>
      <w:r>
        <w:rPr>
          <w:rFonts w:cs="Arial"/>
          <w:szCs w:val="24"/>
        </w:rPr>
        <w:lastRenderedPageBreak/>
        <w:t>Management are in partial status.  The status of these two modules will be revisited as the organization evaluates a consolidated service management system for the Pennsylvania and Kentucky business segments (further discussed in the paragraph which follows).  The Service Catalog and Service Portfolio</w:t>
      </w:r>
      <w:r w:rsidDel="001F69A6">
        <w:rPr>
          <w:rFonts w:cs="Arial"/>
          <w:szCs w:val="24"/>
        </w:rPr>
        <w:t xml:space="preserve"> </w:t>
      </w:r>
      <w:r>
        <w:rPr>
          <w:rFonts w:cs="Arial"/>
          <w:szCs w:val="24"/>
        </w:rPr>
        <w:t xml:space="preserve">Management Modules, not represented in the diagram above, have also been implemented.  Additionally, an effort is underway to further develop Knowledge Management (which offers notes and helpful hints on incidents and problems) by strengthening contextual search.  </w:t>
      </w:r>
    </w:p>
    <w:p w:rsidR="00AC40FC" w:rsidRDefault="00AC40FC" w:rsidP="00057E8B">
      <w:pPr>
        <w:rPr>
          <w:rFonts w:cs="Arial"/>
          <w:szCs w:val="24"/>
        </w:rPr>
      </w:pPr>
      <w:r w:rsidRPr="00677ABA">
        <w:rPr>
          <w:rFonts w:cs="Arial"/>
          <w:szCs w:val="24"/>
        </w:rPr>
        <w:t xml:space="preserve">While Pennsylvania utilizes ServiceNow, Kentucky is using Remedy, a competing software </w:t>
      </w:r>
      <w:r>
        <w:rPr>
          <w:rFonts w:cs="Arial"/>
          <w:szCs w:val="24"/>
        </w:rPr>
        <w:t>platform</w:t>
      </w:r>
      <w:r w:rsidRPr="00677ABA">
        <w:rPr>
          <w:rFonts w:cs="Arial"/>
          <w:szCs w:val="24"/>
        </w:rPr>
        <w:t>.  The presently installed version of Remedy in Kentucky is considered to be reaching end</w:t>
      </w:r>
      <w:r>
        <w:rPr>
          <w:rFonts w:cs="Arial"/>
          <w:szCs w:val="24"/>
        </w:rPr>
        <w:t>-</w:t>
      </w:r>
      <w:r w:rsidRPr="00677ABA">
        <w:rPr>
          <w:rFonts w:cs="Arial"/>
          <w:szCs w:val="24"/>
        </w:rPr>
        <w:t>of</w:t>
      </w:r>
      <w:r>
        <w:rPr>
          <w:rFonts w:cs="Arial"/>
          <w:szCs w:val="24"/>
        </w:rPr>
        <w:t>-</w:t>
      </w:r>
      <w:r w:rsidRPr="00677ABA">
        <w:rPr>
          <w:rFonts w:cs="Arial"/>
          <w:szCs w:val="24"/>
        </w:rPr>
        <w:t>life.  ServiceNow is more expensive than Remedy, and Kentucky IT is concerned about the cost</w:t>
      </w:r>
      <w:r>
        <w:rPr>
          <w:rFonts w:cs="Arial"/>
          <w:szCs w:val="24"/>
        </w:rPr>
        <w:t xml:space="preserve"> differential</w:t>
      </w:r>
      <w:r w:rsidRPr="00677ABA">
        <w:rPr>
          <w:rFonts w:cs="Arial"/>
          <w:szCs w:val="24"/>
        </w:rPr>
        <w:t>.  Pennsylvania IT is concerned that the newest version of Remedy does not contain as much functionality as ServiceNow, and hence would not meet Pennsylvania IT needs.</w:t>
      </w:r>
      <w:r>
        <w:rPr>
          <w:rFonts w:cs="Arial"/>
          <w:szCs w:val="24"/>
        </w:rPr>
        <w:t xml:space="preserve">  ServiceNow licenses, currently non-deployed due to the Talen spin-off, could possibly be redeployed for Kentucky’s use.  The licensing rights would need to be sold to the Kentucky operation.  Another possibility is that the two IT operations could select a completely different ITSM platform.  This could lead to a partial financial write-down of the ServiceNow software license value.</w:t>
      </w:r>
      <w:r w:rsidRPr="00992348">
        <w:t xml:space="preserve"> </w:t>
      </w:r>
    </w:p>
    <w:p w:rsidR="00AC40FC" w:rsidRDefault="00AC40FC" w:rsidP="0049591B">
      <w:pPr>
        <w:pStyle w:val="Heading40"/>
      </w:pPr>
      <w:r>
        <w:t>Other Critical Technical Applications</w:t>
      </w:r>
    </w:p>
    <w:p w:rsidR="00AC40FC" w:rsidRDefault="00AC40FC" w:rsidP="00057E8B">
      <w:pPr>
        <w:rPr>
          <w:rFonts w:cs="Arial"/>
          <w:szCs w:val="24"/>
        </w:rPr>
      </w:pPr>
      <w:r>
        <w:rPr>
          <w:rFonts w:cs="Arial"/>
          <w:szCs w:val="24"/>
        </w:rPr>
        <w:t>Like any commercial software package, ServiceNow cannot fully meet the needs of all clients.  Large organizations typically have internal applications which contain specialized, feature specific functionality.  Three IT in-house technical applications are unlikely to be completely replaced by ServiceNow (or a competing product) in the foreseeable future. The three in-house applications are Development Interface System Console (DISCO),</w:t>
      </w:r>
      <w:r w:rsidRPr="00C80EB8">
        <w:rPr>
          <w:rFonts w:cs="Arial"/>
          <w:szCs w:val="24"/>
        </w:rPr>
        <w:t xml:space="preserve"> </w:t>
      </w:r>
      <w:r>
        <w:rPr>
          <w:rFonts w:cs="Arial"/>
          <w:szCs w:val="24"/>
        </w:rPr>
        <w:t xml:space="preserve">IT Environment and Application Management (iTEAM), and Security Request System (SRS).   </w:t>
      </w:r>
    </w:p>
    <w:p w:rsidR="00AC40FC" w:rsidRDefault="00AC40FC" w:rsidP="00057E8B">
      <w:pPr>
        <w:rPr>
          <w:rFonts w:cs="Arial"/>
          <w:szCs w:val="24"/>
        </w:rPr>
      </w:pPr>
      <w:r>
        <w:rPr>
          <w:rFonts w:cs="Arial"/>
          <w:szCs w:val="24"/>
        </w:rPr>
        <w:t xml:space="preserve">DISCO is used for controlled promotion of new/updated code into production.  iTEAM is a configuration management tool which contains electric-industry specific data on electric assets.  The SRS software tightly controls access to applications, with major links to iTEAM and Active Directory.  All three of these applications incorporate industry-specific requirements (becoming more stringent each day to meet Critical Infrastructure Protection (CIP) 5 and other standards), and are not likely to be included in the generic commercial software packages.  </w:t>
      </w:r>
    </w:p>
    <w:p w:rsidR="00AC40FC" w:rsidRDefault="00AC40FC" w:rsidP="00057E8B">
      <w:pPr>
        <w:pStyle w:val="Heading40"/>
      </w:pPr>
      <w:r w:rsidRPr="00A14106">
        <w:t>Service Oriented Architecture</w:t>
      </w:r>
    </w:p>
    <w:p w:rsidR="00AC40FC" w:rsidRDefault="00AC40FC" w:rsidP="00057E8B">
      <w:r>
        <w:rPr>
          <w:rFonts w:cs="Arial"/>
          <w:szCs w:val="24"/>
        </w:rPr>
        <w:t>As the IT Department gains experience with ServiceNow and ITIL maturity advances, it will become increasingly able to pursue Service Oriented Architecture (SOA).  The goal of SOA is to produce “services,” discrete pieces of code with a specific functionality, that are reusable, more flexible, and less application dependent.</w:t>
      </w:r>
      <w:r>
        <w:t xml:space="preserve">  </w:t>
      </w:r>
    </w:p>
    <w:p w:rsidR="00AC40FC" w:rsidRDefault="00AC40FC" w:rsidP="00057E8B">
      <w:r>
        <w:t xml:space="preserve">The goal of SOA is to build a service once, in a manner that allows a single code set to be leveraged by multiple programs.  Hence a SOA-oriented program will typically be comprised of many previously written discrete services.  The value is straight forward: a business requirement can be promulgated to many different programs by making a single coding change.  Contrast this with traditional programming, where virtually </w:t>
      </w:r>
      <w:r>
        <w:lastRenderedPageBreak/>
        <w:t xml:space="preserve">identical coding is replicated on a stand-alone basis in multiple programs and a business requirement change necessitates each program to be individually updated. </w:t>
      </w:r>
    </w:p>
    <w:p w:rsidR="00AC40FC" w:rsidRDefault="00AC40FC" w:rsidP="00057E8B">
      <w:r>
        <w:t>Constructing a SOA platform is a long-term effort.  It requires well-conceived planning and clear standards to encapsulate services for utilization by a variety of programs.  There is considerable upfront investment before benefits begin to be realized.  This is due to the fact that encapsulating a service “kernel” for seamless use by multiple programs takes more effort than traditional application-specific programming.</w:t>
      </w:r>
      <w:r w:rsidRPr="00992348">
        <w:t xml:space="preserve"> </w:t>
      </w:r>
      <w:r>
        <w:t xml:space="preserve"> </w:t>
      </w:r>
    </w:p>
    <w:p w:rsidR="00AC40FC" w:rsidRDefault="00AC40FC" w:rsidP="00057E8B">
      <w:r>
        <w:t xml:space="preserve">Commercial software vendors have recognized the benefits and challenges of SOA.  Middleware (also known as a bus or broker) is offered by many commercial software vendors to handle computer communications steps that can be excluded from the SOA kernel.  This enables the developer to focus on the internal contents of the service, instead of having to account for the intricacies of multiple communication protocols.  PPL SC has utilized WebMethods (Software AG) </w:t>
      </w:r>
      <w:r>
        <w:rPr>
          <w:rFonts w:cs="Arial"/>
          <w:szCs w:val="24"/>
        </w:rPr>
        <w:t>thus far as the integration and middleware platform in early SOA efforts. WebMethods was ranked in the “Leaders Quadrant” in a 2013 Gartner evaluation of similar products.</w:t>
      </w:r>
    </w:p>
    <w:p w:rsidR="00AC40FC" w:rsidRDefault="00AC40FC" w:rsidP="00057E8B">
      <w:r>
        <w:t xml:space="preserve">As a foundation to SOA efforts, IT has made progress in standardizing SOA development, as evidenced by the SOA Guidelines and other internally generated guides.  </w:t>
      </w:r>
      <w:r>
        <w:rPr>
          <w:rFonts w:cs="Arial"/>
          <w:szCs w:val="24"/>
        </w:rPr>
        <w:t xml:space="preserve">The first PPL IT effort in SOA was for HR applications starting in 2012.  Since that initial effort, progress has slowed but multiple IT personnel indicated the desire to resume the SOA effort in HR.  Another SOA effort, currently in the design phase, is </w:t>
      </w:r>
      <w:r>
        <w:t xml:space="preserve">the 360 View for customer service representatives.  The 360 View project will present a single view of information that originates in multiple applications, thus allowing the customer service representative to be more efficient and responsive.  </w:t>
      </w:r>
    </w:p>
    <w:p w:rsidR="00AC40FC" w:rsidRDefault="00AC40FC" w:rsidP="002B3172">
      <w:pPr>
        <w:pStyle w:val="Heading40"/>
      </w:pPr>
      <w:r w:rsidRPr="00863850">
        <w:t>ITIL Maturity Level</w:t>
      </w:r>
    </w:p>
    <w:p w:rsidR="00AC40FC" w:rsidRDefault="00AC40FC" w:rsidP="00057E8B">
      <w:r>
        <w:t>In 2012, early in the ITSM/ITIL implementation, PPL SC engaged Fruition Partners to conduct an ITIL Process Maturity Assessment.  The overall maturity level was assessed using a scale of 0–5:</w:t>
      </w:r>
    </w:p>
    <w:p w:rsidR="00AC40FC" w:rsidRPr="00102FEB" w:rsidRDefault="00AC40FC" w:rsidP="00057E8B">
      <w:pPr>
        <w:pStyle w:val="Bullet"/>
      </w:pPr>
      <w:r>
        <w:t>Level 0 – Non</w:t>
      </w:r>
      <w:r w:rsidRPr="00102FEB">
        <w:t>-existent (total lack of processes)</w:t>
      </w:r>
    </w:p>
    <w:p w:rsidR="00AC40FC" w:rsidRPr="00102FEB" w:rsidRDefault="00AC40FC" w:rsidP="00057E8B">
      <w:pPr>
        <w:pStyle w:val="Bullet"/>
      </w:pPr>
      <w:r w:rsidRPr="00102FEB">
        <w:t>Level 1 – Initial (the organization recognizes issues exist)</w:t>
      </w:r>
    </w:p>
    <w:p w:rsidR="00AC40FC" w:rsidRPr="00102FEB" w:rsidRDefault="00AC40FC" w:rsidP="00057E8B">
      <w:pPr>
        <w:pStyle w:val="Bullet"/>
      </w:pPr>
      <w:r w:rsidRPr="00102FEB">
        <w:t>Level 2 – Awareness (processes developing, individuals assigned, but ad hoc)</w:t>
      </w:r>
    </w:p>
    <w:p w:rsidR="00AC40FC" w:rsidRPr="00102FEB" w:rsidRDefault="00AC40FC" w:rsidP="00057E8B">
      <w:pPr>
        <w:pStyle w:val="Bullet"/>
      </w:pPr>
      <w:r w:rsidRPr="00102FEB">
        <w:t>Level 3 – Controlled (process is consistent, operating for at least a quarter)</w:t>
      </w:r>
    </w:p>
    <w:p w:rsidR="00AC40FC" w:rsidRDefault="00AC40FC" w:rsidP="00057E8B">
      <w:pPr>
        <w:pStyle w:val="Bullet"/>
      </w:pPr>
      <w:r w:rsidRPr="00102FEB">
        <w:t>Level 4 – Integrated (goo</w:t>
      </w:r>
      <w:r>
        <w:t>d practices and constant improvement in place)</w:t>
      </w:r>
    </w:p>
    <w:p w:rsidR="00AC40FC" w:rsidRDefault="00AC40FC" w:rsidP="00864BDD">
      <w:pPr>
        <w:pStyle w:val="Bullet"/>
      </w:pPr>
      <w:r>
        <w:t>Level 5 – Optimized (quality data and sound processes, including audited results)</w:t>
      </w:r>
    </w:p>
    <w:p w:rsidR="00AC40FC" w:rsidRDefault="00AC40FC" w:rsidP="00057E8B">
      <w:pPr>
        <w:pStyle w:val="Normal-aftertable"/>
      </w:pPr>
      <w:r>
        <w:t>For the 22 process areas underlying the five parts of the ITIL framework</w:t>
      </w:r>
      <w:r w:rsidRPr="00A37D86">
        <w:t xml:space="preserve"> </w:t>
      </w:r>
      <w:r>
        <w:t>(</w:t>
      </w:r>
      <w:r w:rsidRPr="00A37D86">
        <w:t>Strategy, Design, Transition, Operations</w:t>
      </w:r>
      <w:r>
        <w:t>,</w:t>
      </w:r>
      <w:r w:rsidRPr="00A37D86">
        <w:t xml:space="preserve"> and Continual Service Improvement</w:t>
      </w:r>
      <w:r>
        <w:t xml:space="preserve">), the average PPL SC score was 2.11.  Three processes received a rating of 3.0.  Two processes received a rating of 1.0.  The remaining processes received ratings from 1.5 to 2.5. </w:t>
      </w:r>
    </w:p>
    <w:p w:rsidR="00AC40FC" w:rsidRDefault="00AC40FC" w:rsidP="00057E8B">
      <w:r>
        <w:t>The Director-IT Business Services estimated the average maturity rating has progressed about one point since the Fruition Partners assessment.  If this informal estimate is reasonably close, the average rating is now slightly above Level 3, meaning processes are becoming more consistent and repeatable.</w:t>
      </w:r>
    </w:p>
    <w:p w:rsidR="00AC40FC" w:rsidRDefault="00AC40FC">
      <w:pPr>
        <w:pStyle w:val="Heading30"/>
      </w:pPr>
      <w:r>
        <w:lastRenderedPageBreak/>
        <w:t xml:space="preserve">Work ProcessES </w:t>
      </w:r>
    </w:p>
    <w:p w:rsidR="00AC40FC" w:rsidRDefault="00AC40FC" w:rsidP="00057E8B">
      <w:r>
        <w:t xml:space="preserve">The IT work processes reflect an evolving integration of the ITIL framework, ServiceNow functionality, and the major functions within the organization.  </w:t>
      </w:r>
    </w:p>
    <w:p w:rsidR="00AC40FC" w:rsidRDefault="00AC40FC">
      <w:pPr>
        <w:pStyle w:val="Heading40"/>
      </w:pPr>
      <w:r>
        <w:t xml:space="preserve">Capital Planning and Portfolios </w:t>
      </w:r>
    </w:p>
    <w:p w:rsidR="00AC40FC" w:rsidRDefault="00AC40FC" w:rsidP="00057E8B">
      <w:r>
        <w:rPr>
          <w:rFonts w:cs="Arial"/>
          <w:szCs w:val="24"/>
        </w:rPr>
        <w:t xml:space="preserve">The IT capital planning process is an iterative, multi-year process that strategically blends technological and industry trends within a process that strives to balance business priorities with monetary realities.  </w:t>
      </w:r>
      <w:r>
        <w:t>The major functions fall into one of three major portfolios.  The organization’s IT governance activities, including budgeting and prioritization, are centered on these portfolios:</w:t>
      </w:r>
    </w:p>
    <w:p w:rsidR="00AC40FC" w:rsidRDefault="00AC40FC" w:rsidP="00057E8B">
      <w:pPr>
        <w:pStyle w:val="Bullet"/>
      </w:pPr>
      <w:r>
        <w:t>PPL EU Operations (e.g., Transmission, Distribution, and Customer Service)</w:t>
      </w:r>
    </w:p>
    <w:p w:rsidR="00AC40FC" w:rsidRDefault="00AC40FC" w:rsidP="00057E8B">
      <w:pPr>
        <w:pStyle w:val="Bullet"/>
      </w:pPr>
      <w:r>
        <w:t>PPL Corporate (e.g., Finance, Human Resources, and Legal)</w:t>
      </w:r>
    </w:p>
    <w:p w:rsidR="00AC40FC" w:rsidRDefault="00AC40FC" w:rsidP="00057E8B">
      <w:pPr>
        <w:pStyle w:val="Bullet"/>
      </w:pPr>
      <w:r>
        <w:t xml:space="preserve">IT Foundation (technical applications, including ServiceNow and cyber security).  </w:t>
      </w:r>
    </w:p>
    <w:p w:rsidR="00AC40FC" w:rsidRDefault="00AC40FC" w:rsidP="00057E8B">
      <w:pPr>
        <w:pStyle w:val="Normal-aftertable"/>
      </w:pPr>
      <w:r>
        <w:t xml:space="preserve">To promote effective, consistent communications, when a service is created in ServiceNow, it is assigned to one of these three portfolios.  These three portfolios are also reflected in the organizational structure in that the Development and Support sections, the IT business relationship managers, and the IT services managers are assigned to portfolios. This structure promotes frequent and consistent dialogue between the user communities and the supporting IT personnel. </w:t>
      </w:r>
    </w:p>
    <w:p w:rsidR="00AC40FC" w:rsidRDefault="00AC40FC">
      <w:r>
        <w:t>Overarching portfolio management is cyber security.  Processes and standards are in place to ensure cyber security is integrated into proposed new IT applications and IT modifications across all three of the major portfolios.</w:t>
      </w:r>
    </w:p>
    <w:p w:rsidR="00AC40FC" w:rsidRDefault="00AC40FC" w:rsidP="002B3172">
      <w:pPr>
        <w:pStyle w:val="Heading40"/>
      </w:pPr>
      <w:r>
        <w:t>Process Managers</w:t>
      </w:r>
    </w:p>
    <w:p w:rsidR="00AC40FC" w:rsidRDefault="00AC40FC" w:rsidP="00057E8B">
      <w:r>
        <w:t>Overlaying all IT services are the processes for addressing the five parts of t</w:t>
      </w:r>
      <w:r>
        <w:rPr>
          <w:rFonts w:cs="Arial"/>
          <w:szCs w:val="24"/>
        </w:rPr>
        <w:t xml:space="preserve">he ITIL framework. </w:t>
      </w:r>
      <w:r w:rsidRPr="00A37D86">
        <w:rPr>
          <w:rFonts w:cs="Arial"/>
          <w:szCs w:val="24"/>
        </w:rPr>
        <w:t xml:space="preserve"> </w:t>
      </w:r>
      <w:r>
        <w:rPr>
          <w:rFonts w:cs="Arial"/>
          <w:szCs w:val="24"/>
        </w:rPr>
        <w:t xml:space="preserve">Examples of these </w:t>
      </w:r>
      <w:r>
        <w:t>structured processes are design requirements, programming standards, testing, updating hardware inventory, change management, incident management, and updating the knowledge base.  To properly support these processes, the IT Service Management section has four dedicated process managers:</w:t>
      </w:r>
    </w:p>
    <w:p w:rsidR="00AC40FC" w:rsidRDefault="00AC40FC" w:rsidP="00057E8B">
      <w:pPr>
        <w:pStyle w:val="Bullet"/>
      </w:pPr>
      <w:r>
        <w:t>Configuration and Asset Management</w:t>
      </w:r>
    </w:p>
    <w:p w:rsidR="00AC40FC" w:rsidRDefault="00AC40FC" w:rsidP="00057E8B">
      <w:pPr>
        <w:pStyle w:val="Bullet"/>
      </w:pPr>
      <w:r>
        <w:t>Change Management and Release of Applications</w:t>
      </w:r>
    </w:p>
    <w:p w:rsidR="00AC40FC" w:rsidRDefault="00AC40FC" w:rsidP="00057E8B">
      <w:pPr>
        <w:pStyle w:val="Bullet"/>
      </w:pPr>
      <w:r>
        <w:t>Request for Work (user requests) and Knowledge Management</w:t>
      </w:r>
    </w:p>
    <w:p w:rsidR="00AC40FC" w:rsidRDefault="00AC40FC" w:rsidP="0049591B">
      <w:pPr>
        <w:pStyle w:val="Bullet"/>
      </w:pPr>
      <w:r>
        <w:t>Incident and Problem Management</w:t>
      </w:r>
    </w:p>
    <w:p w:rsidR="00AC40FC" w:rsidRDefault="00AC40FC" w:rsidP="0049591B">
      <w:pPr>
        <w:pStyle w:val="Normal-aftertable"/>
      </w:pPr>
      <w:r>
        <w:t>The responsibilities of these four process managers are not tied to any specific portfolio.  Rather, as the name implies, these individuals have oversight for defined processes to overlay the services, portfolios, and projects.</w:t>
      </w:r>
    </w:p>
    <w:p w:rsidR="00AC40FC" w:rsidRDefault="00AC40FC" w:rsidP="00057E8B">
      <w:pPr>
        <w:pStyle w:val="Heading40"/>
      </w:pPr>
      <w:r w:rsidRPr="00963D14">
        <w:t>Project Management</w:t>
      </w:r>
    </w:p>
    <w:p w:rsidR="00AC40FC" w:rsidRDefault="00AC40FC" w:rsidP="00057E8B">
      <w:pPr>
        <w:rPr>
          <w:rFonts w:cs="Arial"/>
          <w:szCs w:val="24"/>
        </w:rPr>
      </w:pPr>
      <w:r>
        <w:rPr>
          <w:rFonts w:cs="Arial"/>
          <w:szCs w:val="24"/>
        </w:rPr>
        <w:t xml:space="preserve">Project management is multi-faceted and portfolio oriented.  All projects are entered into ServiceNow’s Project and Portfolio Management (PPM) module before the vetting and estimating process is initiated.  For consistency, one basic workflow is utilized.  The project manager in ServiceNow is typically the technical project owner from the </w:t>
      </w:r>
      <w:r>
        <w:rPr>
          <w:rFonts w:cs="Arial"/>
          <w:szCs w:val="24"/>
        </w:rPr>
        <w:lastRenderedPageBreak/>
        <w:t>relatively new Project Management Office and a business sponsor is separately identified.</w:t>
      </w:r>
    </w:p>
    <w:p w:rsidR="00AC40FC" w:rsidRPr="00CA3F79" w:rsidRDefault="00AC40FC" w:rsidP="00057E8B">
      <w:pPr>
        <w:rPr>
          <w:rFonts w:cs="Arial"/>
          <w:szCs w:val="24"/>
        </w:rPr>
      </w:pPr>
      <w:r>
        <w:rPr>
          <w:rFonts w:cs="Arial"/>
          <w:szCs w:val="24"/>
        </w:rPr>
        <w:t>Project management at PPL goes beyond meeting budgets and target dates.  A theme expressed repeatedly in IT interviews was the desire to meet or exceed user expectations.  One mechanism to measure user satisfaction is the project card, which the user completes after each project.  Overall, about 85% of projects are delivered on time with a 90% user satisfaction rate.  Additionally, every two years an internal customer satisfaction survey is conducted.  In the survey completed by an independent firm in October, 2015, user satisfaction was rated at 4.40 on a scale ranging from 1=low to 5=high.  These results are solidly within the top 10% of vendor’s database.</w:t>
      </w:r>
    </w:p>
    <w:p w:rsidR="00AC40FC" w:rsidRDefault="00AC40FC" w:rsidP="00057E8B">
      <w:pPr>
        <w:pStyle w:val="Heading30"/>
      </w:pPr>
      <w:r>
        <w:t>IT GOVERNANCE</w:t>
      </w:r>
    </w:p>
    <w:p w:rsidR="00AC40FC" w:rsidRDefault="00AC40FC" w:rsidP="00057E8B">
      <w:r>
        <w:t xml:space="preserve">There are a number of standing and ad hoc committees involved with IT governance.  The first four listed below, which prioritize capital projects and approve budgets, constitute an integrated hierarchy.  </w:t>
      </w:r>
    </w:p>
    <w:p w:rsidR="00AC40FC" w:rsidRDefault="00AC40FC" w:rsidP="00057E8B">
      <w:pPr>
        <w:pStyle w:val="Heading40"/>
      </w:pPr>
      <w:r>
        <w:t>Information Technology Council</w:t>
      </w:r>
    </w:p>
    <w:p w:rsidR="00AC40FC" w:rsidRDefault="00AC40FC" w:rsidP="00057E8B">
      <w:r>
        <w:t>The Information Technology Council evaluates IT matters spanning both the Pennsylvania and the Kentucky operations.  The council is comprised of senior managers and executives from both Kentucky and Pennsylvania operations.  IT synergies between the Pennsylvania and Kentucky operations will be pursued through the Joint Initiative and its related four committees (discussed later in this section).</w:t>
      </w:r>
      <w:r w:rsidRPr="00992348">
        <w:t xml:space="preserve"> </w:t>
      </w:r>
    </w:p>
    <w:p w:rsidR="00AC40FC" w:rsidRDefault="00AC40FC" w:rsidP="00057E8B">
      <w:pPr>
        <w:pStyle w:val="Heading40"/>
      </w:pPr>
      <w:r>
        <w:t>Technology Portfolio Management Committee</w:t>
      </w:r>
    </w:p>
    <w:p w:rsidR="00AC40FC" w:rsidRDefault="00AC40FC" w:rsidP="00057E8B">
      <w:r>
        <w:t>The Technology Portfolio Management Committee (TPMC) provides strategic direction and approves major projects (over $1 million) for the Pennsylvania operation.  The first meeting of the TPMC was held in July 2015.  This group replaced the former IT Steering Committee.</w:t>
      </w:r>
      <w:r w:rsidRPr="009741F1">
        <w:t xml:space="preserve"> </w:t>
      </w:r>
      <w:r>
        <w:t xml:space="preserve"> Six vice presidents and nine directors are on the committee.  The committee includes representatives of PPL EU, PPL SC, and LG&amp;E and KU Services Company.</w:t>
      </w:r>
    </w:p>
    <w:p w:rsidR="00AC40FC" w:rsidRDefault="00AC40FC" w:rsidP="00057E8B">
      <w:pPr>
        <w:pStyle w:val="Heading40"/>
      </w:pPr>
      <w:r>
        <w:t xml:space="preserve">Portfolio Governance Councils </w:t>
      </w:r>
    </w:p>
    <w:p w:rsidR="00AC40FC" w:rsidRDefault="00AC40FC" w:rsidP="00057E8B">
      <w:r>
        <w:t>There are three Portfolio Governance Councils (PGCs) that review, approve, and reprioritize projects in accordance with the three major portfolios discussed above:</w:t>
      </w:r>
    </w:p>
    <w:p w:rsidR="00AC40FC" w:rsidRDefault="00AC40FC" w:rsidP="00057E8B">
      <w:pPr>
        <w:pStyle w:val="Bullet"/>
      </w:pPr>
      <w:r>
        <w:t>Operations</w:t>
      </w:r>
    </w:p>
    <w:p w:rsidR="00AC40FC" w:rsidRDefault="00AC40FC" w:rsidP="00057E8B">
      <w:pPr>
        <w:pStyle w:val="Bullet"/>
      </w:pPr>
      <w:r>
        <w:t xml:space="preserve">Corporate </w:t>
      </w:r>
    </w:p>
    <w:p w:rsidR="00AC40FC" w:rsidRDefault="00AC40FC" w:rsidP="0049591B">
      <w:pPr>
        <w:pStyle w:val="Bullet"/>
      </w:pPr>
      <w:r>
        <w:t xml:space="preserve">IT Foundation </w:t>
      </w:r>
    </w:p>
    <w:p w:rsidR="00AC40FC" w:rsidRDefault="00AC40FC" w:rsidP="0049591B">
      <w:pPr>
        <w:pStyle w:val="Normal-aftertable"/>
      </w:pPr>
      <w:r>
        <w:t>The budgets for 2015 for these Councils are approximately $27 million, $3 million, and $37 million, respectively.</w:t>
      </w:r>
    </w:p>
    <w:p w:rsidR="00AC40FC" w:rsidRDefault="00AC40FC" w:rsidP="00057E8B">
      <w:pPr>
        <w:pStyle w:val="Heading40"/>
      </w:pPr>
      <w:r>
        <w:t xml:space="preserve">Business Line IT Prioritization Groups </w:t>
      </w:r>
    </w:p>
    <w:p w:rsidR="00AC40FC" w:rsidRDefault="00AC40FC" w:rsidP="00057E8B">
      <w:r>
        <w:t xml:space="preserve">The Business Line IT Prioritization groups are the first to consider suggestions from either user or technical personnel. </w:t>
      </w:r>
      <w:r w:rsidRPr="00830626">
        <w:t xml:space="preserve"> </w:t>
      </w:r>
      <w:r>
        <w:t xml:space="preserve">User requests typically enter the governance process at this level.  Requests approved at this level will be submitted to the </w:t>
      </w:r>
      <w:r>
        <w:lastRenderedPageBreak/>
        <w:t>appropriate portfolio governance council for budgetary consideration.  Identified IT prioritization groups include:</w:t>
      </w:r>
    </w:p>
    <w:p w:rsidR="00AC40FC" w:rsidRDefault="00AC40FC" w:rsidP="00057E8B">
      <w:pPr>
        <w:pStyle w:val="Bullet"/>
      </w:pPr>
      <w:r>
        <w:t>Distribution Operations</w:t>
      </w:r>
    </w:p>
    <w:p w:rsidR="00AC40FC" w:rsidRDefault="00AC40FC" w:rsidP="00057E8B">
      <w:pPr>
        <w:pStyle w:val="Bullet"/>
      </w:pPr>
      <w:r>
        <w:t>Customer Service</w:t>
      </w:r>
    </w:p>
    <w:p w:rsidR="00AC40FC" w:rsidRDefault="00AC40FC" w:rsidP="00057E8B">
      <w:pPr>
        <w:pStyle w:val="Bullet"/>
      </w:pPr>
      <w:r>
        <w:t xml:space="preserve">Rates and Regulatory </w:t>
      </w:r>
    </w:p>
    <w:p w:rsidR="00AC40FC" w:rsidRDefault="00AC40FC" w:rsidP="00057E8B">
      <w:pPr>
        <w:pStyle w:val="Bullet"/>
      </w:pPr>
      <w:r>
        <w:t xml:space="preserve">Service </w:t>
      </w:r>
    </w:p>
    <w:p w:rsidR="00AC40FC" w:rsidRDefault="00AC40FC" w:rsidP="00057E8B">
      <w:pPr>
        <w:pStyle w:val="Bullet"/>
      </w:pPr>
      <w:r>
        <w:t>Transmission</w:t>
      </w:r>
    </w:p>
    <w:p w:rsidR="00AC40FC" w:rsidRDefault="00AC40FC" w:rsidP="00057E8B">
      <w:pPr>
        <w:pStyle w:val="Bullet"/>
      </w:pPr>
      <w:r>
        <w:t>Information Technology</w:t>
      </w:r>
    </w:p>
    <w:p w:rsidR="00AC40FC" w:rsidRDefault="00AC40FC" w:rsidP="00057E8B">
      <w:pPr>
        <w:pStyle w:val="Bullet"/>
      </w:pPr>
      <w:r>
        <w:t>Human Resources</w:t>
      </w:r>
    </w:p>
    <w:p w:rsidR="00AC40FC" w:rsidRDefault="00AC40FC" w:rsidP="00057E8B">
      <w:pPr>
        <w:pStyle w:val="Bullet"/>
      </w:pPr>
      <w:r>
        <w:t>Financial</w:t>
      </w:r>
    </w:p>
    <w:p w:rsidR="00AC40FC" w:rsidRDefault="00AC40FC" w:rsidP="00992348">
      <w:pPr>
        <w:pStyle w:val="Bullet"/>
      </w:pPr>
      <w:r>
        <w:t>Cross Function Challenge (ad hoc sessions as needed)</w:t>
      </w:r>
      <w:r w:rsidRPr="00992348">
        <w:t xml:space="preserve"> </w:t>
      </w:r>
    </w:p>
    <w:p w:rsidR="00AC40FC" w:rsidRDefault="00AC40FC" w:rsidP="00057E8B">
      <w:pPr>
        <w:pStyle w:val="Heading40"/>
      </w:pPr>
      <w:r>
        <w:t>Joint Initiative Committees</w:t>
      </w:r>
    </w:p>
    <w:p w:rsidR="00AC40FC" w:rsidRPr="00FD3EAB" w:rsidRDefault="00AC40FC" w:rsidP="00057E8B">
      <w:pPr>
        <w:rPr>
          <w:b/>
        </w:rPr>
      </w:pPr>
      <w:r>
        <w:rPr>
          <w:rFonts w:cs="Arial"/>
          <w:szCs w:val="24"/>
        </w:rPr>
        <w:t>Four teams are now being established as a “Joint Initiative” that will look for synergies between the Kentucky and Pennsylvania operations.  These are 1) Finance and Supply Chain, 2) Operations, 3) Human Resources, and 4) IT.  The teams will be cross functional and sponsored by TPMC.</w:t>
      </w:r>
    </w:p>
    <w:p w:rsidR="00AC40FC" w:rsidRDefault="00AC40FC" w:rsidP="00057E8B">
      <w:pPr>
        <w:pStyle w:val="Heading40"/>
      </w:pPr>
      <w:r w:rsidRPr="00CB5F17">
        <w:t>Change Advisory Board</w:t>
      </w:r>
      <w:r>
        <w:t xml:space="preserve">  </w:t>
      </w:r>
    </w:p>
    <w:p w:rsidR="00AC40FC" w:rsidRPr="006D1B9D" w:rsidRDefault="00AC40FC" w:rsidP="00057E8B">
      <w:pPr>
        <w:rPr>
          <w:rFonts w:cs="Arial"/>
          <w:szCs w:val="24"/>
        </w:rPr>
      </w:pPr>
      <w:r>
        <w:rPr>
          <w:rFonts w:cs="Arial"/>
          <w:szCs w:val="24"/>
        </w:rPr>
        <w:t>The change advisory board ensures that IT changes are introduced into the production environment in a tightly controlled manner.  The board is chaired by the IT Services Manager in charge of the change management process and meets as necessary; daily if required.  This committee is moving in the direction of risk- and value-based decision making, and eventually may meet only weekly.  External factors, such as NERC standards, at times require involvement by the business units.</w:t>
      </w:r>
    </w:p>
    <w:p w:rsidR="00AC40FC" w:rsidRDefault="00AC40FC" w:rsidP="00057E8B">
      <w:pPr>
        <w:pStyle w:val="Heading40"/>
      </w:pPr>
      <w:r>
        <w:t>External Industry Committees</w:t>
      </w:r>
    </w:p>
    <w:p w:rsidR="00AC40FC" w:rsidRPr="00E37F6C" w:rsidRDefault="00AC40FC" w:rsidP="00057E8B">
      <w:r>
        <w:t>To stay abreast of industry trends and developments, IT staff members participate in a number of external committees or forums.  Example organizations include NERC, PJM Interconnection, L.L.C., and the National Transmission Forum.</w:t>
      </w:r>
    </w:p>
    <w:p w:rsidR="00AC40FC" w:rsidRDefault="00AC40FC" w:rsidP="00057E8B">
      <w:pPr>
        <w:pStyle w:val="Heading30"/>
        <w:rPr>
          <w:rFonts w:cs="Arial"/>
          <w:szCs w:val="24"/>
        </w:rPr>
      </w:pPr>
      <w:r>
        <w:t>Cyber Security</w:t>
      </w:r>
    </w:p>
    <w:p w:rsidR="00AC40FC" w:rsidRDefault="00AC40FC" w:rsidP="00057E8B">
      <w:pPr>
        <w:rPr>
          <w:rFonts w:cs="Arial"/>
          <w:szCs w:val="24"/>
        </w:rPr>
      </w:pPr>
      <w:r>
        <w:rPr>
          <w:rFonts w:cs="Arial"/>
          <w:szCs w:val="24"/>
        </w:rPr>
        <w:t>As mentioned above, the Information Assurance Group (IAG) has corporate-wide responsibility for cyber security.  IAG maintains the PPL Cybersecurity Plan, a five page governing document which directs the user to detailed policies, standards, procedures, risk assessment, business continuity, disaster recovery plans, and other topics.</w:t>
      </w:r>
    </w:p>
    <w:p w:rsidR="00AC40FC" w:rsidRDefault="00AC40FC" w:rsidP="00057E8B">
      <w:pPr>
        <w:pStyle w:val="Heading40"/>
      </w:pPr>
      <w:r>
        <w:t>Industry Cyber Security Trends</w:t>
      </w:r>
    </w:p>
    <w:p w:rsidR="00AC40FC" w:rsidRDefault="00AC40FC" w:rsidP="00057E8B">
      <w:pPr>
        <w:rPr>
          <w:rFonts w:cs="Arial"/>
          <w:szCs w:val="24"/>
        </w:rPr>
      </w:pPr>
      <w:r>
        <w:rPr>
          <w:rFonts w:cs="Arial"/>
          <w:szCs w:val="24"/>
        </w:rPr>
        <w:t>The IT Department of PPL SC is working toward NERC’s Critical Infrastructure Protection 5 (CIP 5) Reliability Standards.  The new standards must be in place by April 1, 2016.  Compared to</w:t>
      </w:r>
      <w:r w:rsidRPr="00F058BA">
        <w:rPr>
          <w:rFonts w:cs="Arial"/>
          <w:szCs w:val="24"/>
        </w:rPr>
        <w:t xml:space="preserve"> existing </w:t>
      </w:r>
      <w:r>
        <w:rPr>
          <w:rFonts w:cs="Arial"/>
          <w:szCs w:val="24"/>
        </w:rPr>
        <w:t xml:space="preserve">CIP standards, the CIP 5 </w:t>
      </w:r>
      <w:r w:rsidRPr="00F058BA">
        <w:rPr>
          <w:rFonts w:cs="Arial"/>
          <w:szCs w:val="24"/>
        </w:rPr>
        <w:t>version</w:t>
      </w:r>
      <w:r>
        <w:rPr>
          <w:rFonts w:cs="Arial"/>
          <w:szCs w:val="24"/>
        </w:rPr>
        <w:t xml:space="preserve"> of standards</w:t>
      </w:r>
      <w:r w:rsidRPr="00F058BA">
        <w:rPr>
          <w:rFonts w:cs="Arial"/>
          <w:szCs w:val="24"/>
        </w:rPr>
        <w:t xml:space="preserve"> CIP-002 through CIP-009 have</w:t>
      </w:r>
      <w:r>
        <w:rPr>
          <w:rFonts w:cs="Arial"/>
          <w:szCs w:val="24"/>
        </w:rPr>
        <w:t xml:space="preserve"> </w:t>
      </w:r>
      <w:r w:rsidRPr="00F058BA">
        <w:rPr>
          <w:rFonts w:cs="Arial"/>
          <w:szCs w:val="24"/>
        </w:rPr>
        <w:t>been significantly revised, and two new standards, CIP-010 and CIP-011, have been</w:t>
      </w:r>
      <w:r>
        <w:rPr>
          <w:rFonts w:cs="Arial"/>
          <w:szCs w:val="24"/>
        </w:rPr>
        <w:t xml:space="preserve"> </w:t>
      </w:r>
      <w:r w:rsidRPr="00F058BA">
        <w:rPr>
          <w:rFonts w:cs="Arial"/>
          <w:szCs w:val="24"/>
        </w:rPr>
        <w:t>added.</w:t>
      </w:r>
      <w:r>
        <w:rPr>
          <w:rFonts w:cs="Arial"/>
          <w:szCs w:val="24"/>
        </w:rPr>
        <w:t xml:space="preserve">  One important revision is the</w:t>
      </w:r>
      <w:r w:rsidRPr="004B68EE">
        <w:rPr>
          <w:rFonts w:cs="Arial"/>
          <w:szCs w:val="24"/>
        </w:rPr>
        <w:t xml:space="preserve"> </w:t>
      </w:r>
      <w:r>
        <w:rPr>
          <w:rFonts w:cs="Arial"/>
          <w:szCs w:val="24"/>
        </w:rPr>
        <w:t>requirement for all</w:t>
      </w:r>
      <w:r w:rsidRPr="004B68EE">
        <w:rPr>
          <w:rFonts w:cs="Arial"/>
          <w:szCs w:val="24"/>
        </w:rPr>
        <w:t xml:space="preserve"> </w:t>
      </w:r>
      <w:r>
        <w:rPr>
          <w:rFonts w:cs="Arial"/>
          <w:szCs w:val="24"/>
        </w:rPr>
        <w:t>r</w:t>
      </w:r>
      <w:r w:rsidRPr="004B68EE">
        <w:rPr>
          <w:rFonts w:cs="Arial"/>
          <w:szCs w:val="24"/>
        </w:rPr>
        <w:t xml:space="preserve">esponsible </w:t>
      </w:r>
      <w:r>
        <w:rPr>
          <w:rFonts w:cs="Arial"/>
          <w:szCs w:val="24"/>
        </w:rPr>
        <w:t>e</w:t>
      </w:r>
      <w:r w:rsidRPr="004B68EE">
        <w:rPr>
          <w:rFonts w:cs="Arial"/>
          <w:szCs w:val="24"/>
        </w:rPr>
        <w:t>ntities to</w:t>
      </w:r>
      <w:r>
        <w:rPr>
          <w:rFonts w:cs="Arial"/>
          <w:szCs w:val="24"/>
        </w:rPr>
        <w:t xml:space="preserve"> </w:t>
      </w:r>
      <w:r w:rsidRPr="004B68EE">
        <w:rPr>
          <w:rFonts w:cs="Arial"/>
          <w:szCs w:val="24"/>
        </w:rPr>
        <w:t xml:space="preserve">implement a process that </w:t>
      </w:r>
      <w:r>
        <w:rPr>
          <w:rFonts w:cs="Arial"/>
          <w:szCs w:val="24"/>
        </w:rPr>
        <w:t>classifies</w:t>
      </w:r>
      <w:r w:rsidRPr="004B68EE">
        <w:rPr>
          <w:rFonts w:cs="Arial"/>
          <w:szCs w:val="24"/>
        </w:rPr>
        <w:t xml:space="preserve"> </w:t>
      </w:r>
      <w:r>
        <w:rPr>
          <w:rFonts w:cs="Arial"/>
          <w:szCs w:val="24"/>
        </w:rPr>
        <w:t xml:space="preserve">each component of the </w:t>
      </w:r>
      <w:r w:rsidRPr="004B68EE">
        <w:rPr>
          <w:rFonts w:cs="Arial"/>
          <w:szCs w:val="24"/>
        </w:rPr>
        <w:t>Bulk Electric</w:t>
      </w:r>
      <w:r>
        <w:rPr>
          <w:rFonts w:cs="Arial"/>
          <w:szCs w:val="24"/>
        </w:rPr>
        <w:t xml:space="preserve"> </w:t>
      </w:r>
      <w:r w:rsidRPr="004B68EE">
        <w:rPr>
          <w:rFonts w:cs="Arial"/>
          <w:szCs w:val="24"/>
        </w:rPr>
        <w:t xml:space="preserve">System </w:t>
      </w:r>
      <w:r>
        <w:rPr>
          <w:rFonts w:cs="Arial"/>
          <w:szCs w:val="24"/>
        </w:rPr>
        <w:t>(</w:t>
      </w:r>
      <w:r w:rsidRPr="004B68EE">
        <w:rPr>
          <w:rFonts w:cs="Arial"/>
          <w:szCs w:val="24"/>
        </w:rPr>
        <w:t>BES</w:t>
      </w:r>
      <w:r>
        <w:rPr>
          <w:rFonts w:cs="Arial"/>
          <w:szCs w:val="24"/>
        </w:rPr>
        <w:t>)</w:t>
      </w:r>
      <w:r w:rsidRPr="004B68EE">
        <w:rPr>
          <w:rFonts w:cs="Arial"/>
          <w:szCs w:val="24"/>
        </w:rPr>
        <w:t xml:space="preserve"> as</w:t>
      </w:r>
      <w:r>
        <w:rPr>
          <w:rFonts w:cs="Arial"/>
          <w:szCs w:val="24"/>
        </w:rPr>
        <w:t xml:space="preserve"> </w:t>
      </w:r>
      <w:r w:rsidRPr="004B68EE">
        <w:rPr>
          <w:rFonts w:cs="Arial"/>
          <w:szCs w:val="24"/>
        </w:rPr>
        <w:t>high, medium, or low impact</w:t>
      </w:r>
      <w:r>
        <w:rPr>
          <w:rFonts w:cs="Arial"/>
          <w:szCs w:val="24"/>
        </w:rPr>
        <w:t>.  A new term—</w:t>
      </w:r>
      <w:r w:rsidRPr="004B68EE">
        <w:rPr>
          <w:rFonts w:cs="Arial"/>
          <w:szCs w:val="24"/>
        </w:rPr>
        <w:t xml:space="preserve">BES Cyber </w:t>
      </w:r>
      <w:r w:rsidRPr="004B68EE">
        <w:rPr>
          <w:rFonts w:cs="Arial"/>
          <w:szCs w:val="24"/>
        </w:rPr>
        <w:lastRenderedPageBreak/>
        <w:t>System</w:t>
      </w:r>
      <w:r>
        <w:rPr>
          <w:rFonts w:cs="Arial"/>
          <w:szCs w:val="24"/>
        </w:rPr>
        <w:t>—is used to define</w:t>
      </w:r>
      <w:r w:rsidRPr="004B68EE">
        <w:rPr>
          <w:rFonts w:cs="Arial"/>
          <w:szCs w:val="24"/>
        </w:rPr>
        <w:t xml:space="preserve"> assets subject to CIP</w:t>
      </w:r>
      <w:r>
        <w:rPr>
          <w:rFonts w:cs="Arial"/>
          <w:szCs w:val="24"/>
        </w:rPr>
        <w:t xml:space="preserve"> 5 </w:t>
      </w:r>
      <w:r w:rsidRPr="004B68EE">
        <w:rPr>
          <w:rFonts w:cs="Arial"/>
          <w:szCs w:val="24"/>
        </w:rPr>
        <w:t>p</w:t>
      </w:r>
      <w:r>
        <w:rPr>
          <w:rFonts w:cs="Arial"/>
          <w:szCs w:val="24"/>
        </w:rPr>
        <w:t>rotections</w:t>
      </w:r>
      <w:r w:rsidRPr="004B68EE">
        <w:rPr>
          <w:rFonts w:cs="Arial"/>
          <w:szCs w:val="24"/>
        </w:rPr>
        <w:t>.</w:t>
      </w:r>
      <w:r>
        <w:rPr>
          <w:rFonts w:cs="Arial"/>
          <w:szCs w:val="24"/>
        </w:rPr>
        <w:t xml:space="preserve">  This new risk-based concept is applied to CIP-010 and CIP-011. CIP-010 requires</w:t>
      </w:r>
      <w:r w:rsidRPr="00665B0A">
        <w:rPr>
          <w:rFonts w:cs="Arial"/>
          <w:szCs w:val="24"/>
        </w:rPr>
        <w:t xml:space="preserve"> </w:t>
      </w:r>
      <w:r>
        <w:rPr>
          <w:rFonts w:cs="Arial"/>
          <w:szCs w:val="24"/>
        </w:rPr>
        <w:t>identifying, assessing</w:t>
      </w:r>
      <w:r w:rsidRPr="00665B0A">
        <w:rPr>
          <w:rFonts w:cs="Arial"/>
          <w:szCs w:val="24"/>
        </w:rPr>
        <w:t>,</w:t>
      </w:r>
      <w:r>
        <w:rPr>
          <w:rFonts w:cs="Arial"/>
          <w:szCs w:val="24"/>
        </w:rPr>
        <w:t xml:space="preserve"> and correcting</w:t>
      </w:r>
      <w:r w:rsidRPr="00665B0A">
        <w:rPr>
          <w:rFonts w:cs="Arial"/>
          <w:szCs w:val="24"/>
        </w:rPr>
        <w:t xml:space="preserve"> deficiencies</w:t>
      </w:r>
      <w:r w:rsidRPr="009165D9">
        <w:rPr>
          <w:rFonts w:cs="Arial"/>
          <w:szCs w:val="24"/>
        </w:rPr>
        <w:t xml:space="preserve"> </w:t>
      </w:r>
      <w:r>
        <w:rPr>
          <w:rFonts w:cs="Arial"/>
          <w:szCs w:val="24"/>
        </w:rPr>
        <w:t xml:space="preserve">in </w:t>
      </w:r>
      <w:r w:rsidRPr="00665B0A">
        <w:rPr>
          <w:rFonts w:cs="Arial"/>
          <w:szCs w:val="24"/>
        </w:rPr>
        <w:t>configuration change management and</w:t>
      </w:r>
      <w:r>
        <w:rPr>
          <w:rFonts w:cs="Arial"/>
          <w:szCs w:val="24"/>
        </w:rPr>
        <w:t xml:space="preserve"> </w:t>
      </w:r>
      <w:r w:rsidRPr="00665B0A">
        <w:rPr>
          <w:rFonts w:cs="Arial"/>
          <w:szCs w:val="24"/>
        </w:rPr>
        <w:t>vulnerability assessment</w:t>
      </w:r>
      <w:r>
        <w:rPr>
          <w:rFonts w:cs="Arial"/>
          <w:szCs w:val="24"/>
        </w:rPr>
        <w:t xml:space="preserve"> for high and medium BES Cyber Systems.  </w:t>
      </w:r>
      <w:r w:rsidRPr="00F058BA">
        <w:rPr>
          <w:rFonts w:cs="Arial"/>
          <w:szCs w:val="24"/>
        </w:rPr>
        <w:t>CIP-011</w:t>
      </w:r>
      <w:r w:rsidRPr="00665B0A">
        <w:rPr>
          <w:rFonts w:cs="Arial"/>
          <w:sz w:val="19"/>
          <w:szCs w:val="19"/>
        </w:rPr>
        <w:t xml:space="preserve"> </w:t>
      </w:r>
      <w:r>
        <w:rPr>
          <w:rFonts w:cs="Arial"/>
          <w:szCs w:val="24"/>
        </w:rPr>
        <w:t>requires</w:t>
      </w:r>
      <w:r w:rsidRPr="00665B0A">
        <w:rPr>
          <w:rFonts w:cs="Arial"/>
          <w:szCs w:val="24"/>
        </w:rPr>
        <w:t xml:space="preserve"> </w:t>
      </w:r>
      <w:r>
        <w:rPr>
          <w:rFonts w:cs="Arial"/>
          <w:szCs w:val="24"/>
        </w:rPr>
        <w:t>identifying, assessing</w:t>
      </w:r>
      <w:r w:rsidRPr="00665B0A">
        <w:rPr>
          <w:rFonts w:cs="Arial"/>
          <w:szCs w:val="24"/>
        </w:rPr>
        <w:t>,</w:t>
      </w:r>
      <w:r>
        <w:rPr>
          <w:rFonts w:cs="Arial"/>
          <w:szCs w:val="24"/>
        </w:rPr>
        <w:t xml:space="preserve"> and correcting</w:t>
      </w:r>
      <w:r w:rsidRPr="00665B0A">
        <w:rPr>
          <w:rFonts w:cs="Arial"/>
          <w:szCs w:val="24"/>
        </w:rPr>
        <w:t xml:space="preserve"> deficiencies</w:t>
      </w:r>
      <w:r w:rsidRPr="009165D9">
        <w:rPr>
          <w:rFonts w:cs="Arial"/>
          <w:szCs w:val="24"/>
        </w:rPr>
        <w:t xml:space="preserve"> </w:t>
      </w:r>
      <w:r>
        <w:rPr>
          <w:rFonts w:cs="Arial"/>
          <w:szCs w:val="24"/>
        </w:rPr>
        <w:t xml:space="preserve">in </w:t>
      </w:r>
      <w:r w:rsidRPr="00665B0A">
        <w:rPr>
          <w:rFonts w:cs="Arial"/>
          <w:szCs w:val="24"/>
        </w:rPr>
        <w:t xml:space="preserve">information protection programs for </w:t>
      </w:r>
      <w:r>
        <w:rPr>
          <w:rFonts w:cs="Arial"/>
          <w:szCs w:val="24"/>
        </w:rPr>
        <w:t>h</w:t>
      </w:r>
      <w:r w:rsidRPr="00665B0A">
        <w:rPr>
          <w:rFonts w:cs="Arial"/>
          <w:szCs w:val="24"/>
        </w:rPr>
        <w:t xml:space="preserve">igh and </w:t>
      </w:r>
      <w:r>
        <w:rPr>
          <w:rFonts w:cs="Arial"/>
          <w:szCs w:val="24"/>
        </w:rPr>
        <w:t>m</w:t>
      </w:r>
      <w:r w:rsidRPr="00665B0A">
        <w:rPr>
          <w:rFonts w:cs="Arial"/>
          <w:szCs w:val="24"/>
        </w:rPr>
        <w:t>edium BES Cyber Systems</w:t>
      </w:r>
      <w:r>
        <w:rPr>
          <w:rFonts w:cs="Arial"/>
          <w:szCs w:val="24"/>
        </w:rPr>
        <w:t>.</w:t>
      </w:r>
      <w:r w:rsidRPr="00BB30C3">
        <w:rPr>
          <w:rFonts w:cs="Arial"/>
          <w:szCs w:val="24"/>
        </w:rPr>
        <w:t xml:space="preserve"> </w:t>
      </w:r>
    </w:p>
    <w:p w:rsidR="00AC40FC" w:rsidRDefault="00AC40FC" w:rsidP="00057E8B">
      <w:pPr>
        <w:rPr>
          <w:rFonts w:cs="Arial"/>
          <w:szCs w:val="24"/>
        </w:rPr>
      </w:pPr>
      <w:r w:rsidRPr="006A2B77">
        <w:rPr>
          <w:rFonts w:cs="Arial"/>
          <w:szCs w:val="24"/>
        </w:rPr>
        <w:t>The scope of CIP</w:t>
      </w:r>
      <w:r>
        <w:rPr>
          <w:rFonts w:cs="Arial"/>
          <w:szCs w:val="24"/>
        </w:rPr>
        <w:t xml:space="preserve"> 5</w:t>
      </w:r>
      <w:r w:rsidRPr="006A2B77">
        <w:rPr>
          <w:rFonts w:cs="Arial"/>
          <w:szCs w:val="24"/>
        </w:rPr>
        <w:t xml:space="preserve"> has been broadened due to looking at smaller (and considerably more) components</w:t>
      </w:r>
      <w:r>
        <w:rPr>
          <w:rFonts w:cs="Arial"/>
          <w:szCs w:val="24"/>
        </w:rPr>
        <w:t>.  PPL’s</w:t>
      </w:r>
      <w:r w:rsidRPr="006A2B77">
        <w:rPr>
          <w:rFonts w:cs="Arial"/>
          <w:szCs w:val="24"/>
        </w:rPr>
        <w:t xml:space="preserve"> assets have been categorized as high, medium, or low impact</w:t>
      </w:r>
      <w:r>
        <w:rPr>
          <w:rFonts w:cs="Arial"/>
          <w:szCs w:val="24"/>
        </w:rPr>
        <w:t xml:space="preserve"> b</w:t>
      </w:r>
      <w:r w:rsidRPr="006A2B77">
        <w:rPr>
          <w:rFonts w:cs="Arial"/>
          <w:szCs w:val="24"/>
        </w:rPr>
        <w:t>ut much work remains</w:t>
      </w:r>
      <w:r>
        <w:rPr>
          <w:rFonts w:cs="Arial"/>
          <w:szCs w:val="24"/>
        </w:rPr>
        <w:t xml:space="preserve"> in identifying, assessing</w:t>
      </w:r>
      <w:r w:rsidRPr="00665B0A">
        <w:rPr>
          <w:rFonts w:cs="Arial"/>
          <w:szCs w:val="24"/>
        </w:rPr>
        <w:t>,</w:t>
      </w:r>
      <w:r>
        <w:rPr>
          <w:rFonts w:cs="Arial"/>
          <w:szCs w:val="24"/>
        </w:rPr>
        <w:t xml:space="preserve"> and correcting</w:t>
      </w:r>
      <w:r w:rsidRPr="00665B0A">
        <w:rPr>
          <w:rFonts w:cs="Arial"/>
          <w:szCs w:val="24"/>
        </w:rPr>
        <w:t xml:space="preserve"> deficiencies</w:t>
      </w:r>
      <w:r w:rsidRPr="006A2B77">
        <w:rPr>
          <w:rFonts w:cs="Arial"/>
          <w:szCs w:val="24"/>
        </w:rPr>
        <w:t>.</w:t>
      </w:r>
    </w:p>
    <w:p w:rsidR="00AC40FC" w:rsidRDefault="00AC40FC" w:rsidP="00057E8B">
      <w:pPr>
        <w:rPr>
          <w:rFonts w:cs="Arial"/>
          <w:szCs w:val="24"/>
        </w:rPr>
      </w:pPr>
      <w:r>
        <w:rPr>
          <w:rFonts w:cs="Arial"/>
          <w:szCs w:val="24"/>
        </w:rPr>
        <w:t xml:space="preserve">IT will participate in the Cyber Security Risk Information Sharing Plan (CRISP), whereby PPL voluntarily places devices in the network to capture packet data, with that data shared for analysis by </w:t>
      </w:r>
      <w:r w:rsidRPr="001D0B27">
        <w:rPr>
          <w:rFonts w:cs="Arial"/>
          <w:bCs/>
          <w:szCs w:val="24"/>
        </w:rPr>
        <w:t>Electricity Information Sharing and Analysis Center</w:t>
      </w:r>
      <w:r>
        <w:rPr>
          <w:rFonts w:cs="Arial"/>
          <w:szCs w:val="24"/>
        </w:rPr>
        <w:t>.  The CIO closely monitored proposed legislation in both the House and Senate regarding liability issues in CRISP, and recently decided to move forward with the CRISP program.  Following final approval by NERC and the Department of Energy, the devices became operational and began passing data in August 2015.</w:t>
      </w:r>
    </w:p>
    <w:p w:rsidR="00AC40FC" w:rsidRDefault="00AC40FC" w:rsidP="00057E8B">
      <w:pPr>
        <w:pStyle w:val="Heading40"/>
      </w:pPr>
      <w:r>
        <w:t>Current Cyber Security Processes and Policies</w:t>
      </w:r>
    </w:p>
    <w:p w:rsidR="00AC40FC" w:rsidRDefault="00AC40FC" w:rsidP="00057E8B">
      <w:pPr>
        <w:rPr>
          <w:rFonts w:cs="Arial"/>
          <w:szCs w:val="24"/>
        </w:rPr>
      </w:pPr>
      <w:r>
        <w:rPr>
          <w:rFonts w:cs="Arial"/>
          <w:szCs w:val="24"/>
        </w:rPr>
        <w:t>PPL cyber security is being managed from a risk-based assessment approach, complemented by “Defense in Depth” layers of protection.</w:t>
      </w:r>
      <w:r w:rsidRPr="00326CBF">
        <w:rPr>
          <w:rFonts w:cs="Arial"/>
          <w:szCs w:val="24"/>
        </w:rPr>
        <w:t xml:space="preserve"> </w:t>
      </w:r>
      <w:r>
        <w:rPr>
          <w:rFonts w:cs="Arial"/>
          <w:szCs w:val="24"/>
        </w:rPr>
        <w:t>These include:</w:t>
      </w:r>
    </w:p>
    <w:p w:rsidR="00AC40FC" w:rsidRDefault="00AC40FC" w:rsidP="00057E8B">
      <w:pPr>
        <w:pStyle w:val="Bullet"/>
      </w:pPr>
      <w:r>
        <w:t>Intrusion detection and prevention</w:t>
      </w:r>
    </w:p>
    <w:p w:rsidR="00AC40FC" w:rsidRDefault="00AC40FC" w:rsidP="00057E8B">
      <w:pPr>
        <w:pStyle w:val="Bullet"/>
      </w:pPr>
      <w:r>
        <w:t>Virus scanning</w:t>
      </w:r>
    </w:p>
    <w:p w:rsidR="00AC40FC" w:rsidRDefault="00AC40FC" w:rsidP="00057E8B">
      <w:pPr>
        <w:pStyle w:val="Bullet"/>
      </w:pPr>
      <w:r>
        <w:t>Malware scanning</w:t>
      </w:r>
    </w:p>
    <w:p w:rsidR="00AC40FC" w:rsidRDefault="00AC40FC" w:rsidP="00057E8B">
      <w:pPr>
        <w:pStyle w:val="Bullet"/>
      </w:pPr>
      <w:r>
        <w:t>Firewalls</w:t>
      </w:r>
    </w:p>
    <w:p w:rsidR="00AC40FC" w:rsidRDefault="00AC40FC" w:rsidP="0049591B">
      <w:pPr>
        <w:pStyle w:val="Bullet"/>
      </w:pPr>
      <w:r>
        <w:t>True positive identification</w:t>
      </w:r>
    </w:p>
    <w:p w:rsidR="00AC40FC" w:rsidRDefault="00AC40FC" w:rsidP="0049591B">
      <w:pPr>
        <w:pStyle w:val="Normal-aftertable"/>
      </w:pPr>
      <w:r>
        <w:t>Desktop antivirus software is updated three times daily; only certified patches are applied; and they are applied as soon as approved.  The web proxy server, which inspects both incoming and outgoing traffic, offers another layer of virus protection.  The web proxy server also performs Uniform Resource Locator (URL) filtering and behavioral detection. Third parties perform penetration testing to identify defensive gaps.  IAG considers each of these defense layers for any proposed new application.  When new applications or major upgrades are tested and placed in production, appropriate cyber security audits are included.</w:t>
      </w:r>
    </w:p>
    <w:p w:rsidR="00AC40FC" w:rsidRDefault="00AC40FC" w:rsidP="00057E8B">
      <w:pPr>
        <w:rPr>
          <w:rFonts w:cs="Arial"/>
          <w:szCs w:val="24"/>
        </w:rPr>
      </w:pPr>
      <w:r>
        <w:t>The IAG leverages multiple sources to keep abreast of emerging cyber security developments, including IT-oriented, electric industry, federal, and state forums and entities.</w:t>
      </w:r>
    </w:p>
    <w:p w:rsidR="00AC40FC" w:rsidRDefault="00AC40FC" w:rsidP="00057E8B">
      <w:pPr>
        <w:rPr>
          <w:rFonts w:cs="Arial"/>
          <w:szCs w:val="24"/>
        </w:rPr>
      </w:pPr>
      <w:r>
        <w:rPr>
          <w:rFonts w:cs="Arial"/>
          <w:szCs w:val="24"/>
        </w:rPr>
        <w:t>The IT Safety Net Process is the umbrella for monitoring and ensuring security compliance in daily activities.  These include:</w:t>
      </w:r>
    </w:p>
    <w:p w:rsidR="00AC40FC" w:rsidRDefault="00AC40FC" w:rsidP="00057E8B">
      <w:pPr>
        <w:pStyle w:val="Bullet"/>
      </w:pPr>
      <w:r>
        <w:t>Ongoing cyber security awareness training to employees</w:t>
      </w:r>
    </w:p>
    <w:p w:rsidR="00AC40FC" w:rsidRDefault="00AC40FC" w:rsidP="00057E8B">
      <w:pPr>
        <w:pStyle w:val="Bullet"/>
      </w:pPr>
      <w:r>
        <w:t>Phishing campaigns (sending fake harmful emails).  This originally started with targeted groups.  The campaigns are now run on a monthly basis, with day of the month and recipients rotated randomly.</w:t>
      </w:r>
    </w:p>
    <w:p w:rsidR="00AC40FC" w:rsidRDefault="00AC40FC" w:rsidP="00057E8B">
      <w:pPr>
        <w:pStyle w:val="Bullet"/>
      </w:pPr>
      <w:r>
        <w:lastRenderedPageBreak/>
        <w:t>Secure work space.  Supervisors perform random after-hour checks of employees work areas for items such as password notes and insecure laptops.  A form is used so that the process is standardized and disciplined.  An insecure laptop (not connected to a cable lockbox mechanism) will likely be confiscated.</w:t>
      </w:r>
    </w:p>
    <w:p w:rsidR="00AC40FC" w:rsidRDefault="00AC40FC" w:rsidP="00057E8B">
      <w:pPr>
        <w:pStyle w:val="Bullet"/>
      </w:pPr>
      <w:r>
        <w:t>Password changes are prompted every 90 days.</w:t>
      </w:r>
    </w:p>
    <w:p w:rsidR="00AC40FC" w:rsidRDefault="00AC40FC" w:rsidP="00057E8B">
      <w:pPr>
        <w:pStyle w:val="Bullet"/>
      </w:pPr>
      <w:r>
        <w:t xml:space="preserve">Security system reports are </w:t>
      </w:r>
      <w:r w:rsidRPr="00102FEB">
        <w:t>reviewed</w:t>
      </w:r>
      <w:r>
        <w:t xml:space="preserve"> for unusual patterns.</w:t>
      </w:r>
    </w:p>
    <w:p w:rsidR="00AC40FC" w:rsidRDefault="00AC40FC" w:rsidP="0049591B">
      <w:pPr>
        <w:pStyle w:val="Bullet"/>
      </w:pPr>
      <w:r>
        <w:t>Any access into a CIP-designated asset requires hard token access.  IT also uses hard token access in other critical areas.</w:t>
      </w:r>
      <w:r w:rsidRPr="00992348">
        <w:t xml:space="preserve"> </w:t>
      </w:r>
    </w:p>
    <w:p w:rsidR="00AC40FC" w:rsidRDefault="00AC40FC" w:rsidP="0049591B">
      <w:pPr>
        <w:pStyle w:val="Normal-aftertable"/>
      </w:pPr>
      <w:r>
        <w:t>The systems development process includes a diagram for each phase, which links to templates for security requirements.  The process ensures that all NERC, Federal Energy Regulatory Commission (FERC), and Sarbanes-Oxley (SOX) requirements are considered early in the project. This culminates with the 5059 Pre-production Signoff form, which verifies that all security requirements have been met.</w:t>
      </w:r>
      <w:r w:rsidRPr="00FB5A8C">
        <w:t xml:space="preserve"> </w:t>
      </w:r>
    </w:p>
    <w:p w:rsidR="00AC40FC" w:rsidRDefault="00AC40FC" w:rsidP="00057E8B">
      <w:pPr>
        <w:pStyle w:val="Heading40"/>
      </w:pPr>
      <w:r>
        <w:t>Personal Devices</w:t>
      </w:r>
    </w:p>
    <w:p w:rsidR="00AC40FC" w:rsidRDefault="00AC40FC" w:rsidP="00057E8B">
      <w:pPr>
        <w:rPr>
          <w:rFonts w:cs="Arial"/>
          <w:szCs w:val="24"/>
        </w:rPr>
      </w:pPr>
      <w:r>
        <w:rPr>
          <w:rFonts w:cs="Arial"/>
          <w:szCs w:val="24"/>
        </w:rPr>
        <w:t xml:space="preserve">PPL-issued smart phones are password protected.  PPL uses commercial software to segregate personal and corporate information.  The corporate information can be cleansed if the device is stolen or misplaced.  The same software is installed on non-corporate smart phones, but passwords are not required. </w:t>
      </w:r>
      <w:r w:rsidRPr="006753D9">
        <w:rPr>
          <w:rFonts w:cs="Arial"/>
          <w:szCs w:val="24"/>
        </w:rPr>
        <w:t xml:space="preserve"> </w:t>
      </w:r>
      <w:r>
        <w:rPr>
          <w:rFonts w:cs="Arial"/>
          <w:szCs w:val="24"/>
        </w:rPr>
        <w:t>PPL does not utilize burn (prepaid) phones. iPads are not allowed on the corporate network, as the technology does not exist for adequate protection.</w:t>
      </w:r>
    </w:p>
    <w:p w:rsidR="00AC40FC" w:rsidRDefault="00AC40FC" w:rsidP="00057E8B">
      <w:pPr>
        <w:pStyle w:val="Heading40"/>
      </w:pPr>
      <w:r>
        <w:t>Cyber Security Cost and Upcoming Improvements</w:t>
      </w:r>
    </w:p>
    <w:p w:rsidR="00AC40FC" w:rsidRDefault="00AC40FC" w:rsidP="00057E8B">
      <w:r>
        <w:t xml:space="preserve">The cost of cyber security has grown significantly, from approximately $4 million in 2012 to an estimated $11 million in 2016. </w:t>
      </w:r>
    </w:p>
    <w:p w:rsidR="00AC40FC" w:rsidRDefault="00AC40FC" w:rsidP="002B3172">
      <w:pPr>
        <w:pStyle w:val="Caption"/>
      </w:pPr>
      <w:bookmarkStart w:id="205" w:name="_Toc462648445"/>
      <w:bookmarkStart w:id="206" w:name="_Toc464553067"/>
      <w:r>
        <w:t xml:space="preserve">Exhibit </w:t>
      </w:r>
      <w:fldSimple w:instr=" STYLEREF 1 \s ">
        <w:r w:rsidR="00A24205">
          <w:rPr>
            <w:noProof/>
          </w:rPr>
          <w:t>XI</w:t>
        </w:r>
      </w:fldSimple>
      <w:r w:rsidR="00264A1B">
        <w:noBreakHyphen/>
      </w:r>
      <w:fldSimple w:instr=" SEQ Exhibit \* ARABIC \s 1 ">
        <w:r w:rsidR="00A24205">
          <w:rPr>
            <w:noProof/>
          </w:rPr>
          <w:t>5</w:t>
        </w:r>
      </w:fldSimple>
      <w:r>
        <w:br/>
      </w:r>
      <w:r w:rsidRPr="00B02945">
        <w:t>Five Year Trend in Cyber Security Spendin</w:t>
      </w:r>
      <w:r>
        <w:t>g</w:t>
      </w:r>
      <w:bookmarkEnd w:id="205"/>
      <w:bookmarkEnd w:id="206"/>
    </w:p>
    <w:p w:rsidR="00AC40FC" w:rsidRDefault="00AC40FC" w:rsidP="00155DDD">
      <w:pPr>
        <w:jc w:val="center"/>
      </w:pPr>
      <w:r>
        <w:rPr>
          <w:noProof/>
        </w:rPr>
        <w:drawing>
          <wp:inline distT="0" distB="0" distL="0" distR="0">
            <wp:extent cx="4724400" cy="2858681"/>
            <wp:effectExtent l="38100" t="38100" r="19050" b="18415"/>
            <wp:docPr id="1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srcRect/>
                    <a:stretch>
                      <a:fillRect/>
                    </a:stretch>
                  </pic:blipFill>
                  <pic:spPr bwMode="auto">
                    <a:xfrm>
                      <a:off x="0" y="0"/>
                      <a:ext cx="4737625" cy="2866684"/>
                    </a:xfrm>
                    <a:prstGeom prst="rect">
                      <a:avLst/>
                    </a:prstGeom>
                    <a:noFill/>
                    <a:ln w="38100">
                      <a:solidFill>
                        <a:schemeClr val="tx1"/>
                      </a:solidFill>
                      <a:miter lim="800000"/>
                      <a:headEnd/>
                      <a:tailEnd/>
                    </a:ln>
                  </pic:spPr>
                </pic:pic>
              </a:graphicData>
            </a:graphic>
          </wp:inline>
        </w:drawing>
      </w:r>
    </w:p>
    <w:p w:rsidR="00AC40FC" w:rsidRDefault="00AC40FC" w:rsidP="00057E8B">
      <w:pPr>
        <w:rPr>
          <w:rFonts w:cs="Arial"/>
          <w:szCs w:val="24"/>
        </w:rPr>
      </w:pPr>
      <w:r>
        <w:rPr>
          <w:rFonts w:cs="Arial"/>
          <w:szCs w:val="24"/>
        </w:rPr>
        <w:t xml:space="preserve">Source: </w:t>
      </w:r>
      <w:r>
        <w:t>DN 09-</w:t>
      </w:r>
      <w:r w:rsidRPr="00B02945">
        <w:rPr>
          <w:bCs/>
        </w:rPr>
        <w:t>103</w:t>
      </w:r>
    </w:p>
    <w:p w:rsidR="00AC40FC" w:rsidRDefault="00AC40FC" w:rsidP="00057E8B">
      <w:pPr>
        <w:rPr>
          <w:rFonts w:cs="Arial"/>
          <w:szCs w:val="24"/>
        </w:rPr>
      </w:pPr>
      <w:r>
        <w:rPr>
          <w:rFonts w:cs="Arial"/>
          <w:szCs w:val="24"/>
        </w:rPr>
        <w:lastRenderedPageBreak/>
        <w:t>Continuous improvement is the underlying driver for these increasing costs as IT moves toward adaptive identification.  A new cutting edge security application will review a user’s behavior patterns; and the more unusual the activity (such as trying to gain access from a non-recognized IP address), the more and tougher gates that will need to be passed.  IAG began rolling out this security application in September and initially expected to have it fully functional by year end 2015, but subsequently determined a slight delay into first quarter 2016 was appropriate.</w:t>
      </w:r>
    </w:p>
    <w:p w:rsidR="00AC40FC" w:rsidRDefault="00AC40FC" w:rsidP="00057E8B">
      <w:pPr>
        <w:rPr>
          <w:rFonts w:cs="Arial"/>
          <w:szCs w:val="24"/>
        </w:rPr>
      </w:pPr>
      <w:r>
        <w:rPr>
          <w:rFonts w:cs="Arial"/>
          <w:szCs w:val="24"/>
        </w:rPr>
        <w:t xml:space="preserve">Another important new application is designed for improved management of privileged user’s rights (such as administrator rights on desktops). The system will also provide a full audit trail.  </w:t>
      </w:r>
    </w:p>
    <w:p w:rsidR="00AC40FC" w:rsidRDefault="00AC40FC" w:rsidP="00057E8B">
      <w:pPr>
        <w:rPr>
          <w:rFonts w:cs="Arial"/>
          <w:szCs w:val="24"/>
        </w:rPr>
      </w:pPr>
      <w:r>
        <w:rPr>
          <w:rFonts w:cs="Arial"/>
          <w:szCs w:val="24"/>
        </w:rPr>
        <w:t>Overall, there is an emphasis on making application access more role-based,</w:t>
      </w:r>
      <w:r w:rsidRPr="00084977">
        <w:rPr>
          <w:rFonts w:cs="Arial"/>
          <w:szCs w:val="24"/>
        </w:rPr>
        <w:t xml:space="preserve"> </w:t>
      </w:r>
      <w:r>
        <w:rPr>
          <w:rFonts w:cs="Arial"/>
          <w:szCs w:val="24"/>
        </w:rPr>
        <w:t>which will make administration simpler as well as promote understanding by the user.</w:t>
      </w:r>
    </w:p>
    <w:p w:rsidR="00AC40FC" w:rsidRDefault="00AC40FC" w:rsidP="00057E8B">
      <w:pPr>
        <w:pStyle w:val="Heading30"/>
      </w:pPr>
      <w:r w:rsidRPr="00411177">
        <w:t>DATA CENTER PHYSICAL SECURITY</w:t>
      </w:r>
    </w:p>
    <w:p w:rsidR="00AC40FC" w:rsidRDefault="00AC40FC">
      <w:r>
        <w:t>A physical review of the PPL SC data center was conducted.  The data center was constructed to PPL requirements during 2012 and 2013.  A structured checklist was utilized for the interview.  Key features of the data center include:</w:t>
      </w:r>
    </w:p>
    <w:p w:rsidR="00AC40FC" w:rsidRDefault="00AC40FC" w:rsidP="00057E8B">
      <w:pPr>
        <w:pStyle w:val="Bullet"/>
      </w:pPr>
      <w:r>
        <w:t>Steel frame, concrete floor and concrete block hardened</w:t>
      </w:r>
    </w:p>
    <w:p w:rsidR="00AC40FC" w:rsidRDefault="00AC40FC" w:rsidP="00057E8B">
      <w:pPr>
        <w:pStyle w:val="Bullet"/>
      </w:pPr>
      <w:r>
        <w:t>Not in a flood plain</w:t>
      </w:r>
    </w:p>
    <w:p w:rsidR="00AC40FC" w:rsidRDefault="00AC40FC" w:rsidP="00057E8B">
      <w:pPr>
        <w:pStyle w:val="Bullet"/>
      </w:pPr>
      <w:r>
        <w:t>Uninterruptible power supply/battery configurations, complemented by redundant electric power feeds</w:t>
      </w:r>
    </w:p>
    <w:p w:rsidR="00AC40FC" w:rsidRDefault="00AC40FC" w:rsidP="00057E8B">
      <w:pPr>
        <w:pStyle w:val="Bullet"/>
      </w:pPr>
      <w:r>
        <w:t>Smoke and fire detection and suppression</w:t>
      </w:r>
    </w:p>
    <w:p w:rsidR="00AC40FC" w:rsidRDefault="00AC40FC" w:rsidP="00057E8B">
      <w:pPr>
        <w:pStyle w:val="Bullet"/>
      </w:pPr>
      <w:r>
        <w:t>Multiple layers of access control, complemented by surveillance cameras and 24x7 monitoring by a security command center</w:t>
      </w:r>
    </w:p>
    <w:p w:rsidR="00AC40FC" w:rsidRDefault="00AC40FC" w:rsidP="0049591B">
      <w:pPr>
        <w:pStyle w:val="Bullet"/>
      </w:pPr>
      <w:r>
        <w:t>Certification by an outside party for compliance with NERC and CIP standards.</w:t>
      </w:r>
    </w:p>
    <w:p w:rsidR="00AC40FC" w:rsidRDefault="00AC40FC" w:rsidP="0049591B">
      <w:pPr>
        <w:pStyle w:val="Normal-aftertable"/>
      </w:pPr>
      <w:r>
        <w:t xml:space="preserve">Summarizing, the data center reflects best practices in construction, security, and operational reliability. </w:t>
      </w:r>
    </w:p>
    <w:p w:rsidR="00AC40FC" w:rsidRDefault="00AC40FC" w:rsidP="00057E8B">
      <w:r w:rsidRPr="0029232D">
        <w:t xml:space="preserve">Other </w:t>
      </w:r>
      <w:r>
        <w:t xml:space="preserve">relevant </w:t>
      </w:r>
      <w:r w:rsidRPr="0029232D">
        <w:t>information</w:t>
      </w:r>
      <w:r>
        <w:t xml:space="preserve"> on the security of the data center includes:</w:t>
      </w:r>
    </w:p>
    <w:p w:rsidR="00AC40FC" w:rsidRDefault="00AC40FC" w:rsidP="00057E8B">
      <w:pPr>
        <w:pStyle w:val="Bullet"/>
      </w:pPr>
      <w:r>
        <w:t xml:space="preserve">176 people work in and have authorized access to the building.  </w:t>
      </w:r>
    </w:p>
    <w:p w:rsidR="00AC40FC" w:rsidRDefault="00AC40FC" w:rsidP="00057E8B">
      <w:pPr>
        <w:pStyle w:val="Bullet"/>
      </w:pPr>
      <w:r>
        <w:t>PPL has familiarized local police and fire agencies via tours and reviews so that appropriate emergency response can be provided.</w:t>
      </w:r>
    </w:p>
    <w:p w:rsidR="00AC40FC" w:rsidRDefault="00AC40FC" w:rsidP="00057E8B">
      <w:pPr>
        <w:pStyle w:val="Bullet"/>
      </w:pPr>
      <w:r w:rsidRPr="00802271">
        <w:t>The cleaning crew is escorted by security when in any sensitive areas.  Visitors are escorted through the entire building.</w:t>
      </w:r>
    </w:p>
    <w:p w:rsidR="00AC40FC" w:rsidRDefault="00AC40FC">
      <w:pPr>
        <w:pStyle w:val="Bullet"/>
      </w:pPr>
      <w:r>
        <w:t>Equipment for the data center is first received in a room with exterior rolling door access.  After inspection and unpacking, it is moved into another room for preparation and testing.  It then can be taken into the production environment.</w:t>
      </w:r>
    </w:p>
    <w:p w:rsidR="00AC40FC" w:rsidRDefault="00AC40FC">
      <w:pPr>
        <w:pStyle w:val="Heading30"/>
        <w:rPr>
          <w:rFonts w:cs="Arial"/>
          <w:szCs w:val="24"/>
        </w:rPr>
      </w:pPr>
      <w:r>
        <w:rPr>
          <w:rFonts w:cs="Arial"/>
          <w:szCs w:val="24"/>
        </w:rPr>
        <w:t>TRAINING</w:t>
      </w:r>
    </w:p>
    <w:p w:rsidR="00AC40FC" w:rsidRDefault="00AC40FC" w:rsidP="00057E8B">
      <w:pPr>
        <w:rPr>
          <w:rFonts w:cs="Arial"/>
          <w:szCs w:val="24"/>
        </w:rPr>
      </w:pPr>
      <w:r>
        <w:rPr>
          <w:rFonts w:cs="Arial"/>
          <w:szCs w:val="24"/>
        </w:rPr>
        <w:t xml:space="preserve">By PPL SC HR policy, individual development plans are documented for each employee.  Training and development initiatives can be structured such as classrooms and videos, or can be on-the-job experiential.  Development plans are updated annually, with a review at mid-year and end-of-year. IT training requirements are </w:t>
      </w:r>
      <w:r>
        <w:rPr>
          <w:rFonts w:cs="Arial"/>
          <w:szCs w:val="24"/>
        </w:rPr>
        <w:lastRenderedPageBreak/>
        <w:t xml:space="preserve">influenced by the professional background of employees.  For recent college graduates, the process of on-boarding is becoming increasingly formal, with all required to attend formal classes that provide a background on electric utility functions.  Rotating among different functions on a short-term basis, typically two to three months, is also required.  For more experienced personnel, training is much more on-the-job in nature, with process training a frequent activity.  North American Electric Reliability Corporation (NERC) and Critical Infrastructure Protection (CIP) training are also common.  Training credentials are tracked in the HR system.  The average cost per employee is roughly $1,000 annually.  </w:t>
      </w:r>
    </w:p>
    <w:p w:rsidR="00AC40FC" w:rsidRDefault="00AC40FC">
      <w:pPr>
        <w:pStyle w:val="Heading30"/>
      </w:pPr>
      <w:r>
        <w:t>PERFORMANCE METRICS, TARGETS, AND PERFORMANCE REPORTING</w:t>
      </w:r>
    </w:p>
    <w:p w:rsidR="00AC40FC" w:rsidRDefault="00AC40FC" w:rsidP="00057E8B">
      <w:pPr>
        <w:rPr>
          <w:rFonts w:cs="Arial"/>
          <w:szCs w:val="24"/>
        </w:rPr>
      </w:pPr>
      <w:r>
        <w:t xml:space="preserve">From transmission line personnel to customer service representatives to accounts payable associates, PPL personnel are dependent on robust and reliable IT support.  When issues arise, such as slow response times, unavailable applications, or failing desktops, the user needs to be able to submit an incident report or request that can be handled properly and timely.  It is a best practice in IT management to track performance metrics, preferably as memorialized expectations.  PPL’s </w:t>
      </w:r>
      <w:r>
        <w:rPr>
          <w:rFonts w:cs="Arial"/>
          <w:szCs w:val="24"/>
        </w:rPr>
        <w:t>IT function tracks over 50 Service Level Agreement (SLA) metrics.  Each metric has an SLA target, a business owner, and a responsible IT director.  There are two major paths of SLA development: 1) discussion with the business and 2) reviewing past performance.  The general goal is for the SLA’s to get tighter over time.  The SLA’s are reviewed and confirmed annually.  SLA’s are integral to the compensation structure at the corporate level.  Each employee has documented specific actions, milestones, and SLA’s (such as a project being delivered on time) that tie to compensation.</w:t>
      </w:r>
    </w:p>
    <w:p w:rsidR="00AC40FC" w:rsidRDefault="00AC40FC" w:rsidP="00057E8B">
      <w:r>
        <w:rPr>
          <w:rFonts w:cs="Arial"/>
          <w:szCs w:val="24"/>
        </w:rPr>
        <w:t>An excerpt of the SLA report, which is updated monthly, appears below</w:t>
      </w:r>
      <w:r>
        <w:t xml:space="preserve">. </w:t>
      </w:r>
    </w:p>
    <w:p w:rsidR="00AC40FC" w:rsidRDefault="00AC40FC" w:rsidP="002B3172">
      <w:pPr>
        <w:pStyle w:val="Caption"/>
      </w:pPr>
      <w:bookmarkStart w:id="207" w:name="_Toc462648446"/>
      <w:bookmarkStart w:id="208" w:name="_Toc464553068"/>
      <w:r>
        <w:lastRenderedPageBreak/>
        <w:t xml:space="preserve">Exhibit </w:t>
      </w:r>
      <w:fldSimple w:instr=" STYLEREF 1 \s ">
        <w:r w:rsidR="00A24205">
          <w:rPr>
            <w:noProof/>
          </w:rPr>
          <w:t>XI</w:t>
        </w:r>
      </w:fldSimple>
      <w:r w:rsidR="00264A1B">
        <w:noBreakHyphen/>
      </w:r>
      <w:fldSimple w:instr=" SEQ Exhibit \* ARABIC \s 1 ">
        <w:r w:rsidR="00A24205">
          <w:rPr>
            <w:noProof/>
          </w:rPr>
          <w:t>6</w:t>
        </w:r>
      </w:fldSimple>
      <w:r>
        <w:br/>
        <w:t>Excerpt on SLA Tracking</w:t>
      </w:r>
      <w:bookmarkEnd w:id="207"/>
      <w:bookmarkEnd w:id="208"/>
    </w:p>
    <w:p w:rsidR="00AC40FC" w:rsidRPr="001F1DD8" w:rsidRDefault="00AC40FC" w:rsidP="0049591B">
      <w:pPr>
        <w:jc w:val="center"/>
      </w:pPr>
      <w:r>
        <w:rPr>
          <w:noProof/>
        </w:rPr>
        <w:drawing>
          <wp:inline distT="0" distB="0" distL="0" distR="0">
            <wp:extent cx="5669551" cy="6886575"/>
            <wp:effectExtent l="0" t="0" r="0" b="0"/>
            <wp:docPr id="1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srcRect/>
                    <a:stretch>
                      <a:fillRect/>
                    </a:stretch>
                  </pic:blipFill>
                  <pic:spPr bwMode="auto">
                    <a:xfrm>
                      <a:off x="0" y="0"/>
                      <a:ext cx="5687675" cy="6908589"/>
                    </a:xfrm>
                    <a:prstGeom prst="rect">
                      <a:avLst/>
                    </a:prstGeom>
                    <a:noFill/>
                    <a:ln w="9525">
                      <a:noFill/>
                      <a:miter lim="800000"/>
                      <a:headEnd/>
                      <a:tailEnd/>
                    </a:ln>
                  </pic:spPr>
                </pic:pic>
              </a:graphicData>
            </a:graphic>
          </wp:inline>
        </w:drawing>
      </w:r>
    </w:p>
    <w:p w:rsidR="00AC40FC" w:rsidRDefault="00AC40FC" w:rsidP="00057E8B">
      <w:pPr>
        <w:pStyle w:val="Normal-aftertable"/>
      </w:pPr>
      <w:r>
        <w:t>Source: DN 09-053a</w:t>
      </w:r>
    </w:p>
    <w:p w:rsidR="00AC40FC" w:rsidRDefault="00AC40FC" w:rsidP="00057E8B">
      <w:r>
        <w:rPr>
          <w:rFonts w:cs="Arial"/>
          <w:szCs w:val="24"/>
        </w:rPr>
        <w:t xml:space="preserve">There is a high level of awareness of SLA targets, with an emphasis on monitoring in the current year and for the recently completed year.  However, trend analysis over five year periods seems to be lacking.  Some of the focus on only the most recent results is </w:t>
      </w:r>
      <w:r>
        <w:rPr>
          <w:rFonts w:cs="Arial"/>
          <w:szCs w:val="24"/>
        </w:rPr>
        <w:lastRenderedPageBreak/>
        <w:t>attributable to added data elements and data element definition changes in ServiceNow.  Those changes were implemented during a Fruition Partners engagement</w:t>
      </w:r>
      <w:r w:rsidRPr="00E24B22">
        <w:rPr>
          <w:rFonts w:cs="Arial"/>
          <w:szCs w:val="24"/>
        </w:rPr>
        <w:t xml:space="preserve"> </w:t>
      </w:r>
      <w:r>
        <w:rPr>
          <w:rFonts w:cs="Arial"/>
          <w:szCs w:val="24"/>
        </w:rPr>
        <w:t>in 2012.</w:t>
      </w:r>
    </w:p>
    <w:p w:rsidR="00AC40FC" w:rsidRDefault="00AC40FC" w:rsidP="004F00E5">
      <w:pPr>
        <w:pStyle w:val="Heading2"/>
        <w:numPr>
          <w:ilvl w:val="0"/>
          <w:numId w:val="109"/>
        </w:numPr>
      </w:pPr>
      <w:bookmarkStart w:id="209" w:name="_Toc462647875"/>
      <w:bookmarkStart w:id="210" w:name="_Toc464552114"/>
      <w:r>
        <w:t>Findings</w:t>
      </w:r>
      <w:bookmarkEnd w:id="209"/>
      <w:bookmarkEnd w:id="210"/>
    </w:p>
    <w:p w:rsidR="00AC40FC" w:rsidRPr="0049591B" w:rsidRDefault="00AC40FC" w:rsidP="004F00E5">
      <w:pPr>
        <w:pStyle w:val="Findings"/>
        <w:numPr>
          <w:ilvl w:val="0"/>
          <w:numId w:val="120"/>
        </w:numPr>
      </w:pPr>
      <w:r w:rsidRPr="0049591B">
        <w:t>IT is making a beneficial conversion from a technology and applications focus to a business need and service focus.</w:t>
      </w:r>
    </w:p>
    <w:p w:rsidR="00AC40FC" w:rsidRDefault="00AC40FC" w:rsidP="00057E8B">
      <w:r>
        <w:t xml:space="preserve">IT </w:t>
      </w:r>
      <w:r w:rsidRPr="00FA45CE">
        <w:t>is in the midst of a paradigm shift in providing IT services</w:t>
      </w:r>
      <w:r>
        <w:t xml:space="preserve">.  Instead of focusing on </w:t>
      </w:r>
      <w:r w:rsidRPr="00FA45CE">
        <w:t>technolog</w:t>
      </w:r>
      <w:r>
        <w:t xml:space="preserve">ies and software </w:t>
      </w:r>
      <w:r w:rsidRPr="00FA45CE">
        <w:t>application</w:t>
      </w:r>
      <w:r>
        <w:t>s, the organization is emphasizing</w:t>
      </w:r>
      <w:r w:rsidRPr="00FA45CE">
        <w:t xml:space="preserve"> business</w:t>
      </w:r>
      <w:r>
        <w:t xml:space="preserve"> needs, and increasingly speaks of IT “services” in business terminology rather than in software application terminology.  By approaching IT in this manner, the end users are better able to express requirements to IT that in turn can more easily be mapped to the underlying technologies.  This approach supports effective communication between technical and non-technical personnel, minimizes programming reworks, and contributes to delivering on-target capabilities.</w:t>
      </w:r>
    </w:p>
    <w:p w:rsidR="00AC40FC" w:rsidRPr="000402E8" w:rsidRDefault="00AC40FC" w:rsidP="0049591B">
      <w:pPr>
        <w:pStyle w:val="Findings"/>
      </w:pPr>
      <w:r w:rsidRPr="000402E8">
        <w:t>IT has adopted the highly regarded ITIL framework and has made progress in developing the related processes, but has room for improvement.</w:t>
      </w:r>
    </w:p>
    <w:p w:rsidR="00AC40FC" w:rsidRDefault="00AC40FC" w:rsidP="00057E8B">
      <w:r>
        <w:t>As discussed above, the IT function has adopted the Information Technology Infrastructure Library (ITIL) methodology for managing the IT function. In 2012, shortly after the implementation of the ITIL framework, an external consultant assessed the maturity of PPL’s ITIL process areas and found room for improvement.  IT staff consistently opined there has since been improvement, but</w:t>
      </w:r>
      <w:r>
        <w:rPr>
          <w:rFonts w:cs="Arial"/>
          <w:szCs w:val="24"/>
        </w:rPr>
        <w:t xml:space="preserve"> there has been no structured evaluation of ITIL maturity since 2012.</w:t>
      </w:r>
    </w:p>
    <w:p w:rsidR="00AC40FC" w:rsidRPr="000402E8" w:rsidRDefault="00AC40FC" w:rsidP="0049591B">
      <w:pPr>
        <w:pStyle w:val="Findings"/>
      </w:pPr>
      <w:r w:rsidRPr="000402E8">
        <w:t>In support of the ITIL initiative, IT has made solid progress implementing the ServiceNow integrated IT toolset; however, ServiceNow has not been fully utilized.</w:t>
      </w:r>
    </w:p>
    <w:p w:rsidR="00AC40FC" w:rsidRDefault="00AC40FC" w:rsidP="00057E8B">
      <w:r>
        <w:t>The</w:t>
      </w:r>
      <w:r w:rsidRPr="00FA45CE">
        <w:t xml:space="preserve"> early implementation of </w:t>
      </w:r>
      <w:r>
        <w:t>ServiceNow</w:t>
      </w:r>
      <w:r w:rsidRPr="00FA45CE">
        <w:t xml:space="preserve"> </w:t>
      </w:r>
      <w:r>
        <w:t xml:space="preserve">focused on </w:t>
      </w:r>
      <w:r w:rsidRPr="00FA45CE">
        <w:t>“right the ship” modules</w:t>
      </w:r>
      <w:r>
        <w:t xml:space="preserve"> with</w:t>
      </w:r>
      <w:r w:rsidRPr="00FE7FD8">
        <w:t xml:space="preserve"> </w:t>
      </w:r>
      <w:r>
        <w:t>Incident Management as one of the first modules implemented.  ServiceNow automatically tracks incident opening and closing dates, which are used later in metric reporting.  With this software, incidents are now managed principally by database instead of by the previous practice of unstructured email and telephone communications.  Incident management is now much more informative with more overall IT awareness.  Incident management is also now more efficient, responders are interrupted far less frequently and multiple people are no longer attacking the same problem.</w:t>
      </w:r>
    </w:p>
    <w:p w:rsidR="00AC40FC" w:rsidRDefault="00AC40FC" w:rsidP="00057E8B">
      <w:r>
        <w:t>Another module where implementation progress has been made is Service Request Management, which contains a hierarchy of Services and Service Offerings.  The Services and Service Offerings are predominantly defined with user terminology, which promotes communication between technical and non-technical personnel.  One example of a Service defined by PPL IT is Financial Management, with underlying Service Offerings such as financial reporting, treasury operations, and cash management. Another example of a Service is Client Hosting, with underlying Service Offerings such as work station peripherals, on-site repair, workstation, and non-standard PC.  There are over 100 Service Offerings in ServiceNow.</w:t>
      </w:r>
    </w:p>
    <w:p w:rsidR="00AC40FC" w:rsidRDefault="00AC40FC" w:rsidP="00057E8B">
      <w:r>
        <w:lastRenderedPageBreak/>
        <w:t>Nonetheless, ServiceNow is not yet being fully utilized.  The IT Business Plan 2015–2017 identified three focus areas for continued ServiceNow implementation.  Those three areas were Release Management, Configuration Management, and Change Management.  These three areas were frequently mentioned by IT employees, during independent interviews, as needing additional attention.</w:t>
      </w:r>
    </w:p>
    <w:p w:rsidR="00AC40FC" w:rsidRPr="000402E8" w:rsidRDefault="00AC40FC" w:rsidP="0049591B">
      <w:pPr>
        <w:pStyle w:val="Findings"/>
      </w:pPr>
      <w:r w:rsidRPr="000402E8">
        <w:t>The continued use of ServiceNow is uncertain.</w:t>
      </w:r>
    </w:p>
    <w:p w:rsidR="00AC40FC" w:rsidRDefault="00AC40FC" w:rsidP="00057E8B">
      <w:r>
        <w:t>As discussed earlier in this chapter, w</w:t>
      </w:r>
      <w:r w:rsidRPr="00677ABA">
        <w:t xml:space="preserve">hile Pennsylvania utilizes ServiceNow, Kentucky is using Remedy, a </w:t>
      </w:r>
      <w:r>
        <w:t>competing</w:t>
      </w:r>
      <w:r w:rsidRPr="00677ABA">
        <w:t xml:space="preserve"> software product.  </w:t>
      </w:r>
      <w:r>
        <w:t xml:space="preserve"> Standardizing from ServiceNow to Remedy, or to a completely different ITSM platform, is under consideration. </w:t>
      </w:r>
    </w:p>
    <w:p w:rsidR="00AC40FC" w:rsidRDefault="00AC40FC" w:rsidP="00057E8B">
      <w:r>
        <w:t>Changing from ServiceNow would likely have a significant impact on Pennsylvania IT staff.  First, there would be significant retraining, data conversions, interface rewriting, and other common software conversion challenges.  Additionally, there would likely be a negative impact on personnel, as a common theme expressed in interviews can be paraphrased as, “ServiceNow is a very solid tool, we will continue to make strides in its use, and will be better able to serve.”  Summarizing, discontinuation of this platform would disrupt the momentum of meaningful improvements made in recent years.</w:t>
      </w:r>
    </w:p>
    <w:p w:rsidR="00AC40FC" w:rsidRPr="000402E8" w:rsidRDefault="00AC40FC" w:rsidP="0049591B">
      <w:pPr>
        <w:pStyle w:val="Findings"/>
      </w:pPr>
      <w:r w:rsidRPr="000402E8">
        <w:t>Some internally developed applications will remain critically important, and therefore will require on-going investment.</w:t>
      </w:r>
    </w:p>
    <w:p w:rsidR="00AC40FC" w:rsidRDefault="00AC40FC" w:rsidP="00057E8B">
      <w:pPr>
        <w:rPr>
          <w:rFonts w:cs="Arial"/>
          <w:szCs w:val="24"/>
        </w:rPr>
      </w:pPr>
      <w:r w:rsidRPr="00743EC9">
        <w:t xml:space="preserve">Three IT in-house technical applications unlikely to be completely replaced by </w:t>
      </w:r>
      <w:r>
        <w:t>commercial software</w:t>
      </w:r>
      <w:r w:rsidRPr="00743EC9">
        <w:t xml:space="preserve"> in the foreseeable future are</w:t>
      </w:r>
      <w:r>
        <w:t xml:space="preserve"> the</w:t>
      </w:r>
      <w:r w:rsidRPr="00743EC9">
        <w:t xml:space="preserve"> Development Interface System Console (DISCO), </w:t>
      </w:r>
      <w:r>
        <w:t xml:space="preserve">IT Environment and Application Management </w:t>
      </w:r>
      <w:r w:rsidRPr="00743EC9">
        <w:t>(iTEAM), and Security Request System (SRS).</w:t>
      </w:r>
      <w:r>
        <w:t xml:space="preserve">  These applications will require on-going investment due to continued evolution in underlying IT infrastructure, changes in the commercial applications to which they are interfaced, and increasingly demanding electric utility cyber security requirements.  </w:t>
      </w:r>
    </w:p>
    <w:p w:rsidR="00AC40FC" w:rsidRPr="000402E8" w:rsidRDefault="00AC40FC" w:rsidP="0049591B">
      <w:pPr>
        <w:pStyle w:val="Findings"/>
      </w:pPr>
      <w:r w:rsidRPr="000402E8">
        <w:t>IT has taken some positive steps in using Service Oriented Architecture to become a more responsive IT function, but progress has slowed in recent years.</w:t>
      </w:r>
    </w:p>
    <w:p w:rsidR="00AC40FC" w:rsidRDefault="00AC40FC" w:rsidP="00057E8B">
      <w:r>
        <w:t>As discussed above in greater detail, Service Oriented Architecture (SOA) offers the promise of IT services that are reusable, more flexible, and less application dependent.  The encapsulation of discrete</w:t>
      </w:r>
      <w:r w:rsidRPr="00FC70ED">
        <w:t xml:space="preserve"> service</w:t>
      </w:r>
      <w:r>
        <w:t>s</w:t>
      </w:r>
      <w:r w:rsidRPr="00FC70ED">
        <w:t xml:space="preserve"> </w:t>
      </w:r>
      <w:r>
        <w:t xml:space="preserve">allows other applications to easily call and utilize that piece of service, </w:t>
      </w:r>
      <w:r w:rsidRPr="00FC70ED">
        <w:t>mak</w:t>
      </w:r>
      <w:r>
        <w:t>ing</w:t>
      </w:r>
      <w:r w:rsidRPr="00FC70ED">
        <w:t xml:space="preserve"> it possible to</w:t>
      </w:r>
      <w:r>
        <w:t xml:space="preserve"> </w:t>
      </w:r>
      <w:hyperlink r:id="rId67" w:tooltip="Code reuse" w:history="1">
        <w:r w:rsidRPr="001B2125">
          <w:t>reuse</w:t>
        </w:r>
      </w:hyperlink>
      <w:r>
        <w:t xml:space="preserve"> </w:t>
      </w:r>
      <w:r w:rsidRPr="00FC70ED">
        <w:t xml:space="preserve">the </w:t>
      </w:r>
      <w:r>
        <w:t>service</w:t>
      </w:r>
      <w:r w:rsidRPr="00FC70ED">
        <w:t xml:space="preserve"> in different ways </w:t>
      </w:r>
      <w:r>
        <w:t>across a variety of</w:t>
      </w:r>
      <w:r w:rsidRPr="00FC70ED">
        <w:t xml:space="preserve"> application</w:t>
      </w:r>
      <w:r>
        <w:t>s.  At the same time, it is widely acknowledged that b</w:t>
      </w:r>
      <w:r w:rsidRPr="00B62DEC">
        <w:t>uilding</w:t>
      </w:r>
      <w:r>
        <w:t xml:space="preserve"> and </w:t>
      </w:r>
      <w:r w:rsidRPr="00B62DEC">
        <w:t xml:space="preserve">populating a meaningful </w:t>
      </w:r>
      <w:r>
        <w:t xml:space="preserve">SOA </w:t>
      </w:r>
      <w:r w:rsidRPr="00B62DEC">
        <w:t xml:space="preserve">registry </w:t>
      </w:r>
      <w:r>
        <w:t xml:space="preserve">(foundation) </w:t>
      </w:r>
      <w:r w:rsidRPr="00B62DEC">
        <w:t>take</w:t>
      </w:r>
      <w:r>
        <w:t xml:space="preserve">s considerable </w:t>
      </w:r>
      <w:r w:rsidRPr="00B62DEC">
        <w:t>effort</w:t>
      </w:r>
      <w:r>
        <w:t xml:space="preserve">.  </w:t>
      </w:r>
    </w:p>
    <w:p w:rsidR="00AC40FC" w:rsidRDefault="00AC40FC" w:rsidP="00057E8B">
      <w:r>
        <w:t xml:space="preserve">Since the first SOA initiative for human resources applications in 2012, limited SOA programming has been accomplished. </w:t>
      </w:r>
      <w:r w:rsidRPr="00B62DEC">
        <w:t xml:space="preserve"> </w:t>
      </w:r>
      <w:r>
        <w:t>Multiple interviewees expressed the desire to make further progress in SOA programming.  IT staff stated e</w:t>
      </w:r>
      <w:r w:rsidRPr="00B62DEC">
        <w:t xml:space="preserve">merging needs in HR will be expected to conform with SOA where </w:t>
      </w:r>
      <w:r>
        <w:t xml:space="preserve">applicable, and SOA is expected to be central to the planned 360 View for customer service representatives.  </w:t>
      </w:r>
    </w:p>
    <w:p w:rsidR="00AC40FC" w:rsidRDefault="00AC40FC" w:rsidP="00155DDD">
      <w:pPr>
        <w:pStyle w:val="Findings"/>
        <w:keepNext/>
      </w:pPr>
      <w:r>
        <w:lastRenderedPageBreak/>
        <w:t>The IT</w:t>
      </w:r>
      <w:r w:rsidRPr="00FA45CE">
        <w:t xml:space="preserve"> staff and IT committee structures </w:t>
      </w:r>
      <w:r>
        <w:t>are organized to appropriately integrate with</w:t>
      </w:r>
      <w:r w:rsidRPr="00FA45CE">
        <w:t xml:space="preserve"> the </w:t>
      </w:r>
      <w:r>
        <w:t>user-defined</w:t>
      </w:r>
      <w:r w:rsidRPr="00FA45CE">
        <w:t xml:space="preserve"> service portfolios</w:t>
      </w:r>
      <w:r>
        <w:t>,</w:t>
      </w:r>
      <w:r w:rsidRPr="00FA45CE">
        <w:t xml:space="preserve"> IT</w:t>
      </w:r>
      <w:r>
        <w:t>IL</w:t>
      </w:r>
      <w:r w:rsidRPr="00FA45CE">
        <w:t xml:space="preserve"> principles</w:t>
      </w:r>
      <w:r>
        <w:t>, and software nomenclature</w:t>
      </w:r>
      <w:r w:rsidRPr="00FA45CE">
        <w:t>.</w:t>
      </w:r>
    </w:p>
    <w:p w:rsidR="00AC40FC" w:rsidRDefault="00AC40FC" w:rsidP="00057E8B">
      <w:r>
        <w:t xml:space="preserve">As discussed </w:t>
      </w:r>
      <w:r w:rsidRPr="00510EC8">
        <w:t>in IT Governance</w:t>
      </w:r>
      <w:r>
        <w:t>, IT recognizes the three portfolios of Operations, Corporate, and IT Foundational.  The budgeting process (see next finding) also incorporates this portfolio definition.  When a service is created in ServiceNow, it is assigned to one of these three portfolios.  These three portfolios are also reflected in the organizational structure, in that the Development and Support sections, the IT Business Relationship Managers, and the IT Services Managers are assigned to portfolios. This structure promotes frequent and consistent dialogue between the user communities and the supporting IT personnel. Summarizing, it appears the organization is doing a commendable job of aligning organizational structure with the adopted IT management model and the core IT management software.</w:t>
      </w:r>
    </w:p>
    <w:p w:rsidR="00AC40FC" w:rsidRDefault="00AC40FC" w:rsidP="0049591B">
      <w:pPr>
        <w:pStyle w:val="Findings"/>
      </w:pPr>
      <w:r w:rsidRPr="00FA45CE">
        <w:t>PPL has a rigorous IT project planning, budgeting, and monitoring process</w:t>
      </w:r>
      <w:r>
        <w:t xml:space="preserve"> in place but long-term effectiveness is not monitored.</w:t>
      </w:r>
      <w:r w:rsidRPr="00FA45CE">
        <w:t xml:space="preserve"> </w:t>
      </w:r>
    </w:p>
    <w:p w:rsidR="00AC40FC" w:rsidRDefault="00AC40FC" w:rsidP="00057E8B">
      <w:r>
        <w:t>The IT capital program planning process is an iterative, multi-year process that strategically blends technological and industry trends, and strives to balance business priorities with monetary realities.  The beginning point is the IT Roadmap, a strategically oriented document that contains no dollar estimates. Produced and updated annually, this forward-looking document provides a common format for communicating IT strategy over the next five years.</w:t>
      </w:r>
    </w:p>
    <w:p w:rsidR="00AC40FC" w:rsidRDefault="00AC40FC" w:rsidP="00057E8B">
      <w:r>
        <w:t xml:space="preserve">Building upon the foundation of the IT Roadmap, four committees and councils are in place for vetting initial cost estimates, approving or rejecting projects, and funding projects.  Once a project is approved, the project management office (PMO) is involved.  </w:t>
      </w:r>
      <w:r w:rsidRPr="00C675A5">
        <w:t>Th</w:t>
      </w:r>
      <w:r>
        <w:t>is</w:t>
      </w:r>
      <w:r w:rsidRPr="00C675A5">
        <w:t xml:space="preserve"> </w:t>
      </w:r>
      <w:r>
        <w:t>group</w:t>
      </w:r>
      <w:r w:rsidRPr="00C675A5">
        <w:t xml:space="preserve"> is relatively new, created as a result of the Talen spin off.  </w:t>
      </w:r>
      <w:r>
        <w:t>The PMO is staffed principally by certified project managers.  Certified project manager best practices include knowledge transfer, risk management, and ensuring projects are aligned with organizational strategy.</w:t>
      </w:r>
    </w:p>
    <w:p w:rsidR="00AC40FC" w:rsidRDefault="00AC40FC" w:rsidP="00057E8B">
      <w:pPr>
        <w:rPr>
          <w:rFonts w:cs="Arial"/>
          <w:szCs w:val="24"/>
        </w:rPr>
      </w:pPr>
      <w:r>
        <w:rPr>
          <w:rFonts w:cs="Arial"/>
          <w:szCs w:val="24"/>
        </w:rPr>
        <w:t>Project</w:t>
      </w:r>
      <w:r>
        <w:t xml:space="preserve"> controls appear to be solid with business cases prepared on the front end of the approval process.  Additionally, there are “charge numbers” for each project.  Employees utilize exception time reporting to charge hours to the project they are working on.  Project managers receive reports of personnel time charged to their projects, and are responsible for assuring that time entries are justified.  </w:t>
      </w:r>
      <w:r>
        <w:rPr>
          <w:rFonts w:cs="Arial"/>
          <w:szCs w:val="24"/>
        </w:rPr>
        <w:t xml:space="preserve">The project manager also has vendor oversight responsibility.  </w:t>
      </w:r>
    </w:p>
    <w:p w:rsidR="00AC40FC" w:rsidRDefault="00AC40FC" w:rsidP="00057E8B">
      <w:r>
        <w:t>On a monthly basis, the project managers and IT supervisors update the progress and estimated remaining costs of each project.  Projects are monitored not only for expenditures, but also for meeting target dates and requirements.</w:t>
      </w:r>
    </w:p>
    <w:p w:rsidR="00AC40FC" w:rsidRDefault="00AC40FC" w:rsidP="00057E8B">
      <w:r>
        <w:t>From one perspective, projects are not monitored for long-term effectiveness.  That is, once an asset is placed in production there is no formal tracking by IT on the financial impact of early retirements or write-offs.  Based on an ad hoc analysis requested for this management audit, early software retirements totaled just over $580,000 over the past five years.  A best practice would be to monitor trends in this arena.</w:t>
      </w:r>
    </w:p>
    <w:p w:rsidR="00AC40FC" w:rsidRDefault="00AC40FC" w:rsidP="00A0065F">
      <w:pPr>
        <w:pStyle w:val="Findings"/>
        <w:keepNext/>
      </w:pPr>
      <w:r>
        <w:lastRenderedPageBreak/>
        <w:t>The IT Business Plan is well documented and communicated.</w:t>
      </w:r>
    </w:p>
    <w:p w:rsidR="00AC40FC" w:rsidRDefault="00AC40FC" w:rsidP="00057E8B">
      <w:r>
        <w:t xml:space="preserve">The IT Business Plan for 2015–2017 addresses the IT business model and strategy, the operational excellence program, goal alignment, IT workforce plan, and other areas.  Key projects and the estimated costs are identified.  Services and Service Offerings (see Finding 3) are listed as well and expectations regarding the Talen spin-off are articulated.  A copy is distributed to all IT personnel.  </w:t>
      </w:r>
    </w:p>
    <w:p w:rsidR="00AC40FC" w:rsidRDefault="00AC40FC" w:rsidP="0049591B">
      <w:pPr>
        <w:pStyle w:val="Findings"/>
      </w:pPr>
      <w:r>
        <w:t xml:space="preserve">The IT Infrastructure Group has achieved cost savings by taking advantage of server virtualization software. </w:t>
      </w:r>
    </w:p>
    <w:p w:rsidR="00AC40FC" w:rsidRDefault="00AC40FC" w:rsidP="00057E8B">
      <w:r>
        <w:t xml:space="preserve">The IT organization </w:t>
      </w:r>
      <w:r w:rsidRPr="003C24BA">
        <w:t>has roughly three virtual servers for every one physical server.</w:t>
      </w:r>
      <w:r>
        <w:t xml:space="preserve">  Virtualization permits multiple operating systems on a single server, enabling a single physical server to act as two or more virtual servers.  Among the benefits of virtualization are energy savings, load balancing, smaller data center footprints, and faster server provisioning.  </w:t>
      </w:r>
    </w:p>
    <w:p w:rsidR="00AC40FC" w:rsidRDefault="00AC40FC" w:rsidP="0049591B">
      <w:pPr>
        <w:pStyle w:val="Findings"/>
      </w:pPr>
      <w:r>
        <w:t>Convergence of IT and Operations Technology appears to be progressing efficiently.</w:t>
      </w:r>
    </w:p>
    <w:p w:rsidR="00AC40FC" w:rsidRDefault="00AC40FC" w:rsidP="00057E8B">
      <w:r>
        <w:t xml:space="preserve">As penetration of modern computerized capabilities into electric delivery continues, PPL EU Operations and IT appear to be aligning the right skill sets and responsibilities with the continuously evolving technological platforms.  </w:t>
      </w:r>
    </w:p>
    <w:p w:rsidR="00AC40FC" w:rsidRDefault="00AC40FC" w:rsidP="00057E8B">
      <w:r>
        <w:t xml:space="preserve">As of December 2015, the Director of IT Infrastructure is responsible for the servers on which </w:t>
      </w:r>
      <w:r w:rsidRPr="00405716">
        <w:t>supervisory control and data acquisition</w:t>
      </w:r>
      <w:r>
        <w:t xml:space="preserve"> (SCADA) systems reside.  Hence, refresh cycles, operating system updates, and other typical IT responsibilities are handled by IT personnel trained in and immersed in the required support activities for the SCADA system.</w:t>
      </w:r>
    </w:p>
    <w:p w:rsidR="00AC40FC" w:rsidRDefault="00AC40FC" w:rsidP="00057E8B">
      <w:r>
        <w:t xml:space="preserve">Programming staff under the Director of IT Development and Support, in the PPL EU Solution Delivery Department, support the SCADA systems.  Some of that staff is co-located at the Windsor Operations Center (Fogelsville) with EU Operations.  IT staff housed at Windsor coordinate with EU Operations on implementing and maintaining SCADA software, and thoroughly model electric grid changes before they are implemented.  </w:t>
      </w:r>
    </w:p>
    <w:p w:rsidR="00AC40FC" w:rsidRDefault="00AC40FC" w:rsidP="00057E8B">
      <w:r>
        <w:t>Additionally, this convergence extends to cyber security, as the Information Assurance Group (IAG) in IT is responsible for cyber security enterprise wide.  PPL EU coordinates with IT to segment the SCADA network with separate fiber assignments.  Processes are in place, stipulated by IAG, to confirm fiber assignments are correct.</w:t>
      </w:r>
    </w:p>
    <w:p w:rsidR="00AC40FC" w:rsidRDefault="00AC40FC" w:rsidP="0049591B">
      <w:pPr>
        <w:pStyle w:val="Findings"/>
      </w:pPr>
      <w:r>
        <w:t>PPL appears to have a sound cyber security program.</w:t>
      </w:r>
    </w:p>
    <w:p w:rsidR="00AC40FC" w:rsidRDefault="00AC40FC" w:rsidP="00057E8B">
      <w:r>
        <w:t>Cyber security is being managed from a risk-based assessment approach. It is supported by “Defense in Depth” layers of protection such as firewalls, anti-virus protection, intrusion detection monitoring by external vendors, and employee education. The PPL Cybersecurity Plan contains detailed policies, standards, procedures, risk assessment, business continuity, disaster recovery plans, and other areas.</w:t>
      </w:r>
    </w:p>
    <w:p w:rsidR="00AC40FC" w:rsidRDefault="00AC40FC" w:rsidP="00057E8B">
      <w:r>
        <w:t xml:space="preserve">IT has cyber security incident response teams which the IAG Director characterized as having a “chronic sense of uneasiness” to avoid complacency.  Regional and National NERC and FERC audits were conducted in 2011 and 2012, with no major </w:t>
      </w:r>
      <w:r w:rsidRPr="005275F8">
        <w:t>findings</w:t>
      </w:r>
      <w:r>
        <w:t xml:space="preserve">. </w:t>
      </w:r>
    </w:p>
    <w:p w:rsidR="00AC40FC" w:rsidRDefault="00AC40FC" w:rsidP="00057E8B">
      <w:r>
        <w:lastRenderedPageBreak/>
        <w:t xml:space="preserve">Summarizing, while the organization has sound practices in place, there is no apparent over confidence in cyber security protection.  The CIO and IAG managers conveyed a sense of urgency in enforcing policies, implementing new standards, implementing new technology, constantly analyzing threats, and response preparedness to minimize the impact of inevitable breaches.  </w:t>
      </w:r>
    </w:p>
    <w:p w:rsidR="00AC40FC" w:rsidRPr="001F5778" w:rsidRDefault="00AC40FC" w:rsidP="0049591B">
      <w:pPr>
        <w:pStyle w:val="Findings"/>
      </w:pPr>
      <w:r>
        <w:t>The data center is modern and physically secure.</w:t>
      </w:r>
    </w:p>
    <w:p w:rsidR="00AC40FC" w:rsidRDefault="00AC40FC" w:rsidP="00057E8B">
      <w:r>
        <w:t>The Windsor data center was evaluated with a 13-point checklist, covering aspects such as</w:t>
      </w:r>
    </w:p>
    <w:p w:rsidR="00AC40FC" w:rsidRPr="00102FEB" w:rsidRDefault="00AC40FC" w:rsidP="00057E8B">
      <w:pPr>
        <w:pStyle w:val="Bullet"/>
      </w:pPr>
      <w:r w:rsidRPr="00102FEB">
        <w:t>Structural design</w:t>
      </w:r>
    </w:p>
    <w:p w:rsidR="00AC40FC" w:rsidRPr="00102FEB" w:rsidRDefault="00AC40FC" w:rsidP="00057E8B">
      <w:pPr>
        <w:pStyle w:val="Bullet"/>
      </w:pPr>
      <w:r w:rsidRPr="00102FEB">
        <w:t>Rain, flood, and fire protection</w:t>
      </w:r>
    </w:p>
    <w:p w:rsidR="00AC40FC" w:rsidRPr="00102FEB" w:rsidRDefault="00AC40FC" w:rsidP="00057E8B">
      <w:pPr>
        <w:pStyle w:val="Bullet"/>
      </w:pPr>
      <w:r w:rsidRPr="00102FEB">
        <w:t>Access control and surveillance</w:t>
      </w:r>
    </w:p>
    <w:p w:rsidR="00AC40FC" w:rsidRDefault="00AC40FC" w:rsidP="00057E8B">
      <w:pPr>
        <w:pStyle w:val="Bullet"/>
      </w:pPr>
      <w:r w:rsidRPr="00102FEB">
        <w:t>Environmental</w:t>
      </w:r>
      <w:r>
        <w:t xml:space="preserve"> control and utility redundancy</w:t>
      </w:r>
    </w:p>
    <w:p w:rsidR="00AC40FC" w:rsidRDefault="00AC40FC" w:rsidP="00057E8B">
      <w:pPr>
        <w:pStyle w:val="Normal-aftertable"/>
      </w:pPr>
      <w:r>
        <w:t xml:space="preserve">The data center was built during 2012 and 2013, with both modern IT data center and electric industry protection and security requirements ingrained in the building requirements.  </w:t>
      </w:r>
    </w:p>
    <w:p w:rsidR="00AC40FC" w:rsidRPr="001F5778" w:rsidRDefault="00AC40FC" w:rsidP="0049591B">
      <w:pPr>
        <w:pStyle w:val="Findings"/>
      </w:pPr>
      <w:r>
        <w:t>IT has sound processes for measuring internal customer</w:t>
      </w:r>
      <w:r w:rsidRPr="00453977">
        <w:t xml:space="preserve"> </w:t>
      </w:r>
      <w:r>
        <w:t>satisfaction with projects.</w:t>
      </w:r>
    </w:p>
    <w:p w:rsidR="00AC40FC" w:rsidRPr="00FA45CE" w:rsidRDefault="00AC40FC" w:rsidP="00057E8B">
      <w:r>
        <w:t xml:space="preserve">The Project Management Office has the lead user complete a project scorecard after each project.  Overall, about 85% of projects are delivered on time with a 90% user satisfaction rate.  Additionally, every two years an internal customer satisfaction survey is conducted.  </w:t>
      </w:r>
    </w:p>
    <w:p w:rsidR="00AC40FC" w:rsidRDefault="00AC40FC" w:rsidP="0049591B">
      <w:pPr>
        <w:pStyle w:val="Findings"/>
      </w:pPr>
      <w:r>
        <w:t xml:space="preserve">IT has a well-developed </w:t>
      </w:r>
      <w:r w:rsidRPr="00FA45CE">
        <w:t>Service Level Agreement (SLA</w:t>
      </w:r>
      <w:r>
        <w:t>) and metric tracking program in place</w:t>
      </w:r>
      <w:r w:rsidRPr="00FA45CE">
        <w:t xml:space="preserve"> for a wide variety of areas</w:t>
      </w:r>
      <w:r>
        <w:t>, but typically limits reviews to the last year or two.  Five-year trending is done on an ad hoc basis at best</w:t>
      </w:r>
      <w:r w:rsidRPr="00FA45CE">
        <w:t>.</w:t>
      </w:r>
      <w:r>
        <w:t xml:space="preserve"> </w:t>
      </w:r>
    </w:p>
    <w:p w:rsidR="00AC40FC" w:rsidRDefault="00AC40FC" w:rsidP="00057E8B">
      <w:r>
        <w:t xml:space="preserve">IT </w:t>
      </w:r>
      <w:r w:rsidRPr="00FA45CE">
        <w:t>tracks over 50 SLA metrics</w:t>
      </w:r>
      <w:r>
        <w:t xml:space="preserve"> in a single spreadsheet</w:t>
      </w:r>
      <w:r w:rsidRPr="00FA45CE">
        <w:t xml:space="preserve">.  </w:t>
      </w:r>
      <w:r>
        <w:t xml:space="preserve">These metrics cover the availability of specific user applications, as well as underlying components such as servers.  </w:t>
      </w:r>
      <w:r w:rsidRPr="00FA45CE">
        <w:t xml:space="preserve">Each </w:t>
      </w:r>
      <w:r>
        <w:t xml:space="preserve">SLA </w:t>
      </w:r>
      <w:r w:rsidRPr="00FA45CE">
        <w:t xml:space="preserve">has a </w:t>
      </w:r>
      <w:r>
        <w:t>performance</w:t>
      </w:r>
      <w:r w:rsidRPr="00FA45CE">
        <w:t xml:space="preserve"> target, the business owner, </w:t>
      </w:r>
      <w:r>
        <w:t xml:space="preserve">the </w:t>
      </w:r>
      <w:r w:rsidRPr="00FA45CE">
        <w:t xml:space="preserve">responsible </w:t>
      </w:r>
      <w:r>
        <w:t>IT</w:t>
      </w:r>
      <w:r w:rsidRPr="00FA45CE">
        <w:t xml:space="preserve"> director, and </w:t>
      </w:r>
      <w:r>
        <w:t>other information</w:t>
      </w:r>
      <w:r w:rsidRPr="00FA45CE">
        <w:t>.</w:t>
      </w:r>
      <w:r>
        <w:t xml:space="preserve">  SLA’s are associated with corporate incentives, and the general goal is for SLA’s to get tighter over time.  The results are published on a monthly basis, and include year-to-date results.  </w:t>
      </w:r>
    </w:p>
    <w:p w:rsidR="00AC40FC" w:rsidRDefault="00AC40FC" w:rsidP="00057E8B">
      <w:r>
        <w:t>At the same time, review of metrics over five-year periods appears to be an exception in the IT culture. This lack of long-term measurement may be rooted in the gradual implementation of ServiceNow, where new metrics were added and others had definitional changes in the initial years of implementation. Metric definitional change is normal with new systems; but an unintended consequence appears to be that performance is scrutinized only in the present year and the past year.</w:t>
      </w:r>
    </w:p>
    <w:p w:rsidR="00AC40FC" w:rsidRDefault="00AC40FC" w:rsidP="0049591B">
      <w:pPr>
        <w:pStyle w:val="Findings"/>
      </w:pPr>
      <w:r>
        <w:t>The relationship of IT legal entities is complex and evolving.</w:t>
      </w:r>
    </w:p>
    <w:p w:rsidR="00AC40FC" w:rsidRDefault="00AC40FC" w:rsidP="00057E8B">
      <w:r>
        <w:t>Today there are three utility</w:t>
      </w:r>
      <w:r w:rsidRPr="001673BD">
        <w:t xml:space="preserve"> service companies, PPL SC, PPL EUS, and LKE Services</w:t>
      </w:r>
      <w:r>
        <w:t xml:space="preserve"> in the United States.  As noted before, the vast majority of IT personnel in Pennsylvania are employees of PPL SC, while the CIO is an employee of LKE Services who reports to the PPL EU President in Pennsylvania.  </w:t>
      </w:r>
    </w:p>
    <w:p w:rsidR="00AC40FC" w:rsidRPr="00FA45CE" w:rsidRDefault="00AC40FC" w:rsidP="00057E8B">
      <w:r>
        <w:lastRenderedPageBreak/>
        <w:t xml:space="preserve">In the past two years, Kentucky and Pennsylvania IT job titles and descriptions have become increasingly standardized. Additionally, the backup site for the Windsor data center is in Kentucky and the Joint IT Initiative seeks further IT synergies.  Hence, the LKE Services and PPL SC are increasingly intertwined. At the same time, the present plan calls for all Pennsylvania IT personnel in PPL SC Company to be transferred to PPL </w:t>
      </w:r>
      <w:r w:rsidRPr="009C53C4">
        <w:t>EU</w:t>
      </w:r>
      <w:r>
        <w:t xml:space="preserve">S.  </w:t>
      </w:r>
    </w:p>
    <w:p w:rsidR="00AC40FC" w:rsidRDefault="00AC40FC" w:rsidP="004F00E5">
      <w:pPr>
        <w:pStyle w:val="Heading2"/>
        <w:numPr>
          <w:ilvl w:val="0"/>
          <w:numId w:val="109"/>
        </w:numPr>
      </w:pPr>
      <w:bookmarkStart w:id="211" w:name="_Toc462647876"/>
      <w:bookmarkStart w:id="212" w:name="_Toc464552115"/>
      <w:r>
        <w:t>Recommendations</w:t>
      </w:r>
      <w:bookmarkEnd w:id="211"/>
      <w:bookmarkEnd w:id="212"/>
    </w:p>
    <w:p w:rsidR="00AC40FC" w:rsidRDefault="00AC40FC" w:rsidP="004F00E5">
      <w:pPr>
        <w:pStyle w:val="Findings"/>
        <w:numPr>
          <w:ilvl w:val="0"/>
          <w:numId w:val="121"/>
        </w:numPr>
      </w:pPr>
      <w:r>
        <w:t>Continue the current IT integrated path of improvement.  (See Findings 1</w:t>
      </w:r>
      <w:r w:rsidRPr="000F5FF3">
        <w:rPr>
          <w:rFonts w:cs="Arial"/>
        </w:rPr>
        <w:t>–</w:t>
      </w:r>
      <w:r>
        <w:t>3 and 6</w:t>
      </w:r>
      <w:r w:rsidRPr="000F5FF3">
        <w:rPr>
          <w:rFonts w:cs="Arial"/>
        </w:rPr>
        <w:t>–</w:t>
      </w:r>
      <w:r>
        <w:t>8)</w:t>
      </w:r>
    </w:p>
    <w:p w:rsidR="00AC40FC" w:rsidRDefault="00AC40FC" w:rsidP="00057E8B">
      <w:r>
        <w:t xml:space="preserve">IT should continue the synergistic, well-coordinated integration of a) focusing on business needs and terminology, b) applying the ITIL framework, c) leveraging the ServiceNow application, d) adopting service oriented architecture, and e) planning in a structured manner.  This five-pronged approach appears to be gaining traction, and should yield benefits such as better alignment of IT with organizational strategy, minimizing dual data entry, faster response times, and ultimately to improved value in IT expenditures.  </w:t>
      </w:r>
    </w:p>
    <w:p w:rsidR="00AC40FC" w:rsidRDefault="00AC40FC" w:rsidP="0049591B">
      <w:pPr>
        <w:pStyle w:val="Findings"/>
      </w:pPr>
      <w:r>
        <w:t xml:space="preserve">Conduct regular ITIL Process Maturity Assessments to identify areas requiring more attention.  (See Finding 2) </w:t>
      </w:r>
    </w:p>
    <w:p w:rsidR="00AC40FC" w:rsidRDefault="00AC40FC" w:rsidP="00057E8B">
      <w:r>
        <w:t xml:space="preserve">IT should systematically assess the maturity of the IT management processes and address the weakest processes.  This could be done informally within the department approximately every two years, supplemented by </w:t>
      </w:r>
      <w:r w:rsidRPr="003C7527">
        <w:t xml:space="preserve">an </w:t>
      </w:r>
      <w:r>
        <w:t>external</w:t>
      </w:r>
      <w:r w:rsidRPr="003C7527">
        <w:t xml:space="preserve"> assessment</w:t>
      </w:r>
      <w:r>
        <w:t xml:space="preserve"> every five years</w:t>
      </w:r>
      <w:r w:rsidRPr="003C7527">
        <w:t>.</w:t>
      </w:r>
      <w:r>
        <w:t xml:space="preserve">  </w:t>
      </w:r>
    </w:p>
    <w:p w:rsidR="00AC40FC" w:rsidRDefault="00AC40FC" w:rsidP="00057E8B">
      <w:r>
        <w:t xml:space="preserve">It should be noted the ITIL framework continues to evolve and the most current standard contains 26 processes, as compared to 22 in 2012.  If assessments are performed on the recommended schedule, changes in the ITIL model could be reflected on a timely basis.  In addition to incorporating recent improvements in the ITIL model, the assessment process would be a periodic reminder to remain diligent in applying best practices. </w:t>
      </w:r>
    </w:p>
    <w:p w:rsidR="00AC40FC" w:rsidRDefault="00AC40FC" w:rsidP="00057E8B">
      <w:r>
        <w:t xml:space="preserve">Given that the last assessment occurred in 2012, it is recommended the next assessment be conducted in 2016.  </w:t>
      </w:r>
    </w:p>
    <w:p w:rsidR="00AC40FC" w:rsidRDefault="00AC40FC" w:rsidP="0049591B">
      <w:pPr>
        <w:pStyle w:val="Findings"/>
      </w:pPr>
      <w:r>
        <w:t>Continue development and implementation of underutilized modules in ServiceNow.  (See Findings 3 and 4)</w:t>
      </w:r>
    </w:p>
    <w:p w:rsidR="00AC40FC" w:rsidRDefault="00AC40FC" w:rsidP="00057E8B">
      <w:r>
        <w:t xml:space="preserve">Release Management, Configuration Management, and Change Management, the three focus areas in the IT Business Plan 2015–2017, were frequently </w:t>
      </w:r>
      <w:r w:rsidRPr="00102FEB">
        <w:t>mentioned during the interviews as areas needing additional attention.  While configuration management is fairly mature in associating applications</w:t>
      </w:r>
      <w:r>
        <w:t>,</w:t>
      </w:r>
      <w:r w:rsidRPr="00102FEB">
        <w:t xml:space="preserve"> databases</w:t>
      </w:r>
      <w:r>
        <w:t>,</w:t>
      </w:r>
      <w:r w:rsidRPr="00102FEB">
        <w:t xml:space="preserve"> and servers, association with network assets was regarded as immature.</w:t>
      </w:r>
      <w:r>
        <w:t xml:space="preserve">  In combination with ServiceNow’s diagramming capabilities, a stronger configuration database could provide help not only with release and change management, but also with incident and problem management.  Expected benefits include reduction in the number of incidents, reduction in incident response time, and improved application availability which will promote satisfaction among internal and external customers.    </w:t>
      </w:r>
    </w:p>
    <w:p w:rsidR="00AC40FC" w:rsidRDefault="00AC40FC" w:rsidP="0049591B">
      <w:pPr>
        <w:pStyle w:val="Findings"/>
      </w:pPr>
      <w:r>
        <w:lastRenderedPageBreak/>
        <w:t>Evaluate the implications of moving away from ServiceNow.  (See Finding 4)</w:t>
      </w:r>
    </w:p>
    <w:p w:rsidR="00AC40FC" w:rsidRDefault="00AC40FC" w:rsidP="00057E8B">
      <w:r>
        <w:t>As recognized by the vendor, ServiceNow implementation is an extensive, multi-year process.  There would be significant employee retraining, data conversions, interface rewriting, and other common software conversion challenges in implementing a similar yet different integrated IT platform.  There would likely be a financial write-down of licensing fees.  Additionally, the synergies described in Recommendation 1 would be compromised for at least several years.  That said, the largest negative impact might be on morale:  staff enthusiasm for this software tool is quite strong.  The benefits of continuing with ServiceNow would appear to significantly outweigh the impact of discontinuing its use.</w:t>
      </w:r>
    </w:p>
    <w:p w:rsidR="00AC40FC" w:rsidRDefault="00AC40FC" w:rsidP="0049591B">
      <w:pPr>
        <w:pStyle w:val="Findings"/>
      </w:pPr>
      <w:r>
        <w:t>Continue building the Service Oriented Architecture platform.  (See Finding 6)</w:t>
      </w:r>
    </w:p>
    <w:p w:rsidR="00AC40FC" w:rsidRDefault="00AC40FC" w:rsidP="00057E8B">
      <w:r>
        <w:t xml:space="preserve">It is typically much more expedient to construct single use point-to-point program interfaces. But </w:t>
      </w:r>
      <w:r w:rsidRPr="00D7571B">
        <w:t xml:space="preserve">it is widely acknowledged that </w:t>
      </w:r>
      <w:r>
        <w:t xml:space="preserve">a </w:t>
      </w:r>
      <w:r w:rsidRPr="00D7571B">
        <w:t>meaningful SOA registry (foundation</w:t>
      </w:r>
      <w:r>
        <w:t>), though</w:t>
      </w:r>
      <w:r w:rsidRPr="00D7571B">
        <w:t xml:space="preserve"> </w:t>
      </w:r>
      <w:r>
        <w:t>construction of it</w:t>
      </w:r>
      <w:r w:rsidRPr="00D7571B">
        <w:t xml:space="preserve"> takes considerable effort</w:t>
      </w:r>
      <w:r>
        <w:t>, is a better long term value</w:t>
      </w:r>
      <w:r w:rsidRPr="00D7571B">
        <w:t>.</w:t>
      </w:r>
      <w:r>
        <w:t xml:space="preserve">  As discussed elsewhere in this task report, relatively recent enhancements in vendor middleware software offer increasingly better economics to SOA development. </w:t>
      </w:r>
    </w:p>
    <w:p w:rsidR="00AC40FC" w:rsidRDefault="00AC40FC" w:rsidP="00057E8B">
      <w:r>
        <w:t>The organization should make a concerted effort to follow through on the human resource and 360 View projects on a timely basis, in the interest of reaching critical mass</w:t>
      </w:r>
      <w:r w:rsidRPr="00586AD2">
        <w:t xml:space="preserve"> </w:t>
      </w:r>
      <w:r>
        <w:t xml:space="preserve">in the SOA registry.  Expected benefits of continued SOA investment include improved responsiveness to user needs, leveraging common code sets by multiple programs, and lower program maintenance costs.  </w:t>
      </w:r>
    </w:p>
    <w:p w:rsidR="00AC40FC" w:rsidRDefault="00AC40FC" w:rsidP="0049591B">
      <w:pPr>
        <w:pStyle w:val="Findings"/>
      </w:pPr>
      <w:r>
        <w:t xml:space="preserve">Evaluate the long-term effectiveness of IT projects, including trending hardware and software write-offs in the financial system.  (See Finding 8) </w:t>
      </w:r>
    </w:p>
    <w:p w:rsidR="00AC40FC" w:rsidRDefault="00AC40FC" w:rsidP="00057E8B">
      <w:r>
        <w:t>There is</w:t>
      </w:r>
      <w:r w:rsidRPr="00FA45CE">
        <w:t xml:space="preserve"> a rigorous IT project planning, budgeting, and monitoring process</w:t>
      </w:r>
      <w:r>
        <w:t xml:space="preserve"> in place which appears to be properly aligning IT initiatives with business needs and promoting effective project management.  Surveys conducted by an outside party provide objective assessment of user satisfaction with project results.  However, projects are not monitored for long-term effectiveness from a financial perspective.  That is, once an asset is placed in production there is no formal mechanism for monitoring the financial impact of early retirements or write-offs (abandoned projects).  It would be a sound management practice to monitor this trend on an annual basis. The benefit would be annual financial feedback on the long-term efficacy of IT capital investments. </w:t>
      </w:r>
    </w:p>
    <w:p w:rsidR="00AC40FC" w:rsidRDefault="00AC40FC" w:rsidP="0049591B">
      <w:pPr>
        <w:pStyle w:val="Findings"/>
      </w:pPr>
      <w:r>
        <w:t>Implement five-year period trending in performance metric evaluations.  (See Finding 15)</w:t>
      </w:r>
    </w:p>
    <w:p w:rsidR="00AC40FC" w:rsidRDefault="00AC40FC" w:rsidP="00057E8B">
      <w:r>
        <w:t xml:space="preserve">New metrics have been added and others had definitional changes over the last few years.  This type of change is normal with the implementation of new management models and new systems.  However, an unintended consequence appears to be that performance is scrutinized only in the present year and the past year.  Review of metrics over multi-year periods should be institutionalized in the near future and analysis over five-year periods should be implemented as the data becomes available.  </w:t>
      </w:r>
      <w:r>
        <w:lastRenderedPageBreak/>
        <w:t xml:space="preserve">Some accommodation for evolving definitions, resulting from ITIL model evolution and ServiceNow upgrades, are to be expected. </w:t>
      </w:r>
    </w:p>
    <w:p w:rsidR="00AC40FC" w:rsidRDefault="00AC40FC" w:rsidP="0049591B">
      <w:pPr>
        <w:pStyle w:val="Findings"/>
      </w:pPr>
      <w:r>
        <w:t>Scrutinize the three service company approach for IT.  (See Finding 17)</w:t>
      </w:r>
    </w:p>
    <w:p w:rsidR="00AC40FC" w:rsidRDefault="00AC40FC" w:rsidP="00057E8B">
      <w:r>
        <w:t xml:space="preserve">Given the increasing collaboration between Kentucky and Pennsylvania IT operations, PPL should consider whether the transfer of all Pennsylvania IT personnel from PPL SC to PPL </w:t>
      </w:r>
      <w:r w:rsidRPr="00827C8E">
        <w:t>EU</w:t>
      </w:r>
      <w:r>
        <w:t>S will bring additional value.</w:t>
      </w:r>
    </w:p>
    <w:p w:rsidR="00AC40FC" w:rsidRDefault="00AC40FC" w:rsidP="00057E8B">
      <w:r>
        <w:t>Today there are three utility</w:t>
      </w:r>
      <w:r w:rsidRPr="001673BD">
        <w:t xml:space="preserve"> service companies, PPL SC, PPL EUS, and LKE Services</w:t>
      </w:r>
      <w:r>
        <w:t>.  As noted before, efforts have been made and are underway to pursue personnel and systems synergies between Kentucky and Pennsylvania IT.  Consideration should be given to extending this to the legal entity perspective, with all IT personnel assigned to one corporate-wide service company, at least for US operations.</w:t>
      </w:r>
    </w:p>
    <w:p w:rsidR="00AC40FC" w:rsidRDefault="00AC40FC" w:rsidP="008305C3">
      <w:pPr>
        <w:pStyle w:val="Bullet"/>
        <w:numPr>
          <w:ilvl w:val="0"/>
          <w:numId w:val="0"/>
        </w:numPr>
      </w:pPr>
    </w:p>
    <w:p w:rsidR="00AC40FC" w:rsidRDefault="00AC40FC" w:rsidP="008305C3">
      <w:pPr>
        <w:pStyle w:val="Bullet"/>
        <w:numPr>
          <w:ilvl w:val="0"/>
          <w:numId w:val="0"/>
        </w:numPr>
        <w:sectPr w:rsidR="00AC40FC" w:rsidSect="00C73199">
          <w:footerReference w:type="default" r:id="rId68"/>
          <w:type w:val="continuous"/>
          <w:pgSz w:w="12240" w:h="15840"/>
          <w:pgMar w:top="1440" w:right="1440" w:bottom="1440" w:left="1440" w:header="720" w:footer="576" w:gutter="0"/>
          <w:cols w:space="720"/>
          <w:docGrid w:linePitch="360"/>
        </w:sectPr>
      </w:pPr>
    </w:p>
    <w:p w:rsidR="00AC40FC" w:rsidRDefault="00AC40FC" w:rsidP="00AC40FC">
      <w:pPr>
        <w:pStyle w:val="Heading1"/>
        <w:ind w:left="720"/>
      </w:pPr>
      <w:bookmarkStart w:id="213" w:name="_Toc462647877"/>
      <w:bookmarkStart w:id="214" w:name="_Toc464552116"/>
      <w:r>
        <w:lastRenderedPageBreak/>
        <w:t>HUMAN RESOURCES</w:t>
      </w:r>
      <w:bookmarkEnd w:id="213"/>
      <w:bookmarkEnd w:id="214"/>
    </w:p>
    <w:p w:rsidR="00AC40FC" w:rsidRDefault="00AC40FC" w:rsidP="004F00E5">
      <w:pPr>
        <w:pStyle w:val="Heading2"/>
        <w:numPr>
          <w:ilvl w:val="0"/>
          <w:numId w:val="122"/>
        </w:numPr>
      </w:pPr>
      <w:bookmarkStart w:id="215" w:name="_Toc462647878"/>
      <w:bookmarkStart w:id="216" w:name="_Toc464552117"/>
      <w:r>
        <w:t>background</w:t>
      </w:r>
      <w:bookmarkEnd w:id="215"/>
      <w:bookmarkEnd w:id="216"/>
    </w:p>
    <w:p w:rsidR="00AC40FC" w:rsidRDefault="00AC40FC" w:rsidP="00864BDD">
      <w:r>
        <w:t>This chapter addresses the delivery of human resources services to PPL Electric Utilities Corporation (PPL EU).</w:t>
      </w:r>
    </w:p>
    <w:p w:rsidR="00AC40FC" w:rsidRDefault="00AC40FC" w:rsidP="00864BDD">
      <w:pPr>
        <w:pStyle w:val="Heading30"/>
      </w:pPr>
      <w:r>
        <w:t>OVERVIEW</w:t>
      </w:r>
    </w:p>
    <w:p w:rsidR="00AC40FC" w:rsidRDefault="00AC40FC" w:rsidP="00864BDD">
      <w:r>
        <w:t>Human resources services are provided to PPL EU by two separate affiliated service companies.  The PPL Services Corporation (PPL SC) Human Resources (HR) group provides centralized human resources services to most PPL subsidiaries, including PPL EU.  The PPL Electric Utilities Services Corporation (PPL EUS) Human Resources (HR) group also provides HR services to PPL EU.  PPL SC HR and PPL EUS HR are discussed in separate sections below.</w:t>
      </w:r>
    </w:p>
    <w:p w:rsidR="00AC40FC" w:rsidRDefault="00AC40FC" w:rsidP="00864BDD">
      <w:pPr>
        <w:pStyle w:val="Heading30"/>
      </w:pPr>
      <w:r>
        <w:t xml:space="preserve">PPL Services Corporation Human Resources </w:t>
      </w:r>
    </w:p>
    <w:p w:rsidR="00AC40FC" w:rsidRDefault="00AC40FC" w:rsidP="00864BDD">
      <w:pPr>
        <w:pStyle w:val="Heading40"/>
      </w:pPr>
      <w:r>
        <w:t>Organization Structure</w:t>
      </w:r>
    </w:p>
    <w:p w:rsidR="00AC40FC" w:rsidRDefault="00AC40FC" w:rsidP="00864BDD">
      <w:r>
        <w:t>The PPL SC HR organization is headed by a Senior Vice President and Chief Human Resources Officer who reports to the PPL SC Chief Executive Officer.  The PPL SC HR staff is responsible for all HR functions for PPL SC and PPL Corporation Pennsylvania subsidiaries including: talent acquisition, talent development, compensation and benefits, employee and labor relations, and physical security.  The PPL SC HR group also includes personnel providing human resources support associated with the spinoff of Talen Energy Corporation (Talen).  The chart below depicts the PPL SC HR organizational structure.</w:t>
      </w:r>
    </w:p>
    <w:p w:rsidR="00AC40FC" w:rsidRDefault="00AC40FC" w:rsidP="002B3172">
      <w:pPr>
        <w:pStyle w:val="Caption"/>
      </w:pPr>
      <w:bookmarkStart w:id="217" w:name="_Toc462648447"/>
      <w:bookmarkStart w:id="218" w:name="_Toc464553069"/>
      <w:r>
        <w:t xml:space="preserve">Exhibit </w:t>
      </w:r>
      <w:fldSimple w:instr=" STYLEREF 1 \s ">
        <w:r w:rsidR="00A24205">
          <w:rPr>
            <w:noProof/>
          </w:rPr>
          <w:t>XII</w:t>
        </w:r>
      </w:fldSimple>
      <w:r w:rsidR="00264A1B">
        <w:noBreakHyphen/>
      </w:r>
      <w:fldSimple w:instr=" SEQ Exhibit \* ARABIC \s 1 ">
        <w:r w:rsidR="00A24205">
          <w:rPr>
            <w:noProof/>
          </w:rPr>
          <w:t>1</w:t>
        </w:r>
      </w:fldSimple>
      <w:r w:rsidR="00E5412E">
        <w:br/>
      </w:r>
      <w:r>
        <w:t>PPL</w:t>
      </w:r>
      <w:r w:rsidR="00E5412E">
        <w:t xml:space="preserve"> </w:t>
      </w:r>
      <w:r>
        <w:t>SC HR Organization Structure</w:t>
      </w:r>
      <w:bookmarkEnd w:id="217"/>
      <w:bookmarkEnd w:id="218"/>
      <w:r>
        <w:t xml:space="preserve"> </w:t>
      </w:r>
    </w:p>
    <w:p w:rsidR="00AC40FC" w:rsidRDefault="00AC40FC" w:rsidP="00864BDD">
      <w:r>
        <w:rPr>
          <w:noProof/>
        </w:rPr>
        <w:drawing>
          <wp:inline distT="0" distB="0" distL="0" distR="0">
            <wp:extent cx="5943600" cy="292290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PL-SC_01072_HumanRsources_page45_v2.jpg"/>
                    <pic:cNvPicPr/>
                  </pic:nvPicPr>
                  <pic:blipFill>
                    <a:blip r:embed="rId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2922905"/>
                    </a:xfrm>
                    <a:prstGeom prst="rect">
                      <a:avLst/>
                    </a:prstGeom>
                  </pic:spPr>
                </pic:pic>
              </a:graphicData>
            </a:graphic>
          </wp:inline>
        </w:drawing>
      </w:r>
    </w:p>
    <w:p w:rsidR="00AC40FC" w:rsidRDefault="00AC40FC" w:rsidP="00864BDD">
      <w:r>
        <w:t>Source: DN 01-072</w:t>
      </w:r>
    </w:p>
    <w:p w:rsidR="00AC40FC" w:rsidRDefault="00AC40FC" w:rsidP="00864BDD">
      <w:r>
        <w:lastRenderedPageBreak/>
        <w:t>The PPL SC HR Senior Vice President has four organizational units reporting to him and one individual contributor that are discussed below.</w:t>
      </w:r>
    </w:p>
    <w:p w:rsidR="00AC40FC" w:rsidRDefault="00AC40FC" w:rsidP="00864BDD">
      <w:pPr>
        <w:pStyle w:val="Heading40"/>
      </w:pPr>
      <w:r>
        <w:t xml:space="preserve">PPL SC HR Analyst </w:t>
      </w:r>
    </w:p>
    <w:p w:rsidR="00AC40FC" w:rsidRDefault="00AC40FC" w:rsidP="00864BDD">
      <w:r>
        <w:t>The HR Analyst is an individual contributor.  The Analyst provides support that includes managing PPL SC HR’s use of SharePoint (document and workflow management), scheduling, meeting follow-up, and d</w:t>
      </w:r>
      <w:r w:rsidRPr="00914C58">
        <w:t>evelop</w:t>
      </w:r>
      <w:r>
        <w:t xml:space="preserve">ing </w:t>
      </w:r>
      <w:r w:rsidRPr="00914C58">
        <w:t>department communications</w:t>
      </w:r>
      <w:r>
        <w:t xml:space="preserve"> (e.g., </w:t>
      </w:r>
      <w:r w:rsidRPr="00914C58">
        <w:t>HR Newsflash</w:t>
      </w:r>
      <w:r>
        <w:t xml:space="preserve"> [internal communication]</w:t>
      </w:r>
      <w:r w:rsidRPr="00914C58">
        <w:t xml:space="preserve">, </w:t>
      </w:r>
      <w:r>
        <w:t xml:space="preserve">standup meetings, </w:t>
      </w:r>
      <w:r w:rsidRPr="00914C58">
        <w:t>department general communications, and HR SharePoint site</w:t>
      </w:r>
      <w:r>
        <w:t xml:space="preserve"> messages)</w:t>
      </w:r>
      <w:r w:rsidRPr="00914C58">
        <w:t xml:space="preserve"> to provide information regarding corporate status, business updates, announcements and reminders of deadlines, kudos and recognition, introduction of new employees, etc</w:t>
      </w:r>
      <w:r>
        <w:t>.  In addition to providing administrative support within PPL SC HR, the Analyst manages the employee relocation and tuition reimbursement programs.  The HR Analyst also p</w:t>
      </w:r>
      <w:r w:rsidRPr="00914C58">
        <w:t xml:space="preserve">lans and organizes all </w:t>
      </w:r>
      <w:r>
        <w:rPr>
          <w:rFonts w:cs="Arial"/>
          <w:szCs w:val="24"/>
        </w:rPr>
        <w:t>Corporate Governance and Nominating Committee</w:t>
      </w:r>
      <w:r>
        <w:t xml:space="preserve"> (</w:t>
      </w:r>
      <w:r w:rsidRPr="00914C58">
        <w:t>CGNC</w:t>
      </w:r>
      <w:r>
        <w:t>)</w:t>
      </w:r>
      <w:r w:rsidRPr="00914C58">
        <w:t xml:space="preserve"> pre-meeting requirements, and assist</w:t>
      </w:r>
      <w:r>
        <w:t>s</w:t>
      </w:r>
      <w:r w:rsidRPr="00914C58">
        <w:t xml:space="preserve"> with drafting and preparation of CGNC </w:t>
      </w:r>
      <w:r>
        <w:t xml:space="preserve">and Board </w:t>
      </w:r>
      <w:r w:rsidRPr="00914C58">
        <w:t>meeting materials</w:t>
      </w:r>
      <w:r>
        <w:t>,</w:t>
      </w:r>
      <w:r w:rsidRPr="00914C58">
        <w:t xml:space="preserve"> including management of communication with Committee members.</w:t>
      </w:r>
    </w:p>
    <w:p w:rsidR="00AC40FC" w:rsidRDefault="00AC40FC" w:rsidP="00864BDD">
      <w:pPr>
        <w:pStyle w:val="Heading40"/>
      </w:pPr>
      <w:r w:rsidRPr="003A1921">
        <w:t>PPL SC HR Talen Transition Project</w:t>
      </w:r>
      <w:r>
        <w:t xml:space="preserve"> </w:t>
      </w:r>
    </w:p>
    <w:p w:rsidR="00AC40FC" w:rsidRDefault="00AC40FC" w:rsidP="00864BDD">
      <w:r>
        <w:t xml:space="preserve">The HR Talen Transition Project unit is headed by a HR Planning and Administration Vice President and is supporting the spinoff of PPL Corporation’s former generation and related assets to form an unaffiliated company, Talen Energy.  It includes seven staff members in the unit itself as well as eight employees temporarily assigned from other PPL SC HR units and the PPL SC HR Labor and Employment Vice President who is an individual contributor.  PPL SC HR employees assigned to the Talen Transition Project are expected to be separated from PPL SC once the Talen transition activities are completed.  </w:t>
      </w:r>
    </w:p>
    <w:p w:rsidR="00AC40FC" w:rsidRDefault="00AC40FC" w:rsidP="00864BDD">
      <w:pPr>
        <w:pStyle w:val="Heading40"/>
      </w:pPr>
      <w:r>
        <w:t>PPL SC HR Operations</w:t>
      </w:r>
    </w:p>
    <w:p w:rsidR="00AC40FC" w:rsidRDefault="00AC40FC" w:rsidP="00864BDD">
      <w:r w:rsidRPr="00BF423E">
        <w:rPr>
          <w:rFonts w:cs="Arial"/>
        </w:rPr>
        <w:t xml:space="preserve">The HR </w:t>
      </w:r>
      <w:r>
        <w:rPr>
          <w:rFonts w:cs="Arial"/>
        </w:rPr>
        <w:t>Operations</w:t>
      </w:r>
      <w:r w:rsidRPr="00BF423E">
        <w:rPr>
          <w:rFonts w:cs="Arial"/>
        </w:rPr>
        <w:t xml:space="preserve"> unit is headed by the Director, </w:t>
      </w:r>
      <w:r>
        <w:rPr>
          <w:rFonts w:cs="Arial"/>
        </w:rPr>
        <w:t xml:space="preserve">Corporate </w:t>
      </w:r>
      <w:r w:rsidRPr="00BF423E">
        <w:rPr>
          <w:rFonts w:cs="Arial"/>
        </w:rPr>
        <w:t xml:space="preserve">Human Resources who is responsible </w:t>
      </w:r>
      <w:r w:rsidRPr="00BF423E">
        <w:t>for</w:t>
      </w:r>
      <w:r>
        <w:t xml:space="preserve"> three functional areas:</w:t>
      </w:r>
      <w:r w:rsidRPr="00BF423E">
        <w:t xml:space="preserve"> </w:t>
      </w:r>
      <w:r>
        <w:t>(1) Human Resources; (2) Payroll, Administration, and Planning and Controls; and (3) Human Resources Systems.</w:t>
      </w:r>
    </w:p>
    <w:p w:rsidR="00AC40FC" w:rsidRPr="00532375" w:rsidRDefault="00AC40FC" w:rsidP="00864BDD">
      <w:r w:rsidRPr="00552B19">
        <w:rPr>
          <w:b/>
        </w:rPr>
        <w:t>Human Resources.</w:t>
      </w:r>
      <w:r>
        <w:t xml:space="preserve">  This group includes </w:t>
      </w:r>
      <w:r w:rsidRPr="00BF423E">
        <w:t xml:space="preserve">talent acquisition, talent development, </w:t>
      </w:r>
      <w:r>
        <w:t xml:space="preserve">and </w:t>
      </w:r>
      <w:r w:rsidRPr="00BF423E">
        <w:t>employee and labor relations</w:t>
      </w:r>
      <w:r>
        <w:t>.</w:t>
      </w:r>
      <w:r w:rsidRPr="00BF423E">
        <w:t xml:space="preserve"> </w:t>
      </w:r>
      <w:r>
        <w:t xml:space="preserve">Talent acquisition includes recruitment </w:t>
      </w:r>
      <w:r w:rsidRPr="00BF423E">
        <w:t>(for</w:t>
      </w:r>
      <w:r>
        <w:t xml:space="preserve"> both</w:t>
      </w:r>
      <w:r w:rsidRPr="00BF423E">
        <w:t xml:space="preserve"> PPL SC and PPL EU)</w:t>
      </w:r>
      <w:r>
        <w:t xml:space="preserve">, orientation and </w:t>
      </w:r>
      <w:r w:rsidRPr="00BF423E">
        <w:t>onboarding, internship/academic relations</w:t>
      </w:r>
      <w:r>
        <w:t>, diversity, compliance,</w:t>
      </w:r>
      <w:r w:rsidRPr="00BF423E">
        <w:t xml:space="preserve"> </w:t>
      </w:r>
      <w:r>
        <w:t xml:space="preserve">and </w:t>
      </w:r>
      <w:r w:rsidRPr="00BF423E">
        <w:t>strategic workforce planning</w:t>
      </w:r>
      <w:r>
        <w:t xml:space="preserve">.  Talent development includes </w:t>
      </w:r>
      <w:r w:rsidRPr="00BF423E">
        <w:t>training and development,</w:t>
      </w:r>
      <w:r>
        <w:t xml:space="preserve"> performance management, </w:t>
      </w:r>
      <w:r w:rsidRPr="00BF423E">
        <w:t>and</w:t>
      </w:r>
      <w:r>
        <w:t xml:space="preserve"> succession planning</w:t>
      </w:r>
      <w:r w:rsidRPr="00BF423E">
        <w:rPr>
          <w:rFonts w:cs="Arial"/>
        </w:rPr>
        <w:t>.</w:t>
      </w:r>
      <w:r>
        <w:rPr>
          <w:rFonts w:cs="Arial"/>
        </w:rPr>
        <w:t xml:space="preserve">  Employee and labor relations is focused on communication and coordination of employee and labor matters. It also includes internal </w:t>
      </w:r>
      <w:r>
        <w:t>investigations emanating from the Employee Concerns Program.  Additionally, HR Corporate Services performs</w:t>
      </w:r>
      <w:r w:rsidRPr="00BF423E">
        <w:t xml:space="preserve"> Equal Employment Opportunity (EEO) and Veterans Employment and Training Service (VETS) reporting</w:t>
      </w:r>
      <w:r>
        <w:t>.  These functions are explained in more detail below.</w:t>
      </w:r>
    </w:p>
    <w:p w:rsidR="00AC40FC" w:rsidRPr="00270D2D" w:rsidRDefault="00AC40FC" w:rsidP="00864BDD">
      <w:pPr>
        <w:rPr>
          <w:b/>
        </w:rPr>
      </w:pPr>
      <w:r w:rsidRPr="00552B19">
        <w:t xml:space="preserve">Talent Acquisition. </w:t>
      </w:r>
      <w:r w:rsidRPr="00F1268B">
        <w:t>The talent acquisition function</w:t>
      </w:r>
      <w:r>
        <w:t xml:space="preserve"> provided by PPL SC’s HR team,</w:t>
      </w:r>
      <w:r w:rsidRPr="00F1268B">
        <w:t xml:space="preserve"> includes recruitment of a diverse labor pool, screening and selection</w:t>
      </w:r>
      <w:r>
        <w:t xml:space="preserve"> for Corporate and Executive positions, and preliminary screening for non-executive EU positions</w:t>
      </w:r>
      <w:r w:rsidRPr="00F1268B">
        <w:t>.</w:t>
      </w:r>
      <w:r>
        <w:rPr>
          <w:rFonts w:cs="Arial"/>
        </w:rPr>
        <w:t xml:space="preserve">  </w:t>
      </w:r>
      <w:r w:rsidRPr="00270D2D">
        <w:t xml:space="preserve">The services include ensuring accuracy of the job description prior to posting, outsourcing search services, ensuring candidates meet minimum qualifications, and distributing the </w:t>
      </w:r>
      <w:r w:rsidRPr="00270D2D">
        <w:lastRenderedPageBreak/>
        <w:t>qualified applicant list to the hiring manager.  In addition, interview guides are created, interviews scheduled, and support is provided to hiring managers in making formal offers of employment.</w:t>
      </w:r>
      <w:r>
        <w:t xml:space="preserve">  After hiring, onboarding activities and orientation training are conducted.</w:t>
      </w:r>
    </w:p>
    <w:p w:rsidR="00AC40FC" w:rsidRDefault="00AC40FC" w:rsidP="00864BDD">
      <w:r>
        <w:rPr>
          <w:rFonts w:cs="Arial"/>
        </w:rPr>
        <w:t>Strategic workforce planning is conducted as part of the talent acquisition function.</w:t>
      </w:r>
      <w:r w:rsidRPr="00BA3539">
        <w:t xml:space="preserve"> </w:t>
      </w:r>
      <w:r>
        <w:t xml:space="preserve"> </w:t>
      </w:r>
      <w:r>
        <w:rPr>
          <w:rFonts w:cs="Arial"/>
          <w:szCs w:val="24"/>
        </w:rPr>
        <w:t>In addition to the metrics of time to hire and turnover, PPL EU uses a five-year projection of turnover to forecast labor needs by job family.  During the timeframe of 2014 through 2018, the turnover projected for PPL EU is 785 employees or approximately 33% of the workforce.  Workforce and Engagement Readiness reports are also used to analyze monthly staffing patterns, internal workflow, staffing objectives, training readiness, and staffing budgets.</w:t>
      </w:r>
    </w:p>
    <w:p w:rsidR="00AC40FC" w:rsidRDefault="00AC40FC" w:rsidP="00864BDD">
      <w:r w:rsidRPr="00552B19">
        <w:t>Talent Development.</w:t>
      </w:r>
      <w:r>
        <w:t xml:space="preserve"> Talent development for non-technical competencies is centrally provided as a core service offering from PPL SC HR and consists of a non-technical training offering, a performance management system, and succession planning.  Non-technical training is any training not associated with transmission and distribution operation related technical skills and includes items such as supervisory and leadership skills and annual refresher training for topics such as harassment and policy/procedure updates.  Technical training is provided by the PPL EU Technical Development and Improvement organization.</w:t>
      </w:r>
    </w:p>
    <w:p w:rsidR="00AC40FC" w:rsidRPr="00956895" w:rsidRDefault="00AC40FC" w:rsidP="00864BDD">
      <w:r>
        <w:t>The non-technical training programs provide developmental opportunities for individual contributors as well as those who are preparing to enter supervisory, manager, or leadership roles</w:t>
      </w:r>
      <w:r w:rsidRPr="00956895">
        <w:t>.</w:t>
      </w:r>
      <w:r w:rsidRPr="00992348">
        <w:t xml:space="preserve"> </w:t>
      </w:r>
      <w:r w:rsidRPr="00956895">
        <w:t xml:space="preserve"> The non-technical training consists of the following four components.</w:t>
      </w:r>
    </w:p>
    <w:p w:rsidR="00AC40FC" w:rsidRDefault="00AC40FC" w:rsidP="004F00E5">
      <w:pPr>
        <w:pStyle w:val="Numbering"/>
        <w:numPr>
          <w:ilvl w:val="0"/>
          <w:numId w:val="123"/>
        </w:numPr>
        <w:ind w:left="720"/>
      </w:pPr>
      <w:r>
        <w:t>Individual Contributor.  Currently, 42 different professional development topics for individual contributors are offered.  Participants can elect, with supervisory approval, to enroll.  Courses range from half day to three full days of classroom instruction.</w:t>
      </w:r>
    </w:p>
    <w:p w:rsidR="00AC40FC" w:rsidRDefault="00AC40FC" w:rsidP="006C238A">
      <w:pPr>
        <w:pStyle w:val="Numbering"/>
        <w:ind w:left="720"/>
      </w:pPr>
      <w:r>
        <w:t>Supervisor Essentials.  This program is required for newly promoted supervisors or those hired into supervisory roles.  This program is a four-day course intended to introduce partic</w:t>
      </w:r>
      <w:r w:rsidR="006C238A">
        <w:t xml:space="preserve">ipants to supervisory skills. </w:t>
      </w:r>
    </w:p>
    <w:p w:rsidR="00AC40FC" w:rsidRDefault="00AC40FC" w:rsidP="003F13FF">
      <w:pPr>
        <w:pStyle w:val="Numbering"/>
        <w:numPr>
          <w:ilvl w:val="0"/>
          <w:numId w:val="0"/>
        </w:numPr>
        <w:tabs>
          <w:tab w:val="left" w:pos="720"/>
        </w:tabs>
        <w:ind w:left="720" w:hanging="360"/>
      </w:pPr>
      <w:r>
        <w:t>3.</w:t>
      </w:r>
      <w:r>
        <w:tab/>
        <w:t>Managing People and Processes (MPP).  The MPP program is an 11-day program which takes place over four months.  Prior to starting the MPP program, participants go through a 360 degree feedback process whereby their supervisors and peers provide job performance feedback outlining strengths and areas needing improvement.  The MPP program is focused on 12 different managerial practice areas.</w:t>
      </w:r>
      <w:r w:rsidRPr="008314F8">
        <w:t xml:space="preserve"> </w:t>
      </w:r>
      <w:r>
        <w:t>PPL SC and PPL EU Executives are scheduled to speak to participants as part of this training program.</w:t>
      </w:r>
    </w:p>
    <w:p w:rsidR="00AC40FC" w:rsidRPr="00C66727" w:rsidRDefault="00AC40FC" w:rsidP="003F13FF">
      <w:pPr>
        <w:pStyle w:val="Numbering"/>
        <w:numPr>
          <w:ilvl w:val="0"/>
          <w:numId w:val="0"/>
        </w:numPr>
        <w:tabs>
          <w:tab w:val="left" w:pos="720"/>
        </w:tabs>
        <w:ind w:left="720" w:hanging="360"/>
      </w:pPr>
      <w:r>
        <w:t>4.</w:t>
      </w:r>
      <w:r>
        <w:tab/>
      </w:r>
      <w:r w:rsidRPr="00C66727">
        <w:t xml:space="preserve">Leading People and Processes (LPP).  The LPP program is a six-day program scheduled over a three month time period which is intended to strengthen </w:t>
      </w:r>
      <w:r>
        <w:t xml:space="preserve">manager and </w:t>
      </w:r>
      <w:r w:rsidRPr="00C66727">
        <w:t>director-level positions.  Prior to attending the program, participants go through a 360 degree feedback process whereby their supervisors and peers provide job performance feedback outlining strengths and areas needing improvement utilizing the</w:t>
      </w:r>
      <w:r>
        <w:t xml:space="preserve"> PPL HR</w:t>
      </w:r>
      <w:r w:rsidRPr="00C66727">
        <w:t xml:space="preserve"> Leadership Challenge LPI 360 Assessment.  The participant’s manager is provided with an overview of the program, what will be learned, and how to support implementation of newly acquired skills.</w:t>
      </w:r>
    </w:p>
    <w:p w:rsidR="00AC40FC" w:rsidRDefault="00AC40FC" w:rsidP="00864BDD">
      <w:pPr>
        <w:pStyle w:val="Normal-aftertable"/>
      </w:pPr>
      <w:r>
        <w:lastRenderedPageBreak/>
        <w:t xml:space="preserve">In addition, an executive development program is currently being designed for high potential candidates for executive positions beginning in 2016.  </w:t>
      </w:r>
    </w:p>
    <w:p w:rsidR="00AC40FC" w:rsidRDefault="00AC40FC" w:rsidP="00864BDD">
      <w:pPr>
        <w:pStyle w:val="Normal-aftertable"/>
      </w:pPr>
      <w:r>
        <w:t>Participation in these programs by PPL EU employees during 2014 is noted in the table below.</w:t>
      </w:r>
    </w:p>
    <w:p w:rsidR="00AC40FC" w:rsidRPr="007630CD" w:rsidRDefault="00AC40FC" w:rsidP="002B3172">
      <w:pPr>
        <w:pStyle w:val="Caption"/>
      </w:pPr>
      <w:bookmarkStart w:id="219" w:name="_Toc462648448"/>
      <w:bookmarkStart w:id="220" w:name="_Toc464553070"/>
      <w:r>
        <w:t xml:space="preserve">Exhibit </w:t>
      </w:r>
      <w:fldSimple w:instr=" STYLEREF 1 \s ">
        <w:r w:rsidR="00A24205">
          <w:rPr>
            <w:noProof/>
          </w:rPr>
          <w:t>XII</w:t>
        </w:r>
      </w:fldSimple>
      <w:r w:rsidR="00264A1B">
        <w:noBreakHyphen/>
      </w:r>
      <w:fldSimple w:instr=" SEQ Exhibit \* ARABIC \s 1 ">
        <w:r w:rsidR="00A24205">
          <w:rPr>
            <w:noProof/>
          </w:rPr>
          <w:t>2</w:t>
        </w:r>
      </w:fldSimple>
      <w:r>
        <w:br/>
        <w:t xml:space="preserve">PPL EU </w:t>
      </w:r>
      <w:r w:rsidRPr="007630CD">
        <w:t>Professional Development Participation – 2014</w:t>
      </w:r>
      <w:bookmarkEnd w:id="219"/>
      <w:bookmarkEnd w:id="2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17"/>
        <w:gridCol w:w="1710"/>
      </w:tblGrid>
      <w:tr w:rsidR="00AC40FC" w:rsidRPr="00521E7D" w:rsidTr="00680B53">
        <w:trPr>
          <w:cantSplit/>
          <w:tblHeader/>
          <w:jc w:val="center"/>
        </w:trPr>
        <w:tc>
          <w:tcPr>
            <w:tcW w:w="5917" w:type="dxa"/>
            <w:shd w:val="clear" w:color="auto" w:fill="A5CD7E"/>
            <w:vAlign w:val="center"/>
          </w:tcPr>
          <w:p w:rsidR="00AC40FC" w:rsidRPr="00521E7D" w:rsidRDefault="00AC40FC" w:rsidP="00521E7D">
            <w:pPr>
              <w:spacing w:before="120"/>
              <w:jc w:val="center"/>
              <w:rPr>
                <w:rFonts w:cs="Arial"/>
                <w:b/>
                <w:bCs/>
                <w:szCs w:val="24"/>
              </w:rPr>
            </w:pPr>
            <w:r w:rsidRPr="00521E7D">
              <w:rPr>
                <w:rFonts w:cs="Arial"/>
                <w:b/>
                <w:bCs/>
                <w:szCs w:val="24"/>
              </w:rPr>
              <w:t>Program</w:t>
            </w:r>
          </w:p>
        </w:tc>
        <w:tc>
          <w:tcPr>
            <w:tcW w:w="1710" w:type="dxa"/>
            <w:shd w:val="clear" w:color="auto" w:fill="A5CD7E"/>
            <w:vAlign w:val="center"/>
          </w:tcPr>
          <w:p w:rsidR="00AC40FC" w:rsidRPr="00521E7D" w:rsidRDefault="00AC40FC" w:rsidP="00521E7D">
            <w:pPr>
              <w:spacing w:before="120"/>
              <w:jc w:val="center"/>
              <w:rPr>
                <w:rFonts w:cs="Arial"/>
                <w:b/>
                <w:bCs/>
                <w:szCs w:val="24"/>
              </w:rPr>
            </w:pPr>
            <w:r w:rsidRPr="00521E7D">
              <w:rPr>
                <w:rFonts w:cs="Arial"/>
                <w:b/>
                <w:bCs/>
                <w:szCs w:val="24"/>
              </w:rPr>
              <w:t>Participation</w:t>
            </w:r>
          </w:p>
        </w:tc>
      </w:tr>
      <w:tr w:rsidR="00AC40FC" w:rsidTr="00864BDD">
        <w:trPr>
          <w:jc w:val="center"/>
        </w:trPr>
        <w:tc>
          <w:tcPr>
            <w:tcW w:w="5917" w:type="dxa"/>
            <w:vAlign w:val="center"/>
          </w:tcPr>
          <w:p w:rsidR="00AC40FC" w:rsidRDefault="00AC40FC" w:rsidP="00864BDD">
            <w:pPr>
              <w:spacing w:after="0"/>
              <w:jc w:val="center"/>
            </w:pPr>
            <w:r>
              <w:t>Individual Contributor and Supervisory Essentials</w:t>
            </w:r>
          </w:p>
        </w:tc>
        <w:tc>
          <w:tcPr>
            <w:tcW w:w="1710" w:type="dxa"/>
            <w:vAlign w:val="center"/>
          </w:tcPr>
          <w:p w:rsidR="00AC40FC" w:rsidRDefault="00AC40FC" w:rsidP="00864BDD">
            <w:pPr>
              <w:spacing w:after="0"/>
              <w:jc w:val="center"/>
            </w:pPr>
            <w:r>
              <w:t>473</w:t>
            </w:r>
          </w:p>
        </w:tc>
      </w:tr>
      <w:tr w:rsidR="00AC40FC" w:rsidTr="00864BDD">
        <w:trPr>
          <w:jc w:val="center"/>
        </w:trPr>
        <w:tc>
          <w:tcPr>
            <w:tcW w:w="5917" w:type="dxa"/>
            <w:vAlign w:val="center"/>
          </w:tcPr>
          <w:p w:rsidR="00AC40FC" w:rsidRDefault="00AC40FC" w:rsidP="00864BDD">
            <w:pPr>
              <w:spacing w:after="0"/>
              <w:jc w:val="center"/>
            </w:pPr>
            <w:r>
              <w:t>Managing People and Processes (MPP)</w:t>
            </w:r>
          </w:p>
        </w:tc>
        <w:tc>
          <w:tcPr>
            <w:tcW w:w="1710" w:type="dxa"/>
            <w:vAlign w:val="center"/>
          </w:tcPr>
          <w:p w:rsidR="00AC40FC" w:rsidRDefault="00AC40FC" w:rsidP="00864BDD">
            <w:pPr>
              <w:spacing w:after="0"/>
              <w:jc w:val="center"/>
            </w:pPr>
            <w:r>
              <w:t>24</w:t>
            </w:r>
          </w:p>
        </w:tc>
      </w:tr>
      <w:tr w:rsidR="00AC40FC" w:rsidTr="00864BDD">
        <w:trPr>
          <w:jc w:val="center"/>
        </w:trPr>
        <w:tc>
          <w:tcPr>
            <w:tcW w:w="5917" w:type="dxa"/>
            <w:vAlign w:val="center"/>
          </w:tcPr>
          <w:p w:rsidR="00AC40FC" w:rsidRDefault="00AC40FC" w:rsidP="00864BDD">
            <w:pPr>
              <w:spacing w:after="0"/>
              <w:jc w:val="center"/>
            </w:pPr>
            <w:r>
              <w:t>Leading People and Processes (LPP)</w:t>
            </w:r>
          </w:p>
        </w:tc>
        <w:tc>
          <w:tcPr>
            <w:tcW w:w="1710" w:type="dxa"/>
            <w:vAlign w:val="center"/>
          </w:tcPr>
          <w:p w:rsidR="00AC40FC" w:rsidRDefault="00AC40FC" w:rsidP="00864BDD">
            <w:pPr>
              <w:spacing w:after="0"/>
              <w:jc w:val="center"/>
            </w:pPr>
            <w:r>
              <w:t>11</w:t>
            </w:r>
          </w:p>
        </w:tc>
      </w:tr>
      <w:tr w:rsidR="00AC40FC" w:rsidTr="00864BDD">
        <w:trPr>
          <w:jc w:val="center"/>
        </w:trPr>
        <w:tc>
          <w:tcPr>
            <w:tcW w:w="5917" w:type="dxa"/>
            <w:vAlign w:val="center"/>
          </w:tcPr>
          <w:p w:rsidR="00AC40FC" w:rsidRDefault="00AC40FC">
            <w:pPr>
              <w:spacing w:after="0"/>
              <w:jc w:val="right"/>
              <w:rPr>
                <w:b/>
              </w:rPr>
            </w:pPr>
            <w:r w:rsidRPr="00184FF7">
              <w:rPr>
                <w:b/>
              </w:rPr>
              <w:t>Total</w:t>
            </w:r>
          </w:p>
        </w:tc>
        <w:tc>
          <w:tcPr>
            <w:tcW w:w="1710" w:type="dxa"/>
            <w:vAlign w:val="center"/>
          </w:tcPr>
          <w:p w:rsidR="00AC40FC" w:rsidRPr="00184FF7" w:rsidRDefault="00AC40FC" w:rsidP="00864BDD">
            <w:pPr>
              <w:spacing w:after="0"/>
              <w:jc w:val="center"/>
              <w:rPr>
                <w:b/>
              </w:rPr>
            </w:pPr>
            <w:r w:rsidRPr="00184FF7">
              <w:rPr>
                <w:b/>
              </w:rPr>
              <w:t>508</w:t>
            </w:r>
          </w:p>
        </w:tc>
      </w:tr>
      <w:tr w:rsidR="00AC40FC" w:rsidTr="00864BDD">
        <w:trPr>
          <w:jc w:val="center"/>
        </w:trPr>
        <w:tc>
          <w:tcPr>
            <w:tcW w:w="7627" w:type="dxa"/>
            <w:gridSpan w:val="2"/>
            <w:vAlign w:val="center"/>
          </w:tcPr>
          <w:p w:rsidR="00AC40FC" w:rsidRDefault="00AC40FC">
            <w:pPr>
              <w:spacing w:after="0"/>
              <w:jc w:val="left"/>
            </w:pPr>
            <w:r>
              <w:t>Source: DN17-112</w:t>
            </w:r>
          </w:p>
        </w:tc>
      </w:tr>
    </w:tbl>
    <w:p w:rsidR="00AC40FC" w:rsidRDefault="00AC40FC" w:rsidP="00864BDD">
      <w:pPr>
        <w:pStyle w:val="Normal-aftertable"/>
      </w:pPr>
      <w:r>
        <w:t>Individuals are selected for participation in the MPP and LPP programs through a multi-tier nomination process that is intended to identify emerging, promotional, and senior level talent.  The nomination process begins with an employee’s supervisor/manager completing a nomination form.  This form is then passed on to a group consisting of HR representatives and the leadership team.  Nominees that pass the first tier evaluation are then reviewed by the President and his direct reports and a final group is identified that will go through the MPP or LPP programs.</w:t>
      </w:r>
      <w:r w:rsidRPr="00441299">
        <w:rPr>
          <w:rFonts w:cs="Arial"/>
          <w:szCs w:val="24"/>
        </w:rPr>
        <w:t xml:space="preserve"> </w:t>
      </w:r>
      <w:r>
        <w:rPr>
          <w:rFonts w:cs="Arial"/>
          <w:szCs w:val="24"/>
        </w:rPr>
        <w:t xml:space="preserve"> Adverse impact analyses are performed at each stage of the nomination process to ensure diversity of participants.</w:t>
      </w:r>
    </w:p>
    <w:p w:rsidR="00AC40FC" w:rsidRDefault="00AC40FC" w:rsidP="00864BDD">
      <w:r>
        <w:t xml:space="preserve">PPL HR uses a performance management software system to administer the employee performance management and compensation programs throughout PPL Corporation and its Pennsylvania subsidiaries.  The performance management system was first used in 2010 for executive and salaried employees and, in 2014, the entire bargaining unit employee group was brought into the system. </w:t>
      </w:r>
    </w:p>
    <w:p w:rsidR="00AC40FC" w:rsidRDefault="00AC40FC" w:rsidP="00864BDD">
      <w:r>
        <w:t>The performance management system is used to manage employee job performance and compensation programs linked to the Corporate Goal Framework.  The Corporate Goal Framework</w:t>
      </w:r>
      <w:r w:rsidRPr="00E175D9">
        <w:t xml:space="preserve"> </w:t>
      </w:r>
      <w:r>
        <w:t>is created annually by senior management and approved by PPL Corporate Board of Directors.  Through the performance management system, the Corporate Goals are cascaded down through the organization to a mid-level where managers and supervisors are then responsible for translating the goals to the individual employee or job level and measuring employee performance against these individual goals, which have been set to drive achievement of the Corporate Goals.</w:t>
      </w:r>
    </w:p>
    <w:p w:rsidR="00AC40FC" w:rsidRDefault="00AC40FC" w:rsidP="00864BDD">
      <w:pPr>
        <w:rPr>
          <w:rFonts w:cs="Arial"/>
          <w:szCs w:val="24"/>
        </w:rPr>
      </w:pPr>
      <w:r>
        <w:rPr>
          <w:rFonts w:cs="Arial"/>
          <w:szCs w:val="24"/>
        </w:rPr>
        <w:t>The SVP of HR at PPL SC has responsibility for the succession plan that covers the United Kingdom, Kentucky, PPL EU, and PPL SC.   An example of the Executive Succession Planning Report to the CGNC dated December 19, 2013 demonstrates how succession planning is conducted and reported to the Board of Directors.  The Report covered several areas including:</w:t>
      </w:r>
    </w:p>
    <w:p w:rsidR="00AC40FC" w:rsidRPr="003359E1" w:rsidRDefault="00AC40FC" w:rsidP="00252486">
      <w:pPr>
        <w:pStyle w:val="Bullet"/>
        <w:keepNext/>
      </w:pPr>
      <w:r>
        <w:t>Talent and Suc</w:t>
      </w:r>
      <w:r w:rsidRPr="003359E1">
        <w:t>cession Planning Model</w:t>
      </w:r>
    </w:p>
    <w:p w:rsidR="00AC40FC" w:rsidRDefault="00AC40FC" w:rsidP="00864BDD">
      <w:pPr>
        <w:pStyle w:val="Bullet"/>
      </w:pPr>
      <w:r w:rsidRPr="003359E1">
        <w:t>Succession Planning Highlights and Summary</w:t>
      </w:r>
    </w:p>
    <w:p w:rsidR="00AC40FC" w:rsidRDefault="00AC40FC" w:rsidP="00864BDD">
      <w:pPr>
        <w:pStyle w:val="Bullet"/>
      </w:pPr>
      <w:r>
        <w:t>Leadership and Development Activities</w:t>
      </w:r>
    </w:p>
    <w:p w:rsidR="00AC40FC" w:rsidRPr="003359E1" w:rsidRDefault="00AC40FC" w:rsidP="00864BDD">
      <w:pPr>
        <w:pStyle w:val="Bullet"/>
      </w:pPr>
      <w:r>
        <w:lastRenderedPageBreak/>
        <w:t>Next Steps</w:t>
      </w:r>
    </w:p>
    <w:p w:rsidR="00AC40FC" w:rsidRDefault="00AC40FC" w:rsidP="00864BDD">
      <w:pPr>
        <w:pStyle w:val="Normal-aftertable"/>
      </w:pPr>
      <w:r>
        <w:t>The talent and succession planning model focuses on three areas: succession planning, strengthening the pipeline, and promotion of a development culture that fosters diversity and inclusion.  The succession plan covers executive roles as well as pivotal roles.  Pivotal roles are defined as those positions that PPL SC executives believe have a direct impact on strategy that affects business success, positions that require a specialized competency or high end managerial/business expertise, or a management pipeline position whose vacancy could impact the success of the business.</w:t>
      </w:r>
    </w:p>
    <w:p w:rsidR="00AC40FC" w:rsidRPr="00956895" w:rsidRDefault="00AC40FC" w:rsidP="00864BDD">
      <w:pPr>
        <w:rPr>
          <w:b/>
        </w:rPr>
      </w:pPr>
      <w:r w:rsidRPr="00552B19">
        <w:t>Employee and Labor Relations.</w:t>
      </w:r>
      <w:r>
        <w:t xml:space="preserve"> </w:t>
      </w:r>
      <w:r w:rsidRPr="00956895">
        <w:t>Employee and Labor Relations</w:t>
      </w:r>
      <w:r>
        <w:t xml:space="preserve"> functions</w:t>
      </w:r>
      <w:r w:rsidRPr="00956895">
        <w:t xml:space="preserve"> include activities such as policy and procedure administration, diversity initiatives, and complaint resolution. The PPL SC HR Employee and Labor Relations staff works to maintain and enhance relationships with employees through both the employee relations and labor relations functions.  The focus of the employee relations function is to develop, maintain, and improve relationships between the organization and its employees while the focus of the labor relations function is to develop, maintain, and improve relationships between the organization and its employees covered by the collective bargaining agreement.</w:t>
      </w:r>
    </w:p>
    <w:p w:rsidR="00AC40FC" w:rsidRDefault="00AC40FC" w:rsidP="00864BDD">
      <w:r>
        <w:t xml:space="preserve">PPL SC HR has oversight of employee complaints that come in through an anonymous employee reporting hotline or through the various complaint mechanisms established through policy, such as direct supervisory report, grievance procedure reporting, or direct contact with HR.  All complaints that come in are reviewed and assigned for investigation to one of three work groups, Human Resources, Corporate Audit and Business Ethics, or the Office of General Counsel in accordance with the pre-established responsibilities contained in policy document, “Clarification </w:t>
      </w:r>
      <w:r w:rsidRPr="004229F1">
        <w:t>of</w:t>
      </w:r>
      <w:r>
        <w:t xml:space="preserve"> </w:t>
      </w:r>
      <w:r w:rsidRPr="004229F1">
        <w:t>W</w:t>
      </w:r>
      <w:r>
        <w:t>o</w:t>
      </w:r>
      <w:r w:rsidRPr="004229F1">
        <w:t>rkgr</w:t>
      </w:r>
      <w:r>
        <w:t>ou</w:t>
      </w:r>
      <w:r w:rsidRPr="004229F1">
        <w:t>p</w:t>
      </w:r>
      <w:r>
        <w:t xml:space="preserve"> </w:t>
      </w:r>
      <w:r w:rsidRPr="004229F1">
        <w:t>Resp</w:t>
      </w:r>
      <w:r>
        <w:t xml:space="preserve">onsibility </w:t>
      </w:r>
      <w:r w:rsidRPr="004229F1">
        <w:t>to</w:t>
      </w:r>
      <w:r>
        <w:t xml:space="preserve"> </w:t>
      </w:r>
      <w:r w:rsidRPr="004229F1">
        <w:t>Handle</w:t>
      </w:r>
      <w:r>
        <w:t xml:space="preserve"> Requests for </w:t>
      </w:r>
      <w:r w:rsidRPr="004229F1">
        <w:t>Investigations</w:t>
      </w:r>
      <w:r>
        <w:t xml:space="preserve">.”  </w:t>
      </w:r>
      <w:r>
        <w:rPr>
          <w:rFonts w:cs="Arial"/>
          <w:szCs w:val="24"/>
        </w:rPr>
        <w:t>Completed investigation reports are monitored and reviewed and ultimately findings are submitted to the Corporate Audit and Business Ethics Department who then reports investigation findings up through the Board of Director’s Corporate Compliance Com</w:t>
      </w:r>
      <w:r w:rsidRPr="002C423F">
        <w:rPr>
          <w:rFonts w:cs="Arial"/>
          <w:szCs w:val="24"/>
        </w:rPr>
        <w:t>mittee and Audit Committee</w:t>
      </w:r>
      <w:r>
        <w:rPr>
          <w:rFonts w:cs="Arial"/>
          <w:szCs w:val="24"/>
        </w:rPr>
        <w:t>.</w:t>
      </w:r>
      <w:r w:rsidRPr="002C423F">
        <w:t xml:space="preserve">  The Guidelines for Referral of Allegations indicate a process for confidential and timely processing of employee complaints</w:t>
      </w:r>
      <w:r>
        <w:t>.</w:t>
      </w:r>
    </w:p>
    <w:p w:rsidR="00AC40FC" w:rsidRDefault="00AC40FC" w:rsidP="00864BDD">
      <w:r w:rsidRPr="002C423F">
        <w:t>Approximately 1,500 of the 2,500 emp</w:t>
      </w:r>
      <w:r>
        <w:t>loyees in PPL EU and PPL SC</w:t>
      </w:r>
      <w:r w:rsidRPr="002C423F">
        <w:t xml:space="preserve"> are members of Local 1600, IBEW.  IBEW Local 1600 has organized one bargaining unit across both entities.  Positions within this single</w:t>
      </w:r>
      <w:r>
        <w:t xml:space="preserve"> bargaining unit vary widely from </w:t>
      </w:r>
      <w:r>
        <w:rPr>
          <w:rFonts w:cs="Arial"/>
          <w:szCs w:val="24"/>
        </w:rPr>
        <w:t>call center staff, steno clerks, technical field services staff, entry level engineering technology, and facilities staff.</w:t>
      </w:r>
      <w:r>
        <w:t xml:space="preserve">  Terms and conditions of employment for bargaining unit members are governed by the current collective bargaining agreement.</w:t>
      </w:r>
    </w:p>
    <w:p w:rsidR="00AC40FC" w:rsidRDefault="00AC40FC" w:rsidP="00864BDD">
      <w:r w:rsidRPr="00552B19">
        <w:rPr>
          <w:rFonts w:ascii="Helvetica" w:hAnsi="Helvetica" w:cs="Helvetica"/>
          <w:b/>
          <w:szCs w:val="24"/>
        </w:rPr>
        <w:t>Payroll, Administration, Planning and Controls</w:t>
      </w:r>
      <w:r>
        <w:rPr>
          <w:rFonts w:ascii="Helvetica" w:hAnsi="Helvetica" w:cs="Helvetica"/>
          <w:b/>
          <w:szCs w:val="24"/>
        </w:rPr>
        <w:t xml:space="preserve">. </w:t>
      </w:r>
      <w:r>
        <w:t>This unit includes an HR business function, HR financial planning and controls, and payroll.  The HR business function supports the functional side of various technology platforms utilized by the HR function.  This includes t</w:t>
      </w:r>
      <w:r>
        <w:rPr>
          <w:rFonts w:ascii="Helvetica" w:hAnsi="Helvetica" w:cs="Helvetica"/>
          <w:szCs w:val="24"/>
        </w:rPr>
        <w:t>he day-to-day HR systems configuration, employee help desks for HR systems and payroll, and human resources regulatory reporting.</w:t>
      </w:r>
      <w:r w:rsidRPr="002841AB">
        <w:t xml:space="preserve"> </w:t>
      </w:r>
      <w:r>
        <w:t xml:space="preserve">The HR financial planning and controls includes </w:t>
      </w:r>
      <w:r>
        <w:rPr>
          <w:rFonts w:ascii="Helvetica" w:hAnsi="Helvetica" w:cs="Helvetica"/>
          <w:szCs w:val="24"/>
        </w:rPr>
        <w:t>the HR budget, compliance, and employee expense management.</w:t>
      </w:r>
      <w:r>
        <w:t xml:space="preserve"> Payroll includes standard payroll functions. </w:t>
      </w:r>
    </w:p>
    <w:p w:rsidR="00AC40FC" w:rsidRPr="002E42F0" w:rsidRDefault="00AC40FC" w:rsidP="00864BDD">
      <w:pPr>
        <w:rPr>
          <w:b/>
        </w:rPr>
      </w:pPr>
      <w:r w:rsidRPr="002E42F0">
        <w:rPr>
          <w:rFonts w:ascii="Helvetica" w:hAnsi="Helvetica" w:cs="Helvetica"/>
          <w:b/>
          <w:szCs w:val="24"/>
        </w:rPr>
        <w:lastRenderedPageBreak/>
        <w:t>Human Resources Systems</w:t>
      </w:r>
      <w:r>
        <w:rPr>
          <w:rFonts w:ascii="Helvetica" w:hAnsi="Helvetica" w:cs="Helvetica"/>
          <w:b/>
          <w:szCs w:val="24"/>
        </w:rPr>
        <w:t>.</w:t>
      </w:r>
      <w:r>
        <w:rPr>
          <w:b/>
        </w:rPr>
        <w:t xml:space="preserve">  </w:t>
      </w:r>
      <w:r>
        <w:t xml:space="preserve">This unit oversees the various technology platforms that support the HR functions.  These HR technologies are seamlessly engineered for internal PPL SC HR and PPL EUS HR users.  These technologies are supported by written procedures and are Sarbanes-Oxley Act (SOX) compliant.  Currently, PPL SC HR Systems has a staff of six dedicated to HR information technology, three of whom are supporting the Talen transition.  Once the Talen transition is complete, the PPL SC HR Systems staff will be reduced to three. </w:t>
      </w:r>
      <w:r w:rsidRPr="00EC5B86">
        <w:t xml:space="preserve"> </w:t>
      </w:r>
    </w:p>
    <w:p w:rsidR="00AC40FC" w:rsidRDefault="00AC40FC" w:rsidP="00864BDD">
      <w:r>
        <w:t>The key HR technologies in use are:</w:t>
      </w:r>
    </w:p>
    <w:p w:rsidR="00AC40FC" w:rsidRDefault="00AC40FC" w:rsidP="00864BDD">
      <w:pPr>
        <w:pStyle w:val="Bullet"/>
      </w:pPr>
      <w:r w:rsidRPr="002E306E">
        <w:rPr>
          <w:b/>
        </w:rPr>
        <w:t>HRPR</w:t>
      </w:r>
      <w:r>
        <w:t xml:space="preserve"> – Houses all core HR data including employee changes and life cycle data, HR reporting, time and labor, compliance reporting, compensation, workers compensation, grievance management, employee and manager self service</w:t>
      </w:r>
    </w:p>
    <w:p w:rsidR="00AC40FC" w:rsidRDefault="00AC40FC" w:rsidP="00864BDD">
      <w:pPr>
        <w:pStyle w:val="Bullet"/>
      </w:pPr>
      <w:r>
        <w:rPr>
          <w:b/>
        </w:rPr>
        <w:t>Brass Ring</w:t>
      </w:r>
      <w:r>
        <w:t xml:space="preserve"> – Recruiting and onboarding</w:t>
      </w:r>
    </w:p>
    <w:p w:rsidR="00AC40FC" w:rsidRDefault="00AC40FC" w:rsidP="00864BDD">
      <w:pPr>
        <w:pStyle w:val="Bullet"/>
      </w:pPr>
      <w:r>
        <w:rPr>
          <w:b/>
        </w:rPr>
        <w:t>PeopleFluent</w:t>
      </w:r>
      <w:r>
        <w:t xml:space="preserve"> – Performance management, compensation annual planning</w:t>
      </w:r>
    </w:p>
    <w:p w:rsidR="00AC40FC" w:rsidRDefault="00AC40FC" w:rsidP="00864BDD">
      <w:pPr>
        <w:pStyle w:val="Bullet"/>
      </w:pPr>
      <w:r>
        <w:rPr>
          <w:b/>
        </w:rPr>
        <w:t>CAAMS</w:t>
      </w:r>
      <w:r>
        <w:t xml:space="preserve"> – Affirmative Action/Diversity data, AAP and OFCCP (internal to HR only)</w:t>
      </w:r>
    </w:p>
    <w:p w:rsidR="00AC40FC" w:rsidRDefault="00AC40FC" w:rsidP="00864BDD">
      <w:pPr>
        <w:pStyle w:val="Bullet"/>
      </w:pPr>
      <w:r>
        <w:rPr>
          <w:b/>
        </w:rPr>
        <w:t>Concur</w:t>
      </w:r>
      <w:r>
        <w:t xml:space="preserve"> – Employee expense management</w:t>
      </w:r>
    </w:p>
    <w:p w:rsidR="00AC40FC" w:rsidRDefault="00AC40FC" w:rsidP="00864BDD">
      <w:pPr>
        <w:pStyle w:val="Bullet"/>
      </w:pPr>
      <w:r>
        <w:rPr>
          <w:b/>
        </w:rPr>
        <w:t>Market Pay</w:t>
      </w:r>
      <w:r>
        <w:t xml:space="preserve"> – Market pricing and salary survey data (internal to HR only)</w:t>
      </w:r>
    </w:p>
    <w:p w:rsidR="00AC40FC" w:rsidRDefault="00AC40FC" w:rsidP="00864BDD">
      <w:pPr>
        <w:pStyle w:val="Bullet"/>
      </w:pPr>
      <w:r>
        <w:rPr>
          <w:b/>
        </w:rPr>
        <w:t>Everbridge</w:t>
      </w:r>
      <w:r>
        <w:t xml:space="preserve"> – Emergency Notification System for employees</w:t>
      </w:r>
    </w:p>
    <w:p w:rsidR="00AC40FC" w:rsidRDefault="00AC40FC" w:rsidP="00864BDD">
      <w:pPr>
        <w:pStyle w:val="Bullet"/>
      </w:pPr>
      <w:r>
        <w:rPr>
          <w:b/>
        </w:rPr>
        <w:t>Fusion</w:t>
      </w:r>
      <w:r>
        <w:t xml:space="preserve"> – Disaster recovery and business continuity plans</w:t>
      </w:r>
    </w:p>
    <w:p w:rsidR="00AC40FC" w:rsidRDefault="00AC40FC" w:rsidP="00864BDD">
      <w:pPr>
        <w:pStyle w:val="Bullet"/>
      </w:pPr>
      <w:r>
        <w:rPr>
          <w:b/>
        </w:rPr>
        <w:t>Asurint</w:t>
      </w:r>
      <w:r>
        <w:t xml:space="preserve"> – Background checks (internal to HR only)</w:t>
      </w:r>
    </w:p>
    <w:p w:rsidR="00AC40FC" w:rsidRPr="00B9320D" w:rsidRDefault="00AC40FC" w:rsidP="00864BDD">
      <w:pPr>
        <w:pStyle w:val="Normal-aftertable"/>
      </w:pPr>
      <w:r w:rsidRPr="00B9320D">
        <w:t>Four enterprise systems also support HR functions.  These include:</w:t>
      </w:r>
    </w:p>
    <w:p w:rsidR="00AC40FC" w:rsidRDefault="00AC40FC" w:rsidP="00864BDD">
      <w:pPr>
        <w:pStyle w:val="Bullet"/>
      </w:pPr>
      <w:r>
        <w:rPr>
          <w:b/>
        </w:rPr>
        <w:t>Portal</w:t>
      </w:r>
      <w:r>
        <w:t xml:space="preserve"> – Part of the corporate landing page; provides employees with access to various HR information and applications</w:t>
      </w:r>
    </w:p>
    <w:p w:rsidR="00AC40FC" w:rsidRDefault="00AC40FC" w:rsidP="00864BDD">
      <w:pPr>
        <w:pStyle w:val="Bullet"/>
      </w:pPr>
      <w:r>
        <w:rPr>
          <w:b/>
        </w:rPr>
        <w:t>Filenet</w:t>
      </w:r>
      <w:r>
        <w:t xml:space="preserve"> – Records retention application</w:t>
      </w:r>
    </w:p>
    <w:p w:rsidR="00AC40FC" w:rsidRDefault="00AC40FC" w:rsidP="00864BDD">
      <w:pPr>
        <w:pStyle w:val="Bullet"/>
      </w:pPr>
      <w:r>
        <w:rPr>
          <w:b/>
        </w:rPr>
        <w:t>SharePoint</w:t>
      </w:r>
      <w:r>
        <w:t xml:space="preserve"> – Houses enterprise policies and procedures, information sites, and workflow</w:t>
      </w:r>
    </w:p>
    <w:p w:rsidR="00AC40FC" w:rsidRDefault="00AC40FC" w:rsidP="00864BDD">
      <w:pPr>
        <w:pStyle w:val="Bullet"/>
      </w:pPr>
      <w:r>
        <w:rPr>
          <w:b/>
        </w:rPr>
        <w:t>HP Quality Center</w:t>
      </w:r>
      <w:r>
        <w:t xml:space="preserve"> – Tool for tracking IT application testing (internal to HR only)</w:t>
      </w:r>
    </w:p>
    <w:p w:rsidR="00AC40FC" w:rsidRDefault="00AC40FC" w:rsidP="00864BDD">
      <w:pPr>
        <w:pStyle w:val="Heading40"/>
      </w:pPr>
      <w:r>
        <w:t>PPL SC HR Benefits Administration</w:t>
      </w:r>
    </w:p>
    <w:p w:rsidR="00AC40FC" w:rsidRDefault="00AC40FC" w:rsidP="00864BDD">
      <w:r>
        <w:rPr>
          <w:rFonts w:cs="Arial"/>
        </w:rPr>
        <w:t xml:space="preserve">The Benefits Administration unit is headed by a Compensation and Benefits Vice President and </w:t>
      </w:r>
      <w:r>
        <w:t>includes compensation planning for bargaining unit negotiations as well as setting compensation for salaried and executive employees.  Benefits include health and welfare benefits, retirement savings, and executive perquisites. Following is an overview of compensation and benefit practices for bargaining unit, salaried, and executive employees.  See Chapter XIII Executive Compensation for an assessment of executive compensation and benefits.</w:t>
      </w:r>
    </w:p>
    <w:p w:rsidR="00AC40FC" w:rsidRDefault="00AC40FC" w:rsidP="00864BDD">
      <w:r w:rsidRPr="003B2BDB">
        <w:rPr>
          <w:b/>
        </w:rPr>
        <w:t>Bargaining Unit Compensation.</w:t>
      </w:r>
      <w:r>
        <w:t xml:space="preserve"> </w:t>
      </w:r>
      <w:r w:rsidRPr="00413C89">
        <w:t>PPL SC HR provides support to PPL EUS HR for labor negotiations by gathering market data for bargaining unit positions</w:t>
      </w:r>
      <w:r>
        <w:t xml:space="preserve"> prior to contract negotiations</w:t>
      </w:r>
      <w:r w:rsidRPr="00413C89">
        <w:t>.</w:t>
      </w:r>
    </w:p>
    <w:p w:rsidR="00AC40FC" w:rsidRPr="00A42DAD" w:rsidRDefault="00AC40FC" w:rsidP="00864BDD">
      <w:pPr>
        <w:rPr>
          <w:rFonts w:cs="Arial"/>
          <w:b/>
          <w:szCs w:val="24"/>
        </w:rPr>
      </w:pPr>
      <w:r w:rsidRPr="003B2BDB">
        <w:rPr>
          <w:b/>
        </w:rPr>
        <w:t>Salaried Employee Compensation.</w:t>
      </w:r>
      <w:r w:rsidRPr="00A42DAD">
        <w:t xml:space="preserve">  </w:t>
      </w:r>
      <w:r w:rsidRPr="00A42DAD">
        <w:rPr>
          <w:rFonts w:cs="Arial"/>
          <w:szCs w:val="24"/>
        </w:rPr>
        <w:t>Compensation for salaried employees is outlined in the PPL Manager's Guide 2015 Annual Compensation Planning</w:t>
      </w:r>
      <w:r w:rsidRPr="00A42DAD">
        <w:t xml:space="preserve"> and the Managerial Compensation Guidebook.  The Manager’s Guide 2015 Annual Compensation </w:t>
      </w:r>
      <w:r w:rsidRPr="00A42DAD">
        <w:lastRenderedPageBreak/>
        <w:t>Planning</w:t>
      </w:r>
      <w:r>
        <w:t>, updated annually,</w:t>
      </w:r>
      <w:r w:rsidRPr="00A42DAD">
        <w:t xml:space="preserve"> is designed to assist managers in making compensation decisions regarding base salary, cash incentives, and equity awards after employee performance assessments have been completed through the performance management system.  </w:t>
      </w:r>
    </w:p>
    <w:p w:rsidR="00AC40FC" w:rsidRPr="00413C89" w:rsidRDefault="00AC40FC" w:rsidP="00864BDD">
      <w:pPr>
        <w:rPr>
          <w:b/>
        </w:rPr>
      </w:pPr>
      <w:r w:rsidRPr="00413C89">
        <w:t>The Managerial Compensation Guidebook is a resource for managers responsible for managing PPL’s salaried employee compensation program.</w:t>
      </w:r>
      <w:r>
        <w:t xml:space="preserve"> </w:t>
      </w:r>
      <w:r w:rsidRPr="00413C89">
        <w:t xml:space="preserve"> This program applies to all salaried</w:t>
      </w:r>
      <w:r>
        <w:t>,</w:t>
      </w:r>
      <w:r w:rsidRPr="00413C89">
        <w:t xml:space="preserve"> non-bargaining unit</w:t>
      </w:r>
      <w:r>
        <w:t>,</w:t>
      </w:r>
      <w:r w:rsidRPr="00413C89">
        <w:t xml:space="preserve"> and non-executive jobs within PPL </w:t>
      </w:r>
      <w:r>
        <w:t>Corporation Pennsylvania</w:t>
      </w:r>
      <w:r w:rsidRPr="00413C89">
        <w:t xml:space="preserve"> </w:t>
      </w:r>
      <w:r>
        <w:t>subsidiaries.</w:t>
      </w:r>
      <w:r w:rsidRPr="00413C89">
        <w:t xml:space="preserve"> This Guidebook provides information related to the following programs and processes:</w:t>
      </w:r>
    </w:p>
    <w:p w:rsidR="00AC40FC" w:rsidRDefault="00AC40FC" w:rsidP="00864BDD">
      <w:pPr>
        <w:pStyle w:val="Bullet"/>
      </w:pPr>
      <w:r>
        <w:t>Total Compensation Strategy and Guiding Principles</w:t>
      </w:r>
    </w:p>
    <w:p w:rsidR="00AC40FC" w:rsidRDefault="00AC40FC" w:rsidP="00864BDD">
      <w:pPr>
        <w:pStyle w:val="Bullet"/>
      </w:pPr>
      <w:r>
        <w:t>Your Role as a Manager</w:t>
      </w:r>
    </w:p>
    <w:p w:rsidR="00AC40FC" w:rsidRDefault="00AC40FC" w:rsidP="00864BDD">
      <w:pPr>
        <w:pStyle w:val="Bullet"/>
      </w:pPr>
      <w:r>
        <w:t>Defining Jobs</w:t>
      </w:r>
    </w:p>
    <w:p w:rsidR="00AC40FC" w:rsidRDefault="00AC40FC" w:rsidP="00864BDD">
      <w:pPr>
        <w:pStyle w:val="Bullet"/>
      </w:pPr>
      <w:r>
        <w:t>Competitive Market Analysis</w:t>
      </w:r>
    </w:p>
    <w:p w:rsidR="00AC40FC" w:rsidRDefault="00AC40FC" w:rsidP="00864BDD">
      <w:pPr>
        <w:pStyle w:val="Bullet"/>
      </w:pPr>
      <w:r>
        <w:t>Managing Employee Compensation</w:t>
      </w:r>
    </w:p>
    <w:p w:rsidR="00AC40FC" w:rsidRDefault="00AC40FC" w:rsidP="00864BDD">
      <w:pPr>
        <w:pStyle w:val="Bullet"/>
      </w:pPr>
      <w:r>
        <w:t>Annual Total Direct Compensation Planning</w:t>
      </w:r>
    </w:p>
    <w:p w:rsidR="00AC40FC" w:rsidRDefault="00AC40FC" w:rsidP="00864BDD">
      <w:pPr>
        <w:pStyle w:val="Bullet"/>
      </w:pPr>
      <w:r>
        <w:t>Employee Recognition Awards</w:t>
      </w:r>
    </w:p>
    <w:p w:rsidR="00AC40FC" w:rsidRDefault="00AC40FC" w:rsidP="00864BDD">
      <w:pPr>
        <w:pStyle w:val="Bullet"/>
      </w:pPr>
      <w:r>
        <w:t>Employee Classification: Exempt/Non-Exempt</w:t>
      </w:r>
    </w:p>
    <w:p w:rsidR="00AC40FC" w:rsidRDefault="00AC40FC" w:rsidP="00864BDD">
      <w:pPr>
        <w:pStyle w:val="Bullet"/>
      </w:pPr>
      <w:r>
        <w:t>Salaried Employee Compensation: Extra Hours Compensation</w:t>
      </w:r>
    </w:p>
    <w:p w:rsidR="00AC40FC" w:rsidRDefault="00AC40FC" w:rsidP="00864BDD">
      <w:pPr>
        <w:pStyle w:val="Bullet"/>
      </w:pPr>
      <w:r>
        <w:t>Administrative Roles and Responsibilities</w:t>
      </w:r>
    </w:p>
    <w:p w:rsidR="00AC40FC" w:rsidRDefault="00AC40FC" w:rsidP="00864BDD">
      <w:pPr>
        <w:pStyle w:val="Normal-aftertable"/>
      </w:pPr>
      <w:r>
        <w:t>HR provides support to the rest of the PPL organization during the compensation planning process through the HR Help Desk, HR Business Partners, and the PPL Compensation Team.</w:t>
      </w:r>
    </w:p>
    <w:p w:rsidR="00AC40FC" w:rsidRPr="00413C89" w:rsidRDefault="00AC40FC" w:rsidP="00864BDD">
      <w:pPr>
        <w:rPr>
          <w:b/>
        </w:rPr>
      </w:pPr>
      <w:r w:rsidRPr="003B2BDB">
        <w:rPr>
          <w:b/>
        </w:rPr>
        <w:t>Executive Compensation.</w:t>
      </w:r>
      <w:r>
        <w:t xml:space="preserve"> </w:t>
      </w:r>
      <w:r w:rsidRPr="00413C89">
        <w:t xml:space="preserve">Compensation for </w:t>
      </w:r>
      <w:r>
        <w:t>e</w:t>
      </w:r>
      <w:r w:rsidRPr="00413C89">
        <w:t xml:space="preserve">xecutives is governed by the 2015 Executive Compensation Policy.  PPL SC HR regularly </w:t>
      </w:r>
      <w:r>
        <w:t xml:space="preserve">participates in market surveys </w:t>
      </w:r>
      <w:r w:rsidRPr="00413C89">
        <w:t>to ensure achievement of the goal to provide market competitive total compensation.</w:t>
      </w:r>
    </w:p>
    <w:p w:rsidR="00AC40FC" w:rsidRPr="00413C89" w:rsidRDefault="00AC40FC" w:rsidP="00864BDD">
      <w:pPr>
        <w:rPr>
          <w:b/>
        </w:rPr>
      </w:pPr>
      <w:r w:rsidRPr="003B2BDB">
        <w:rPr>
          <w:b/>
        </w:rPr>
        <w:t>Health and Welfare Benefits.</w:t>
      </w:r>
      <w:r>
        <w:t xml:space="preserve"> </w:t>
      </w:r>
      <w:r w:rsidRPr="00413C89">
        <w:t>The health and welfare programs offered by PPL consist of medical, dental, vision, prescription, life insurance, flexible spending account (FSA), health savings account (HSA), and an Employee Assistance Program (EAP).  PPL is self-insured for medical, prescription, and dental programs</w:t>
      </w:r>
      <w:r>
        <w:t xml:space="preserve"> although third party contractors are retained to administer the programs.</w:t>
      </w:r>
    </w:p>
    <w:p w:rsidR="00AC40FC" w:rsidRDefault="00AC40FC" w:rsidP="00864BDD">
      <w:r>
        <w:t>Health and welfare benefits are administered through PPL SC HR. In 2014, PPL SC HR administered benefits for approximately 3,000 employees and, approximately 17,000 total individuals (“lives”) in PPL SC, PPLSolutions, PPL EUS, PPL EU, PPL Global, and PPL Strategic Development.  The number of covered lives will continue to include former retirees from the PPL Corporation entities which were spun off to form Talen Energy; even after the spinoff is complete.  The term “total lives” includes active employees, retirees, and eligible dependents; currently approximately 50% of the total lives are attributable to active employees and approximately 50% are attributable to retirees.  PPL SC HR benchmarked its health and welfare benefits in 2015 with a benefits benchmarking survey conducted by a large recognized benefits consulting firm.  PPL SC’s programs were on par with those contained in the survey for both utilities and on a national basis.</w:t>
      </w:r>
    </w:p>
    <w:p w:rsidR="00AC40FC" w:rsidRDefault="00AC40FC" w:rsidP="00864BDD">
      <w:r w:rsidRPr="003B2BDB">
        <w:rPr>
          <w:b/>
        </w:rPr>
        <w:lastRenderedPageBreak/>
        <w:t>Pension and Retirement Savings Benefits.</w:t>
      </w:r>
      <w:r>
        <w:t xml:space="preserve"> A</w:t>
      </w:r>
      <w:r w:rsidRPr="00413C89">
        <w:t xml:space="preserve">n outsourced vendor </w:t>
      </w:r>
      <w:r>
        <w:t xml:space="preserve">managed by PPL SC HR </w:t>
      </w:r>
      <w:r w:rsidRPr="00413C89">
        <w:t>provides administration services for retirement savings plans.  Currently, 13,480 individuals (“lives”) are enrolled in the 401k and Pension plans and approximately 42% are active employees and 58% are retirees.  Defined benefit plans were closed to non-bargaining unit employees</w:t>
      </w:r>
      <w:r>
        <w:t xml:space="preserve"> in 2012</w:t>
      </w:r>
      <w:r w:rsidRPr="00413C89">
        <w:t xml:space="preserve"> and closed</w:t>
      </w:r>
      <w:r>
        <w:t xml:space="preserve"> to all employees</w:t>
      </w:r>
      <w:r w:rsidRPr="00413C89">
        <w:t xml:space="preserve"> in 2014.  </w:t>
      </w:r>
      <w:r>
        <w:t xml:space="preserve">In 2015, </w:t>
      </w:r>
      <w:r w:rsidRPr="00413C89">
        <w:t xml:space="preserve">PPL SC participated in a benchmarking </w:t>
      </w:r>
      <w:r w:rsidRPr="008F257F">
        <w:t>study again conducted by a large recognized benefits consulting firm regarding the prevalence</w:t>
      </w:r>
      <w:r w:rsidRPr="00413C89">
        <w:t xml:space="preserve"> of pension plans in the utility sector.</w:t>
      </w:r>
      <w:r>
        <w:t xml:space="preserve"> The study indicated that as of 2015, on a utility industry-wide basis, less than 50% of utilities offer pension plans to employees.  By contrast, in 2005, over 90% of utilities surveyed offered such plans.</w:t>
      </w:r>
    </w:p>
    <w:p w:rsidR="00AC40FC" w:rsidRDefault="00AC40FC" w:rsidP="00864BDD">
      <w:r w:rsidRPr="003B2BDB">
        <w:rPr>
          <w:b/>
        </w:rPr>
        <w:t>Health Services – Out-Time Benefits.</w:t>
      </w:r>
      <w:r>
        <w:t xml:space="preserve">  </w:t>
      </w:r>
      <w:r w:rsidRPr="00413C89">
        <w:t xml:space="preserve">Absence management for sick time, short-term disability, long-term disability, Family and Medical Leave Act (FMLA), and workers’ compensation </w:t>
      </w:r>
      <w:r>
        <w:t>are</w:t>
      </w:r>
      <w:r w:rsidRPr="00413C89">
        <w:t xml:space="preserve"> managed through the Health Services function.  Three vendors are utilized for absence management:</w:t>
      </w:r>
      <w:r>
        <w:t xml:space="preserve"> </w:t>
      </w:r>
      <w:r w:rsidRPr="00413C89">
        <w:t xml:space="preserve"> </w:t>
      </w:r>
      <w:r>
        <w:t>the first</w:t>
      </w:r>
      <w:r w:rsidRPr="00413C89">
        <w:t xml:space="preserve"> </w:t>
      </w:r>
      <w:r>
        <w:t xml:space="preserve">for </w:t>
      </w:r>
      <w:r w:rsidRPr="00413C89">
        <w:t xml:space="preserve">long-term disability; </w:t>
      </w:r>
      <w:r>
        <w:t>the second</w:t>
      </w:r>
      <w:r w:rsidRPr="00413C89">
        <w:t xml:space="preserve"> for FMLA, sick, and short-term disability; and </w:t>
      </w:r>
      <w:r>
        <w:t xml:space="preserve">the third </w:t>
      </w:r>
      <w:r w:rsidRPr="00413C89">
        <w:t>is used for workers’ compensation.  The Occupational Health Nurse and a Senior HR Consultant within PPL EUS HR work with these vendors to provide services to employees as it relates to absence management.</w:t>
      </w:r>
    </w:p>
    <w:p w:rsidR="00AC40FC" w:rsidRPr="003B2BDB" w:rsidRDefault="00AC40FC" w:rsidP="00864BDD">
      <w:pPr>
        <w:rPr>
          <w:b/>
        </w:rPr>
      </w:pPr>
      <w:r w:rsidRPr="003B2BDB">
        <w:rPr>
          <w:b/>
        </w:rPr>
        <w:t>Executive Perquisites.</w:t>
      </w:r>
      <w:r w:rsidRPr="005248A6">
        <w:t xml:space="preserve"> </w:t>
      </w:r>
      <w:r>
        <w:t xml:space="preserve"> </w:t>
      </w:r>
      <w:r w:rsidRPr="00413C89">
        <w:t xml:space="preserve">Executive perquisites such as financial planning, estate planning, tax preparation, and executive physicals are provided.  PPL SC HR manages vendor relationships with </w:t>
      </w:r>
      <w:r>
        <w:t>vendors</w:t>
      </w:r>
      <w:r w:rsidRPr="00413C89">
        <w:t xml:space="preserve"> to provide these perquisites.</w:t>
      </w:r>
    </w:p>
    <w:p w:rsidR="00AC40FC" w:rsidRDefault="00AC40FC" w:rsidP="00864BDD">
      <w:pPr>
        <w:pStyle w:val="Heading40"/>
      </w:pPr>
      <w:r w:rsidRPr="00D55628">
        <w:t xml:space="preserve">PPL SC </w:t>
      </w:r>
      <w:r>
        <w:t xml:space="preserve">HR </w:t>
      </w:r>
      <w:r w:rsidRPr="00D55628">
        <w:t>Security</w:t>
      </w:r>
    </w:p>
    <w:p w:rsidR="00AC40FC" w:rsidRDefault="00AC40FC" w:rsidP="00864BDD">
      <w:r>
        <w:rPr>
          <w:rFonts w:cs="Arial"/>
        </w:rPr>
        <w:t xml:space="preserve">The Security unit is headed by the Director of Protective Services and </w:t>
      </w:r>
      <w:r>
        <w:t>includes activities such as emergency management, business continuity planning, employee access to facilities and equipment, and specified employee background screening and support.</w:t>
      </w:r>
    </w:p>
    <w:p w:rsidR="00AC40FC" w:rsidRDefault="00AC40FC" w:rsidP="00864BDD">
      <w:r>
        <w:t>Security is a functional area within PPL SC HR with a staff of eight.  In addition, approximately 43 contracted security personnel are also utilized in this area.  The Director of Protective Services is responsible for providing leadership, strategy planning, policy development, and oversight.  In addition, HR Security coordinates business continuity exercises</w:t>
      </w:r>
      <w:r>
        <w:rPr>
          <w:rFonts w:cs="Arial"/>
          <w:szCs w:val="24"/>
        </w:rPr>
        <w:t>; ensures new hires are oriented on issues related to identification badges, emergency response, and evacuation procedures; and ensures employees receive mandated computer-based training on security related topics.</w:t>
      </w:r>
    </w:p>
    <w:p w:rsidR="00AC40FC" w:rsidRDefault="00AC40FC" w:rsidP="00864BDD">
      <w:r>
        <w:t xml:space="preserve">The Director of Protective Services is actively involved in the HR function, attending all HR staff meetings and providing input on security related topics.  In addition, the Director of Protective Services provides consultative services to HR regarding the interpretation of background check information.  Security also performs North American Electric Reliability Corporation/Critical Infrastructure Protection (NERC/CIP) background checks.  See Chapter VII Emergency Response for a detailed discussion of PPL SC HR Security’s role in emergency management. </w:t>
      </w:r>
    </w:p>
    <w:p w:rsidR="00AC40FC" w:rsidRDefault="00AC40FC" w:rsidP="00864BDD">
      <w:pPr>
        <w:pStyle w:val="Heading40"/>
      </w:pPr>
      <w:r>
        <w:t>PPL SC HR Staffing</w:t>
      </w:r>
    </w:p>
    <w:p w:rsidR="00AC40FC" w:rsidRDefault="00AC40FC" w:rsidP="00864BDD">
      <w:pPr>
        <w:rPr>
          <w:rFonts w:cs="Arial"/>
          <w:b/>
          <w:szCs w:val="24"/>
        </w:rPr>
      </w:pPr>
      <w:r>
        <w:rPr>
          <w:rFonts w:cs="Arial"/>
          <w:szCs w:val="24"/>
        </w:rPr>
        <w:t>The HR function of PPL SC is currently staffed with two distinct groups of employees; those who provide HR services to the several PPL subsidiaries and those</w:t>
      </w:r>
      <w:r w:rsidRPr="00BA3539">
        <w:rPr>
          <w:rFonts w:cs="Arial"/>
          <w:szCs w:val="24"/>
        </w:rPr>
        <w:t xml:space="preserve"> </w:t>
      </w:r>
      <w:r>
        <w:rPr>
          <w:rFonts w:cs="Arial"/>
          <w:szCs w:val="24"/>
        </w:rPr>
        <w:t xml:space="preserve">assigned to the Talen transition team.  PPL SC HR is staffed as outlined in the table below. </w:t>
      </w:r>
    </w:p>
    <w:p w:rsidR="00AC40FC" w:rsidRPr="004F4D8F" w:rsidRDefault="00AC40FC" w:rsidP="002B3172">
      <w:pPr>
        <w:pStyle w:val="Caption"/>
      </w:pPr>
      <w:bookmarkStart w:id="221" w:name="_Toc462648449"/>
      <w:bookmarkStart w:id="222" w:name="_Toc464553071"/>
      <w:r>
        <w:lastRenderedPageBreak/>
        <w:t xml:space="preserve">Exhibit </w:t>
      </w:r>
      <w:fldSimple w:instr=" STYLEREF 1 \s ">
        <w:r w:rsidR="00A24205">
          <w:rPr>
            <w:noProof/>
          </w:rPr>
          <w:t>XII</w:t>
        </w:r>
      </w:fldSimple>
      <w:r w:rsidR="00264A1B">
        <w:noBreakHyphen/>
      </w:r>
      <w:fldSimple w:instr=" SEQ Exhibit \* ARABIC \s 1 ">
        <w:r w:rsidR="00A24205">
          <w:rPr>
            <w:noProof/>
          </w:rPr>
          <w:t>3</w:t>
        </w:r>
      </w:fldSimple>
      <w:r>
        <w:br/>
        <w:t xml:space="preserve">PPL SC </w:t>
      </w:r>
      <w:r w:rsidRPr="004F4D8F">
        <w:t>HR Staffing Levels</w:t>
      </w:r>
      <w:bookmarkEnd w:id="221"/>
      <w:bookmarkEnd w:id="2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7"/>
        <w:gridCol w:w="1620"/>
      </w:tblGrid>
      <w:tr w:rsidR="00AC40FC" w:rsidRPr="00521E7D" w:rsidTr="00680B53">
        <w:trPr>
          <w:cantSplit/>
          <w:tblHeader/>
          <w:jc w:val="center"/>
        </w:trPr>
        <w:tc>
          <w:tcPr>
            <w:tcW w:w="3127" w:type="dxa"/>
            <w:shd w:val="clear" w:color="auto" w:fill="A5CD7E"/>
            <w:vAlign w:val="center"/>
          </w:tcPr>
          <w:p w:rsidR="00AC40FC" w:rsidRPr="00521E7D" w:rsidRDefault="00AC40FC" w:rsidP="00521E7D">
            <w:pPr>
              <w:spacing w:before="120"/>
              <w:jc w:val="center"/>
              <w:rPr>
                <w:rFonts w:cs="Arial"/>
                <w:b/>
                <w:bCs/>
                <w:szCs w:val="24"/>
              </w:rPr>
            </w:pPr>
            <w:r w:rsidRPr="00521E7D">
              <w:rPr>
                <w:rFonts w:cs="Arial"/>
                <w:b/>
                <w:bCs/>
                <w:szCs w:val="24"/>
              </w:rPr>
              <w:t>Category</w:t>
            </w:r>
          </w:p>
        </w:tc>
        <w:tc>
          <w:tcPr>
            <w:tcW w:w="1620" w:type="dxa"/>
            <w:shd w:val="clear" w:color="auto" w:fill="A5CD7E"/>
            <w:vAlign w:val="center"/>
          </w:tcPr>
          <w:p w:rsidR="00AC40FC" w:rsidRPr="00521E7D" w:rsidRDefault="00AC40FC" w:rsidP="00521E7D">
            <w:pPr>
              <w:spacing w:before="120"/>
              <w:jc w:val="center"/>
              <w:rPr>
                <w:rFonts w:cs="Arial"/>
                <w:b/>
                <w:bCs/>
                <w:szCs w:val="24"/>
              </w:rPr>
            </w:pPr>
            <w:r w:rsidRPr="00521E7D">
              <w:rPr>
                <w:rFonts w:cs="Arial"/>
                <w:b/>
                <w:bCs/>
                <w:szCs w:val="24"/>
              </w:rPr>
              <w:t>Employees</w:t>
            </w:r>
          </w:p>
        </w:tc>
      </w:tr>
      <w:tr w:rsidR="00AC40FC" w:rsidTr="00864BDD">
        <w:trPr>
          <w:jc w:val="center"/>
        </w:trPr>
        <w:tc>
          <w:tcPr>
            <w:tcW w:w="3127" w:type="dxa"/>
            <w:vAlign w:val="center"/>
          </w:tcPr>
          <w:p w:rsidR="00AC40FC" w:rsidRDefault="00AC40FC" w:rsidP="00864BDD">
            <w:pPr>
              <w:spacing w:after="0"/>
              <w:jc w:val="center"/>
            </w:pPr>
            <w:r>
              <w:t>Regular Staff</w:t>
            </w:r>
          </w:p>
        </w:tc>
        <w:tc>
          <w:tcPr>
            <w:tcW w:w="1620" w:type="dxa"/>
            <w:vAlign w:val="center"/>
          </w:tcPr>
          <w:p w:rsidR="00AC40FC" w:rsidRDefault="00AC40FC" w:rsidP="00864BDD">
            <w:pPr>
              <w:spacing w:after="0"/>
              <w:jc w:val="center"/>
            </w:pPr>
            <w:r>
              <w:t>31</w:t>
            </w:r>
          </w:p>
        </w:tc>
      </w:tr>
      <w:tr w:rsidR="00AC40FC" w:rsidTr="00864BDD">
        <w:trPr>
          <w:jc w:val="center"/>
        </w:trPr>
        <w:tc>
          <w:tcPr>
            <w:tcW w:w="3127" w:type="dxa"/>
            <w:vAlign w:val="center"/>
          </w:tcPr>
          <w:p w:rsidR="00AC40FC" w:rsidRDefault="00AC40FC" w:rsidP="00864BDD">
            <w:pPr>
              <w:spacing w:after="0"/>
              <w:jc w:val="center"/>
            </w:pPr>
            <w:r>
              <w:t>Transition Team Members</w:t>
            </w:r>
          </w:p>
        </w:tc>
        <w:tc>
          <w:tcPr>
            <w:tcW w:w="1620" w:type="dxa"/>
            <w:vAlign w:val="center"/>
          </w:tcPr>
          <w:p w:rsidR="00AC40FC" w:rsidRDefault="00AC40FC" w:rsidP="00864BDD">
            <w:pPr>
              <w:spacing w:after="0"/>
              <w:jc w:val="center"/>
            </w:pPr>
            <w:r>
              <w:t>17</w:t>
            </w:r>
          </w:p>
        </w:tc>
      </w:tr>
      <w:tr w:rsidR="00AC40FC" w:rsidTr="00864BDD">
        <w:trPr>
          <w:jc w:val="center"/>
        </w:trPr>
        <w:tc>
          <w:tcPr>
            <w:tcW w:w="3127" w:type="dxa"/>
            <w:tcBorders>
              <w:bottom w:val="single" w:sz="4" w:space="0" w:color="auto"/>
            </w:tcBorders>
            <w:vAlign w:val="center"/>
          </w:tcPr>
          <w:p w:rsidR="00AC40FC" w:rsidRDefault="00AC40FC" w:rsidP="00864BDD">
            <w:pPr>
              <w:spacing w:after="0"/>
              <w:jc w:val="center"/>
            </w:pPr>
            <w:r>
              <w:t>Current Total HR Staff</w:t>
            </w:r>
          </w:p>
        </w:tc>
        <w:tc>
          <w:tcPr>
            <w:tcW w:w="1620" w:type="dxa"/>
            <w:tcBorders>
              <w:bottom w:val="single" w:sz="4" w:space="0" w:color="auto"/>
            </w:tcBorders>
            <w:vAlign w:val="center"/>
          </w:tcPr>
          <w:p w:rsidR="00AC40FC" w:rsidRDefault="00AC40FC" w:rsidP="00864BDD">
            <w:pPr>
              <w:spacing w:after="0"/>
              <w:jc w:val="center"/>
            </w:pPr>
            <w:r>
              <w:t>48</w:t>
            </w:r>
          </w:p>
        </w:tc>
      </w:tr>
      <w:tr w:rsidR="00AC40FC" w:rsidTr="00864BDD">
        <w:trPr>
          <w:jc w:val="center"/>
        </w:trPr>
        <w:tc>
          <w:tcPr>
            <w:tcW w:w="4747" w:type="dxa"/>
            <w:gridSpan w:val="2"/>
            <w:tcBorders>
              <w:bottom w:val="single" w:sz="4" w:space="0" w:color="auto"/>
            </w:tcBorders>
            <w:vAlign w:val="center"/>
          </w:tcPr>
          <w:p w:rsidR="00AC40FC" w:rsidRDefault="00AC40FC" w:rsidP="00864BDD">
            <w:pPr>
              <w:spacing w:after="0"/>
              <w:jc w:val="left"/>
            </w:pPr>
            <w:r>
              <w:t>Source: DN 01-009a</w:t>
            </w:r>
          </w:p>
        </w:tc>
      </w:tr>
    </w:tbl>
    <w:p w:rsidR="00AC40FC" w:rsidRDefault="00AC40FC" w:rsidP="00864BDD">
      <w:pPr>
        <w:pStyle w:val="Normal-aftertable"/>
        <w:rPr>
          <w:rFonts w:cs="Arial"/>
        </w:rPr>
      </w:pPr>
      <w:r>
        <w:t>The PPL SC HR staff provides direct HR support for approximately 300 employees within PPL SC (250 employees) and PPLSolutions (50 employees).  The PPL SC HR staff also provides ancillary HR services to PPL EU, PPL EUS, and other PPL Corporation subsidiaries by providing</w:t>
      </w:r>
      <w:r>
        <w:rPr>
          <w:rFonts w:cs="Arial"/>
        </w:rPr>
        <w:t xml:space="preserve"> centralized human resource services including talent acquisition, talent development, compensation and benefits, employee and labor relations, security, and HR technology systems. </w:t>
      </w:r>
    </w:p>
    <w:p w:rsidR="00AC40FC" w:rsidRDefault="00AC40FC">
      <w:pPr>
        <w:pStyle w:val="Heading30"/>
      </w:pPr>
      <w:r>
        <w:t>PPL EUS Human Resources</w:t>
      </w:r>
    </w:p>
    <w:p w:rsidR="00AC40FC" w:rsidRDefault="00AC40FC" w:rsidP="00864BDD">
      <w:r>
        <w:t xml:space="preserve">PPL EUS primarily delivers human resources services to PPL EU.  Although it is part of a separate service company, the head of PPL EUS HR reports directly to the PPL EU President.  PPL EUS HR is responsible for overseeing the same HR functions as PPL SC for PPL EU with the exception of compensation and benefits, payroll, employee expenses, talent management, academic relations, performance management, diversity, compliance and regulatory reporting, business analysis, and configuration and reporting for HR systems, all of which are exclusively provided by PPL SC HR for all PPL Corporation, including PPL EU.  PPL EUS HR is focused directly on PPL EU human resources matters, whereas PPL SC HR has a broader, strategic perspective.  PPL EUS HR’s mission is, “To be the best in class provider of human resource management solutions that help shape business strategy, strengthen organizational capabilities, maximize business impact, and help create a positive work environment and culture of inclusion.”  </w:t>
      </w:r>
    </w:p>
    <w:p w:rsidR="00AC40FC" w:rsidRDefault="00AC40FC" w:rsidP="00864BDD">
      <w:pPr>
        <w:pStyle w:val="Heading40"/>
      </w:pPr>
      <w:r>
        <w:t>Organization Structure</w:t>
      </w:r>
    </w:p>
    <w:p w:rsidR="00AC40FC" w:rsidRDefault="00AC40FC" w:rsidP="00864BDD">
      <w:r>
        <w:t>The PPL EUS HR group is staffed with a total of ten employees and supports approximately 2,500 employees within PPL EU. The group is led by the Director, Human Resources who reports to the President of PPL EU.  The following chart depicts the PPL EUS HR organization structure.</w:t>
      </w:r>
    </w:p>
    <w:p w:rsidR="00AC40FC" w:rsidRDefault="00AC40FC">
      <w:pPr>
        <w:spacing w:after="0"/>
        <w:jc w:val="left"/>
        <w:rPr>
          <w:b/>
          <w:bCs/>
          <w:szCs w:val="18"/>
        </w:rPr>
      </w:pPr>
      <w:r>
        <w:br w:type="page"/>
      </w:r>
    </w:p>
    <w:p w:rsidR="00AC40FC" w:rsidRDefault="00AC40FC" w:rsidP="002B3172">
      <w:pPr>
        <w:pStyle w:val="Caption"/>
      </w:pPr>
      <w:bookmarkStart w:id="223" w:name="_Toc462648450"/>
      <w:bookmarkStart w:id="224" w:name="_Toc464553072"/>
      <w:r>
        <w:lastRenderedPageBreak/>
        <w:t xml:space="preserve">Exhibit </w:t>
      </w:r>
      <w:fldSimple w:instr=" STYLEREF 1 \s ">
        <w:r w:rsidR="00A24205">
          <w:rPr>
            <w:noProof/>
          </w:rPr>
          <w:t>XII</w:t>
        </w:r>
      </w:fldSimple>
      <w:r w:rsidR="00264A1B">
        <w:noBreakHyphen/>
      </w:r>
      <w:fldSimple w:instr=" SEQ Exhibit \* ARABIC \s 1 ">
        <w:r w:rsidR="00A24205">
          <w:rPr>
            <w:noProof/>
          </w:rPr>
          <w:t>4</w:t>
        </w:r>
      </w:fldSimple>
      <w:r>
        <w:br/>
        <w:t>PPL EUS HR Organization Structure</w:t>
      </w:r>
      <w:bookmarkEnd w:id="223"/>
      <w:bookmarkEnd w:id="224"/>
    </w:p>
    <w:p w:rsidR="00AC40FC" w:rsidRDefault="00AC40FC" w:rsidP="00864BDD">
      <w:r>
        <w:rPr>
          <w:noProof/>
        </w:rPr>
        <w:drawing>
          <wp:inline distT="0" distB="0" distL="0" distR="0">
            <wp:extent cx="5943600" cy="183070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PL-EU_01071_HumanResources_page73_v2.jpg"/>
                    <pic:cNvPicPr/>
                  </pic:nvPicPr>
                  <pic:blipFill>
                    <a:blip r:embed="rId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1830705"/>
                    </a:xfrm>
                    <a:prstGeom prst="rect">
                      <a:avLst/>
                    </a:prstGeom>
                  </pic:spPr>
                </pic:pic>
              </a:graphicData>
            </a:graphic>
          </wp:inline>
        </w:drawing>
      </w:r>
    </w:p>
    <w:p w:rsidR="00AC40FC" w:rsidRDefault="00AC40FC" w:rsidP="00864BDD">
      <w:r>
        <w:t>Source:  DN 01-071</w:t>
      </w:r>
    </w:p>
    <w:p w:rsidR="00AC40FC" w:rsidRDefault="00AC40FC">
      <w:r w:rsidRPr="00644715">
        <w:t>The Director has</w:t>
      </w:r>
      <w:r>
        <w:t xml:space="preserve"> eight direct reports that include a Human Resources Manager, a Senior Human Resource Consultant, four Human Resources Consultants, a Labor and Employment Relations Specialist, and a Health Services Manager.  Each is discussed below.</w:t>
      </w:r>
    </w:p>
    <w:p w:rsidR="00AC40FC" w:rsidRDefault="00AC40FC" w:rsidP="00864BDD">
      <w:pPr>
        <w:pStyle w:val="Heading40"/>
      </w:pPr>
      <w:r>
        <w:t>Human Resources Manager, Sr. Human Resources Consultant, and Human Resources Consultants</w:t>
      </w:r>
    </w:p>
    <w:p w:rsidR="00AC40FC" w:rsidRDefault="00AC40FC" w:rsidP="00864BDD">
      <w:r>
        <w:t>These employees provide HR services to PPL EU field operations.  Specific functions include performance management, recruitment, documentation of Individual Development Plans (IDP’s) and Performance Improvement Plans (PIP’s), employee relations, compensation administration, and day-to-day labor relations issues.  Talent acquisition includes recruitment of a diverse labor pool, screening, and selection.  Workforce engagement and readiness benchmarking performance indicators in both talent acquisition and talent development functions are used for strategic workforce planning.</w:t>
      </w:r>
    </w:p>
    <w:p w:rsidR="00AC40FC" w:rsidRDefault="00AC40FC" w:rsidP="00864BDD">
      <w:r>
        <w:t>Although compensation and benefits are not a function of PPL EUS HR, the group utilizes compensation information from PPL SC HR to plan for administering compensation for salaried and executive employees as well as</w:t>
      </w:r>
      <w:r w:rsidRPr="00231FAF">
        <w:t xml:space="preserve"> </w:t>
      </w:r>
      <w:r>
        <w:t>labor negotiations.  Benefits set by PPL SC HR include health and welfare benefits, retirement savings, health services, and executive perquisites.</w:t>
      </w:r>
    </w:p>
    <w:p w:rsidR="00AC40FC" w:rsidRPr="008372CC" w:rsidRDefault="00AC40FC" w:rsidP="00864BDD">
      <w:pPr>
        <w:pStyle w:val="Heading40"/>
      </w:pPr>
      <w:r>
        <w:t>Labor and Employee Relations Specialist</w:t>
      </w:r>
    </w:p>
    <w:p w:rsidR="00AC40FC" w:rsidRDefault="00AC40FC" w:rsidP="00864BDD">
      <w:r>
        <w:t>The Labor and Employee Relations Specialist serves as the liaison for the PPL EUS HR generalists and the two PPL EU business lines for labor relations issues.  Labor and Employee Relations includes activities such as policy and procedure administration, diversity initiatives, labor agreement administration, complaint resolution, processing grievances through the grievance procedure outlined in the collective bargaining agreement,</w:t>
      </w:r>
      <w:r w:rsidRPr="007F383E">
        <w:t xml:space="preserve"> </w:t>
      </w:r>
      <w:r>
        <w:t>and labor negotiations.  Labor negotiations includes assisting with the application of contractual language, grievances, and discipline as well as interfacing with union representatives of Local 1600 of the IBEW.  Labor relations services are provided to PPL SC and PPLSolutions by PPL EUS HR as well.</w:t>
      </w:r>
    </w:p>
    <w:p w:rsidR="00AC40FC" w:rsidRDefault="00AC40FC" w:rsidP="00864BDD">
      <w:r>
        <w:lastRenderedPageBreak/>
        <w:t>The Labor and Employee Relations Specialist is the primary administrator of the internal grievance process, discipline process, and drug and alcohol process that fall under the collective bargaining agreement.</w:t>
      </w:r>
    </w:p>
    <w:p w:rsidR="00AC40FC" w:rsidRDefault="00AC40FC" w:rsidP="00864BDD">
      <w:r>
        <w:t>Additionally, the Labor and Employee Relations Specialist is responsible for developing the strategy that will be utilized going into the 2017 labor negotiations.  The strategy was in the development phase at the time of the audit. The subject of the 2018 excise tax (also known as the “Cadillac tax”) under the Affordable Care Act (ACA) had also been discussed with the union. The 2018 ACA excise tax will have an impact on funds available for general wage increases and therefore both management and labor are proactively discussing strategies to prepare for upcoming negotiations.</w:t>
      </w:r>
    </w:p>
    <w:p w:rsidR="00AC40FC" w:rsidRDefault="00AC40FC" w:rsidP="00864BDD">
      <w:pPr>
        <w:pStyle w:val="Heading40"/>
      </w:pPr>
      <w:r>
        <w:t>Health Services Manager</w:t>
      </w:r>
    </w:p>
    <w:p w:rsidR="00AC40FC" w:rsidRPr="007D163D" w:rsidRDefault="00AC40FC" w:rsidP="00864BDD">
      <w:r>
        <w:t xml:space="preserve">The Health Services Manager is responsible for Health Services, which consists of out-time management for sick time, short-term disability, long-term disability, Family and Medical Leave Act (FMLA), and workers’ compensation for approximately 3,000 employees in PPL SC, PPLSolutions, and PPL EU.  This position provides vendors with information to ensure eligibility requirements are met for claims and to provide responsive customer service to employees.  </w:t>
      </w:r>
    </w:p>
    <w:p w:rsidR="00AC40FC" w:rsidRDefault="00AC40FC">
      <w:pPr>
        <w:pStyle w:val="Heading40"/>
      </w:pPr>
      <w:r>
        <w:t>PPL EUS HR Direction</w:t>
      </w:r>
    </w:p>
    <w:p w:rsidR="00AC40FC" w:rsidRDefault="00AC40FC" w:rsidP="00864BDD">
      <w:r>
        <w:t xml:space="preserve">Although PPL EUS, and by extension, PPL EUS HR are separate entities from PPL EU, they are managed as units of PPL EU, with direct reporting relationships to the PPL EU President.  </w:t>
      </w:r>
      <w:r w:rsidRPr="004E10DB">
        <w:t xml:space="preserve">PPL </w:t>
      </w:r>
      <w:r>
        <w:t xml:space="preserve">EU strives to achieve </w:t>
      </w:r>
      <w:r w:rsidRPr="004E10DB">
        <w:t>firs</w:t>
      </w:r>
      <w:r>
        <w:t xml:space="preserve">t quartile </w:t>
      </w:r>
      <w:r w:rsidRPr="004E10DB">
        <w:t xml:space="preserve">performance in each of </w:t>
      </w:r>
      <w:r>
        <w:t>its</w:t>
      </w:r>
      <w:r w:rsidRPr="004E10DB">
        <w:t xml:space="preserve"> major functional areas</w:t>
      </w:r>
      <w:r>
        <w:t xml:space="preserve"> and those of its affiliated service companies (PPL EUS and PPL SC), including the HR function</w:t>
      </w:r>
      <w:r w:rsidRPr="004E10DB">
        <w:t xml:space="preserve">.  In addition, PPL </w:t>
      </w:r>
      <w:r>
        <w:t>EU</w:t>
      </w:r>
      <w:r w:rsidRPr="004E10DB">
        <w:t xml:space="preserve"> is </w:t>
      </w:r>
      <w:r>
        <w:t>“</w:t>
      </w:r>
      <w:r w:rsidRPr="004E10DB">
        <w:t>embedding</w:t>
      </w:r>
      <w:r>
        <w:t xml:space="preserve"> a </w:t>
      </w:r>
      <w:r w:rsidRPr="004E10DB">
        <w:t>constructive culture” into the organization</w:t>
      </w:r>
      <w:r>
        <w:t xml:space="preserve"> that is characterized by respect, employee engagement, accountability, teamwork, excellence in execution and open dialogue and involves eliminating insular employee perspectives and the passive/defensive culture that may exist in the organization.  Further, the PPL SC SVP HR reported that PPL SC shares the common goal of first quartile performance across the entire organization.  Likewise, PPL SC and PPL EU share common core values of safety and health, customer focus, employee commitment and diversity, integrity and openness, performance excellence and corporate citizenship across affiliates, and support the constructive culture being embedded into PPL EU.</w:t>
      </w:r>
      <w:r w:rsidRPr="00E62ED1">
        <w:rPr>
          <w:rFonts w:cs="Arial"/>
          <w:szCs w:val="24"/>
        </w:rPr>
        <w:t xml:space="preserve"> </w:t>
      </w:r>
      <w:r>
        <w:rPr>
          <w:rFonts w:cs="Arial"/>
          <w:szCs w:val="24"/>
        </w:rPr>
        <w:t xml:space="preserve">PPU EUS HR is expanding its use of HR metrics to further enhance its performance.  Metrics such as </w:t>
      </w:r>
      <w:r w:rsidRPr="00A73A8B">
        <w:rPr>
          <w:rFonts w:cs="Arial"/>
          <w:szCs w:val="24"/>
        </w:rPr>
        <w:t>time to hire and t</w:t>
      </w:r>
      <w:r>
        <w:rPr>
          <w:rFonts w:cs="Arial"/>
          <w:szCs w:val="24"/>
        </w:rPr>
        <w:t xml:space="preserve">urnover, </w:t>
      </w:r>
      <w:r w:rsidRPr="00A73A8B">
        <w:rPr>
          <w:rFonts w:cs="Arial"/>
          <w:szCs w:val="24"/>
        </w:rPr>
        <w:t>measuring diversity through typical analysis contained within the diversity</w:t>
      </w:r>
      <w:r>
        <w:rPr>
          <w:rFonts w:cs="Arial"/>
          <w:szCs w:val="24"/>
        </w:rPr>
        <w:t>,</w:t>
      </w:r>
      <w:r w:rsidRPr="00A73A8B">
        <w:rPr>
          <w:rFonts w:cs="Arial"/>
          <w:szCs w:val="24"/>
        </w:rPr>
        <w:t xml:space="preserve"> and affirmative action programs</w:t>
      </w:r>
      <w:r>
        <w:rPr>
          <w:rFonts w:cs="Arial"/>
          <w:szCs w:val="24"/>
        </w:rPr>
        <w:t xml:space="preserve"> as well as</w:t>
      </w:r>
      <w:r w:rsidRPr="00E62ED1">
        <w:rPr>
          <w:rFonts w:cs="Arial"/>
          <w:szCs w:val="24"/>
        </w:rPr>
        <w:t xml:space="preserve"> </w:t>
      </w:r>
      <w:r w:rsidRPr="00A73A8B">
        <w:rPr>
          <w:rFonts w:cs="Arial"/>
          <w:szCs w:val="24"/>
        </w:rPr>
        <w:t xml:space="preserve">recruiting metrics </w:t>
      </w:r>
      <w:r>
        <w:rPr>
          <w:rFonts w:cs="Arial"/>
          <w:szCs w:val="24"/>
        </w:rPr>
        <w:t>to measure quality of hire are being adopted</w:t>
      </w:r>
      <w:r w:rsidRPr="00A73A8B">
        <w:rPr>
          <w:rFonts w:cs="Arial"/>
          <w:szCs w:val="24"/>
        </w:rPr>
        <w:t>.</w:t>
      </w:r>
    </w:p>
    <w:p w:rsidR="00AC40FC" w:rsidRDefault="00AC40FC" w:rsidP="00864BDD">
      <w:pPr>
        <w:pStyle w:val="Heading30"/>
      </w:pPr>
      <w:r>
        <w:t>joint PPL SC HR and EUS HR INITIAtives</w:t>
      </w:r>
    </w:p>
    <w:p w:rsidR="00AC40FC" w:rsidRDefault="00AC40FC" w:rsidP="00864BDD">
      <w:pPr>
        <w:rPr>
          <w:rFonts w:cs="Arial"/>
          <w:szCs w:val="24"/>
        </w:rPr>
      </w:pPr>
      <w:r>
        <w:t xml:space="preserve">Joint PPL SC HR and PPL EUS HR initiatives include benchmarking, alignment, employee engagement, and metrics.  </w:t>
      </w:r>
      <w:r w:rsidRPr="00FD0A06">
        <w:t>Formal benchmarking in the areas of compensation and benefits</w:t>
      </w:r>
      <w:r>
        <w:t>,</w:t>
      </w:r>
      <w:r w:rsidRPr="00FD0A06">
        <w:t xml:space="preserve"> HR staffing </w:t>
      </w:r>
      <w:r>
        <w:t>f</w:t>
      </w:r>
      <w:r w:rsidRPr="00FD0A06">
        <w:t xml:space="preserve">ormal workforce readiness and engagement benchmarking </w:t>
      </w:r>
      <w:r>
        <w:t>are</w:t>
      </w:r>
      <w:r w:rsidRPr="00FD0A06">
        <w:t xml:space="preserve"> conducted </w:t>
      </w:r>
      <w:r>
        <w:t xml:space="preserve">by PPL SC </w:t>
      </w:r>
      <w:r w:rsidR="00E32117">
        <w:t>HR.</w:t>
      </w:r>
      <w:r w:rsidRPr="00FD0A06">
        <w:t xml:space="preserve">  </w:t>
      </w:r>
      <w:r>
        <w:t xml:space="preserve">Alignment activities are performed jointly, the two most significant of which are the performance management and compensation programs.  Both organizations are pursuing employee engagement activities with a shared focus on the key employee engagement elements of retention, effort, advocacy, </w:t>
      </w:r>
      <w:r>
        <w:lastRenderedPageBreak/>
        <w:t>and passion.</w:t>
      </w:r>
      <w:r w:rsidRPr="00FD0A06">
        <w:t xml:space="preserve"> </w:t>
      </w:r>
      <w:r>
        <w:t>The need for greater use of metrics among both PPL SC HR and PPL EUS HR to enhance the effectiveness and efficiency of the HR functions has led to the</w:t>
      </w:r>
      <w:r w:rsidRPr="008400DB">
        <w:t xml:space="preserve"> </w:t>
      </w:r>
      <w:r>
        <w:t>joint recognition of the benefits and increased effort to improve in this area.</w:t>
      </w:r>
    </w:p>
    <w:p w:rsidR="00AC40FC" w:rsidRDefault="00AC40FC" w:rsidP="004F00E5">
      <w:pPr>
        <w:pStyle w:val="Heading2"/>
        <w:numPr>
          <w:ilvl w:val="0"/>
          <w:numId w:val="110"/>
        </w:numPr>
      </w:pPr>
      <w:bookmarkStart w:id="225" w:name="_Toc462647879"/>
      <w:bookmarkStart w:id="226" w:name="_Toc464552118"/>
      <w:r>
        <w:t>Findings</w:t>
      </w:r>
      <w:bookmarkEnd w:id="225"/>
      <w:bookmarkEnd w:id="226"/>
    </w:p>
    <w:p w:rsidR="00AC40FC" w:rsidRDefault="00AC40FC" w:rsidP="004F00E5">
      <w:pPr>
        <w:pStyle w:val="Findings"/>
        <w:numPr>
          <w:ilvl w:val="0"/>
          <w:numId w:val="88"/>
        </w:numPr>
      </w:pPr>
      <w:r w:rsidRPr="0043599F">
        <w:t>There</w:t>
      </w:r>
      <w:r>
        <w:t xml:space="preserve"> is duplication of services between PPL SC HR and PPL EUS HR. </w:t>
      </w:r>
    </w:p>
    <w:p w:rsidR="00AC40FC" w:rsidRDefault="00AC40FC">
      <w:r>
        <w:t>PPL SC HR and PPL EUS HR are both actively involved in recruitment and selection, onboarding, training, workforce planning, diversity outreach efforts, performance management, and employee and labor relations.  In addition, some overlap also exists in the area of compensation planning.  This duplication can result in inconsistent human resource policy application and inefficiency due to redundant work efforts.  The Phase III audit report will provide additional information relating to this apparent redundancy of effort.</w:t>
      </w:r>
    </w:p>
    <w:p w:rsidR="00AC40FC" w:rsidRDefault="00AC40FC" w:rsidP="004F00E5">
      <w:pPr>
        <w:pStyle w:val="Findings"/>
        <w:numPr>
          <w:ilvl w:val="0"/>
          <w:numId w:val="89"/>
        </w:numPr>
      </w:pPr>
      <w:r>
        <w:t xml:space="preserve">In </w:t>
      </w:r>
      <w:r w:rsidRPr="00680B53">
        <w:t>some</w:t>
      </w:r>
      <w:r>
        <w:t xml:space="preserve"> circumstances, PPL EUS HR is driving innovative changes for PPL SC HR.  </w:t>
      </w:r>
    </w:p>
    <w:p w:rsidR="00AC40FC" w:rsidRDefault="00AC40FC" w:rsidP="00864BDD">
      <w:r>
        <w:t xml:space="preserve">Some examples of the innovative practices being utilized and/or introduced by </w:t>
      </w:r>
      <w:r w:rsidRPr="00C91709">
        <w:t>PPL</w:t>
      </w:r>
      <w:r>
        <w:t xml:space="preserve"> EUS HR include the EUS</w:t>
      </w:r>
      <w:r w:rsidRPr="00C91709">
        <w:t xml:space="preserve"> Professional Development and Leadership Development Training</w:t>
      </w:r>
      <w:r>
        <w:t xml:space="preserve"> Program, </w:t>
      </w:r>
      <w:r>
        <w:rPr>
          <w:rFonts w:cs="Arial"/>
          <w:szCs w:val="24"/>
        </w:rPr>
        <w:t xml:space="preserve">tracking and analyzing </w:t>
      </w:r>
      <w:r w:rsidRPr="00C91709">
        <w:rPr>
          <w:rFonts w:cs="Arial"/>
          <w:szCs w:val="24"/>
        </w:rPr>
        <w:t>time to hire and turnover metrics</w:t>
      </w:r>
      <w:r>
        <w:rPr>
          <w:rFonts w:cs="Arial"/>
          <w:szCs w:val="24"/>
        </w:rPr>
        <w:t>, utilizing</w:t>
      </w:r>
      <w:r w:rsidRPr="00C91709">
        <w:rPr>
          <w:rFonts w:cs="Arial"/>
          <w:szCs w:val="24"/>
        </w:rPr>
        <w:t xml:space="preserve"> recruiting metrics </w:t>
      </w:r>
      <w:r>
        <w:rPr>
          <w:rFonts w:cs="Arial"/>
          <w:szCs w:val="24"/>
        </w:rPr>
        <w:t>for</w:t>
      </w:r>
      <w:r w:rsidRPr="00C91709">
        <w:rPr>
          <w:rFonts w:cs="Arial"/>
          <w:szCs w:val="24"/>
        </w:rPr>
        <w:t xml:space="preserve"> measuring quality of hire</w:t>
      </w:r>
      <w:r>
        <w:rPr>
          <w:rFonts w:cs="Arial"/>
          <w:szCs w:val="24"/>
        </w:rPr>
        <w:t xml:space="preserve"> and</w:t>
      </w:r>
      <w:r w:rsidRPr="00C91709">
        <w:rPr>
          <w:rFonts w:cs="Arial"/>
          <w:szCs w:val="24"/>
        </w:rPr>
        <w:t xml:space="preserve"> </w:t>
      </w:r>
      <w:r>
        <w:rPr>
          <w:rFonts w:cs="Arial"/>
          <w:szCs w:val="24"/>
        </w:rPr>
        <w:t>conducting exit interviews with</w:t>
      </w:r>
      <w:r w:rsidRPr="00C91709">
        <w:rPr>
          <w:rFonts w:cs="Arial"/>
          <w:szCs w:val="24"/>
        </w:rPr>
        <w:t xml:space="preserve"> individua</w:t>
      </w:r>
      <w:r>
        <w:rPr>
          <w:rFonts w:cs="Arial"/>
          <w:szCs w:val="24"/>
        </w:rPr>
        <w:t>ls who voluntarily separate to understand the reasons for separating. These represent beneficial practices found in well-managed human resources organizations.</w:t>
      </w:r>
    </w:p>
    <w:p w:rsidR="00AC40FC" w:rsidRPr="00586582" w:rsidRDefault="00AC40FC" w:rsidP="000E34CD">
      <w:pPr>
        <w:pStyle w:val="Findings"/>
      </w:pPr>
      <w:r w:rsidRPr="00586582">
        <w:t>The process for talent acquisition is streamlined.</w:t>
      </w:r>
    </w:p>
    <w:p w:rsidR="00AC40FC" w:rsidRPr="001B378D" w:rsidRDefault="00AC40FC" w:rsidP="00864BDD">
      <w:r w:rsidRPr="00586582">
        <w:t xml:space="preserve">Process maps guide PPL </w:t>
      </w:r>
      <w:r>
        <w:t xml:space="preserve">EUS </w:t>
      </w:r>
      <w:r w:rsidRPr="00586582">
        <w:t xml:space="preserve">HR activities with respect to the entire talent acquisition process.  In addition, the use of </w:t>
      </w:r>
      <w:r>
        <w:t>a recruiting</w:t>
      </w:r>
      <w:r w:rsidRPr="00586582">
        <w:t xml:space="preserve"> software </w:t>
      </w:r>
      <w:r>
        <w:t xml:space="preserve">package </w:t>
      </w:r>
      <w:r w:rsidRPr="00586582">
        <w:t xml:space="preserve">provides a central tracking mechanism to monitor and report on talent acquisition efforts and allows PPL </w:t>
      </w:r>
      <w:r>
        <w:t xml:space="preserve">EUS </w:t>
      </w:r>
      <w:r w:rsidRPr="00586582">
        <w:t>HR staff easy access to talent acquisition data.  Anecdotal evidence suggests that time-to-fill trends are improving</w:t>
      </w:r>
      <w:r>
        <w:t xml:space="preserve"> but actual measurements are not yet available</w:t>
      </w:r>
      <w:r w:rsidRPr="00586582">
        <w:t>.</w:t>
      </w:r>
    </w:p>
    <w:p w:rsidR="00AC40FC" w:rsidRDefault="00AC40FC" w:rsidP="000E34CD">
      <w:pPr>
        <w:pStyle w:val="Findings"/>
      </w:pPr>
      <w:r>
        <w:t>HR technical benchmarking is routinely utilized; however, neither PPL SC HR nor PPL EUS HR have recently participated in comprehensive HR function benchmarking studies.</w:t>
      </w:r>
    </w:p>
    <w:p w:rsidR="00AC40FC" w:rsidRDefault="00AC40FC" w:rsidP="00864BDD">
      <w:r>
        <w:t>Benchmarking entail</w:t>
      </w:r>
      <w:r w:rsidRPr="00624BD2">
        <w:t>s comparing an organization to its peers and can be</w:t>
      </w:r>
      <w:r>
        <w:t xml:space="preserve"> effectively</w:t>
      </w:r>
      <w:r w:rsidRPr="00624BD2">
        <w:t xml:space="preserve"> used in all functional areas of HR.  It is primarily used to gauge</w:t>
      </w:r>
      <w:r>
        <w:t xml:space="preserve"> an organization’s</w:t>
      </w:r>
      <w:r w:rsidRPr="00624BD2">
        <w:t xml:space="preserve"> competitiveness with peers.</w:t>
      </w:r>
      <w:r>
        <w:t xml:space="preserve">  </w:t>
      </w:r>
      <w:r w:rsidRPr="00624BD2">
        <w:t>Formal benchmarking in the areas of compensation</w:t>
      </w:r>
      <w:r>
        <w:t>,</w:t>
      </w:r>
      <w:r w:rsidRPr="00624BD2">
        <w:t xml:space="preserve"> benefits</w:t>
      </w:r>
      <w:r>
        <w:t>,</w:t>
      </w:r>
      <w:r w:rsidRPr="00624BD2">
        <w:t xml:space="preserve"> and HR staffing </w:t>
      </w:r>
      <w:r>
        <w:t xml:space="preserve">and formal workforce readiness and engagement </w:t>
      </w:r>
      <w:r w:rsidRPr="00624BD2">
        <w:t xml:space="preserve">is conducted by PPL SC HR. </w:t>
      </w:r>
      <w:r>
        <w:t xml:space="preserve"> </w:t>
      </w:r>
      <w:r w:rsidRPr="00624BD2">
        <w:t>All other benchmarking reported by PPL SC HR and PPL EUS HR is of an informal nature, such as the comparison of the number of grievances with peer organizations during Edison Electric Inst</w:t>
      </w:r>
      <w:r>
        <w:t>itute meetings.</w:t>
      </w:r>
    </w:p>
    <w:p w:rsidR="00AC40FC" w:rsidRPr="00624BD2" w:rsidRDefault="00AC40FC" w:rsidP="00864BDD">
      <w:r>
        <w:t>An international consulting firm has developed a Benchmarking Study and Report to which PPL SC HR subscribed in 2013</w:t>
      </w:r>
      <w:r w:rsidRPr="00624BD2">
        <w:t>.</w:t>
      </w:r>
      <w:r w:rsidRPr="00140306">
        <w:t xml:space="preserve"> </w:t>
      </w:r>
      <w:r>
        <w:t xml:space="preserve"> This report includes 46 HR metrics that can be used to establish baseline measurements and targets to improve the effectiveness and efficiency of an HR department.  Specific HR staffing related metrics outlined in the Report include costs per employee, HR revenue percent, HR expense percent, and HR labor cost per full-time employee (FTE).  The Benchmarking Report further breaks down </w:t>
      </w:r>
      <w:r>
        <w:lastRenderedPageBreak/>
        <w:t>all areas of HR to assist in evaluating the effectiveness of the function; for example, the report includes metrics related specifically to the compensation and benefits functions.</w:t>
      </w:r>
    </w:p>
    <w:p w:rsidR="00AC40FC" w:rsidRDefault="00AC40FC" w:rsidP="00864BDD">
      <w:r>
        <w:t>Unfortunately, the Benchmarking Report is of less value to PPL SC HR or PPL EUS HR since neither group collects and compiles data of the type and in the format needed to make useful comparisons between themselves and the metrics in the Report.</w:t>
      </w:r>
    </w:p>
    <w:p w:rsidR="00AC40FC" w:rsidRDefault="00AC40FC" w:rsidP="000E34CD">
      <w:pPr>
        <w:pStyle w:val="Findings"/>
      </w:pPr>
      <w:r w:rsidRPr="00F9098C">
        <w:t>The corporate performance management system demonstrates</w:t>
      </w:r>
      <w:r>
        <w:t xml:space="preserve"> good</w:t>
      </w:r>
      <w:r w:rsidRPr="00F9098C">
        <w:t xml:space="preserve"> alignment </w:t>
      </w:r>
      <w:r>
        <w:t>with</w:t>
      </w:r>
      <w:r w:rsidRPr="00F9098C">
        <w:t xml:space="preserve"> the corporate goal framework.</w:t>
      </w:r>
      <w:r w:rsidRPr="00467A6D">
        <w:t xml:space="preserve"> </w:t>
      </w:r>
    </w:p>
    <w:p w:rsidR="00AC40FC" w:rsidRDefault="00AC40FC" w:rsidP="00864BDD">
      <w:r>
        <w:t>It is clear from reviewing the performance management tools provided that the individual employee goals are well aligned with PPL’s Corporate Goal Framework.  In addition, the Managerial Compensation Guidebook supports and provides direct linkage to the Corporate Goal Framework.</w:t>
      </w:r>
    </w:p>
    <w:p w:rsidR="00AC40FC" w:rsidRDefault="00AC40FC" w:rsidP="00864BDD">
      <w:r w:rsidRPr="0007741B">
        <w:t>For example, the sample employee performance appraisal tool includes a goal to achieve work management metrics to optimize work planning and execution</w:t>
      </w:r>
      <w:r>
        <w:t>.</w:t>
      </w:r>
      <w:r w:rsidRPr="00AC3FD0">
        <w:t xml:space="preserve"> This goal is linked to the Corporate Goal Framework in the area of Operational Excellence. Points of alignment with the organization’s goals include the customer satisfaction rating and the targeted System Average Interruption Frequency Index (SAIFI) reliability metric.</w:t>
      </w:r>
      <w:r w:rsidRPr="0007741B">
        <w:t xml:space="preserve">  </w:t>
      </w:r>
      <w:r>
        <w:t>In addition, Safety and Health is a value outlined in the Corporate Goal Framework and is linked to the employee performance appraisal tool with two goals: one for no human accidents or motor vehicle accidents and another for complete Human Performance Initiatives.  The alignment measures ensure compliance with all applicable safety and health policies, procedures, and targets.</w:t>
      </w:r>
    </w:p>
    <w:p w:rsidR="00AC40FC" w:rsidRPr="00BE6F01" w:rsidRDefault="00AC40FC" w:rsidP="00864BDD">
      <w:pPr>
        <w:rPr>
          <w:rFonts w:cs="Arial"/>
          <w:szCs w:val="24"/>
        </w:rPr>
      </w:pPr>
      <w:r>
        <w:t>The effectiveness of the performance management system is monitored through the use of percentage of performance appraisals completed and distribution of ratings.</w:t>
      </w:r>
      <w:r>
        <w:rPr>
          <w:rFonts w:cs="Arial"/>
          <w:szCs w:val="24"/>
        </w:rPr>
        <w:t xml:space="preserve">  While there are slight differences between the performance appraisal tools used for non-bargaining unit employees as compared to the one used for bargaining employees, both tools clearly are structured around the Corporate Goal Framework and corporate values.</w:t>
      </w:r>
    </w:p>
    <w:p w:rsidR="00AC40FC" w:rsidRDefault="00AC40FC" w:rsidP="00864BDD">
      <w:r>
        <w:rPr>
          <w:rFonts w:cs="Arial"/>
          <w:szCs w:val="24"/>
        </w:rPr>
        <w:t>Career development planning is used to support the performance management process.  Career development planning is highly encouraged and PPL SC HR provides training on completion of career development planning activities.  In every performance evaluation there is a line item for supervisors to discuss development with employees.</w:t>
      </w:r>
    </w:p>
    <w:p w:rsidR="00AC40FC" w:rsidRPr="007A3603" w:rsidRDefault="00AC40FC" w:rsidP="000E34CD">
      <w:pPr>
        <w:pStyle w:val="Findings"/>
      </w:pPr>
      <w:r>
        <w:t>Human resource metrics are utilized by PPL SC HR and PPL EUS HR to manage some human resource activities, but are not sufficient to effectively and efficiently manage the full range of human resource functions.</w:t>
      </w:r>
    </w:p>
    <w:p w:rsidR="00AC40FC" w:rsidRDefault="00AC40FC" w:rsidP="00864BDD">
      <w:r>
        <w:t>In PPL SC HR and PPL EUS HR, a variety of metrics exist, some of which are best used to monitor and track HR activities, while others are best used to measure effectiveness and efficiency of the function according to HR industry standards.  The HR metrics of absence rate, time to hire, turnover, number of applicants, and labor forecasts have been introduced by PPL SC HR and PPL EUS HR but sufficient data has not yet been accumulated for useful trending purposes.  PPL EUS HR is also taking steps to begin measuring quality of hire.</w:t>
      </w:r>
    </w:p>
    <w:p w:rsidR="00AC40FC" w:rsidRDefault="00AC40FC" w:rsidP="00864BDD">
      <w:r>
        <w:lastRenderedPageBreak/>
        <w:t xml:space="preserve">Otherwise, the metrics that are currently in place are activity monitoring tools (e.g., number of hires and number of grievances) as opposed to metrics that can be utilized to measure the effectiveness and efficiency of human resource functions. </w:t>
      </w:r>
    </w:p>
    <w:p w:rsidR="00AC40FC" w:rsidRDefault="00AC40FC" w:rsidP="00864BDD">
      <w:r>
        <w:t>The following table shows typical metrics used by HR departments.</w:t>
      </w:r>
    </w:p>
    <w:p w:rsidR="00AC40FC" w:rsidRPr="00A65048" w:rsidRDefault="00AC40FC" w:rsidP="002B3172">
      <w:pPr>
        <w:pStyle w:val="Caption"/>
      </w:pPr>
      <w:bookmarkStart w:id="227" w:name="_Toc462648451"/>
      <w:bookmarkStart w:id="228" w:name="_Toc464553073"/>
      <w:r>
        <w:t xml:space="preserve">Exhibit </w:t>
      </w:r>
      <w:fldSimple w:instr=" STYLEREF 1 \s ">
        <w:r w:rsidR="00A24205">
          <w:rPr>
            <w:noProof/>
          </w:rPr>
          <w:t>XII</w:t>
        </w:r>
      </w:fldSimple>
      <w:r w:rsidR="00264A1B">
        <w:noBreakHyphen/>
      </w:r>
      <w:fldSimple w:instr=" SEQ Exhibit \* ARABIC \s 1 ">
        <w:r w:rsidR="00A24205">
          <w:rPr>
            <w:noProof/>
          </w:rPr>
          <w:t>5</w:t>
        </w:r>
      </w:fldSimple>
      <w:r>
        <w:br/>
        <w:t xml:space="preserve">Typical </w:t>
      </w:r>
      <w:r w:rsidRPr="00A65048">
        <w:t xml:space="preserve">HR </w:t>
      </w:r>
      <w:r>
        <w:t>Metrics</w:t>
      </w:r>
      <w:bookmarkEnd w:id="227"/>
      <w:bookmarkEnd w:id="228"/>
    </w:p>
    <w:tbl>
      <w:tblPr>
        <w:tblStyle w:val="MediumShading1-Accent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19"/>
        <w:gridCol w:w="6657"/>
      </w:tblGrid>
      <w:tr w:rsidR="00AC40FC" w:rsidRPr="00521E7D" w:rsidTr="00BB665B">
        <w:trPr>
          <w:cnfStyle w:val="100000000000"/>
          <w:cantSplit/>
          <w:trHeight w:val="20"/>
          <w:tblHeader/>
          <w:jc w:val="center"/>
        </w:trPr>
        <w:tc>
          <w:tcPr>
            <w:cnfStyle w:val="001000000000"/>
            <w:tcW w:w="4500" w:type="dxa"/>
            <w:tcBorders>
              <w:top w:val="none" w:sz="0" w:space="0" w:color="auto"/>
              <w:left w:val="none" w:sz="0" w:space="0" w:color="auto"/>
              <w:bottom w:val="none" w:sz="0" w:space="0" w:color="auto"/>
              <w:right w:val="none" w:sz="0" w:space="0" w:color="auto"/>
            </w:tcBorders>
            <w:shd w:val="clear" w:color="auto" w:fill="A5CD7E"/>
            <w:vAlign w:val="center"/>
            <w:hideMark/>
          </w:tcPr>
          <w:p w:rsidR="00AC40FC" w:rsidRPr="00521E7D" w:rsidRDefault="00AC40FC" w:rsidP="00521E7D">
            <w:pPr>
              <w:spacing w:before="120"/>
              <w:jc w:val="center"/>
              <w:rPr>
                <w:rFonts w:cs="Arial"/>
                <w:bCs w:val="0"/>
                <w:color w:val="auto"/>
                <w:szCs w:val="24"/>
              </w:rPr>
            </w:pPr>
            <w:r w:rsidRPr="00521E7D">
              <w:rPr>
                <w:rFonts w:cs="Arial"/>
                <w:bCs w:val="0"/>
                <w:color w:val="auto"/>
                <w:szCs w:val="24"/>
              </w:rPr>
              <w:t>Metric</w:t>
            </w:r>
          </w:p>
        </w:tc>
        <w:tc>
          <w:tcPr>
            <w:tcW w:w="0" w:type="auto"/>
            <w:tcBorders>
              <w:top w:val="none" w:sz="0" w:space="0" w:color="auto"/>
              <w:left w:val="none" w:sz="0" w:space="0" w:color="auto"/>
              <w:bottom w:val="none" w:sz="0" w:space="0" w:color="auto"/>
              <w:right w:val="none" w:sz="0" w:space="0" w:color="auto"/>
            </w:tcBorders>
            <w:shd w:val="clear" w:color="auto" w:fill="A5CD7E"/>
            <w:vAlign w:val="center"/>
          </w:tcPr>
          <w:p w:rsidR="00AC40FC" w:rsidRPr="00521E7D" w:rsidRDefault="00AC40FC" w:rsidP="00521E7D">
            <w:pPr>
              <w:spacing w:before="120"/>
              <w:jc w:val="center"/>
              <w:cnfStyle w:val="100000000000"/>
              <w:rPr>
                <w:rFonts w:cs="Arial"/>
                <w:bCs w:val="0"/>
                <w:color w:val="auto"/>
                <w:szCs w:val="24"/>
              </w:rPr>
            </w:pPr>
            <w:r w:rsidRPr="00521E7D">
              <w:rPr>
                <w:rFonts w:cs="Arial"/>
                <w:bCs w:val="0"/>
                <w:color w:val="auto"/>
                <w:szCs w:val="24"/>
              </w:rPr>
              <w:t>Formula</w:t>
            </w:r>
          </w:p>
        </w:tc>
      </w:tr>
      <w:tr w:rsidR="00AC40FC" w:rsidRPr="00303137" w:rsidTr="00BB665B">
        <w:trPr>
          <w:cnfStyle w:val="000000100000"/>
          <w:cantSplit/>
          <w:trHeight w:val="20"/>
          <w:jc w:val="center"/>
        </w:trPr>
        <w:tc>
          <w:tcPr>
            <w:cnfStyle w:val="001000000000"/>
            <w:tcW w:w="4500" w:type="dxa"/>
            <w:tcBorders>
              <w:right w:val="none" w:sz="0" w:space="0" w:color="auto"/>
            </w:tcBorders>
            <w:shd w:val="clear" w:color="auto" w:fill="auto"/>
            <w:vAlign w:val="center"/>
            <w:hideMark/>
          </w:tcPr>
          <w:p w:rsidR="00AC40FC" w:rsidRPr="000E34CD" w:rsidRDefault="00AC40FC" w:rsidP="000E34CD">
            <w:pPr>
              <w:spacing w:after="0"/>
              <w:jc w:val="center"/>
              <w:rPr>
                <w:b w:val="0"/>
              </w:rPr>
            </w:pPr>
            <w:r w:rsidRPr="000E34CD">
              <w:rPr>
                <w:b w:val="0"/>
              </w:rPr>
              <w:t>Absence Rate*</w:t>
            </w:r>
          </w:p>
        </w:tc>
        <w:tc>
          <w:tcPr>
            <w:tcW w:w="0" w:type="auto"/>
            <w:tcBorders>
              <w:left w:val="none" w:sz="0" w:space="0" w:color="auto"/>
            </w:tcBorders>
            <w:shd w:val="clear" w:color="auto" w:fill="auto"/>
            <w:vAlign w:val="center"/>
            <w:hideMark/>
          </w:tcPr>
          <w:p w:rsidR="00AC40FC" w:rsidRPr="00BF217B" w:rsidRDefault="00AC40FC" w:rsidP="00864BDD">
            <w:pPr>
              <w:spacing w:after="0"/>
              <w:jc w:val="center"/>
              <w:cnfStyle w:val="000000100000"/>
              <w:rPr>
                <w:szCs w:val="24"/>
              </w:rPr>
            </w:pPr>
            <w:r>
              <w:rPr>
                <w:szCs w:val="24"/>
              </w:rPr>
              <w:t>Number</w:t>
            </w:r>
            <w:r w:rsidRPr="00BF217B">
              <w:rPr>
                <w:szCs w:val="24"/>
              </w:rPr>
              <w:t xml:space="preserve"> Days Absent In Month ÷ (Average </w:t>
            </w:r>
            <w:r>
              <w:rPr>
                <w:szCs w:val="24"/>
              </w:rPr>
              <w:t>Number</w:t>
            </w:r>
            <w:r w:rsidRPr="00BF217B">
              <w:rPr>
                <w:szCs w:val="24"/>
              </w:rPr>
              <w:t xml:space="preserve"> Of Employees During A Month X  </w:t>
            </w:r>
            <w:r>
              <w:rPr>
                <w:szCs w:val="24"/>
              </w:rPr>
              <w:t>Number</w:t>
            </w:r>
            <w:r w:rsidRPr="00BF217B">
              <w:rPr>
                <w:szCs w:val="24"/>
              </w:rPr>
              <w:t xml:space="preserve"> Of Workdays)</w:t>
            </w:r>
          </w:p>
        </w:tc>
      </w:tr>
      <w:tr w:rsidR="00AC40FC" w:rsidRPr="00303137" w:rsidTr="00BB665B">
        <w:trPr>
          <w:cnfStyle w:val="000000010000"/>
          <w:cantSplit/>
          <w:trHeight w:val="20"/>
          <w:jc w:val="center"/>
        </w:trPr>
        <w:tc>
          <w:tcPr>
            <w:cnfStyle w:val="001000000000"/>
            <w:tcW w:w="4500" w:type="dxa"/>
            <w:tcBorders>
              <w:right w:val="none" w:sz="0" w:space="0" w:color="auto"/>
            </w:tcBorders>
            <w:shd w:val="clear" w:color="auto" w:fill="auto"/>
            <w:vAlign w:val="center"/>
          </w:tcPr>
          <w:p w:rsidR="00AC40FC" w:rsidRPr="000E34CD" w:rsidRDefault="00AC40FC" w:rsidP="000E34CD">
            <w:pPr>
              <w:spacing w:after="0"/>
              <w:jc w:val="center"/>
              <w:rPr>
                <w:b w:val="0"/>
              </w:rPr>
            </w:pPr>
            <w:r w:rsidRPr="000E34CD">
              <w:rPr>
                <w:b w:val="0"/>
              </w:rPr>
              <w:t>Benefit Or Program Costs Per Employee</w:t>
            </w:r>
          </w:p>
        </w:tc>
        <w:tc>
          <w:tcPr>
            <w:tcW w:w="0" w:type="auto"/>
            <w:tcBorders>
              <w:left w:val="none" w:sz="0" w:space="0" w:color="auto"/>
            </w:tcBorders>
            <w:shd w:val="clear" w:color="auto" w:fill="auto"/>
            <w:vAlign w:val="center"/>
          </w:tcPr>
          <w:p w:rsidR="00AC40FC" w:rsidRPr="00BF217B" w:rsidRDefault="00AC40FC" w:rsidP="00864BDD">
            <w:pPr>
              <w:spacing w:after="0"/>
              <w:jc w:val="center"/>
              <w:cnfStyle w:val="000000010000"/>
              <w:rPr>
                <w:szCs w:val="24"/>
              </w:rPr>
            </w:pPr>
            <w:r w:rsidRPr="00BF217B">
              <w:rPr>
                <w:szCs w:val="24"/>
              </w:rPr>
              <w:t xml:space="preserve">Total Cost Of Employee Benefit/Program ÷ Total </w:t>
            </w:r>
            <w:r>
              <w:rPr>
                <w:szCs w:val="24"/>
              </w:rPr>
              <w:t>Number</w:t>
            </w:r>
            <w:r w:rsidRPr="00BF217B">
              <w:rPr>
                <w:szCs w:val="24"/>
              </w:rPr>
              <w:t xml:space="preserve"> Of Employees</w:t>
            </w:r>
          </w:p>
        </w:tc>
      </w:tr>
      <w:tr w:rsidR="00AC40FC" w:rsidRPr="00303137" w:rsidTr="00BB665B">
        <w:trPr>
          <w:cnfStyle w:val="000000100000"/>
          <w:cantSplit/>
          <w:trHeight w:val="20"/>
          <w:jc w:val="center"/>
        </w:trPr>
        <w:tc>
          <w:tcPr>
            <w:cnfStyle w:val="001000000000"/>
            <w:tcW w:w="4500" w:type="dxa"/>
            <w:tcBorders>
              <w:right w:val="none" w:sz="0" w:space="0" w:color="auto"/>
            </w:tcBorders>
            <w:shd w:val="clear" w:color="auto" w:fill="auto"/>
            <w:vAlign w:val="center"/>
          </w:tcPr>
          <w:p w:rsidR="00AC40FC" w:rsidRPr="000E34CD" w:rsidRDefault="00AC40FC" w:rsidP="000E34CD">
            <w:pPr>
              <w:spacing w:after="0"/>
              <w:jc w:val="center"/>
              <w:rPr>
                <w:b w:val="0"/>
              </w:rPr>
            </w:pPr>
            <w:r w:rsidRPr="000E34CD">
              <w:rPr>
                <w:b w:val="0"/>
              </w:rPr>
              <w:t>Benefits As A Percent Of Salary</w:t>
            </w:r>
          </w:p>
        </w:tc>
        <w:tc>
          <w:tcPr>
            <w:tcW w:w="0" w:type="auto"/>
            <w:tcBorders>
              <w:left w:val="none" w:sz="0" w:space="0" w:color="auto"/>
            </w:tcBorders>
            <w:shd w:val="clear" w:color="auto" w:fill="auto"/>
            <w:vAlign w:val="center"/>
          </w:tcPr>
          <w:p w:rsidR="00AC40FC" w:rsidRPr="00BF217B" w:rsidRDefault="00AC40FC" w:rsidP="00864BDD">
            <w:pPr>
              <w:spacing w:after="0"/>
              <w:jc w:val="center"/>
              <w:cnfStyle w:val="000000100000"/>
              <w:rPr>
                <w:szCs w:val="24"/>
              </w:rPr>
            </w:pPr>
            <w:r w:rsidRPr="00BF217B">
              <w:rPr>
                <w:szCs w:val="24"/>
              </w:rPr>
              <w:t>Annual Benefits Cost ÷ Annual Salary</w:t>
            </w:r>
          </w:p>
        </w:tc>
      </w:tr>
      <w:tr w:rsidR="00AC40FC" w:rsidRPr="00303137" w:rsidTr="00BB665B">
        <w:trPr>
          <w:cnfStyle w:val="000000010000"/>
          <w:cantSplit/>
          <w:trHeight w:val="20"/>
          <w:jc w:val="center"/>
        </w:trPr>
        <w:tc>
          <w:tcPr>
            <w:cnfStyle w:val="001000000000"/>
            <w:tcW w:w="4500" w:type="dxa"/>
            <w:tcBorders>
              <w:right w:val="none" w:sz="0" w:space="0" w:color="auto"/>
            </w:tcBorders>
            <w:shd w:val="clear" w:color="auto" w:fill="auto"/>
            <w:vAlign w:val="center"/>
          </w:tcPr>
          <w:p w:rsidR="00AC40FC" w:rsidRPr="000E34CD" w:rsidRDefault="00AC40FC" w:rsidP="000E34CD">
            <w:pPr>
              <w:spacing w:after="0"/>
              <w:jc w:val="center"/>
              <w:rPr>
                <w:b w:val="0"/>
              </w:rPr>
            </w:pPr>
            <w:r w:rsidRPr="000E34CD">
              <w:rPr>
                <w:b w:val="0"/>
              </w:rPr>
              <w:t>Compensation As A Percent Of Total Compensation</w:t>
            </w:r>
          </w:p>
        </w:tc>
        <w:tc>
          <w:tcPr>
            <w:tcW w:w="0" w:type="auto"/>
            <w:tcBorders>
              <w:left w:val="none" w:sz="0" w:space="0" w:color="auto"/>
            </w:tcBorders>
            <w:shd w:val="clear" w:color="auto" w:fill="auto"/>
            <w:vAlign w:val="center"/>
          </w:tcPr>
          <w:p w:rsidR="00AC40FC" w:rsidRPr="00BF217B" w:rsidRDefault="00AC40FC" w:rsidP="00864BDD">
            <w:pPr>
              <w:spacing w:after="0"/>
              <w:jc w:val="center"/>
              <w:cnfStyle w:val="000000010000"/>
              <w:rPr>
                <w:szCs w:val="24"/>
              </w:rPr>
            </w:pPr>
            <w:r w:rsidRPr="00BF217B">
              <w:rPr>
                <w:szCs w:val="24"/>
              </w:rPr>
              <w:t>Annual Salary ÷ Total Compensation (Salary + Benefits + Additional Compensation)</w:t>
            </w:r>
          </w:p>
        </w:tc>
      </w:tr>
      <w:tr w:rsidR="00AC40FC" w:rsidRPr="00303137" w:rsidTr="00BB665B">
        <w:trPr>
          <w:cnfStyle w:val="000000100000"/>
          <w:cantSplit/>
          <w:trHeight w:val="20"/>
          <w:jc w:val="center"/>
        </w:trPr>
        <w:tc>
          <w:tcPr>
            <w:cnfStyle w:val="001000000000"/>
            <w:tcW w:w="4500" w:type="dxa"/>
            <w:tcBorders>
              <w:right w:val="none" w:sz="0" w:space="0" w:color="auto"/>
            </w:tcBorders>
            <w:shd w:val="clear" w:color="auto" w:fill="auto"/>
            <w:vAlign w:val="center"/>
          </w:tcPr>
          <w:p w:rsidR="00AC40FC" w:rsidRPr="000E34CD" w:rsidRDefault="00AC40FC" w:rsidP="000E34CD">
            <w:pPr>
              <w:spacing w:after="0"/>
              <w:jc w:val="center"/>
              <w:rPr>
                <w:b w:val="0"/>
              </w:rPr>
            </w:pPr>
            <w:r w:rsidRPr="000E34CD">
              <w:rPr>
                <w:b w:val="0"/>
              </w:rPr>
              <w:t>Compensation Or Benefit Revenue Ratio</w:t>
            </w:r>
          </w:p>
        </w:tc>
        <w:tc>
          <w:tcPr>
            <w:tcW w:w="0" w:type="auto"/>
            <w:tcBorders>
              <w:left w:val="none" w:sz="0" w:space="0" w:color="auto"/>
            </w:tcBorders>
            <w:shd w:val="clear" w:color="auto" w:fill="auto"/>
            <w:vAlign w:val="center"/>
          </w:tcPr>
          <w:p w:rsidR="00AC40FC" w:rsidRPr="00BF217B" w:rsidRDefault="00AC40FC" w:rsidP="00864BDD">
            <w:pPr>
              <w:spacing w:after="0"/>
              <w:jc w:val="center"/>
              <w:cnfStyle w:val="000000100000"/>
              <w:rPr>
                <w:szCs w:val="24"/>
              </w:rPr>
            </w:pPr>
            <w:r w:rsidRPr="00BF217B">
              <w:rPr>
                <w:szCs w:val="24"/>
              </w:rPr>
              <w:t>Compensation Or Benefit Cost ÷ Revenue</w:t>
            </w:r>
          </w:p>
        </w:tc>
      </w:tr>
      <w:tr w:rsidR="00AC40FC" w:rsidRPr="00303137" w:rsidTr="00BB665B">
        <w:trPr>
          <w:cnfStyle w:val="000000010000"/>
          <w:cantSplit/>
          <w:trHeight w:val="20"/>
          <w:jc w:val="center"/>
        </w:trPr>
        <w:tc>
          <w:tcPr>
            <w:cnfStyle w:val="001000000000"/>
            <w:tcW w:w="4500" w:type="dxa"/>
            <w:tcBorders>
              <w:right w:val="none" w:sz="0" w:space="0" w:color="auto"/>
            </w:tcBorders>
            <w:shd w:val="clear" w:color="auto" w:fill="auto"/>
            <w:vAlign w:val="center"/>
            <w:hideMark/>
          </w:tcPr>
          <w:p w:rsidR="00AC40FC" w:rsidRPr="000E34CD" w:rsidRDefault="00AC40FC" w:rsidP="000E34CD">
            <w:pPr>
              <w:spacing w:after="0"/>
              <w:jc w:val="center"/>
              <w:rPr>
                <w:b w:val="0"/>
              </w:rPr>
            </w:pPr>
            <w:r w:rsidRPr="000E34CD">
              <w:rPr>
                <w:b w:val="0"/>
              </w:rPr>
              <w:t>Cost Per Hire</w:t>
            </w:r>
          </w:p>
        </w:tc>
        <w:tc>
          <w:tcPr>
            <w:tcW w:w="0" w:type="auto"/>
            <w:tcBorders>
              <w:left w:val="none" w:sz="0" w:space="0" w:color="auto"/>
            </w:tcBorders>
            <w:shd w:val="clear" w:color="auto" w:fill="auto"/>
            <w:vAlign w:val="center"/>
            <w:hideMark/>
          </w:tcPr>
          <w:p w:rsidR="00AC40FC" w:rsidRPr="00BF217B" w:rsidRDefault="00AC40FC" w:rsidP="00864BDD">
            <w:pPr>
              <w:spacing w:after="0"/>
              <w:jc w:val="center"/>
              <w:cnfStyle w:val="000000010000"/>
              <w:rPr>
                <w:szCs w:val="24"/>
              </w:rPr>
            </w:pPr>
            <w:r w:rsidRPr="00BF217B">
              <w:rPr>
                <w:szCs w:val="24"/>
              </w:rPr>
              <w:t>(Advertising + Agency Fees + Employee Referrals + Travel Cost Of Applicants And Staff + Relocation Costs + Recruiter Pay And Benefits) ÷ Number Of Hires</w:t>
            </w:r>
          </w:p>
        </w:tc>
      </w:tr>
      <w:tr w:rsidR="00AC40FC" w:rsidRPr="00303137" w:rsidTr="00BB665B">
        <w:trPr>
          <w:cnfStyle w:val="000000100000"/>
          <w:cantSplit/>
          <w:trHeight w:val="20"/>
          <w:jc w:val="center"/>
        </w:trPr>
        <w:tc>
          <w:tcPr>
            <w:cnfStyle w:val="001000000000"/>
            <w:tcW w:w="4500" w:type="dxa"/>
            <w:tcBorders>
              <w:right w:val="none" w:sz="0" w:space="0" w:color="auto"/>
            </w:tcBorders>
            <w:shd w:val="clear" w:color="auto" w:fill="auto"/>
            <w:vAlign w:val="center"/>
          </w:tcPr>
          <w:p w:rsidR="00AC40FC" w:rsidRPr="000E34CD" w:rsidRDefault="00AC40FC" w:rsidP="000E34CD">
            <w:pPr>
              <w:spacing w:after="0"/>
              <w:jc w:val="center"/>
              <w:rPr>
                <w:b w:val="0"/>
              </w:rPr>
            </w:pPr>
            <w:r w:rsidRPr="000E34CD">
              <w:rPr>
                <w:b w:val="0"/>
              </w:rPr>
              <w:t>Engagement Or Satisfaction Rating</w:t>
            </w:r>
          </w:p>
        </w:tc>
        <w:tc>
          <w:tcPr>
            <w:tcW w:w="0" w:type="auto"/>
            <w:tcBorders>
              <w:left w:val="none" w:sz="0" w:space="0" w:color="auto"/>
            </w:tcBorders>
            <w:shd w:val="clear" w:color="auto" w:fill="auto"/>
            <w:vAlign w:val="center"/>
          </w:tcPr>
          <w:p w:rsidR="00AC40FC" w:rsidRPr="00BF217B" w:rsidRDefault="00AC40FC" w:rsidP="00864BDD">
            <w:pPr>
              <w:spacing w:after="0"/>
              <w:jc w:val="center"/>
              <w:cnfStyle w:val="000000100000"/>
              <w:rPr>
                <w:szCs w:val="24"/>
              </w:rPr>
            </w:pPr>
            <w:r w:rsidRPr="00BF217B">
              <w:rPr>
                <w:szCs w:val="24"/>
              </w:rPr>
              <w:t>Percent Of Employees Engaged Or Satisfied Overall Or With A</w:t>
            </w:r>
            <w:r>
              <w:rPr>
                <w:szCs w:val="24"/>
              </w:rPr>
              <w:t xml:space="preserve"> </w:t>
            </w:r>
            <w:r w:rsidRPr="00BF217B">
              <w:rPr>
                <w:szCs w:val="24"/>
              </w:rPr>
              <w:t>Given Aspect Of The Workplace</w:t>
            </w:r>
          </w:p>
        </w:tc>
      </w:tr>
      <w:tr w:rsidR="00AC40FC" w:rsidRPr="00303137" w:rsidTr="00BB665B">
        <w:trPr>
          <w:cnfStyle w:val="000000010000"/>
          <w:cantSplit/>
          <w:trHeight w:val="20"/>
          <w:jc w:val="center"/>
        </w:trPr>
        <w:tc>
          <w:tcPr>
            <w:cnfStyle w:val="001000000000"/>
            <w:tcW w:w="4500" w:type="dxa"/>
            <w:tcBorders>
              <w:right w:val="none" w:sz="0" w:space="0" w:color="auto"/>
            </w:tcBorders>
            <w:shd w:val="clear" w:color="auto" w:fill="auto"/>
            <w:vAlign w:val="center"/>
            <w:hideMark/>
          </w:tcPr>
          <w:p w:rsidR="00AC40FC" w:rsidRPr="000E34CD" w:rsidRDefault="00AC40FC" w:rsidP="000E34CD">
            <w:pPr>
              <w:spacing w:after="0"/>
              <w:jc w:val="center"/>
              <w:rPr>
                <w:b w:val="0"/>
              </w:rPr>
            </w:pPr>
            <w:r w:rsidRPr="000E34CD">
              <w:rPr>
                <w:b w:val="0"/>
              </w:rPr>
              <w:t>Health Care Costs Per Employee</w:t>
            </w:r>
          </w:p>
        </w:tc>
        <w:tc>
          <w:tcPr>
            <w:tcW w:w="0" w:type="auto"/>
            <w:tcBorders>
              <w:left w:val="none" w:sz="0" w:space="0" w:color="auto"/>
            </w:tcBorders>
            <w:shd w:val="clear" w:color="auto" w:fill="auto"/>
            <w:vAlign w:val="center"/>
            <w:hideMark/>
          </w:tcPr>
          <w:p w:rsidR="00AC40FC" w:rsidRPr="00BF217B" w:rsidRDefault="00AC40FC" w:rsidP="00864BDD">
            <w:pPr>
              <w:spacing w:after="0"/>
              <w:jc w:val="center"/>
              <w:cnfStyle w:val="000000010000"/>
              <w:rPr>
                <w:szCs w:val="24"/>
              </w:rPr>
            </w:pPr>
            <w:r w:rsidRPr="00BF217B">
              <w:rPr>
                <w:szCs w:val="24"/>
              </w:rPr>
              <w:t>Total Cost Of Health Care ÷ Total Employees</w:t>
            </w:r>
          </w:p>
        </w:tc>
      </w:tr>
      <w:tr w:rsidR="00AC40FC" w:rsidRPr="00303137" w:rsidTr="00BB665B">
        <w:trPr>
          <w:cnfStyle w:val="000000100000"/>
          <w:cantSplit/>
          <w:trHeight w:val="20"/>
          <w:jc w:val="center"/>
        </w:trPr>
        <w:tc>
          <w:tcPr>
            <w:cnfStyle w:val="001000000000"/>
            <w:tcW w:w="4500" w:type="dxa"/>
            <w:tcBorders>
              <w:right w:val="none" w:sz="0" w:space="0" w:color="auto"/>
            </w:tcBorders>
            <w:shd w:val="clear" w:color="auto" w:fill="auto"/>
            <w:vAlign w:val="center"/>
            <w:hideMark/>
          </w:tcPr>
          <w:p w:rsidR="00AC40FC" w:rsidRPr="000E34CD" w:rsidRDefault="00AC40FC" w:rsidP="000E34CD">
            <w:pPr>
              <w:spacing w:after="0"/>
              <w:jc w:val="center"/>
              <w:rPr>
                <w:b w:val="0"/>
              </w:rPr>
            </w:pPr>
            <w:r w:rsidRPr="000E34CD">
              <w:rPr>
                <w:b w:val="0"/>
              </w:rPr>
              <w:t>HR Expense Factor</w:t>
            </w:r>
          </w:p>
        </w:tc>
        <w:tc>
          <w:tcPr>
            <w:tcW w:w="0" w:type="auto"/>
            <w:tcBorders>
              <w:left w:val="none" w:sz="0" w:space="0" w:color="auto"/>
            </w:tcBorders>
            <w:shd w:val="clear" w:color="auto" w:fill="auto"/>
            <w:vAlign w:val="center"/>
            <w:hideMark/>
          </w:tcPr>
          <w:p w:rsidR="00AC40FC" w:rsidRPr="00BF217B" w:rsidRDefault="00AC40FC" w:rsidP="00864BDD">
            <w:pPr>
              <w:spacing w:after="0"/>
              <w:jc w:val="center"/>
              <w:cnfStyle w:val="000000100000"/>
              <w:rPr>
                <w:szCs w:val="24"/>
              </w:rPr>
            </w:pPr>
            <w:r w:rsidRPr="00BF217B">
              <w:rPr>
                <w:szCs w:val="24"/>
              </w:rPr>
              <w:t>HR Expense ÷ Total Operating Expense</w:t>
            </w:r>
          </w:p>
        </w:tc>
      </w:tr>
      <w:tr w:rsidR="00AC40FC" w:rsidRPr="00303137" w:rsidTr="00BB665B">
        <w:trPr>
          <w:cnfStyle w:val="000000010000"/>
          <w:cantSplit/>
          <w:trHeight w:val="20"/>
          <w:jc w:val="center"/>
        </w:trPr>
        <w:tc>
          <w:tcPr>
            <w:cnfStyle w:val="001000000000"/>
            <w:tcW w:w="4500" w:type="dxa"/>
            <w:tcBorders>
              <w:right w:val="none" w:sz="0" w:space="0" w:color="auto"/>
            </w:tcBorders>
            <w:shd w:val="clear" w:color="auto" w:fill="auto"/>
            <w:vAlign w:val="center"/>
            <w:hideMark/>
          </w:tcPr>
          <w:p w:rsidR="00AC40FC" w:rsidRPr="000E34CD" w:rsidRDefault="00AC40FC" w:rsidP="000E34CD">
            <w:pPr>
              <w:spacing w:after="0"/>
              <w:jc w:val="center"/>
              <w:rPr>
                <w:b w:val="0"/>
              </w:rPr>
            </w:pPr>
            <w:r w:rsidRPr="000E34CD">
              <w:rPr>
                <w:b w:val="0"/>
              </w:rPr>
              <w:t>Human Capital ROI</w:t>
            </w:r>
          </w:p>
        </w:tc>
        <w:tc>
          <w:tcPr>
            <w:tcW w:w="0" w:type="auto"/>
            <w:tcBorders>
              <w:left w:val="none" w:sz="0" w:space="0" w:color="auto"/>
            </w:tcBorders>
            <w:shd w:val="clear" w:color="auto" w:fill="auto"/>
            <w:vAlign w:val="center"/>
            <w:hideMark/>
          </w:tcPr>
          <w:p w:rsidR="00AC40FC" w:rsidRPr="00BF217B" w:rsidRDefault="00AC40FC" w:rsidP="00864BDD">
            <w:pPr>
              <w:spacing w:after="0"/>
              <w:jc w:val="center"/>
              <w:cnfStyle w:val="000000010000"/>
              <w:rPr>
                <w:szCs w:val="24"/>
              </w:rPr>
            </w:pPr>
            <w:r w:rsidRPr="00BF217B">
              <w:rPr>
                <w:szCs w:val="24"/>
              </w:rPr>
              <w:t>Revenue - (Operating Expense - [Compensation Cost + Benefit Cost]) ÷ (Compensation Cost + Benefit Cost)</w:t>
            </w:r>
          </w:p>
        </w:tc>
      </w:tr>
      <w:tr w:rsidR="00AC40FC" w:rsidRPr="00303137" w:rsidTr="00BB665B">
        <w:trPr>
          <w:cnfStyle w:val="000000100000"/>
          <w:cantSplit/>
          <w:trHeight w:val="20"/>
          <w:jc w:val="center"/>
        </w:trPr>
        <w:tc>
          <w:tcPr>
            <w:cnfStyle w:val="001000000000"/>
            <w:tcW w:w="4500" w:type="dxa"/>
            <w:tcBorders>
              <w:right w:val="none" w:sz="0" w:space="0" w:color="auto"/>
            </w:tcBorders>
            <w:shd w:val="clear" w:color="auto" w:fill="auto"/>
            <w:vAlign w:val="center"/>
            <w:hideMark/>
          </w:tcPr>
          <w:p w:rsidR="00AC40FC" w:rsidRPr="000E34CD" w:rsidRDefault="00AC40FC" w:rsidP="000E34CD">
            <w:pPr>
              <w:spacing w:after="0"/>
              <w:jc w:val="center"/>
              <w:rPr>
                <w:b w:val="0"/>
              </w:rPr>
            </w:pPr>
            <w:r w:rsidRPr="000E34CD">
              <w:rPr>
                <w:b w:val="0"/>
              </w:rPr>
              <w:t>Human Capital Value Added</w:t>
            </w:r>
          </w:p>
        </w:tc>
        <w:tc>
          <w:tcPr>
            <w:tcW w:w="0" w:type="auto"/>
            <w:tcBorders>
              <w:left w:val="none" w:sz="0" w:space="0" w:color="auto"/>
            </w:tcBorders>
            <w:shd w:val="clear" w:color="auto" w:fill="auto"/>
            <w:vAlign w:val="center"/>
            <w:hideMark/>
          </w:tcPr>
          <w:p w:rsidR="00AC40FC" w:rsidRPr="00BF217B" w:rsidRDefault="00AC40FC" w:rsidP="00864BDD">
            <w:pPr>
              <w:spacing w:after="0"/>
              <w:jc w:val="center"/>
              <w:cnfStyle w:val="000000100000"/>
              <w:rPr>
                <w:szCs w:val="24"/>
              </w:rPr>
            </w:pPr>
            <w:r w:rsidRPr="00BF217B">
              <w:rPr>
                <w:szCs w:val="24"/>
              </w:rPr>
              <w:t>Revenue - (Operating Expense - [Compensation Cost + Benefit Cost]) ÷ Total Number Of FTE</w:t>
            </w:r>
          </w:p>
        </w:tc>
      </w:tr>
      <w:tr w:rsidR="00AC40FC" w:rsidRPr="00303137" w:rsidTr="00BB665B">
        <w:trPr>
          <w:cnfStyle w:val="000000010000"/>
          <w:cantSplit/>
          <w:trHeight w:val="20"/>
          <w:jc w:val="center"/>
        </w:trPr>
        <w:tc>
          <w:tcPr>
            <w:cnfStyle w:val="001000000000"/>
            <w:tcW w:w="4500" w:type="dxa"/>
            <w:tcBorders>
              <w:right w:val="none" w:sz="0" w:space="0" w:color="auto"/>
            </w:tcBorders>
            <w:shd w:val="clear" w:color="auto" w:fill="auto"/>
            <w:vAlign w:val="center"/>
          </w:tcPr>
          <w:p w:rsidR="00AC40FC" w:rsidRPr="000E34CD" w:rsidRDefault="00AC40FC" w:rsidP="000E34CD">
            <w:pPr>
              <w:spacing w:after="0"/>
              <w:jc w:val="center"/>
              <w:rPr>
                <w:b w:val="0"/>
              </w:rPr>
            </w:pPr>
            <w:r w:rsidRPr="000E34CD">
              <w:rPr>
                <w:b w:val="0"/>
              </w:rPr>
              <w:t>Percent Of Performance Goals Met Or Exceeded</w:t>
            </w:r>
          </w:p>
        </w:tc>
        <w:tc>
          <w:tcPr>
            <w:tcW w:w="0" w:type="auto"/>
            <w:tcBorders>
              <w:left w:val="none" w:sz="0" w:space="0" w:color="auto"/>
            </w:tcBorders>
            <w:shd w:val="clear" w:color="auto" w:fill="auto"/>
            <w:vAlign w:val="center"/>
          </w:tcPr>
          <w:p w:rsidR="00AC40FC" w:rsidRPr="00BF217B" w:rsidRDefault="00AC40FC" w:rsidP="00864BDD">
            <w:pPr>
              <w:spacing w:after="0"/>
              <w:jc w:val="center"/>
              <w:cnfStyle w:val="000000010000"/>
              <w:rPr>
                <w:szCs w:val="24"/>
              </w:rPr>
            </w:pPr>
            <w:r>
              <w:rPr>
                <w:szCs w:val="24"/>
              </w:rPr>
              <w:t>Number</w:t>
            </w:r>
            <w:r w:rsidRPr="00BF217B">
              <w:rPr>
                <w:szCs w:val="24"/>
              </w:rPr>
              <w:t xml:space="preserve"> Of Performance Goals Met Or Exceeded ÷ Total </w:t>
            </w:r>
            <w:r>
              <w:rPr>
                <w:szCs w:val="24"/>
              </w:rPr>
              <w:t>Number</w:t>
            </w:r>
            <w:r w:rsidRPr="00BF217B">
              <w:rPr>
                <w:szCs w:val="24"/>
              </w:rPr>
              <w:t xml:space="preserve"> Of Performance Goals</w:t>
            </w:r>
          </w:p>
        </w:tc>
      </w:tr>
      <w:tr w:rsidR="00AC40FC" w:rsidRPr="00303137" w:rsidTr="00BB665B">
        <w:trPr>
          <w:cnfStyle w:val="000000100000"/>
          <w:cantSplit/>
          <w:trHeight w:val="20"/>
          <w:jc w:val="center"/>
        </w:trPr>
        <w:tc>
          <w:tcPr>
            <w:cnfStyle w:val="001000000000"/>
            <w:tcW w:w="4500" w:type="dxa"/>
            <w:tcBorders>
              <w:right w:val="none" w:sz="0" w:space="0" w:color="auto"/>
            </w:tcBorders>
            <w:shd w:val="clear" w:color="auto" w:fill="auto"/>
            <w:vAlign w:val="center"/>
          </w:tcPr>
          <w:p w:rsidR="00AC40FC" w:rsidRPr="000E34CD" w:rsidRDefault="00AC40FC" w:rsidP="000E34CD">
            <w:pPr>
              <w:spacing w:after="0"/>
              <w:jc w:val="center"/>
              <w:rPr>
                <w:b w:val="0"/>
              </w:rPr>
            </w:pPr>
            <w:r w:rsidRPr="000E34CD">
              <w:rPr>
                <w:b w:val="0"/>
              </w:rPr>
              <w:t>Percent Receiving Performance Rating*</w:t>
            </w:r>
          </w:p>
        </w:tc>
        <w:tc>
          <w:tcPr>
            <w:tcW w:w="0" w:type="auto"/>
            <w:tcBorders>
              <w:left w:val="none" w:sz="0" w:space="0" w:color="auto"/>
            </w:tcBorders>
            <w:shd w:val="clear" w:color="auto" w:fill="auto"/>
            <w:vAlign w:val="center"/>
          </w:tcPr>
          <w:p w:rsidR="00AC40FC" w:rsidRPr="00BF217B" w:rsidRDefault="00AC40FC" w:rsidP="00864BDD">
            <w:pPr>
              <w:spacing w:after="0"/>
              <w:jc w:val="center"/>
              <w:cnfStyle w:val="000000100000"/>
              <w:rPr>
                <w:szCs w:val="24"/>
              </w:rPr>
            </w:pPr>
            <w:r>
              <w:rPr>
                <w:szCs w:val="24"/>
              </w:rPr>
              <w:t>Number</w:t>
            </w:r>
            <w:r w:rsidRPr="00BF217B">
              <w:rPr>
                <w:szCs w:val="24"/>
              </w:rPr>
              <w:t xml:space="preserve"> Of Employees Rated Under A Given Score Or Rating On Their Performance Evaluation ÷ Total </w:t>
            </w:r>
            <w:r>
              <w:rPr>
                <w:szCs w:val="24"/>
              </w:rPr>
              <w:t>Number</w:t>
            </w:r>
            <w:r w:rsidRPr="00BF217B">
              <w:rPr>
                <w:szCs w:val="24"/>
              </w:rPr>
              <w:t xml:space="preserve"> Of Employees</w:t>
            </w:r>
          </w:p>
        </w:tc>
      </w:tr>
      <w:tr w:rsidR="00AC40FC" w:rsidRPr="00303137" w:rsidTr="00BB665B">
        <w:trPr>
          <w:cnfStyle w:val="000000010000"/>
          <w:cantSplit/>
          <w:trHeight w:val="20"/>
          <w:jc w:val="center"/>
        </w:trPr>
        <w:tc>
          <w:tcPr>
            <w:cnfStyle w:val="001000000000"/>
            <w:tcW w:w="4500" w:type="dxa"/>
            <w:tcBorders>
              <w:right w:val="none" w:sz="0" w:space="0" w:color="auto"/>
            </w:tcBorders>
            <w:shd w:val="clear" w:color="auto" w:fill="auto"/>
            <w:vAlign w:val="center"/>
            <w:hideMark/>
          </w:tcPr>
          <w:p w:rsidR="00AC40FC" w:rsidRPr="000E34CD" w:rsidRDefault="00AC40FC" w:rsidP="000E34CD">
            <w:pPr>
              <w:spacing w:after="0"/>
              <w:jc w:val="center"/>
              <w:rPr>
                <w:b w:val="0"/>
              </w:rPr>
            </w:pPr>
            <w:r w:rsidRPr="000E34CD">
              <w:rPr>
                <w:b w:val="0"/>
              </w:rPr>
              <w:t>Prorating Merit Increases</w:t>
            </w:r>
          </w:p>
        </w:tc>
        <w:tc>
          <w:tcPr>
            <w:tcW w:w="0" w:type="auto"/>
            <w:tcBorders>
              <w:left w:val="none" w:sz="0" w:space="0" w:color="auto"/>
            </w:tcBorders>
            <w:shd w:val="clear" w:color="auto" w:fill="auto"/>
            <w:vAlign w:val="center"/>
            <w:hideMark/>
          </w:tcPr>
          <w:p w:rsidR="00AC40FC" w:rsidRPr="00BF217B" w:rsidRDefault="00AC40FC" w:rsidP="00864BDD">
            <w:pPr>
              <w:spacing w:after="0"/>
              <w:jc w:val="center"/>
              <w:cnfStyle w:val="000000010000"/>
              <w:rPr>
                <w:szCs w:val="24"/>
              </w:rPr>
            </w:pPr>
            <w:r w:rsidRPr="00BF217B">
              <w:rPr>
                <w:szCs w:val="24"/>
              </w:rPr>
              <w:t>Number Of Months Actually Worked ÷ Number Of Months Under The Current Increase Policy X Increase Percentage The Person Would Otherwise Be Entitled To</w:t>
            </w:r>
          </w:p>
        </w:tc>
      </w:tr>
      <w:tr w:rsidR="00AC40FC" w:rsidRPr="00303137" w:rsidTr="00BB665B">
        <w:trPr>
          <w:cnfStyle w:val="000000100000"/>
          <w:cantSplit/>
          <w:trHeight w:val="20"/>
          <w:jc w:val="center"/>
        </w:trPr>
        <w:tc>
          <w:tcPr>
            <w:cnfStyle w:val="001000000000"/>
            <w:tcW w:w="4500" w:type="dxa"/>
            <w:tcBorders>
              <w:right w:val="none" w:sz="0" w:space="0" w:color="auto"/>
            </w:tcBorders>
            <w:shd w:val="clear" w:color="auto" w:fill="auto"/>
            <w:vAlign w:val="center"/>
          </w:tcPr>
          <w:p w:rsidR="00AC40FC" w:rsidRPr="000E34CD" w:rsidRDefault="00AC40FC" w:rsidP="000E34CD">
            <w:pPr>
              <w:spacing w:after="0"/>
              <w:jc w:val="center"/>
              <w:rPr>
                <w:b w:val="0"/>
              </w:rPr>
            </w:pPr>
            <w:r w:rsidRPr="000E34CD">
              <w:rPr>
                <w:b w:val="0"/>
              </w:rPr>
              <w:t>Return On Investment (ROI)</w:t>
            </w:r>
          </w:p>
        </w:tc>
        <w:tc>
          <w:tcPr>
            <w:tcW w:w="0" w:type="auto"/>
            <w:tcBorders>
              <w:left w:val="none" w:sz="0" w:space="0" w:color="auto"/>
            </w:tcBorders>
            <w:shd w:val="clear" w:color="auto" w:fill="auto"/>
            <w:vAlign w:val="center"/>
          </w:tcPr>
          <w:p w:rsidR="00AC40FC" w:rsidRPr="00BF217B" w:rsidRDefault="00AC40FC" w:rsidP="00864BDD">
            <w:pPr>
              <w:spacing w:after="0"/>
              <w:jc w:val="center"/>
              <w:cnfStyle w:val="000000100000"/>
              <w:rPr>
                <w:szCs w:val="24"/>
              </w:rPr>
            </w:pPr>
            <w:r w:rsidRPr="00BF217B">
              <w:rPr>
                <w:szCs w:val="24"/>
              </w:rPr>
              <w:t>(Total Benefit - Total Costs) X 100</w:t>
            </w:r>
          </w:p>
        </w:tc>
      </w:tr>
      <w:tr w:rsidR="00AC40FC" w:rsidRPr="00303137" w:rsidTr="00BB665B">
        <w:trPr>
          <w:cnfStyle w:val="000000010000"/>
          <w:cantSplit/>
          <w:trHeight w:val="20"/>
          <w:jc w:val="center"/>
        </w:trPr>
        <w:tc>
          <w:tcPr>
            <w:cnfStyle w:val="001000000000"/>
            <w:tcW w:w="4500" w:type="dxa"/>
            <w:tcBorders>
              <w:right w:val="none" w:sz="0" w:space="0" w:color="auto"/>
            </w:tcBorders>
            <w:shd w:val="clear" w:color="auto" w:fill="auto"/>
            <w:vAlign w:val="center"/>
            <w:hideMark/>
          </w:tcPr>
          <w:p w:rsidR="00AC40FC" w:rsidRPr="000E34CD" w:rsidRDefault="00AC40FC" w:rsidP="000E34CD">
            <w:pPr>
              <w:spacing w:after="0"/>
              <w:jc w:val="center"/>
              <w:rPr>
                <w:b w:val="0"/>
              </w:rPr>
            </w:pPr>
            <w:r w:rsidRPr="000E34CD">
              <w:rPr>
                <w:b w:val="0"/>
              </w:rPr>
              <w:t>Revenue Factor</w:t>
            </w:r>
          </w:p>
        </w:tc>
        <w:tc>
          <w:tcPr>
            <w:tcW w:w="0" w:type="auto"/>
            <w:tcBorders>
              <w:left w:val="none" w:sz="0" w:space="0" w:color="auto"/>
            </w:tcBorders>
            <w:shd w:val="clear" w:color="auto" w:fill="auto"/>
            <w:vAlign w:val="center"/>
            <w:hideMark/>
          </w:tcPr>
          <w:p w:rsidR="00AC40FC" w:rsidRPr="00BF217B" w:rsidRDefault="00AC40FC" w:rsidP="00864BDD">
            <w:pPr>
              <w:spacing w:after="0"/>
              <w:jc w:val="center"/>
              <w:cnfStyle w:val="000000010000"/>
              <w:rPr>
                <w:szCs w:val="24"/>
              </w:rPr>
            </w:pPr>
            <w:r>
              <w:rPr>
                <w:szCs w:val="24"/>
              </w:rPr>
              <w:t>Revenue</w:t>
            </w:r>
            <w:r w:rsidRPr="00BF217B">
              <w:rPr>
                <w:szCs w:val="24"/>
              </w:rPr>
              <w:t xml:space="preserve"> ÷ Total Number Of FTE</w:t>
            </w:r>
          </w:p>
        </w:tc>
      </w:tr>
      <w:tr w:rsidR="00AC40FC" w:rsidRPr="00303137" w:rsidTr="00BB665B">
        <w:trPr>
          <w:cnfStyle w:val="000000100000"/>
          <w:cantSplit/>
          <w:trHeight w:val="20"/>
          <w:jc w:val="center"/>
        </w:trPr>
        <w:tc>
          <w:tcPr>
            <w:cnfStyle w:val="001000000000"/>
            <w:tcW w:w="4500" w:type="dxa"/>
            <w:tcBorders>
              <w:right w:val="none" w:sz="0" w:space="0" w:color="auto"/>
            </w:tcBorders>
            <w:shd w:val="clear" w:color="auto" w:fill="auto"/>
            <w:vAlign w:val="center"/>
          </w:tcPr>
          <w:p w:rsidR="00AC40FC" w:rsidRPr="000E34CD" w:rsidRDefault="00AC40FC" w:rsidP="000E34CD">
            <w:pPr>
              <w:spacing w:after="0"/>
              <w:jc w:val="center"/>
              <w:rPr>
                <w:b w:val="0"/>
              </w:rPr>
            </w:pPr>
            <w:r w:rsidRPr="000E34CD">
              <w:rPr>
                <w:b w:val="0"/>
              </w:rPr>
              <w:t>Revenue Per Employee</w:t>
            </w:r>
          </w:p>
        </w:tc>
        <w:tc>
          <w:tcPr>
            <w:tcW w:w="0" w:type="auto"/>
            <w:tcBorders>
              <w:left w:val="none" w:sz="0" w:space="0" w:color="auto"/>
            </w:tcBorders>
            <w:shd w:val="clear" w:color="auto" w:fill="auto"/>
            <w:vAlign w:val="center"/>
          </w:tcPr>
          <w:p w:rsidR="00AC40FC" w:rsidRPr="00BF217B" w:rsidRDefault="00AC40FC" w:rsidP="00864BDD">
            <w:pPr>
              <w:spacing w:after="0"/>
              <w:jc w:val="center"/>
              <w:cnfStyle w:val="000000100000"/>
              <w:rPr>
                <w:szCs w:val="24"/>
              </w:rPr>
            </w:pPr>
            <w:r w:rsidRPr="00BF217B">
              <w:rPr>
                <w:szCs w:val="24"/>
              </w:rPr>
              <w:t xml:space="preserve">Revenue ÷ Total </w:t>
            </w:r>
            <w:r>
              <w:rPr>
                <w:szCs w:val="24"/>
              </w:rPr>
              <w:t>Number</w:t>
            </w:r>
            <w:r w:rsidRPr="00BF217B">
              <w:rPr>
                <w:szCs w:val="24"/>
              </w:rPr>
              <w:t xml:space="preserve"> Of Employees</w:t>
            </w:r>
          </w:p>
        </w:tc>
      </w:tr>
      <w:tr w:rsidR="00AC40FC" w:rsidRPr="00303137" w:rsidTr="00BB665B">
        <w:trPr>
          <w:cnfStyle w:val="000000010000"/>
          <w:cantSplit/>
          <w:trHeight w:val="20"/>
          <w:jc w:val="center"/>
        </w:trPr>
        <w:tc>
          <w:tcPr>
            <w:cnfStyle w:val="001000000000"/>
            <w:tcW w:w="4500" w:type="dxa"/>
            <w:tcBorders>
              <w:right w:val="none" w:sz="0" w:space="0" w:color="auto"/>
            </w:tcBorders>
            <w:shd w:val="clear" w:color="auto" w:fill="auto"/>
            <w:vAlign w:val="center"/>
          </w:tcPr>
          <w:p w:rsidR="00AC40FC" w:rsidRPr="000E34CD" w:rsidRDefault="00AC40FC" w:rsidP="000E34CD">
            <w:pPr>
              <w:spacing w:after="0"/>
              <w:jc w:val="center"/>
              <w:rPr>
                <w:b w:val="0"/>
              </w:rPr>
            </w:pPr>
            <w:r w:rsidRPr="000E34CD">
              <w:rPr>
                <w:b w:val="0"/>
              </w:rPr>
              <w:t>Tenure</w:t>
            </w:r>
          </w:p>
        </w:tc>
        <w:tc>
          <w:tcPr>
            <w:tcW w:w="0" w:type="auto"/>
            <w:tcBorders>
              <w:left w:val="none" w:sz="0" w:space="0" w:color="auto"/>
            </w:tcBorders>
            <w:shd w:val="clear" w:color="auto" w:fill="auto"/>
            <w:vAlign w:val="center"/>
          </w:tcPr>
          <w:p w:rsidR="00AC40FC" w:rsidRPr="00BF217B" w:rsidRDefault="00AC40FC" w:rsidP="00864BDD">
            <w:pPr>
              <w:spacing w:after="0"/>
              <w:jc w:val="center"/>
              <w:cnfStyle w:val="000000010000"/>
              <w:rPr>
                <w:szCs w:val="24"/>
              </w:rPr>
            </w:pPr>
            <w:r w:rsidRPr="00BF217B">
              <w:rPr>
                <w:szCs w:val="24"/>
              </w:rPr>
              <w:t xml:space="preserve">Average </w:t>
            </w:r>
            <w:r>
              <w:rPr>
                <w:szCs w:val="24"/>
              </w:rPr>
              <w:t>Number</w:t>
            </w:r>
            <w:r w:rsidRPr="00BF217B">
              <w:rPr>
                <w:szCs w:val="24"/>
              </w:rPr>
              <w:t xml:space="preserve"> Of Years Of Service At The Organization</w:t>
            </w:r>
            <w:r>
              <w:rPr>
                <w:szCs w:val="24"/>
              </w:rPr>
              <w:t xml:space="preserve"> </w:t>
            </w:r>
            <w:r w:rsidRPr="00BF217B">
              <w:rPr>
                <w:szCs w:val="24"/>
              </w:rPr>
              <w:t>Across All Employees</w:t>
            </w:r>
          </w:p>
        </w:tc>
      </w:tr>
      <w:tr w:rsidR="00AC40FC" w:rsidRPr="00303137" w:rsidTr="00BB665B">
        <w:trPr>
          <w:cnfStyle w:val="000000100000"/>
          <w:cantSplit/>
          <w:trHeight w:val="20"/>
          <w:jc w:val="center"/>
        </w:trPr>
        <w:tc>
          <w:tcPr>
            <w:cnfStyle w:val="001000000000"/>
            <w:tcW w:w="4500" w:type="dxa"/>
            <w:tcBorders>
              <w:right w:val="none" w:sz="0" w:space="0" w:color="auto"/>
            </w:tcBorders>
            <w:shd w:val="clear" w:color="auto" w:fill="auto"/>
            <w:vAlign w:val="center"/>
            <w:hideMark/>
          </w:tcPr>
          <w:p w:rsidR="00AC40FC" w:rsidRPr="000E34CD" w:rsidRDefault="00AC40FC" w:rsidP="000E34CD">
            <w:pPr>
              <w:spacing w:after="0"/>
              <w:jc w:val="center"/>
              <w:rPr>
                <w:b w:val="0"/>
              </w:rPr>
            </w:pPr>
            <w:r w:rsidRPr="000E34CD">
              <w:rPr>
                <w:b w:val="0"/>
              </w:rPr>
              <w:t>Time To Fill*</w:t>
            </w:r>
          </w:p>
        </w:tc>
        <w:tc>
          <w:tcPr>
            <w:tcW w:w="0" w:type="auto"/>
            <w:tcBorders>
              <w:left w:val="none" w:sz="0" w:space="0" w:color="auto"/>
            </w:tcBorders>
            <w:shd w:val="clear" w:color="auto" w:fill="auto"/>
            <w:vAlign w:val="center"/>
            <w:hideMark/>
          </w:tcPr>
          <w:p w:rsidR="00AC40FC" w:rsidRPr="00BF217B" w:rsidRDefault="00AC40FC" w:rsidP="00864BDD">
            <w:pPr>
              <w:spacing w:after="0"/>
              <w:jc w:val="center"/>
              <w:cnfStyle w:val="000000100000"/>
              <w:rPr>
                <w:szCs w:val="24"/>
              </w:rPr>
            </w:pPr>
            <w:r w:rsidRPr="00BF217B">
              <w:rPr>
                <w:szCs w:val="24"/>
              </w:rPr>
              <w:t>Total Days Elapsed To Fill Requisitions  ÷ Number Hired</w:t>
            </w:r>
          </w:p>
        </w:tc>
      </w:tr>
      <w:tr w:rsidR="00AC40FC" w:rsidRPr="00303137" w:rsidTr="00BB665B">
        <w:trPr>
          <w:cnfStyle w:val="000000010000"/>
          <w:cantSplit/>
          <w:trHeight w:val="20"/>
          <w:jc w:val="center"/>
        </w:trPr>
        <w:tc>
          <w:tcPr>
            <w:cnfStyle w:val="001000000000"/>
            <w:tcW w:w="4500" w:type="dxa"/>
            <w:tcBorders>
              <w:right w:val="none" w:sz="0" w:space="0" w:color="auto"/>
            </w:tcBorders>
            <w:shd w:val="clear" w:color="auto" w:fill="auto"/>
            <w:vAlign w:val="center"/>
            <w:hideMark/>
          </w:tcPr>
          <w:p w:rsidR="00AC40FC" w:rsidRPr="000E34CD" w:rsidRDefault="00AC40FC" w:rsidP="000E34CD">
            <w:pPr>
              <w:spacing w:after="0"/>
              <w:jc w:val="center"/>
              <w:rPr>
                <w:b w:val="0"/>
              </w:rPr>
            </w:pPr>
            <w:r w:rsidRPr="000E34CD">
              <w:rPr>
                <w:b w:val="0"/>
              </w:rPr>
              <w:t>Training (ROI)</w:t>
            </w:r>
          </w:p>
        </w:tc>
        <w:tc>
          <w:tcPr>
            <w:tcW w:w="0" w:type="auto"/>
            <w:tcBorders>
              <w:left w:val="none" w:sz="0" w:space="0" w:color="auto"/>
            </w:tcBorders>
            <w:shd w:val="clear" w:color="auto" w:fill="auto"/>
            <w:vAlign w:val="center"/>
            <w:hideMark/>
          </w:tcPr>
          <w:p w:rsidR="00AC40FC" w:rsidRPr="00BF217B" w:rsidRDefault="00AC40FC" w:rsidP="00864BDD">
            <w:pPr>
              <w:spacing w:after="0"/>
              <w:jc w:val="center"/>
              <w:cnfStyle w:val="000000010000"/>
              <w:rPr>
                <w:szCs w:val="24"/>
              </w:rPr>
            </w:pPr>
            <w:r w:rsidRPr="00BF217B">
              <w:rPr>
                <w:szCs w:val="24"/>
              </w:rPr>
              <w:t>Total Benefit - Total Costs X 100</w:t>
            </w:r>
          </w:p>
        </w:tc>
      </w:tr>
      <w:tr w:rsidR="00AC40FC" w:rsidRPr="00303137" w:rsidTr="00BB665B">
        <w:trPr>
          <w:cnfStyle w:val="000000100000"/>
          <w:cantSplit/>
          <w:trHeight w:val="20"/>
          <w:jc w:val="center"/>
        </w:trPr>
        <w:tc>
          <w:tcPr>
            <w:cnfStyle w:val="001000000000"/>
            <w:tcW w:w="4500" w:type="dxa"/>
            <w:tcBorders>
              <w:right w:val="none" w:sz="0" w:space="0" w:color="auto"/>
            </w:tcBorders>
            <w:shd w:val="clear" w:color="auto" w:fill="auto"/>
            <w:vAlign w:val="center"/>
            <w:hideMark/>
          </w:tcPr>
          <w:p w:rsidR="00AC40FC" w:rsidRPr="000E34CD" w:rsidRDefault="00AC40FC" w:rsidP="000E34CD">
            <w:pPr>
              <w:spacing w:after="0"/>
              <w:jc w:val="center"/>
              <w:rPr>
                <w:b w:val="0"/>
              </w:rPr>
            </w:pPr>
            <w:r w:rsidRPr="000E34CD">
              <w:rPr>
                <w:b w:val="0"/>
              </w:rPr>
              <w:t>Training Investment Factor</w:t>
            </w:r>
          </w:p>
        </w:tc>
        <w:tc>
          <w:tcPr>
            <w:tcW w:w="0" w:type="auto"/>
            <w:tcBorders>
              <w:left w:val="none" w:sz="0" w:space="0" w:color="auto"/>
            </w:tcBorders>
            <w:shd w:val="clear" w:color="auto" w:fill="auto"/>
            <w:vAlign w:val="center"/>
            <w:hideMark/>
          </w:tcPr>
          <w:p w:rsidR="00AC40FC" w:rsidRPr="00BF217B" w:rsidRDefault="00AC40FC" w:rsidP="00864BDD">
            <w:pPr>
              <w:spacing w:after="0"/>
              <w:jc w:val="center"/>
              <w:cnfStyle w:val="000000100000"/>
              <w:rPr>
                <w:szCs w:val="24"/>
              </w:rPr>
            </w:pPr>
            <w:r w:rsidRPr="00BF217B">
              <w:rPr>
                <w:szCs w:val="24"/>
              </w:rPr>
              <w:t>Total Training Cost  ÷ Headcount</w:t>
            </w:r>
          </w:p>
        </w:tc>
      </w:tr>
      <w:tr w:rsidR="00AC40FC" w:rsidRPr="00303137" w:rsidTr="00BB665B">
        <w:trPr>
          <w:cnfStyle w:val="000000010000"/>
          <w:cantSplit/>
          <w:trHeight w:val="20"/>
          <w:jc w:val="center"/>
        </w:trPr>
        <w:tc>
          <w:tcPr>
            <w:cnfStyle w:val="001000000000"/>
            <w:tcW w:w="4500" w:type="dxa"/>
            <w:tcBorders>
              <w:right w:val="none" w:sz="0" w:space="0" w:color="auto"/>
            </w:tcBorders>
            <w:shd w:val="clear" w:color="auto" w:fill="auto"/>
            <w:vAlign w:val="center"/>
          </w:tcPr>
          <w:p w:rsidR="00AC40FC" w:rsidRPr="000E34CD" w:rsidRDefault="00AC40FC" w:rsidP="00864BDD">
            <w:pPr>
              <w:spacing w:after="0"/>
              <w:jc w:val="center"/>
              <w:rPr>
                <w:b w:val="0"/>
              </w:rPr>
            </w:pPr>
            <w:r w:rsidRPr="000E34CD">
              <w:rPr>
                <w:b w:val="0"/>
              </w:rPr>
              <w:lastRenderedPageBreak/>
              <w:t>Training/Development Hours</w:t>
            </w:r>
          </w:p>
        </w:tc>
        <w:tc>
          <w:tcPr>
            <w:tcW w:w="0" w:type="auto"/>
            <w:tcBorders>
              <w:left w:val="none" w:sz="0" w:space="0" w:color="auto"/>
            </w:tcBorders>
            <w:shd w:val="clear" w:color="auto" w:fill="auto"/>
            <w:vAlign w:val="center"/>
          </w:tcPr>
          <w:p w:rsidR="00AC40FC" w:rsidRPr="00BF217B" w:rsidRDefault="00AC40FC" w:rsidP="00864BDD">
            <w:pPr>
              <w:spacing w:after="0"/>
              <w:jc w:val="center"/>
              <w:cnfStyle w:val="000000010000"/>
              <w:rPr>
                <w:szCs w:val="24"/>
              </w:rPr>
            </w:pPr>
            <w:r w:rsidRPr="00BF217B">
              <w:rPr>
                <w:szCs w:val="24"/>
              </w:rPr>
              <w:t xml:space="preserve">Sum Of Total Training Hours ÷ Total </w:t>
            </w:r>
            <w:r>
              <w:rPr>
                <w:szCs w:val="24"/>
              </w:rPr>
              <w:t>Number</w:t>
            </w:r>
            <w:r w:rsidRPr="00BF217B">
              <w:rPr>
                <w:szCs w:val="24"/>
              </w:rPr>
              <w:t xml:space="preserve"> Of Employees</w:t>
            </w:r>
          </w:p>
        </w:tc>
      </w:tr>
      <w:tr w:rsidR="00AC40FC" w:rsidRPr="00303137" w:rsidTr="00BB665B">
        <w:trPr>
          <w:cnfStyle w:val="000000100000"/>
          <w:cantSplit/>
          <w:trHeight w:val="20"/>
          <w:jc w:val="center"/>
        </w:trPr>
        <w:tc>
          <w:tcPr>
            <w:cnfStyle w:val="001000000000"/>
            <w:tcW w:w="4500" w:type="dxa"/>
            <w:tcBorders>
              <w:right w:val="none" w:sz="0" w:space="0" w:color="auto"/>
            </w:tcBorders>
            <w:shd w:val="clear" w:color="auto" w:fill="auto"/>
            <w:vAlign w:val="center"/>
          </w:tcPr>
          <w:p w:rsidR="00AC40FC" w:rsidRPr="000E34CD" w:rsidRDefault="00AC40FC" w:rsidP="00864BDD">
            <w:pPr>
              <w:spacing w:after="0"/>
              <w:jc w:val="center"/>
              <w:rPr>
                <w:b w:val="0"/>
              </w:rPr>
            </w:pPr>
            <w:r w:rsidRPr="000E34CD">
              <w:rPr>
                <w:b w:val="0"/>
              </w:rPr>
              <w:t>Turnover (Annual)*</w:t>
            </w:r>
          </w:p>
        </w:tc>
        <w:tc>
          <w:tcPr>
            <w:tcW w:w="0" w:type="auto"/>
            <w:tcBorders>
              <w:left w:val="none" w:sz="0" w:space="0" w:color="auto"/>
            </w:tcBorders>
            <w:shd w:val="clear" w:color="auto" w:fill="auto"/>
            <w:vAlign w:val="center"/>
          </w:tcPr>
          <w:p w:rsidR="00AC40FC" w:rsidRPr="00BF217B" w:rsidRDefault="00AC40FC" w:rsidP="00864BDD">
            <w:pPr>
              <w:spacing w:after="0"/>
              <w:jc w:val="center"/>
              <w:cnfStyle w:val="000000100000"/>
              <w:rPr>
                <w:szCs w:val="24"/>
              </w:rPr>
            </w:pPr>
            <w:r>
              <w:rPr>
                <w:szCs w:val="24"/>
              </w:rPr>
              <w:t>Number</w:t>
            </w:r>
            <w:r w:rsidRPr="00BF217B">
              <w:rPr>
                <w:szCs w:val="24"/>
              </w:rPr>
              <w:t xml:space="preserve"> Of Employees Exiting The Job During 12 Month Period ÷ Average Actual </w:t>
            </w:r>
            <w:r>
              <w:rPr>
                <w:szCs w:val="24"/>
              </w:rPr>
              <w:t>Number</w:t>
            </w:r>
            <w:r w:rsidRPr="00BF217B">
              <w:rPr>
                <w:szCs w:val="24"/>
              </w:rPr>
              <w:t xml:space="preserve"> Of Employees During The Same Period</w:t>
            </w:r>
          </w:p>
        </w:tc>
      </w:tr>
      <w:tr w:rsidR="00AC40FC" w:rsidRPr="00303137" w:rsidTr="00BB665B">
        <w:trPr>
          <w:cnfStyle w:val="000000010000"/>
          <w:cantSplit/>
          <w:trHeight w:val="20"/>
          <w:jc w:val="center"/>
        </w:trPr>
        <w:tc>
          <w:tcPr>
            <w:cnfStyle w:val="001000000000"/>
            <w:tcW w:w="4500" w:type="dxa"/>
            <w:tcBorders>
              <w:right w:val="none" w:sz="0" w:space="0" w:color="auto"/>
            </w:tcBorders>
            <w:shd w:val="clear" w:color="auto" w:fill="auto"/>
            <w:vAlign w:val="center"/>
            <w:hideMark/>
          </w:tcPr>
          <w:p w:rsidR="00AC40FC" w:rsidRPr="000E34CD" w:rsidRDefault="00AC40FC" w:rsidP="00864BDD">
            <w:pPr>
              <w:spacing w:after="0"/>
              <w:jc w:val="center"/>
              <w:rPr>
                <w:b w:val="0"/>
              </w:rPr>
            </w:pPr>
            <w:r w:rsidRPr="000E34CD">
              <w:rPr>
                <w:b w:val="0"/>
              </w:rPr>
              <w:t>Turnover Costs</w:t>
            </w:r>
          </w:p>
        </w:tc>
        <w:tc>
          <w:tcPr>
            <w:tcW w:w="0" w:type="auto"/>
            <w:tcBorders>
              <w:left w:val="none" w:sz="0" w:space="0" w:color="auto"/>
            </w:tcBorders>
            <w:shd w:val="clear" w:color="auto" w:fill="auto"/>
            <w:vAlign w:val="center"/>
            <w:hideMark/>
          </w:tcPr>
          <w:p w:rsidR="00AC40FC" w:rsidRPr="00BF217B" w:rsidRDefault="00AC40FC" w:rsidP="00864BDD">
            <w:pPr>
              <w:spacing w:after="0"/>
              <w:jc w:val="center"/>
              <w:cnfStyle w:val="000000010000"/>
              <w:rPr>
                <w:szCs w:val="24"/>
              </w:rPr>
            </w:pPr>
            <w:r w:rsidRPr="00BF217B">
              <w:rPr>
                <w:szCs w:val="24"/>
              </w:rPr>
              <w:t>Total Of The Costs Of Separation + Vacancy + Replacement + Training</w:t>
            </w:r>
          </w:p>
        </w:tc>
      </w:tr>
      <w:tr w:rsidR="00AC40FC" w:rsidRPr="00303137" w:rsidTr="00BB665B">
        <w:trPr>
          <w:cnfStyle w:val="000000100000"/>
          <w:cantSplit/>
          <w:trHeight w:val="20"/>
          <w:jc w:val="center"/>
        </w:trPr>
        <w:tc>
          <w:tcPr>
            <w:cnfStyle w:val="001000000000"/>
            <w:tcW w:w="4500" w:type="dxa"/>
            <w:tcBorders>
              <w:right w:val="none" w:sz="0" w:space="0" w:color="auto"/>
            </w:tcBorders>
            <w:shd w:val="clear" w:color="auto" w:fill="auto"/>
            <w:vAlign w:val="center"/>
          </w:tcPr>
          <w:p w:rsidR="00AC40FC" w:rsidRPr="000E34CD" w:rsidRDefault="00AC40FC" w:rsidP="00864BDD">
            <w:pPr>
              <w:spacing w:after="0"/>
              <w:jc w:val="center"/>
              <w:rPr>
                <w:b w:val="0"/>
              </w:rPr>
            </w:pPr>
            <w:r w:rsidRPr="000E34CD">
              <w:rPr>
                <w:b w:val="0"/>
              </w:rPr>
              <w:t>Utilization Percent</w:t>
            </w:r>
          </w:p>
        </w:tc>
        <w:tc>
          <w:tcPr>
            <w:tcW w:w="0" w:type="auto"/>
            <w:tcBorders>
              <w:left w:val="none" w:sz="0" w:space="0" w:color="auto"/>
            </w:tcBorders>
            <w:shd w:val="clear" w:color="auto" w:fill="auto"/>
            <w:vAlign w:val="center"/>
          </w:tcPr>
          <w:p w:rsidR="00AC40FC" w:rsidRPr="00BF217B" w:rsidRDefault="00AC40FC" w:rsidP="00864BDD">
            <w:pPr>
              <w:spacing w:after="0"/>
              <w:jc w:val="center"/>
              <w:cnfStyle w:val="000000100000"/>
              <w:rPr>
                <w:szCs w:val="24"/>
              </w:rPr>
            </w:pPr>
            <w:r w:rsidRPr="00BF217B">
              <w:rPr>
                <w:szCs w:val="24"/>
              </w:rPr>
              <w:t>Total Number Of Employees Utilizing A Program/Service/Benefit  ÷ Total Number Of Employees Eligible To Utilize A Program/Service/Benefit</w:t>
            </w:r>
          </w:p>
        </w:tc>
      </w:tr>
      <w:tr w:rsidR="00AC40FC" w:rsidRPr="00303137" w:rsidTr="00BB665B">
        <w:trPr>
          <w:cnfStyle w:val="000000010000"/>
          <w:cantSplit/>
          <w:trHeight w:val="20"/>
          <w:jc w:val="center"/>
        </w:trPr>
        <w:tc>
          <w:tcPr>
            <w:cnfStyle w:val="001000000000"/>
            <w:tcW w:w="4500" w:type="dxa"/>
            <w:tcBorders>
              <w:right w:val="none" w:sz="0" w:space="0" w:color="auto"/>
            </w:tcBorders>
            <w:shd w:val="clear" w:color="auto" w:fill="auto"/>
            <w:vAlign w:val="center"/>
            <w:hideMark/>
          </w:tcPr>
          <w:p w:rsidR="00AC40FC" w:rsidRPr="000E34CD" w:rsidRDefault="00AC40FC" w:rsidP="00864BDD">
            <w:pPr>
              <w:spacing w:after="0"/>
              <w:jc w:val="center"/>
              <w:rPr>
                <w:b w:val="0"/>
              </w:rPr>
            </w:pPr>
            <w:r w:rsidRPr="000E34CD">
              <w:rPr>
                <w:b w:val="0"/>
              </w:rPr>
              <w:t>Vacancy Costs</w:t>
            </w:r>
          </w:p>
        </w:tc>
        <w:tc>
          <w:tcPr>
            <w:tcW w:w="0" w:type="auto"/>
            <w:tcBorders>
              <w:left w:val="none" w:sz="0" w:space="0" w:color="auto"/>
            </w:tcBorders>
            <w:shd w:val="clear" w:color="auto" w:fill="auto"/>
            <w:vAlign w:val="center"/>
            <w:hideMark/>
          </w:tcPr>
          <w:p w:rsidR="00AC40FC" w:rsidRPr="00BF217B" w:rsidRDefault="00AC40FC" w:rsidP="00864BDD">
            <w:pPr>
              <w:spacing w:after="0"/>
              <w:jc w:val="center"/>
              <w:cnfStyle w:val="000000010000"/>
              <w:rPr>
                <w:szCs w:val="24"/>
              </w:rPr>
            </w:pPr>
            <w:r w:rsidRPr="00BF217B">
              <w:rPr>
                <w:szCs w:val="24"/>
              </w:rPr>
              <w:t>Total Of The Costs Of Temporary Workers + Independent Contractors + Other Outsourcing + Overtime - Wages And Benefits Not Paid To Vacant Position(S)</w:t>
            </w:r>
          </w:p>
        </w:tc>
      </w:tr>
      <w:tr w:rsidR="00AC40FC" w:rsidRPr="00303137" w:rsidTr="00BB665B">
        <w:trPr>
          <w:cnfStyle w:val="000000100000"/>
          <w:cantSplit/>
          <w:trHeight w:val="20"/>
          <w:jc w:val="center"/>
        </w:trPr>
        <w:tc>
          <w:tcPr>
            <w:cnfStyle w:val="001000000000"/>
            <w:tcW w:w="4500" w:type="dxa"/>
            <w:tcBorders>
              <w:right w:val="none" w:sz="0" w:space="0" w:color="auto"/>
            </w:tcBorders>
            <w:shd w:val="clear" w:color="auto" w:fill="auto"/>
            <w:vAlign w:val="center"/>
            <w:hideMark/>
          </w:tcPr>
          <w:p w:rsidR="00AC40FC" w:rsidRPr="000E34CD" w:rsidRDefault="00AC40FC" w:rsidP="00864BDD">
            <w:pPr>
              <w:spacing w:after="0"/>
              <w:jc w:val="center"/>
              <w:rPr>
                <w:b w:val="0"/>
              </w:rPr>
            </w:pPr>
            <w:r w:rsidRPr="000E34CD">
              <w:rPr>
                <w:b w:val="0"/>
              </w:rPr>
              <w:t>Vacancy Rate</w:t>
            </w:r>
          </w:p>
        </w:tc>
        <w:tc>
          <w:tcPr>
            <w:tcW w:w="0" w:type="auto"/>
            <w:tcBorders>
              <w:left w:val="none" w:sz="0" w:space="0" w:color="auto"/>
            </w:tcBorders>
            <w:shd w:val="clear" w:color="auto" w:fill="auto"/>
            <w:vAlign w:val="center"/>
            <w:hideMark/>
          </w:tcPr>
          <w:p w:rsidR="00AC40FC" w:rsidRPr="00BF217B" w:rsidRDefault="00AC40FC" w:rsidP="00864BDD">
            <w:pPr>
              <w:spacing w:after="0"/>
              <w:jc w:val="center"/>
              <w:cnfStyle w:val="000000100000"/>
              <w:rPr>
                <w:szCs w:val="24"/>
              </w:rPr>
            </w:pPr>
            <w:r w:rsidRPr="00BF217B">
              <w:rPr>
                <w:szCs w:val="24"/>
              </w:rPr>
              <w:t>Total Number Of Vacant Positions As Of Today ÷ Total Number Of Positions As Of Today X 100</w:t>
            </w:r>
          </w:p>
        </w:tc>
      </w:tr>
      <w:tr w:rsidR="00AC40FC" w:rsidRPr="00303137" w:rsidTr="00BB665B">
        <w:trPr>
          <w:cnfStyle w:val="000000010000"/>
          <w:cantSplit/>
          <w:trHeight w:val="20"/>
          <w:jc w:val="center"/>
        </w:trPr>
        <w:tc>
          <w:tcPr>
            <w:cnfStyle w:val="001000000000"/>
            <w:tcW w:w="4500" w:type="dxa"/>
            <w:tcBorders>
              <w:right w:val="none" w:sz="0" w:space="0" w:color="auto"/>
            </w:tcBorders>
            <w:shd w:val="clear" w:color="auto" w:fill="auto"/>
            <w:vAlign w:val="center"/>
            <w:hideMark/>
          </w:tcPr>
          <w:p w:rsidR="00AC40FC" w:rsidRPr="000E34CD" w:rsidRDefault="00AC40FC" w:rsidP="00864BDD">
            <w:pPr>
              <w:spacing w:after="0"/>
              <w:jc w:val="center"/>
              <w:rPr>
                <w:b w:val="0"/>
              </w:rPr>
            </w:pPr>
            <w:r w:rsidRPr="000E34CD">
              <w:rPr>
                <w:b w:val="0"/>
              </w:rPr>
              <w:t>Workers' Compensation Cost Per Employee</w:t>
            </w:r>
          </w:p>
        </w:tc>
        <w:tc>
          <w:tcPr>
            <w:tcW w:w="0" w:type="auto"/>
            <w:tcBorders>
              <w:left w:val="none" w:sz="0" w:space="0" w:color="auto"/>
            </w:tcBorders>
            <w:shd w:val="clear" w:color="auto" w:fill="auto"/>
            <w:vAlign w:val="center"/>
            <w:hideMark/>
          </w:tcPr>
          <w:p w:rsidR="00AC40FC" w:rsidRPr="00BF217B" w:rsidRDefault="00AC40FC" w:rsidP="00864BDD">
            <w:pPr>
              <w:spacing w:after="0"/>
              <w:jc w:val="center"/>
              <w:cnfStyle w:val="000000010000"/>
              <w:rPr>
                <w:szCs w:val="24"/>
              </w:rPr>
            </w:pPr>
            <w:r w:rsidRPr="00BF217B">
              <w:rPr>
                <w:szCs w:val="24"/>
              </w:rPr>
              <w:t>Total Workers Compensation Cost For Year ÷ Average Number Of Employees</w:t>
            </w:r>
          </w:p>
        </w:tc>
      </w:tr>
      <w:tr w:rsidR="00AC40FC" w:rsidRPr="00303137" w:rsidTr="00BB665B">
        <w:trPr>
          <w:cnfStyle w:val="000000100000"/>
          <w:cantSplit/>
          <w:trHeight w:val="20"/>
          <w:jc w:val="center"/>
        </w:trPr>
        <w:tc>
          <w:tcPr>
            <w:cnfStyle w:val="001000000000"/>
            <w:tcW w:w="4500" w:type="dxa"/>
            <w:tcBorders>
              <w:right w:val="none" w:sz="0" w:space="0" w:color="auto"/>
            </w:tcBorders>
            <w:shd w:val="clear" w:color="auto" w:fill="auto"/>
            <w:vAlign w:val="center"/>
            <w:hideMark/>
          </w:tcPr>
          <w:p w:rsidR="00AC40FC" w:rsidRPr="000E34CD" w:rsidRDefault="00AC40FC" w:rsidP="00864BDD">
            <w:pPr>
              <w:spacing w:after="0"/>
              <w:jc w:val="center"/>
              <w:rPr>
                <w:b w:val="0"/>
              </w:rPr>
            </w:pPr>
            <w:r w:rsidRPr="000E34CD">
              <w:rPr>
                <w:b w:val="0"/>
              </w:rPr>
              <w:t>Workers' Compensation Incident Rate*</w:t>
            </w:r>
          </w:p>
        </w:tc>
        <w:tc>
          <w:tcPr>
            <w:tcW w:w="0" w:type="auto"/>
            <w:tcBorders>
              <w:left w:val="none" w:sz="0" w:space="0" w:color="auto"/>
            </w:tcBorders>
            <w:shd w:val="clear" w:color="auto" w:fill="auto"/>
            <w:vAlign w:val="center"/>
            <w:hideMark/>
          </w:tcPr>
          <w:p w:rsidR="00AC40FC" w:rsidRPr="00BF217B" w:rsidRDefault="00AC40FC" w:rsidP="00864BDD">
            <w:pPr>
              <w:spacing w:after="0"/>
              <w:jc w:val="center"/>
              <w:cnfStyle w:val="000000100000"/>
              <w:rPr>
                <w:szCs w:val="24"/>
              </w:rPr>
            </w:pPr>
            <w:r w:rsidRPr="00BF217B">
              <w:rPr>
                <w:szCs w:val="24"/>
              </w:rPr>
              <w:t xml:space="preserve">(Number Of Injuries </w:t>
            </w:r>
            <w:r>
              <w:rPr>
                <w:szCs w:val="24"/>
              </w:rPr>
              <w:t>a</w:t>
            </w:r>
            <w:r w:rsidRPr="00BF217B">
              <w:rPr>
                <w:szCs w:val="24"/>
              </w:rPr>
              <w:t>nd/</w:t>
            </w:r>
            <w:r>
              <w:rPr>
                <w:szCs w:val="24"/>
              </w:rPr>
              <w:t>o</w:t>
            </w:r>
            <w:r w:rsidRPr="00BF217B">
              <w:rPr>
                <w:szCs w:val="24"/>
              </w:rPr>
              <w:t>r Illnesses Per 100 FTE ∕ Total Hours Worked By All Employees During The Calendar Year) x 200,000</w:t>
            </w:r>
          </w:p>
        </w:tc>
      </w:tr>
      <w:tr w:rsidR="00AC40FC" w:rsidRPr="00303137" w:rsidTr="00BB665B">
        <w:trPr>
          <w:cnfStyle w:val="000000010000"/>
          <w:cantSplit/>
          <w:trHeight w:val="20"/>
          <w:jc w:val="center"/>
        </w:trPr>
        <w:tc>
          <w:tcPr>
            <w:cnfStyle w:val="001000000000"/>
            <w:tcW w:w="4500" w:type="dxa"/>
            <w:tcBorders>
              <w:right w:val="none" w:sz="0" w:space="0" w:color="auto"/>
            </w:tcBorders>
            <w:shd w:val="clear" w:color="auto" w:fill="auto"/>
            <w:vAlign w:val="center"/>
            <w:hideMark/>
          </w:tcPr>
          <w:p w:rsidR="00AC40FC" w:rsidRPr="000E34CD" w:rsidRDefault="00AC40FC" w:rsidP="00864BDD">
            <w:pPr>
              <w:spacing w:after="0"/>
              <w:jc w:val="center"/>
              <w:rPr>
                <w:b w:val="0"/>
              </w:rPr>
            </w:pPr>
            <w:r w:rsidRPr="000E34CD">
              <w:rPr>
                <w:b w:val="0"/>
              </w:rPr>
              <w:t>Workers' Compensation Severity Rate</w:t>
            </w:r>
          </w:p>
        </w:tc>
        <w:tc>
          <w:tcPr>
            <w:tcW w:w="0" w:type="auto"/>
            <w:tcBorders>
              <w:left w:val="none" w:sz="0" w:space="0" w:color="auto"/>
            </w:tcBorders>
            <w:shd w:val="clear" w:color="auto" w:fill="auto"/>
            <w:vAlign w:val="center"/>
            <w:hideMark/>
          </w:tcPr>
          <w:p w:rsidR="00AC40FC" w:rsidRPr="00BF217B" w:rsidRDefault="00AC40FC" w:rsidP="00864BDD">
            <w:pPr>
              <w:spacing w:after="0"/>
              <w:jc w:val="center"/>
              <w:cnfStyle w:val="000000010000"/>
              <w:rPr>
                <w:szCs w:val="24"/>
              </w:rPr>
            </w:pPr>
            <w:r w:rsidRPr="00BF217B">
              <w:rPr>
                <w:szCs w:val="24"/>
              </w:rPr>
              <w:t>(The Number Of Days Away From Work Per 100 FTE∕ Total Hours Worked By All Employees During The Calendar Year) x  200,000</w:t>
            </w:r>
          </w:p>
        </w:tc>
      </w:tr>
      <w:tr w:rsidR="00AC40FC" w:rsidRPr="00303137" w:rsidTr="00BB665B">
        <w:trPr>
          <w:cnfStyle w:val="000000100000"/>
          <w:cantSplit/>
          <w:trHeight w:val="20"/>
          <w:jc w:val="center"/>
        </w:trPr>
        <w:tc>
          <w:tcPr>
            <w:cnfStyle w:val="001000000000"/>
            <w:tcW w:w="4500" w:type="dxa"/>
            <w:tcBorders>
              <w:right w:val="none" w:sz="0" w:space="0" w:color="auto"/>
            </w:tcBorders>
            <w:shd w:val="clear" w:color="auto" w:fill="auto"/>
            <w:vAlign w:val="center"/>
            <w:hideMark/>
          </w:tcPr>
          <w:p w:rsidR="00AC40FC" w:rsidRPr="000E34CD" w:rsidRDefault="00AC40FC" w:rsidP="00864BDD">
            <w:pPr>
              <w:spacing w:after="0"/>
              <w:jc w:val="center"/>
              <w:rPr>
                <w:b w:val="0"/>
              </w:rPr>
            </w:pPr>
            <w:r w:rsidRPr="000E34CD">
              <w:rPr>
                <w:b w:val="0"/>
              </w:rPr>
              <w:t>Yield Ratio</w:t>
            </w:r>
          </w:p>
        </w:tc>
        <w:tc>
          <w:tcPr>
            <w:tcW w:w="0" w:type="auto"/>
            <w:tcBorders>
              <w:left w:val="none" w:sz="0" w:space="0" w:color="auto"/>
            </w:tcBorders>
            <w:shd w:val="clear" w:color="auto" w:fill="auto"/>
            <w:vAlign w:val="center"/>
            <w:hideMark/>
          </w:tcPr>
          <w:p w:rsidR="00AC40FC" w:rsidRPr="00BF217B" w:rsidRDefault="00AC40FC" w:rsidP="00864BDD">
            <w:pPr>
              <w:spacing w:after="0"/>
              <w:jc w:val="center"/>
              <w:cnfStyle w:val="000000100000"/>
              <w:rPr>
                <w:szCs w:val="24"/>
              </w:rPr>
            </w:pPr>
            <w:r w:rsidRPr="00BF217B">
              <w:rPr>
                <w:szCs w:val="24"/>
              </w:rPr>
              <w:t>Percentage Of Applicants From A Recruitment Source That Make It To The Next Stage Of The Selection Process. (i.e. 100 Resumes Received, 50 Found Acceptable = 50% Yield.)</w:t>
            </w:r>
          </w:p>
        </w:tc>
      </w:tr>
      <w:tr w:rsidR="00AC40FC" w:rsidRPr="002B3172" w:rsidTr="00BB665B">
        <w:trPr>
          <w:cnfStyle w:val="000000010000"/>
          <w:cantSplit/>
          <w:trHeight w:val="20"/>
          <w:jc w:val="center"/>
        </w:trPr>
        <w:tc>
          <w:tcPr>
            <w:cnfStyle w:val="001000000000"/>
            <w:tcW w:w="9288" w:type="dxa"/>
            <w:gridSpan w:val="2"/>
            <w:shd w:val="clear" w:color="auto" w:fill="auto"/>
            <w:vAlign w:val="center"/>
            <w:hideMark/>
          </w:tcPr>
          <w:p w:rsidR="00AC40FC" w:rsidRPr="002B3172" w:rsidRDefault="00AC40FC" w:rsidP="002B3172">
            <w:pPr>
              <w:spacing w:after="0"/>
              <w:rPr>
                <w:b w:val="0"/>
              </w:rPr>
            </w:pPr>
            <w:r w:rsidRPr="002B3172">
              <w:rPr>
                <w:b w:val="0"/>
              </w:rPr>
              <w:t>* Metric presently in use</w:t>
            </w:r>
          </w:p>
        </w:tc>
      </w:tr>
      <w:tr w:rsidR="00AC40FC" w:rsidRPr="002B3172" w:rsidTr="00BB665B">
        <w:trPr>
          <w:cnfStyle w:val="000000100000"/>
          <w:cantSplit/>
          <w:trHeight w:val="20"/>
          <w:jc w:val="center"/>
        </w:trPr>
        <w:tc>
          <w:tcPr>
            <w:cnfStyle w:val="001000000000"/>
            <w:tcW w:w="9288" w:type="dxa"/>
            <w:gridSpan w:val="2"/>
            <w:shd w:val="clear" w:color="auto" w:fill="auto"/>
            <w:vAlign w:val="center"/>
            <w:hideMark/>
          </w:tcPr>
          <w:p w:rsidR="00AC40FC" w:rsidRPr="002B3172" w:rsidRDefault="00AC40FC" w:rsidP="002B3172">
            <w:pPr>
              <w:spacing w:after="0"/>
              <w:rPr>
                <w:b w:val="0"/>
              </w:rPr>
            </w:pPr>
            <w:r w:rsidRPr="002B3172">
              <w:rPr>
                <w:b w:val="0"/>
              </w:rPr>
              <w:t>Source:  Society for Human Resources Management Metrics Toolkit</w:t>
            </w:r>
          </w:p>
        </w:tc>
      </w:tr>
    </w:tbl>
    <w:p w:rsidR="00AC40FC" w:rsidRDefault="00AC40FC" w:rsidP="000E34CD">
      <w:pPr>
        <w:pStyle w:val="Findings"/>
        <w:spacing w:before="120"/>
      </w:pPr>
      <w:r>
        <w:t>The HR performance management and compensation programs contribute to organizational alignment and support achievement of Corporate Goals.</w:t>
      </w:r>
    </w:p>
    <w:p w:rsidR="00AC40FC" w:rsidRDefault="00AC40FC" w:rsidP="00864BDD">
      <w:r>
        <w:t>Alignment can be defined as HR activities that support the achievement of the overall goals of an organization.  For example, employees being measured on performance that supports achievement of goals would be considered an alignment activity.</w:t>
      </w:r>
    </w:p>
    <w:p w:rsidR="00AC40FC" w:rsidRDefault="00AC40FC" w:rsidP="00864BDD">
      <w:r>
        <w:t>Two specific HR activities were reviewed during the audit to assess alignment: performance management and compensation programs.  With respect to the performance management system, both PPL SC HR and PPL EUS HR use a performance management software system to manage employee job performance and compensation programs linked to the Corporate Goal Framework.  The Corporate Goal Framework</w:t>
      </w:r>
      <w:r w:rsidRPr="00E175D9">
        <w:t xml:space="preserve"> </w:t>
      </w:r>
      <w:r>
        <w:t>is created annually, approved by PPL Corporate Board of Directors, and is then cascaded throughout the organization using the performance management system.  This direct alignment allows employee performance to be measured in relation to the goals and values of the organization.  In addition, the performance management system drives the allocation of compensation increases for all salaried, non-bargaining unit employees.</w:t>
      </w:r>
    </w:p>
    <w:p w:rsidR="00AC40FC" w:rsidRDefault="00AC40FC" w:rsidP="00864BDD">
      <w:r>
        <w:t xml:space="preserve">With respect to the compensation system, a short-term incentive is available based on the level of goal attainment as measured through the performance management system which is linked to the Corporate Goal Framework.  Goals are approved by the </w:t>
      </w:r>
      <w:r>
        <w:lastRenderedPageBreak/>
        <w:t>Co</w:t>
      </w:r>
      <w:r w:rsidRPr="00921332">
        <w:t>mpensation Committee in March and</w:t>
      </w:r>
      <w:r>
        <w:t>,</w:t>
      </w:r>
      <w:r w:rsidRPr="00921332">
        <w:t xml:space="preserve"> </w:t>
      </w:r>
      <w:r>
        <w:t xml:space="preserve">in </w:t>
      </w:r>
      <w:r w:rsidRPr="00921332">
        <w:t>January of the following year</w:t>
      </w:r>
      <w:r>
        <w:t xml:space="preserve">, </w:t>
      </w:r>
      <w:r w:rsidRPr="00921332">
        <w:t>the Comp</w:t>
      </w:r>
      <w:r>
        <w:t>ensation C</w:t>
      </w:r>
      <w:r w:rsidRPr="00921332">
        <w:t xml:space="preserve">ommittee approves </w:t>
      </w:r>
      <w:r>
        <w:t xml:space="preserve">measured </w:t>
      </w:r>
      <w:r w:rsidRPr="00921332">
        <w:t xml:space="preserve">attainment of those goals before </w:t>
      </w:r>
      <w:r>
        <w:t xml:space="preserve">incentive </w:t>
      </w:r>
      <w:r w:rsidRPr="00921332">
        <w:t>payout can be made.</w:t>
      </w:r>
      <w:r>
        <w:t xml:space="preserve">  For example, if the formula is to payout 10% of base salary when goal attainment is 100%, then an employee earning $60,000 per year would be paid a short term incentive of $6,000 if 100% of the goal is attained.  The linkage of goal setting and achievement with compensation contributes substantially to overall organizational alignment.</w:t>
      </w:r>
    </w:p>
    <w:p w:rsidR="00AC40FC" w:rsidRDefault="00AC40FC" w:rsidP="00864BDD">
      <w:r>
        <w:t>Overall, PPL SC HR and PPL EUS HR are guided by the Corporate Goal Framework for 2015 in the same fashion as other functional areas of the business.  The specific PPL SC HR and PPL EUS HR goals for 2015 are to optimize workforce engagement and readiness.</w:t>
      </w:r>
    </w:p>
    <w:p w:rsidR="00AC40FC" w:rsidRDefault="00AC40FC" w:rsidP="000E34CD">
      <w:pPr>
        <w:pStyle w:val="Findings"/>
      </w:pPr>
      <w:r>
        <w:t>PPL EUS HR measurement of employee engagement on a regular basis is a good practice and the areas revealing opportunities for improvement are being appropriately addressed.</w:t>
      </w:r>
    </w:p>
    <w:p w:rsidR="00AC40FC" w:rsidRDefault="00AC40FC" w:rsidP="00864BDD">
      <w:r>
        <w:t>Employee engagement is a measurement of an employee’s willingness to expend maximum effort on behalf of an organization.  Employee engagement has been linked to superior financial performance and is therefore of significance in the HR function.</w:t>
      </w:r>
    </w:p>
    <w:p w:rsidR="00AC40FC" w:rsidRDefault="00AC40FC" w:rsidP="00864BDD">
      <w:r>
        <w:t>A contractor was retained to develop and conduct an employee engagement survey for PPL EU in 2013.  The engagement survey measured results in four key areas: (1) Retention measured by an employee’s intention to leave PPL EU; (2) Effort as measured by an employee’s motivation to go above and beyond what is expected at PPL EU; (3) Advocacy as measured by an employee’s willingness to recommend PPL EU as a great place to work; and (4) Passion as measured by an employee’s love for working at PPL EU.  The results of the 2013 engagement survey for bargaining unit, management employees, and corporate employees are shown in the following chart:</w:t>
      </w:r>
    </w:p>
    <w:p w:rsidR="00AC40FC" w:rsidRDefault="00AC40FC" w:rsidP="002B3172">
      <w:pPr>
        <w:pStyle w:val="Caption"/>
      </w:pPr>
      <w:bookmarkStart w:id="229" w:name="_Toc462648452"/>
      <w:bookmarkStart w:id="230" w:name="_Toc464553074"/>
      <w:r>
        <w:lastRenderedPageBreak/>
        <w:t xml:space="preserve">Exhibit </w:t>
      </w:r>
      <w:fldSimple w:instr=" STYLEREF 1 \s ">
        <w:r w:rsidR="00A24205">
          <w:rPr>
            <w:noProof/>
          </w:rPr>
          <w:t>XII</w:t>
        </w:r>
      </w:fldSimple>
      <w:r w:rsidR="00264A1B">
        <w:noBreakHyphen/>
      </w:r>
      <w:fldSimple w:instr=" SEQ Exhibit \* ARABIC \s 1 ">
        <w:r w:rsidR="00A24205">
          <w:rPr>
            <w:noProof/>
          </w:rPr>
          <w:t>6</w:t>
        </w:r>
      </w:fldSimple>
      <w:r>
        <w:br/>
        <w:t>2013 Employee Engagement Survey Results</w:t>
      </w:r>
      <w:bookmarkEnd w:id="229"/>
      <w:bookmarkEnd w:id="230"/>
    </w:p>
    <w:p w:rsidR="00AC40FC" w:rsidRPr="007A36E6" w:rsidRDefault="00A6412F" w:rsidP="00BB665B">
      <w:r>
        <w:rPr>
          <w:noProof/>
        </w:rPr>
        <w:drawing>
          <wp:inline distT="0" distB="0" distL="0" distR="0">
            <wp:extent cx="5943600" cy="3931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5-071_text-move.jpg"/>
                    <pic:cNvPicPr/>
                  </pic:nvPicPr>
                  <pic:blipFill>
                    <a:blip r:embed="rId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3931920"/>
                    </a:xfrm>
                    <a:prstGeom prst="rect">
                      <a:avLst/>
                    </a:prstGeom>
                  </pic:spPr>
                </pic:pic>
              </a:graphicData>
            </a:graphic>
          </wp:inline>
        </w:drawing>
      </w:r>
    </w:p>
    <w:p w:rsidR="00AC40FC" w:rsidRDefault="00AC40FC" w:rsidP="00864BDD">
      <w:r>
        <w:t xml:space="preserve">Source: DN </w:t>
      </w:r>
      <w:r w:rsidRPr="00E90631">
        <w:t>05-071, pg. 11</w:t>
      </w:r>
    </w:p>
    <w:p w:rsidR="00AC40FC" w:rsidRDefault="00AC40FC">
      <w:r>
        <w:t>PPL EU engagement scores generally rank similarly to the normative database with the bargaining unit falling below normative engagement scores.  Results indicate that areas of strength are saf</w:t>
      </w:r>
      <w:bookmarkStart w:id="231" w:name="_GoBack"/>
      <w:bookmarkEnd w:id="231"/>
      <w:r>
        <w:t>ety, diversity, and teamwork while areas of opportunity are fun, recognition, and career opportunities.  Action plans have been developed to address those areas where the results fall below the normative database.  In addition, the Director of HR for PPL EUS and the PPL EU President are meeting with employees to explain the meaning of the engagement survey and its importance to the organization as well as reviewing the engagement scores.</w:t>
      </w:r>
    </w:p>
    <w:p w:rsidR="00AC40FC" w:rsidRDefault="00AC40FC" w:rsidP="000E34CD">
      <w:pPr>
        <w:pStyle w:val="Findings"/>
      </w:pPr>
      <w:r>
        <w:t>Although PPL SC and PPL EUS HR staffs have education and experience appropriate for their positions, few possess professional certifications related to the HR profession.</w:t>
      </w:r>
    </w:p>
    <w:p w:rsidR="00AC40FC" w:rsidRDefault="00AC40FC" w:rsidP="00864BDD">
      <w:r>
        <w:rPr>
          <w:rFonts w:cs="Arial"/>
        </w:rPr>
        <w:t xml:space="preserve">Each professional staff member within PPL SC HR possesses at least a Bachelor’s Degree in a HR or related field.  Likewise, </w:t>
      </w:r>
      <w:r>
        <w:t>the majority of PPL EUS HR staff members interviewed possess at least a Bachelor’s Degree in a HR or related field.</w:t>
      </w:r>
      <w:r w:rsidRPr="002C62C0">
        <w:t xml:space="preserve"> </w:t>
      </w:r>
      <w:r>
        <w:t xml:space="preserve">However, only a </w:t>
      </w:r>
      <w:r w:rsidRPr="00160EA3">
        <w:t xml:space="preserve">few </w:t>
      </w:r>
      <w:r>
        <w:t xml:space="preserve">PPL SC and PPL EUS HR personnel </w:t>
      </w:r>
      <w:r w:rsidRPr="00160EA3">
        <w:t xml:space="preserve">hold professional certifications related to their specific discipline within </w:t>
      </w:r>
      <w:r>
        <w:t>HR, such as Senior Professional in Human Resources (SPHR), and Certified Employee Benefits Specialist (CEBS).</w:t>
      </w:r>
      <w:r>
        <w:rPr>
          <w:rFonts w:cs="Arial"/>
        </w:rPr>
        <w:t xml:space="preserve">  </w:t>
      </w:r>
    </w:p>
    <w:p w:rsidR="00AC40FC" w:rsidRPr="00F9098C" w:rsidRDefault="00AC40FC" w:rsidP="00864BDD">
      <w:r>
        <w:lastRenderedPageBreak/>
        <w:t>The terms “benchmarking,” “metrics,” “alignment,” and “employee engagement” are defined and used differently throughout PPL SC HR and PPL EUS HR.  This may be due to the overall lack of professional HR certification throughout PPL SC and PPL EUS HR and the consistency of terminology and general HR subject matter understanding that certification engenders.</w:t>
      </w:r>
    </w:p>
    <w:p w:rsidR="00AC40FC" w:rsidRPr="005C5A5F" w:rsidRDefault="00AC40FC" w:rsidP="000E34CD">
      <w:pPr>
        <w:pStyle w:val="Findings"/>
      </w:pPr>
      <w:r w:rsidRPr="005C5A5F">
        <w:t>There is broad satisfaction with the PPL Professional and Leadership Development Training Program.</w:t>
      </w:r>
    </w:p>
    <w:p w:rsidR="00AC40FC" w:rsidRDefault="00AC40FC" w:rsidP="00864BDD">
      <w:r w:rsidRPr="00A261C6">
        <w:t>PPL SC HR has measured satisfaction with the Individual Contributor</w:t>
      </w:r>
      <w:r>
        <w:t>,</w:t>
      </w:r>
      <w:r w:rsidRPr="00A261C6">
        <w:t xml:space="preserve"> Supervisory Essentials</w:t>
      </w:r>
      <w:r>
        <w:t>,</w:t>
      </w:r>
      <w:r w:rsidRPr="00A261C6">
        <w:t xml:space="preserve"> MPP</w:t>
      </w:r>
      <w:r>
        <w:t>,</w:t>
      </w:r>
      <w:r w:rsidRPr="00A261C6">
        <w:t xml:space="preserve"> and LPP training programs.  Satisfaction Survey results indicate a satisfaction rating with all four programs to be above 90%</w:t>
      </w:r>
      <w:r w:rsidR="00E32117">
        <w:t>.</w:t>
      </w:r>
      <w:r w:rsidRPr="00A261C6">
        <w:t xml:space="preserve">  In addition to the satisfaction survey results, success stories of participants in the MPP and LPP programs are told during the graduation process in relationship to new work processes that were implemented resulting in departmental cost savings and new behaviors that resulted in improvements in employee morale.</w:t>
      </w:r>
    </w:p>
    <w:p w:rsidR="00AC40FC" w:rsidRDefault="00AC40FC" w:rsidP="000E34CD">
      <w:pPr>
        <w:pStyle w:val="Findings"/>
      </w:pPr>
      <w:r>
        <w:t>Learning index increase and return on investment are not being measured as they relate to the non-technical training programs.</w:t>
      </w:r>
    </w:p>
    <w:p w:rsidR="00AC40FC" w:rsidRDefault="00AC40FC" w:rsidP="00864BDD">
      <w:r>
        <w:t>Although a high level of employee satisfaction exists with the non-technical training programs, they do not fully measure the program’s effectiveness.</w:t>
      </w:r>
    </w:p>
    <w:p w:rsidR="00AC40FC" w:rsidRDefault="00AC40FC" w:rsidP="00864BDD">
      <w:r>
        <w:t xml:space="preserve">According to widely recognized industry expert Donald Kirkpatrick, Professor Emeritus at the University of Wisconsin and past president of the American Society for Training and Development (ASTD), training must minimally be evaluated at the following four levels to determine its effectiveness. </w:t>
      </w:r>
    </w:p>
    <w:p w:rsidR="00AC40FC" w:rsidRPr="005F3E20" w:rsidRDefault="00AC40FC" w:rsidP="00864BDD">
      <w:pPr>
        <w:pStyle w:val="Bullet"/>
      </w:pPr>
      <w:r>
        <w:t xml:space="preserve">Level </w:t>
      </w:r>
      <w:r w:rsidRPr="005F3E20">
        <w:t>1, Reaction – learner’s satisfaction with the presenter, learning environment</w:t>
      </w:r>
      <w:r>
        <w:t>,</w:t>
      </w:r>
      <w:r w:rsidRPr="005F3E20">
        <w:t xml:space="preserve"> and training materials presented.</w:t>
      </w:r>
    </w:p>
    <w:p w:rsidR="00AC40FC" w:rsidRPr="005F3E20" w:rsidRDefault="00AC40FC" w:rsidP="00864BDD">
      <w:pPr>
        <w:pStyle w:val="Bullet"/>
      </w:pPr>
      <w:r w:rsidRPr="005F3E20">
        <w:t>Level 2, Learning – measuring the learning index increase before and after the training.</w:t>
      </w:r>
    </w:p>
    <w:p w:rsidR="00AC40FC" w:rsidRPr="005F3E20" w:rsidRDefault="00AC40FC" w:rsidP="00864BDD">
      <w:pPr>
        <w:pStyle w:val="Bullet"/>
      </w:pPr>
      <w:r w:rsidRPr="005F3E20">
        <w:t>Level 3, Behavior – the transfer of learning that occurs from the classroom to the job</w:t>
      </w:r>
      <w:r>
        <w:t>.</w:t>
      </w:r>
    </w:p>
    <w:p w:rsidR="00AC40FC" w:rsidRDefault="00AC40FC" w:rsidP="00864BDD">
      <w:pPr>
        <w:pStyle w:val="Bullet"/>
      </w:pPr>
      <w:r w:rsidRPr="005F3E20">
        <w:t>Level 4, Results – changes or outcomes that result from implementation of what was</w:t>
      </w:r>
      <w:r>
        <w:t xml:space="preserve"> learned in the classroom that may include cost savings, innovation, and return on investment.</w:t>
      </w:r>
    </w:p>
    <w:p w:rsidR="00AC40FC" w:rsidRDefault="00AC40FC" w:rsidP="00864BDD">
      <w:pPr>
        <w:pStyle w:val="Normal-aftertable"/>
      </w:pPr>
      <w:r>
        <w:t>While PPL HR does measure training effectiveness at Level 1, there are additional opportunities to more fully determine the effectiveness of the non-technical training that is being provided.</w:t>
      </w:r>
    </w:p>
    <w:p w:rsidR="00AC40FC" w:rsidRDefault="00AC40FC" w:rsidP="000E34CD">
      <w:pPr>
        <w:pStyle w:val="Findings"/>
      </w:pPr>
      <w:r>
        <w:t>The most recent succession plan has several positive features; however, due to the Talen spinoff, there is no current succession plan in place.</w:t>
      </w:r>
    </w:p>
    <w:p w:rsidR="00AC40FC" w:rsidRDefault="00AC40FC" w:rsidP="00864BDD">
      <w:r>
        <w:t>The 2013 succession plan is the most recent plan and</w:t>
      </w:r>
      <w:r w:rsidRPr="00CF4F0A">
        <w:t xml:space="preserve"> </w:t>
      </w:r>
      <w:r>
        <w:t xml:space="preserve">covers the United Kingdom, LKE, PPL Electric Utilities, and corporate services organizations.  The plan focuses on executive positions as well as other “pivotal” roles.  Pivotal roles are defined as those positions that PPL believes have direct impact on strategy effecting business success, positions that require a specialized competency or high end managerial/business expertise or a management pipeline position whose vacancy could impact the success </w:t>
      </w:r>
      <w:r>
        <w:lastRenderedPageBreak/>
        <w:t xml:space="preserve">of the business. A formal succession plan was not developed for 2015 due to the Talen spinoff. However, the 2013 plan remained in place and was utilized in establishing the Talen organization and during the restructure of the PPL organization. A verbal update was provided to the CGNC in December of 2014.  </w:t>
      </w:r>
    </w:p>
    <w:p w:rsidR="00AC40FC" w:rsidRDefault="00AC40FC" w:rsidP="00864BDD">
      <w:r>
        <w:t>Some key highlights from the 2013 succession plan include covering 100% of executive roles with succession candidates, reducing external hires from 42% to 20%, and increasing the diverse succession candidates from 21 to 32.  In addition, the succession plan identifies candidates who are ready for promotion now as well as those who will be ready in three to five years for executive and pivotal roles.</w:t>
      </w:r>
    </w:p>
    <w:p w:rsidR="00AC40FC" w:rsidRDefault="00AC40FC" w:rsidP="00864BDD">
      <w:r>
        <w:t>89% of candidates for succession had completed development activities of some kind in the past year, including many development activities completed by executives during this timeframe.</w:t>
      </w:r>
    </w:p>
    <w:p w:rsidR="00AC40FC" w:rsidRDefault="00AC40FC" w:rsidP="00864BDD">
      <w:r>
        <w:t>The 2013 succession plan envisions moving ahead with implementing executive development programs across the PPL enterprise, continuing to strengthen the talent review process, and focusing on integration of diversity in development planning activities.</w:t>
      </w:r>
    </w:p>
    <w:p w:rsidR="00AC40FC" w:rsidRDefault="00AC40FC" w:rsidP="00864BDD">
      <w:r>
        <w:t>During audit field work, business unit leaders were in the process of reviewing the current succession plan and, as a group, were preparing to develop a succession plan for reporting to the Board of Directors in December of 2015.  PPL SC HR leadership reports that after the Energy Supply spin, the 2015/2016 succession plan was reset and presented to the CGNC in December of 2015.</w:t>
      </w:r>
    </w:p>
    <w:p w:rsidR="00AC40FC" w:rsidRDefault="00AC40FC" w:rsidP="000E34CD">
      <w:pPr>
        <w:pStyle w:val="Findings"/>
      </w:pPr>
      <w:r w:rsidRPr="00F9098C">
        <w:t xml:space="preserve">PPL </w:t>
      </w:r>
      <w:r>
        <w:t>EU</w:t>
      </w:r>
      <w:r w:rsidRPr="00F9098C">
        <w:t xml:space="preserve"> </w:t>
      </w:r>
      <w:r>
        <w:t>appears to be</w:t>
      </w:r>
      <w:r w:rsidRPr="00F9098C">
        <w:t xml:space="preserve"> in compliance with employment laws.</w:t>
      </w:r>
    </w:p>
    <w:p w:rsidR="00AC40FC" w:rsidRPr="00F9098C" w:rsidRDefault="00AC40FC" w:rsidP="00864BDD">
      <w:r>
        <w:t xml:space="preserve">Upon review of documentation submitted and completion of interviews there was no indication that employment law compliance issues are a concern.  For example, very few discriminatory claims were open and no wage and hour claims were reported.  </w:t>
      </w:r>
    </w:p>
    <w:p w:rsidR="00AC40FC" w:rsidRDefault="00AC40FC" w:rsidP="000E34CD">
      <w:pPr>
        <w:pStyle w:val="Findings"/>
      </w:pPr>
      <w:r w:rsidRPr="00F9098C">
        <w:t>Compensation</w:t>
      </w:r>
      <w:r>
        <w:t xml:space="preserve"> and health and welfare benefits are </w:t>
      </w:r>
      <w:r w:rsidRPr="00F9098C">
        <w:t>competitive with the market.</w:t>
      </w:r>
    </w:p>
    <w:p w:rsidR="00AC40FC" w:rsidRPr="00F9098C" w:rsidRDefault="00AC40FC" w:rsidP="00864BDD">
      <w:r>
        <w:t>The external benchmarking reports were reviewed for competiveness across industries and PPL SC, PPL EUS, and PPL EU were competitive in both compensation and health and welfare benefit offerings.</w:t>
      </w:r>
    </w:p>
    <w:p w:rsidR="00AC40FC" w:rsidRPr="00DD4E68" w:rsidRDefault="00AC40FC" w:rsidP="000E34CD">
      <w:pPr>
        <w:pStyle w:val="Findings"/>
      </w:pPr>
      <w:r w:rsidRPr="00DD4E68">
        <w:t xml:space="preserve">PPL EUS HR has implemented several good practices necessary to build strong labor-management relationships and </w:t>
      </w:r>
      <w:r>
        <w:t>l</w:t>
      </w:r>
      <w:r w:rsidRPr="00DD4E68">
        <w:t xml:space="preserve">abor negotiations are approached proactively and with </w:t>
      </w:r>
      <w:r>
        <w:t xml:space="preserve">a defined </w:t>
      </w:r>
      <w:r w:rsidRPr="00DD4E68">
        <w:t>strategy.</w:t>
      </w:r>
    </w:p>
    <w:p w:rsidR="00AC40FC" w:rsidRDefault="00AC40FC" w:rsidP="00864BDD">
      <w:r>
        <w:rPr>
          <w:rFonts w:cs="Arial"/>
          <w:szCs w:val="24"/>
        </w:rPr>
        <w:t>M</w:t>
      </w:r>
      <w:r w:rsidRPr="006F2EAB">
        <w:t xml:space="preserve">any venues for communication with the </w:t>
      </w:r>
      <w:r>
        <w:t>u</w:t>
      </w:r>
      <w:r w:rsidRPr="006F2EAB">
        <w:t>nion</w:t>
      </w:r>
      <w:r>
        <w:t xml:space="preserve"> exist and are utilized regularly, such as:</w:t>
      </w:r>
    </w:p>
    <w:p w:rsidR="00AC40FC" w:rsidRDefault="00AC40FC" w:rsidP="00864BDD">
      <w:pPr>
        <w:pStyle w:val="Bullet"/>
      </w:pPr>
      <w:r>
        <w:t>The President of PPL EU and the Human Resource Director of PPL EUS are traveling throughout the organization and speaking with bargaining unit members regarding the results of the employee engagement survey.</w:t>
      </w:r>
    </w:p>
    <w:p w:rsidR="00AC40FC" w:rsidRDefault="00AC40FC" w:rsidP="00864BDD">
      <w:pPr>
        <w:pStyle w:val="Bullet"/>
      </w:pPr>
      <w:r>
        <w:t xml:space="preserve">Quarterly union meetings held at the union hall with union leadership and the Labor and Employee Relations Specialist from PPL EUS, Director of Human Resources at PPL EUS, and Vice President of Distribution Operations at PPL EU.  These quarterly meetings are used to </w:t>
      </w:r>
      <w:r w:rsidRPr="006F2EAB">
        <w:t xml:space="preserve">discuss </w:t>
      </w:r>
      <w:r>
        <w:t xml:space="preserve">the status of labor relations, </w:t>
      </w:r>
      <w:r>
        <w:lastRenderedPageBreak/>
        <w:t xml:space="preserve">Responsible Behavior Program (RBP) discipline, and </w:t>
      </w:r>
      <w:r w:rsidRPr="006F2EAB">
        <w:t xml:space="preserve">basic discussions regarding </w:t>
      </w:r>
      <w:r>
        <w:t>the background and reasoning behind management decisions.</w:t>
      </w:r>
    </w:p>
    <w:p w:rsidR="00AC40FC" w:rsidRDefault="00AC40FC" w:rsidP="00864BDD">
      <w:pPr>
        <w:pStyle w:val="Bullet"/>
      </w:pPr>
      <w:r>
        <w:t xml:space="preserve">The Labor and Employee Relations Specialist at PPL EUS HR and each of three field managers </w:t>
      </w:r>
      <w:r w:rsidRPr="006F2EAB">
        <w:t>meet</w:t>
      </w:r>
      <w:r>
        <w:t xml:space="preserve"> frequently</w:t>
      </w:r>
      <w:r w:rsidRPr="006F2EAB">
        <w:t xml:space="preserve"> with local </w:t>
      </w:r>
      <w:r>
        <w:t xml:space="preserve">union </w:t>
      </w:r>
      <w:r w:rsidRPr="006F2EAB">
        <w:t>stewards and chief stewards from their respective regions</w:t>
      </w:r>
      <w:r>
        <w:t>.</w:t>
      </w:r>
    </w:p>
    <w:p w:rsidR="00AC40FC" w:rsidRDefault="00AC40FC" w:rsidP="00864BDD">
      <w:pPr>
        <w:pStyle w:val="Bullet"/>
      </w:pPr>
      <w:r>
        <w:t xml:space="preserve">The Labor and Employee Relations Specialist at PPL EUS HR is in daily contact with union representatives and follows through with his </w:t>
      </w:r>
      <w:r w:rsidRPr="006F2EAB">
        <w:t>commitment to notify union representatives in advance of issuing disciplinary action or any management decision t</w:t>
      </w:r>
      <w:r>
        <w:t>hat will impact union members.</w:t>
      </w:r>
    </w:p>
    <w:p w:rsidR="00AC40FC" w:rsidRDefault="00AC40FC" w:rsidP="00864BDD">
      <w:pPr>
        <w:pStyle w:val="Bullet"/>
      </w:pPr>
      <w:r>
        <w:t>M</w:t>
      </w:r>
      <w:r w:rsidRPr="00592F8E">
        <w:t xml:space="preserve">anagement and labor are proactively discussing strategies to prepare for </w:t>
      </w:r>
      <w:r>
        <w:t xml:space="preserve">the imposition of the </w:t>
      </w:r>
      <w:r w:rsidRPr="00592F8E">
        <w:t xml:space="preserve">2018 ACA excise tax </w:t>
      </w:r>
      <w:r>
        <w:t>and its</w:t>
      </w:r>
      <w:r w:rsidRPr="00592F8E">
        <w:t xml:space="preserve"> impact on funds available for general wa</w:t>
      </w:r>
      <w:r>
        <w:t>ge increases</w:t>
      </w:r>
      <w:r w:rsidRPr="00592F8E">
        <w:t>.</w:t>
      </w:r>
    </w:p>
    <w:p w:rsidR="00AC40FC" w:rsidRDefault="00AC40FC" w:rsidP="000E34CD">
      <w:pPr>
        <w:pStyle w:val="Findings"/>
      </w:pPr>
      <w:r>
        <w:t>The number of grievances filed by represented employees declined substantially from 2013 to 2014 and appears to be maintaining this improved performance in 2015.</w:t>
      </w:r>
    </w:p>
    <w:p w:rsidR="00AC40FC" w:rsidRDefault="00AC40FC" w:rsidP="00864BDD">
      <w:pPr>
        <w:rPr>
          <w:rFonts w:cs="Arial"/>
          <w:szCs w:val="24"/>
        </w:rPr>
      </w:pPr>
      <w:r>
        <w:rPr>
          <w:rFonts w:cs="Arial"/>
          <w:szCs w:val="24"/>
        </w:rPr>
        <w:t>The table below outlines the numbers of grievances from 2012 to June 2015:</w:t>
      </w:r>
    </w:p>
    <w:p w:rsidR="00AC40FC" w:rsidRDefault="00AC40FC" w:rsidP="002B3172">
      <w:pPr>
        <w:pStyle w:val="Caption"/>
      </w:pPr>
      <w:bookmarkStart w:id="232" w:name="_Toc462648453"/>
      <w:bookmarkStart w:id="233" w:name="_Toc464553075"/>
      <w:r>
        <w:t xml:space="preserve">Exhibit </w:t>
      </w:r>
      <w:fldSimple w:instr=" STYLEREF 1 \s ">
        <w:r w:rsidR="00A24205">
          <w:rPr>
            <w:noProof/>
          </w:rPr>
          <w:t>XII</w:t>
        </w:r>
      </w:fldSimple>
      <w:r w:rsidR="00264A1B">
        <w:noBreakHyphen/>
      </w:r>
      <w:fldSimple w:instr=" SEQ Exhibit \* ARABIC \s 1 ">
        <w:r w:rsidR="00A24205">
          <w:rPr>
            <w:noProof/>
          </w:rPr>
          <w:t>7</w:t>
        </w:r>
      </w:fldSimple>
      <w:r>
        <w:br/>
        <w:t>PPL EU Number of Grievances for 2012 through June 19, 2015</w:t>
      </w:r>
      <w:bookmarkEnd w:id="232"/>
      <w:bookmarkEnd w:id="2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7"/>
        <w:gridCol w:w="992"/>
        <w:gridCol w:w="992"/>
        <w:gridCol w:w="993"/>
        <w:gridCol w:w="853"/>
      </w:tblGrid>
      <w:tr w:rsidR="00AC40FC" w:rsidRPr="00BA001C" w:rsidTr="00864BDD">
        <w:trPr>
          <w:cantSplit/>
          <w:tblHeader/>
          <w:jc w:val="center"/>
        </w:trPr>
        <w:tc>
          <w:tcPr>
            <w:tcW w:w="3927" w:type="dxa"/>
            <w:shd w:val="clear" w:color="auto" w:fill="A5CD7E"/>
            <w:vAlign w:val="center"/>
          </w:tcPr>
          <w:p w:rsidR="00AC40FC" w:rsidRDefault="00AC40FC" w:rsidP="00521E7D">
            <w:pPr>
              <w:spacing w:before="120"/>
              <w:jc w:val="center"/>
              <w:rPr>
                <w:b/>
                <w:szCs w:val="24"/>
              </w:rPr>
            </w:pPr>
            <w:r>
              <w:rPr>
                <w:b/>
                <w:szCs w:val="24"/>
              </w:rPr>
              <w:t>Category of Grievance</w:t>
            </w:r>
          </w:p>
        </w:tc>
        <w:tc>
          <w:tcPr>
            <w:tcW w:w="992" w:type="dxa"/>
            <w:shd w:val="clear" w:color="auto" w:fill="A5CD7E"/>
            <w:vAlign w:val="center"/>
          </w:tcPr>
          <w:p w:rsidR="00AC40FC" w:rsidRDefault="00AC40FC" w:rsidP="00521E7D">
            <w:pPr>
              <w:spacing w:before="120"/>
              <w:jc w:val="center"/>
              <w:rPr>
                <w:b/>
                <w:szCs w:val="24"/>
              </w:rPr>
            </w:pPr>
            <w:r>
              <w:rPr>
                <w:b/>
                <w:szCs w:val="24"/>
              </w:rPr>
              <w:t>2012</w:t>
            </w:r>
          </w:p>
        </w:tc>
        <w:tc>
          <w:tcPr>
            <w:tcW w:w="992" w:type="dxa"/>
            <w:shd w:val="clear" w:color="auto" w:fill="A5CD7E"/>
            <w:vAlign w:val="center"/>
          </w:tcPr>
          <w:p w:rsidR="00AC40FC" w:rsidRPr="00AC37C7" w:rsidRDefault="00AC40FC" w:rsidP="00521E7D">
            <w:pPr>
              <w:spacing w:before="120"/>
              <w:jc w:val="center"/>
              <w:rPr>
                <w:b/>
                <w:szCs w:val="24"/>
              </w:rPr>
            </w:pPr>
            <w:r>
              <w:rPr>
                <w:b/>
                <w:szCs w:val="24"/>
              </w:rPr>
              <w:t>2013</w:t>
            </w:r>
          </w:p>
        </w:tc>
        <w:tc>
          <w:tcPr>
            <w:tcW w:w="993" w:type="dxa"/>
            <w:shd w:val="clear" w:color="auto" w:fill="A5CD7E"/>
            <w:vAlign w:val="center"/>
          </w:tcPr>
          <w:p w:rsidR="00AC40FC" w:rsidRPr="00AC37C7" w:rsidRDefault="00AC40FC" w:rsidP="00521E7D">
            <w:pPr>
              <w:spacing w:before="120"/>
              <w:jc w:val="center"/>
              <w:rPr>
                <w:b/>
                <w:szCs w:val="24"/>
              </w:rPr>
            </w:pPr>
            <w:r>
              <w:rPr>
                <w:b/>
                <w:szCs w:val="24"/>
              </w:rPr>
              <w:t>2014</w:t>
            </w:r>
          </w:p>
        </w:tc>
        <w:tc>
          <w:tcPr>
            <w:tcW w:w="853" w:type="dxa"/>
            <w:shd w:val="clear" w:color="auto" w:fill="A5CD7E"/>
            <w:vAlign w:val="center"/>
          </w:tcPr>
          <w:p w:rsidR="00AC40FC" w:rsidRPr="00AC37C7" w:rsidRDefault="00AC40FC" w:rsidP="00521E7D">
            <w:pPr>
              <w:spacing w:before="120"/>
              <w:jc w:val="center"/>
              <w:rPr>
                <w:b/>
                <w:szCs w:val="24"/>
              </w:rPr>
            </w:pPr>
            <w:r>
              <w:rPr>
                <w:b/>
                <w:szCs w:val="24"/>
              </w:rPr>
              <w:t>2015</w:t>
            </w:r>
          </w:p>
        </w:tc>
      </w:tr>
      <w:tr w:rsidR="00AC40FC" w:rsidRPr="00BA001C" w:rsidTr="00864BDD">
        <w:trPr>
          <w:cantSplit/>
          <w:jc w:val="center"/>
        </w:trPr>
        <w:tc>
          <w:tcPr>
            <w:tcW w:w="3927" w:type="dxa"/>
            <w:vAlign w:val="center"/>
          </w:tcPr>
          <w:p w:rsidR="00AC40FC" w:rsidRDefault="00AC40FC" w:rsidP="00864BDD">
            <w:pPr>
              <w:spacing w:after="0"/>
              <w:jc w:val="center"/>
              <w:rPr>
                <w:szCs w:val="24"/>
              </w:rPr>
            </w:pPr>
            <w:r>
              <w:rPr>
                <w:szCs w:val="24"/>
              </w:rPr>
              <w:t>Accident on the Job</w:t>
            </w:r>
          </w:p>
        </w:tc>
        <w:tc>
          <w:tcPr>
            <w:tcW w:w="992" w:type="dxa"/>
            <w:vAlign w:val="center"/>
          </w:tcPr>
          <w:p w:rsidR="00AC40FC" w:rsidRPr="00AC37C7" w:rsidRDefault="00AC40FC" w:rsidP="00864BDD">
            <w:pPr>
              <w:spacing w:after="0"/>
              <w:jc w:val="center"/>
              <w:rPr>
                <w:szCs w:val="24"/>
              </w:rPr>
            </w:pPr>
            <w:r>
              <w:rPr>
                <w:szCs w:val="24"/>
              </w:rPr>
              <w:t>1</w:t>
            </w:r>
          </w:p>
        </w:tc>
        <w:tc>
          <w:tcPr>
            <w:tcW w:w="992" w:type="dxa"/>
            <w:vAlign w:val="center"/>
          </w:tcPr>
          <w:p w:rsidR="00AC40FC" w:rsidRPr="00AC37C7" w:rsidRDefault="00AC40FC" w:rsidP="00864BDD">
            <w:pPr>
              <w:spacing w:after="0"/>
              <w:jc w:val="center"/>
              <w:rPr>
                <w:szCs w:val="24"/>
              </w:rPr>
            </w:pPr>
          </w:p>
        </w:tc>
        <w:tc>
          <w:tcPr>
            <w:tcW w:w="993" w:type="dxa"/>
            <w:vAlign w:val="center"/>
          </w:tcPr>
          <w:p w:rsidR="00AC40FC" w:rsidRPr="00AC37C7" w:rsidRDefault="00AC40FC" w:rsidP="00864BDD">
            <w:pPr>
              <w:spacing w:after="0"/>
              <w:jc w:val="center"/>
              <w:rPr>
                <w:szCs w:val="24"/>
              </w:rPr>
            </w:pPr>
          </w:p>
        </w:tc>
        <w:tc>
          <w:tcPr>
            <w:tcW w:w="853" w:type="dxa"/>
            <w:vAlign w:val="center"/>
          </w:tcPr>
          <w:p w:rsidR="00AC40FC" w:rsidRPr="00AC37C7" w:rsidRDefault="00AC40FC" w:rsidP="00864BDD">
            <w:pPr>
              <w:tabs>
                <w:tab w:val="left" w:pos="608"/>
              </w:tabs>
              <w:spacing w:after="0"/>
              <w:jc w:val="center"/>
              <w:rPr>
                <w:szCs w:val="24"/>
              </w:rPr>
            </w:pPr>
            <w:r>
              <w:rPr>
                <w:szCs w:val="24"/>
              </w:rPr>
              <w:t>1</w:t>
            </w:r>
          </w:p>
        </w:tc>
      </w:tr>
      <w:tr w:rsidR="00AC40FC" w:rsidRPr="00BA001C" w:rsidTr="00864BDD">
        <w:trPr>
          <w:cantSplit/>
          <w:jc w:val="center"/>
        </w:trPr>
        <w:tc>
          <w:tcPr>
            <w:tcW w:w="3927" w:type="dxa"/>
            <w:vAlign w:val="center"/>
          </w:tcPr>
          <w:p w:rsidR="00AC40FC" w:rsidRDefault="00AC40FC" w:rsidP="00864BDD">
            <w:pPr>
              <w:spacing w:after="0"/>
              <w:jc w:val="center"/>
              <w:rPr>
                <w:szCs w:val="24"/>
              </w:rPr>
            </w:pPr>
            <w:r>
              <w:rPr>
                <w:szCs w:val="24"/>
              </w:rPr>
              <w:t>Callout</w:t>
            </w:r>
          </w:p>
        </w:tc>
        <w:tc>
          <w:tcPr>
            <w:tcW w:w="992" w:type="dxa"/>
            <w:vAlign w:val="center"/>
          </w:tcPr>
          <w:p w:rsidR="00AC40FC" w:rsidRPr="00AC37C7" w:rsidRDefault="00AC40FC" w:rsidP="00864BDD">
            <w:pPr>
              <w:spacing w:after="0"/>
              <w:jc w:val="center"/>
              <w:rPr>
                <w:szCs w:val="24"/>
              </w:rPr>
            </w:pPr>
            <w:r>
              <w:rPr>
                <w:szCs w:val="24"/>
              </w:rPr>
              <w:t>39</w:t>
            </w:r>
          </w:p>
        </w:tc>
        <w:tc>
          <w:tcPr>
            <w:tcW w:w="992" w:type="dxa"/>
            <w:vAlign w:val="center"/>
          </w:tcPr>
          <w:p w:rsidR="00AC40FC" w:rsidRPr="00AC37C7" w:rsidRDefault="00AC40FC" w:rsidP="00864BDD">
            <w:pPr>
              <w:spacing w:after="0"/>
              <w:jc w:val="center"/>
              <w:rPr>
                <w:szCs w:val="24"/>
              </w:rPr>
            </w:pPr>
            <w:r>
              <w:rPr>
                <w:szCs w:val="24"/>
              </w:rPr>
              <w:t>49</w:t>
            </w:r>
          </w:p>
        </w:tc>
        <w:tc>
          <w:tcPr>
            <w:tcW w:w="993" w:type="dxa"/>
            <w:vAlign w:val="center"/>
          </w:tcPr>
          <w:p w:rsidR="00AC40FC" w:rsidRPr="00AC37C7" w:rsidRDefault="00AC40FC" w:rsidP="00864BDD">
            <w:pPr>
              <w:spacing w:after="0"/>
              <w:jc w:val="center"/>
              <w:rPr>
                <w:szCs w:val="24"/>
              </w:rPr>
            </w:pPr>
            <w:r>
              <w:rPr>
                <w:szCs w:val="24"/>
              </w:rPr>
              <w:t>15</w:t>
            </w:r>
          </w:p>
        </w:tc>
        <w:tc>
          <w:tcPr>
            <w:tcW w:w="853" w:type="dxa"/>
            <w:vAlign w:val="center"/>
          </w:tcPr>
          <w:p w:rsidR="00AC40FC" w:rsidRPr="00AC37C7" w:rsidRDefault="00AC40FC" w:rsidP="00864BDD">
            <w:pPr>
              <w:tabs>
                <w:tab w:val="left" w:pos="608"/>
              </w:tabs>
              <w:spacing w:after="0"/>
              <w:jc w:val="center"/>
              <w:rPr>
                <w:szCs w:val="24"/>
              </w:rPr>
            </w:pPr>
            <w:r>
              <w:rPr>
                <w:szCs w:val="24"/>
              </w:rPr>
              <w:t>4</w:t>
            </w:r>
          </w:p>
        </w:tc>
      </w:tr>
      <w:tr w:rsidR="00AC40FC" w:rsidRPr="00BA001C" w:rsidTr="00864BDD">
        <w:trPr>
          <w:cantSplit/>
          <w:jc w:val="center"/>
        </w:trPr>
        <w:tc>
          <w:tcPr>
            <w:tcW w:w="3927" w:type="dxa"/>
            <w:vAlign w:val="center"/>
          </w:tcPr>
          <w:p w:rsidR="00AC40FC" w:rsidRDefault="00AC40FC" w:rsidP="00864BDD">
            <w:pPr>
              <w:spacing w:after="0"/>
              <w:jc w:val="center"/>
              <w:rPr>
                <w:szCs w:val="24"/>
              </w:rPr>
            </w:pPr>
            <w:r>
              <w:rPr>
                <w:szCs w:val="24"/>
              </w:rPr>
              <w:t>Contracting Work</w:t>
            </w:r>
          </w:p>
        </w:tc>
        <w:tc>
          <w:tcPr>
            <w:tcW w:w="992" w:type="dxa"/>
            <w:vAlign w:val="center"/>
          </w:tcPr>
          <w:p w:rsidR="00AC40FC" w:rsidRPr="00AC37C7" w:rsidRDefault="00AC40FC" w:rsidP="00864BDD">
            <w:pPr>
              <w:spacing w:after="0"/>
              <w:jc w:val="center"/>
              <w:rPr>
                <w:szCs w:val="24"/>
              </w:rPr>
            </w:pPr>
            <w:r>
              <w:rPr>
                <w:szCs w:val="24"/>
              </w:rPr>
              <w:t>15</w:t>
            </w:r>
          </w:p>
        </w:tc>
        <w:tc>
          <w:tcPr>
            <w:tcW w:w="992" w:type="dxa"/>
            <w:vAlign w:val="center"/>
          </w:tcPr>
          <w:p w:rsidR="00AC40FC" w:rsidRPr="00AC37C7" w:rsidRDefault="00AC40FC" w:rsidP="00864BDD">
            <w:pPr>
              <w:spacing w:after="0"/>
              <w:jc w:val="center"/>
              <w:rPr>
                <w:szCs w:val="24"/>
              </w:rPr>
            </w:pPr>
            <w:r>
              <w:rPr>
                <w:szCs w:val="24"/>
              </w:rPr>
              <w:t>46</w:t>
            </w:r>
          </w:p>
        </w:tc>
        <w:tc>
          <w:tcPr>
            <w:tcW w:w="993" w:type="dxa"/>
            <w:vAlign w:val="center"/>
          </w:tcPr>
          <w:p w:rsidR="00AC40FC" w:rsidRPr="00AC37C7" w:rsidRDefault="00AC40FC" w:rsidP="00864BDD">
            <w:pPr>
              <w:spacing w:after="0"/>
              <w:jc w:val="center"/>
              <w:rPr>
                <w:szCs w:val="24"/>
              </w:rPr>
            </w:pPr>
            <w:r>
              <w:rPr>
                <w:szCs w:val="24"/>
              </w:rPr>
              <w:t>30</w:t>
            </w:r>
          </w:p>
        </w:tc>
        <w:tc>
          <w:tcPr>
            <w:tcW w:w="853" w:type="dxa"/>
            <w:vAlign w:val="center"/>
          </w:tcPr>
          <w:p w:rsidR="00AC40FC" w:rsidRPr="00AC37C7" w:rsidRDefault="00AC40FC" w:rsidP="00864BDD">
            <w:pPr>
              <w:tabs>
                <w:tab w:val="left" w:pos="608"/>
              </w:tabs>
              <w:spacing w:after="0"/>
              <w:jc w:val="center"/>
              <w:rPr>
                <w:szCs w:val="24"/>
              </w:rPr>
            </w:pPr>
            <w:r>
              <w:rPr>
                <w:szCs w:val="24"/>
              </w:rPr>
              <w:t>8</w:t>
            </w:r>
          </w:p>
        </w:tc>
      </w:tr>
      <w:tr w:rsidR="00AC40FC" w:rsidRPr="00BA001C" w:rsidTr="00864BDD">
        <w:trPr>
          <w:cantSplit/>
          <w:jc w:val="center"/>
        </w:trPr>
        <w:tc>
          <w:tcPr>
            <w:tcW w:w="3927" w:type="dxa"/>
            <w:vAlign w:val="center"/>
          </w:tcPr>
          <w:p w:rsidR="00AC40FC" w:rsidRDefault="00AC40FC" w:rsidP="00864BDD">
            <w:pPr>
              <w:spacing w:after="0"/>
              <w:jc w:val="center"/>
              <w:rPr>
                <w:szCs w:val="24"/>
              </w:rPr>
            </w:pPr>
            <w:r>
              <w:rPr>
                <w:szCs w:val="24"/>
              </w:rPr>
              <w:t>Displacement Procedure</w:t>
            </w:r>
          </w:p>
        </w:tc>
        <w:tc>
          <w:tcPr>
            <w:tcW w:w="992" w:type="dxa"/>
            <w:vAlign w:val="center"/>
          </w:tcPr>
          <w:p w:rsidR="00AC40FC" w:rsidRPr="00AC37C7" w:rsidRDefault="00AC40FC" w:rsidP="00864BDD">
            <w:pPr>
              <w:spacing w:after="0"/>
              <w:jc w:val="center"/>
              <w:rPr>
                <w:szCs w:val="24"/>
              </w:rPr>
            </w:pPr>
          </w:p>
        </w:tc>
        <w:tc>
          <w:tcPr>
            <w:tcW w:w="992" w:type="dxa"/>
            <w:vAlign w:val="center"/>
          </w:tcPr>
          <w:p w:rsidR="00AC40FC" w:rsidRPr="00AC37C7" w:rsidRDefault="00AC40FC" w:rsidP="00864BDD">
            <w:pPr>
              <w:spacing w:after="0"/>
              <w:jc w:val="center"/>
              <w:rPr>
                <w:szCs w:val="24"/>
              </w:rPr>
            </w:pPr>
            <w:r>
              <w:rPr>
                <w:szCs w:val="24"/>
              </w:rPr>
              <w:t>1</w:t>
            </w:r>
          </w:p>
        </w:tc>
        <w:tc>
          <w:tcPr>
            <w:tcW w:w="993" w:type="dxa"/>
            <w:vAlign w:val="center"/>
          </w:tcPr>
          <w:p w:rsidR="00AC40FC" w:rsidRPr="00AC37C7" w:rsidRDefault="00AC40FC" w:rsidP="00864BDD">
            <w:pPr>
              <w:spacing w:after="0"/>
              <w:jc w:val="center"/>
              <w:rPr>
                <w:szCs w:val="24"/>
              </w:rPr>
            </w:pPr>
          </w:p>
        </w:tc>
        <w:tc>
          <w:tcPr>
            <w:tcW w:w="853" w:type="dxa"/>
            <w:vAlign w:val="center"/>
          </w:tcPr>
          <w:p w:rsidR="00AC40FC" w:rsidRPr="00AC37C7" w:rsidRDefault="00AC40FC" w:rsidP="00864BDD">
            <w:pPr>
              <w:tabs>
                <w:tab w:val="left" w:pos="608"/>
              </w:tabs>
              <w:spacing w:after="0"/>
              <w:jc w:val="center"/>
              <w:rPr>
                <w:szCs w:val="24"/>
              </w:rPr>
            </w:pPr>
            <w:r>
              <w:rPr>
                <w:szCs w:val="24"/>
              </w:rPr>
              <w:t>1</w:t>
            </w:r>
          </w:p>
        </w:tc>
      </w:tr>
      <w:tr w:rsidR="00AC40FC" w:rsidRPr="00BA001C" w:rsidTr="00864BDD">
        <w:trPr>
          <w:cantSplit/>
          <w:jc w:val="center"/>
        </w:trPr>
        <w:tc>
          <w:tcPr>
            <w:tcW w:w="3927" w:type="dxa"/>
            <w:vAlign w:val="center"/>
          </w:tcPr>
          <w:p w:rsidR="00AC40FC" w:rsidRDefault="00AC40FC" w:rsidP="00864BDD">
            <w:pPr>
              <w:spacing w:after="0"/>
              <w:jc w:val="center"/>
              <w:rPr>
                <w:szCs w:val="24"/>
              </w:rPr>
            </w:pPr>
            <w:r>
              <w:rPr>
                <w:szCs w:val="24"/>
              </w:rPr>
              <w:t>Drug/Alcohol</w:t>
            </w:r>
          </w:p>
        </w:tc>
        <w:tc>
          <w:tcPr>
            <w:tcW w:w="992" w:type="dxa"/>
            <w:vAlign w:val="center"/>
          </w:tcPr>
          <w:p w:rsidR="00AC40FC" w:rsidRPr="00AC37C7" w:rsidRDefault="00AC40FC" w:rsidP="00864BDD">
            <w:pPr>
              <w:spacing w:after="0"/>
              <w:jc w:val="center"/>
              <w:rPr>
                <w:szCs w:val="24"/>
              </w:rPr>
            </w:pPr>
          </w:p>
        </w:tc>
        <w:tc>
          <w:tcPr>
            <w:tcW w:w="992" w:type="dxa"/>
            <w:vAlign w:val="center"/>
          </w:tcPr>
          <w:p w:rsidR="00AC40FC" w:rsidRPr="00AC37C7" w:rsidRDefault="00AC40FC" w:rsidP="00864BDD">
            <w:pPr>
              <w:spacing w:after="0"/>
              <w:jc w:val="center"/>
              <w:rPr>
                <w:szCs w:val="24"/>
              </w:rPr>
            </w:pPr>
            <w:r>
              <w:rPr>
                <w:szCs w:val="24"/>
              </w:rPr>
              <w:t>1</w:t>
            </w:r>
          </w:p>
        </w:tc>
        <w:tc>
          <w:tcPr>
            <w:tcW w:w="993" w:type="dxa"/>
            <w:vAlign w:val="center"/>
          </w:tcPr>
          <w:p w:rsidR="00AC40FC" w:rsidRPr="00AC37C7" w:rsidRDefault="00AC40FC" w:rsidP="00864BDD">
            <w:pPr>
              <w:spacing w:after="0"/>
              <w:jc w:val="center"/>
              <w:rPr>
                <w:szCs w:val="24"/>
              </w:rPr>
            </w:pPr>
          </w:p>
        </w:tc>
        <w:tc>
          <w:tcPr>
            <w:tcW w:w="853" w:type="dxa"/>
            <w:vAlign w:val="center"/>
          </w:tcPr>
          <w:p w:rsidR="00AC40FC" w:rsidRPr="00AC37C7" w:rsidRDefault="00AC40FC" w:rsidP="00864BDD">
            <w:pPr>
              <w:tabs>
                <w:tab w:val="left" w:pos="608"/>
              </w:tabs>
              <w:spacing w:after="0"/>
              <w:jc w:val="center"/>
              <w:rPr>
                <w:szCs w:val="24"/>
              </w:rPr>
            </w:pPr>
          </w:p>
        </w:tc>
      </w:tr>
      <w:tr w:rsidR="00AC40FC" w:rsidRPr="00BA001C" w:rsidTr="00864BDD">
        <w:trPr>
          <w:cantSplit/>
          <w:jc w:val="center"/>
        </w:trPr>
        <w:tc>
          <w:tcPr>
            <w:tcW w:w="3927" w:type="dxa"/>
            <w:vAlign w:val="center"/>
          </w:tcPr>
          <w:p w:rsidR="00AC40FC" w:rsidRDefault="00AC40FC" w:rsidP="00864BDD">
            <w:pPr>
              <w:spacing w:after="0"/>
              <w:jc w:val="center"/>
              <w:rPr>
                <w:szCs w:val="24"/>
              </w:rPr>
            </w:pPr>
            <w:r>
              <w:rPr>
                <w:szCs w:val="24"/>
              </w:rPr>
              <w:t>Expenses</w:t>
            </w:r>
          </w:p>
        </w:tc>
        <w:tc>
          <w:tcPr>
            <w:tcW w:w="992" w:type="dxa"/>
            <w:vAlign w:val="center"/>
          </w:tcPr>
          <w:p w:rsidR="00AC40FC" w:rsidRPr="00AC37C7" w:rsidRDefault="00AC40FC" w:rsidP="00864BDD">
            <w:pPr>
              <w:spacing w:after="0"/>
              <w:jc w:val="center"/>
              <w:rPr>
                <w:szCs w:val="24"/>
              </w:rPr>
            </w:pPr>
            <w:r>
              <w:rPr>
                <w:szCs w:val="24"/>
              </w:rPr>
              <w:t>1</w:t>
            </w:r>
          </w:p>
        </w:tc>
        <w:tc>
          <w:tcPr>
            <w:tcW w:w="992" w:type="dxa"/>
            <w:vAlign w:val="center"/>
          </w:tcPr>
          <w:p w:rsidR="00AC40FC" w:rsidRPr="00AC37C7" w:rsidRDefault="00AC40FC" w:rsidP="00864BDD">
            <w:pPr>
              <w:spacing w:after="0"/>
              <w:jc w:val="center"/>
              <w:rPr>
                <w:szCs w:val="24"/>
              </w:rPr>
            </w:pPr>
            <w:r>
              <w:rPr>
                <w:szCs w:val="24"/>
              </w:rPr>
              <w:t>1</w:t>
            </w:r>
          </w:p>
        </w:tc>
        <w:tc>
          <w:tcPr>
            <w:tcW w:w="993" w:type="dxa"/>
            <w:vAlign w:val="center"/>
          </w:tcPr>
          <w:p w:rsidR="00AC40FC" w:rsidRPr="00AC37C7" w:rsidRDefault="00AC40FC" w:rsidP="00864BDD">
            <w:pPr>
              <w:spacing w:after="0"/>
              <w:jc w:val="center"/>
              <w:rPr>
                <w:szCs w:val="24"/>
              </w:rPr>
            </w:pPr>
          </w:p>
        </w:tc>
        <w:tc>
          <w:tcPr>
            <w:tcW w:w="853" w:type="dxa"/>
            <w:vAlign w:val="center"/>
          </w:tcPr>
          <w:p w:rsidR="00AC40FC" w:rsidRPr="00AC37C7" w:rsidRDefault="00AC40FC" w:rsidP="00864BDD">
            <w:pPr>
              <w:tabs>
                <w:tab w:val="left" w:pos="608"/>
              </w:tabs>
              <w:spacing w:after="0"/>
              <w:jc w:val="center"/>
              <w:rPr>
                <w:szCs w:val="24"/>
              </w:rPr>
            </w:pPr>
            <w:r>
              <w:rPr>
                <w:szCs w:val="24"/>
              </w:rPr>
              <w:t>2</w:t>
            </w:r>
          </w:p>
        </w:tc>
      </w:tr>
      <w:tr w:rsidR="00AC40FC" w:rsidRPr="00BA001C" w:rsidTr="00864BDD">
        <w:trPr>
          <w:cantSplit/>
          <w:jc w:val="center"/>
        </w:trPr>
        <w:tc>
          <w:tcPr>
            <w:tcW w:w="3927" w:type="dxa"/>
            <w:vAlign w:val="center"/>
          </w:tcPr>
          <w:p w:rsidR="00AC40FC" w:rsidRDefault="00AC40FC" w:rsidP="00864BDD">
            <w:pPr>
              <w:spacing w:after="0"/>
              <w:jc w:val="center"/>
              <w:rPr>
                <w:szCs w:val="24"/>
              </w:rPr>
            </w:pPr>
            <w:r>
              <w:rPr>
                <w:szCs w:val="24"/>
              </w:rPr>
              <w:t>Grievance Procedure/Policy Implementation</w:t>
            </w:r>
          </w:p>
        </w:tc>
        <w:tc>
          <w:tcPr>
            <w:tcW w:w="992" w:type="dxa"/>
            <w:vAlign w:val="center"/>
          </w:tcPr>
          <w:p w:rsidR="00AC40FC" w:rsidRPr="00AC37C7" w:rsidRDefault="00AC40FC" w:rsidP="00864BDD">
            <w:pPr>
              <w:spacing w:after="0"/>
              <w:jc w:val="center"/>
              <w:rPr>
                <w:szCs w:val="24"/>
              </w:rPr>
            </w:pPr>
            <w:r>
              <w:rPr>
                <w:szCs w:val="24"/>
              </w:rPr>
              <w:t>2</w:t>
            </w:r>
          </w:p>
        </w:tc>
        <w:tc>
          <w:tcPr>
            <w:tcW w:w="992" w:type="dxa"/>
            <w:vAlign w:val="center"/>
          </w:tcPr>
          <w:p w:rsidR="00AC40FC" w:rsidRPr="00AC37C7" w:rsidRDefault="00AC40FC" w:rsidP="00864BDD">
            <w:pPr>
              <w:spacing w:after="0"/>
              <w:jc w:val="center"/>
              <w:rPr>
                <w:szCs w:val="24"/>
              </w:rPr>
            </w:pPr>
            <w:r>
              <w:rPr>
                <w:szCs w:val="24"/>
              </w:rPr>
              <w:t>13</w:t>
            </w:r>
          </w:p>
        </w:tc>
        <w:tc>
          <w:tcPr>
            <w:tcW w:w="993" w:type="dxa"/>
            <w:vAlign w:val="center"/>
          </w:tcPr>
          <w:p w:rsidR="00AC40FC" w:rsidRPr="00AC37C7" w:rsidRDefault="00AC40FC" w:rsidP="00864BDD">
            <w:pPr>
              <w:spacing w:after="0"/>
              <w:jc w:val="center"/>
              <w:rPr>
                <w:szCs w:val="24"/>
              </w:rPr>
            </w:pPr>
            <w:r>
              <w:rPr>
                <w:szCs w:val="24"/>
              </w:rPr>
              <w:t>1</w:t>
            </w:r>
          </w:p>
        </w:tc>
        <w:tc>
          <w:tcPr>
            <w:tcW w:w="853" w:type="dxa"/>
            <w:vAlign w:val="center"/>
          </w:tcPr>
          <w:p w:rsidR="00AC40FC" w:rsidRPr="00AC37C7" w:rsidRDefault="00AC40FC" w:rsidP="00864BDD">
            <w:pPr>
              <w:tabs>
                <w:tab w:val="left" w:pos="608"/>
              </w:tabs>
              <w:spacing w:after="0"/>
              <w:jc w:val="center"/>
              <w:rPr>
                <w:szCs w:val="24"/>
              </w:rPr>
            </w:pPr>
            <w:r>
              <w:rPr>
                <w:szCs w:val="24"/>
              </w:rPr>
              <w:t>1</w:t>
            </w:r>
          </w:p>
        </w:tc>
      </w:tr>
      <w:tr w:rsidR="00AC40FC" w:rsidRPr="00BA001C" w:rsidTr="00864BDD">
        <w:trPr>
          <w:cantSplit/>
          <w:jc w:val="center"/>
        </w:trPr>
        <w:tc>
          <w:tcPr>
            <w:tcW w:w="3927" w:type="dxa"/>
            <w:vAlign w:val="center"/>
          </w:tcPr>
          <w:p w:rsidR="00AC40FC" w:rsidRDefault="00AC40FC" w:rsidP="00864BDD">
            <w:pPr>
              <w:spacing w:after="0"/>
              <w:jc w:val="center"/>
              <w:rPr>
                <w:szCs w:val="24"/>
              </w:rPr>
            </w:pPr>
            <w:r>
              <w:rPr>
                <w:szCs w:val="24"/>
              </w:rPr>
              <w:t>Harassment</w:t>
            </w:r>
          </w:p>
        </w:tc>
        <w:tc>
          <w:tcPr>
            <w:tcW w:w="992" w:type="dxa"/>
            <w:vAlign w:val="center"/>
          </w:tcPr>
          <w:p w:rsidR="00AC40FC" w:rsidRPr="00AC37C7" w:rsidRDefault="00AC40FC" w:rsidP="00864BDD">
            <w:pPr>
              <w:spacing w:after="0"/>
              <w:jc w:val="center"/>
              <w:rPr>
                <w:szCs w:val="24"/>
              </w:rPr>
            </w:pPr>
            <w:r>
              <w:rPr>
                <w:szCs w:val="24"/>
              </w:rPr>
              <w:t>1</w:t>
            </w:r>
          </w:p>
        </w:tc>
        <w:tc>
          <w:tcPr>
            <w:tcW w:w="992" w:type="dxa"/>
            <w:vAlign w:val="center"/>
          </w:tcPr>
          <w:p w:rsidR="00AC40FC" w:rsidRPr="00AC37C7" w:rsidRDefault="00AC40FC" w:rsidP="00864BDD">
            <w:pPr>
              <w:spacing w:after="0"/>
              <w:jc w:val="center"/>
              <w:rPr>
                <w:szCs w:val="24"/>
              </w:rPr>
            </w:pPr>
            <w:r>
              <w:rPr>
                <w:szCs w:val="24"/>
              </w:rPr>
              <w:t>1</w:t>
            </w:r>
          </w:p>
        </w:tc>
        <w:tc>
          <w:tcPr>
            <w:tcW w:w="993" w:type="dxa"/>
            <w:vAlign w:val="center"/>
          </w:tcPr>
          <w:p w:rsidR="00AC40FC" w:rsidRPr="00AC37C7" w:rsidRDefault="00AC40FC" w:rsidP="00864BDD">
            <w:pPr>
              <w:spacing w:after="0"/>
              <w:jc w:val="center"/>
              <w:rPr>
                <w:szCs w:val="24"/>
              </w:rPr>
            </w:pPr>
          </w:p>
        </w:tc>
        <w:tc>
          <w:tcPr>
            <w:tcW w:w="853" w:type="dxa"/>
            <w:vAlign w:val="center"/>
          </w:tcPr>
          <w:p w:rsidR="00AC40FC" w:rsidRPr="00AC37C7" w:rsidRDefault="00AC40FC" w:rsidP="00864BDD">
            <w:pPr>
              <w:tabs>
                <w:tab w:val="left" w:pos="608"/>
              </w:tabs>
              <w:spacing w:after="0"/>
              <w:jc w:val="center"/>
              <w:rPr>
                <w:szCs w:val="24"/>
              </w:rPr>
            </w:pPr>
          </w:p>
        </w:tc>
      </w:tr>
      <w:tr w:rsidR="00AC40FC" w:rsidRPr="00BA001C" w:rsidTr="00864BDD">
        <w:trPr>
          <w:cantSplit/>
          <w:jc w:val="center"/>
        </w:trPr>
        <w:tc>
          <w:tcPr>
            <w:tcW w:w="3927" w:type="dxa"/>
            <w:vAlign w:val="center"/>
          </w:tcPr>
          <w:p w:rsidR="00AC40FC" w:rsidRDefault="00AC40FC" w:rsidP="00864BDD">
            <w:pPr>
              <w:spacing w:after="0"/>
              <w:jc w:val="center"/>
              <w:rPr>
                <w:szCs w:val="24"/>
              </w:rPr>
            </w:pPr>
            <w:r>
              <w:rPr>
                <w:szCs w:val="24"/>
              </w:rPr>
              <w:t>Holiday</w:t>
            </w:r>
          </w:p>
        </w:tc>
        <w:tc>
          <w:tcPr>
            <w:tcW w:w="992" w:type="dxa"/>
            <w:vAlign w:val="center"/>
          </w:tcPr>
          <w:p w:rsidR="00AC40FC" w:rsidRPr="00AC37C7" w:rsidRDefault="00AC40FC" w:rsidP="00864BDD">
            <w:pPr>
              <w:spacing w:after="0"/>
              <w:jc w:val="center"/>
              <w:rPr>
                <w:szCs w:val="24"/>
              </w:rPr>
            </w:pPr>
            <w:r>
              <w:rPr>
                <w:szCs w:val="24"/>
              </w:rPr>
              <w:t>1</w:t>
            </w:r>
          </w:p>
        </w:tc>
        <w:tc>
          <w:tcPr>
            <w:tcW w:w="992" w:type="dxa"/>
            <w:vAlign w:val="center"/>
          </w:tcPr>
          <w:p w:rsidR="00AC40FC" w:rsidRPr="00AC37C7" w:rsidRDefault="00AC40FC" w:rsidP="00864BDD">
            <w:pPr>
              <w:spacing w:after="0"/>
              <w:jc w:val="center"/>
              <w:rPr>
                <w:szCs w:val="24"/>
              </w:rPr>
            </w:pPr>
            <w:r>
              <w:rPr>
                <w:szCs w:val="24"/>
              </w:rPr>
              <w:t>1</w:t>
            </w:r>
          </w:p>
        </w:tc>
        <w:tc>
          <w:tcPr>
            <w:tcW w:w="993" w:type="dxa"/>
            <w:vAlign w:val="center"/>
          </w:tcPr>
          <w:p w:rsidR="00AC40FC" w:rsidRPr="00AC37C7" w:rsidRDefault="00AC40FC" w:rsidP="00864BDD">
            <w:pPr>
              <w:spacing w:after="0"/>
              <w:jc w:val="center"/>
              <w:rPr>
                <w:szCs w:val="24"/>
              </w:rPr>
            </w:pPr>
          </w:p>
        </w:tc>
        <w:tc>
          <w:tcPr>
            <w:tcW w:w="853" w:type="dxa"/>
            <w:vAlign w:val="center"/>
          </w:tcPr>
          <w:p w:rsidR="00AC40FC" w:rsidRPr="00AC37C7" w:rsidRDefault="00AC40FC" w:rsidP="00864BDD">
            <w:pPr>
              <w:tabs>
                <w:tab w:val="left" w:pos="608"/>
              </w:tabs>
              <w:spacing w:after="0"/>
              <w:jc w:val="center"/>
              <w:rPr>
                <w:szCs w:val="24"/>
              </w:rPr>
            </w:pPr>
            <w:r>
              <w:rPr>
                <w:szCs w:val="24"/>
              </w:rPr>
              <w:t>1</w:t>
            </w:r>
          </w:p>
        </w:tc>
      </w:tr>
      <w:tr w:rsidR="00AC40FC" w:rsidRPr="00BA001C" w:rsidTr="00864BDD">
        <w:trPr>
          <w:cantSplit/>
          <w:jc w:val="center"/>
        </w:trPr>
        <w:tc>
          <w:tcPr>
            <w:tcW w:w="3927" w:type="dxa"/>
            <w:vAlign w:val="center"/>
          </w:tcPr>
          <w:p w:rsidR="00AC40FC" w:rsidRDefault="00AC40FC" w:rsidP="00864BDD">
            <w:pPr>
              <w:spacing w:after="0"/>
              <w:jc w:val="center"/>
              <w:rPr>
                <w:szCs w:val="24"/>
              </w:rPr>
            </w:pPr>
            <w:r>
              <w:rPr>
                <w:szCs w:val="24"/>
              </w:rPr>
              <w:t>Inclement Weather</w:t>
            </w:r>
          </w:p>
        </w:tc>
        <w:tc>
          <w:tcPr>
            <w:tcW w:w="992" w:type="dxa"/>
            <w:vAlign w:val="center"/>
          </w:tcPr>
          <w:p w:rsidR="00AC40FC" w:rsidRPr="00AC37C7" w:rsidRDefault="00AC40FC" w:rsidP="00864BDD">
            <w:pPr>
              <w:spacing w:after="0"/>
              <w:jc w:val="center"/>
              <w:rPr>
                <w:szCs w:val="24"/>
              </w:rPr>
            </w:pPr>
          </w:p>
        </w:tc>
        <w:tc>
          <w:tcPr>
            <w:tcW w:w="992" w:type="dxa"/>
            <w:vAlign w:val="center"/>
          </w:tcPr>
          <w:p w:rsidR="00AC40FC" w:rsidRPr="00AC37C7" w:rsidRDefault="00AC40FC" w:rsidP="00864BDD">
            <w:pPr>
              <w:spacing w:after="0"/>
              <w:jc w:val="center"/>
              <w:rPr>
                <w:szCs w:val="24"/>
              </w:rPr>
            </w:pPr>
          </w:p>
        </w:tc>
        <w:tc>
          <w:tcPr>
            <w:tcW w:w="993" w:type="dxa"/>
            <w:vAlign w:val="center"/>
          </w:tcPr>
          <w:p w:rsidR="00AC40FC" w:rsidRPr="00AC37C7" w:rsidRDefault="00AC40FC" w:rsidP="00864BDD">
            <w:pPr>
              <w:spacing w:after="0"/>
              <w:jc w:val="center"/>
              <w:rPr>
                <w:szCs w:val="24"/>
              </w:rPr>
            </w:pPr>
          </w:p>
        </w:tc>
        <w:tc>
          <w:tcPr>
            <w:tcW w:w="853" w:type="dxa"/>
            <w:vAlign w:val="center"/>
          </w:tcPr>
          <w:p w:rsidR="00AC40FC" w:rsidRPr="00AC37C7" w:rsidRDefault="00AC40FC" w:rsidP="00864BDD">
            <w:pPr>
              <w:tabs>
                <w:tab w:val="left" w:pos="608"/>
              </w:tabs>
              <w:spacing w:after="0"/>
              <w:jc w:val="center"/>
              <w:rPr>
                <w:szCs w:val="24"/>
              </w:rPr>
            </w:pPr>
            <w:r>
              <w:rPr>
                <w:szCs w:val="24"/>
              </w:rPr>
              <w:t>1</w:t>
            </w:r>
          </w:p>
        </w:tc>
      </w:tr>
      <w:tr w:rsidR="00AC40FC" w:rsidRPr="00BA001C" w:rsidTr="00864BDD">
        <w:trPr>
          <w:cantSplit/>
          <w:jc w:val="center"/>
        </w:trPr>
        <w:tc>
          <w:tcPr>
            <w:tcW w:w="3927" w:type="dxa"/>
            <w:vAlign w:val="center"/>
          </w:tcPr>
          <w:p w:rsidR="00AC40FC" w:rsidRDefault="00AC40FC" w:rsidP="00864BDD">
            <w:pPr>
              <w:spacing w:after="0"/>
              <w:jc w:val="center"/>
              <w:rPr>
                <w:szCs w:val="24"/>
              </w:rPr>
            </w:pPr>
            <w:r>
              <w:rPr>
                <w:szCs w:val="24"/>
              </w:rPr>
              <w:t>Job Description</w:t>
            </w:r>
          </w:p>
        </w:tc>
        <w:tc>
          <w:tcPr>
            <w:tcW w:w="992" w:type="dxa"/>
            <w:vAlign w:val="center"/>
          </w:tcPr>
          <w:p w:rsidR="00AC40FC" w:rsidRPr="00AC37C7" w:rsidRDefault="00AC40FC" w:rsidP="00864BDD">
            <w:pPr>
              <w:spacing w:after="0"/>
              <w:jc w:val="center"/>
              <w:rPr>
                <w:szCs w:val="24"/>
              </w:rPr>
            </w:pPr>
            <w:r>
              <w:rPr>
                <w:szCs w:val="24"/>
              </w:rPr>
              <w:t>10</w:t>
            </w:r>
          </w:p>
        </w:tc>
        <w:tc>
          <w:tcPr>
            <w:tcW w:w="992" w:type="dxa"/>
            <w:vAlign w:val="center"/>
          </w:tcPr>
          <w:p w:rsidR="00AC40FC" w:rsidRPr="00AC37C7" w:rsidRDefault="00AC40FC" w:rsidP="00864BDD">
            <w:pPr>
              <w:spacing w:after="0"/>
              <w:jc w:val="center"/>
              <w:rPr>
                <w:szCs w:val="24"/>
              </w:rPr>
            </w:pPr>
            <w:r>
              <w:rPr>
                <w:szCs w:val="24"/>
              </w:rPr>
              <w:t>3</w:t>
            </w:r>
          </w:p>
        </w:tc>
        <w:tc>
          <w:tcPr>
            <w:tcW w:w="993" w:type="dxa"/>
            <w:vAlign w:val="center"/>
          </w:tcPr>
          <w:p w:rsidR="00AC40FC" w:rsidRPr="00AC37C7" w:rsidRDefault="00AC40FC" w:rsidP="00864BDD">
            <w:pPr>
              <w:spacing w:after="0"/>
              <w:jc w:val="center"/>
              <w:rPr>
                <w:szCs w:val="24"/>
              </w:rPr>
            </w:pPr>
            <w:r>
              <w:rPr>
                <w:szCs w:val="24"/>
              </w:rPr>
              <w:t>5</w:t>
            </w:r>
          </w:p>
        </w:tc>
        <w:tc>
          <w:tcPr>
            <w:tcW w:w="853" w:type="dxa"/>
            <w:vAlign w:val="center"/>
          </w:tcPr>
          <w:p w:rsidR="00AC40FC" w:rsidRPr="00AC37C7" w:rsidRDefault="00AC40FC" w:rsidP="00864BDD">
            <w:pPr>
              <w:tabs>
                <w:tab w:val="left" w:pos="608"/>
              </w:tabs>
              <w:spacing w:after="0"/>
              <w:jc w:val="center"/>
              <w:rPr>
                <w:szCs w:val="24"/>
              </w:rPr>
            </w:pPr>
            <w:r>
              <w:rPr>
                <w:szCs w:val="24"/>
              </w:rPr>
              <w:t>2</w:t>
            </w:r>
          </w:p>
        </w:tc>
      </w:tr>
      <w:tr w:rsidR="00AC40FC" w:rsidRPr="00BA001C" w:rsidTr="00864BDD">
        <w:trPr>
          <w:cantSplit/>
          <w:jc w:val="center"/>
        </w:trPr>
        <w:tc>
          <w:tcPr>
            <w:tcW w:w="3927" w:type="dxa"/>
            <w:vAlign w:val="center"/>
          </w:tcPr>
          <w:p w:rsidR="00AC40FC" w:rsidRDefault="00AC40FC" w:rsidP="00864BDD">
            <w:pPr>
              <w:spacing w:after="0"/>
              <w:jc w:val="center"/>
              <w:rPr>
                <w:szCs w:val="24"/>
              </w:rPr>
            </w:pPr>
            <w:r>
              <w:rPr>
                <w:szCs w:val="24"/>
              </w:rPr>
              <w:t>Job - Salary Progression</w:t>
            </w:r>
          </w:p>
        </w:tc>
        <w:tc>
          <w:tcPr>
            <w:tcW w:w="992" w:type="dxa"/>
            <w:vAlign w:val="center"/>
          </w:tcPr>
          <w:p w:rsidR="00AC40FC" w:rsidRPr="00AC37C7" w:rsidRDefault="00AC40FC" w:rsidP="00864BDD">
            <w:pPr>
              <w:spacing w:after="0"/>
              <w:jc w:val="center"/>
              <w:rPr>
                <w:szCs w:val="24"/>
              </w:rPr>
            </w:pPr>
            <w:r>
              <w:rPr>
                <w:szCs w:val="24"/>
              </w:rPr>
              <w:t>1</w:t>
            </w:r>
          </w:p>
        </w:tc>
        <w:tc>
          <w:tcPr>
            <w:tcW w:w="992" w:type="dxa"/>
            <w:vAlign w:val="center"/>
          </w:tcPr>
          <w:p w:rsidR="00AC40FC" w:rsidRPr="00AC37C7" w:rsidRDefault="00AC40FC" w:rsidP="00864BDD">
            <w:pPr>
              <w:spacing w:after="0"/>
              <w:jc w:val="center"/>
              <w:rPr>
                <w:szCs w:val="24"/>
              </w:rPr>
            </w:pPr>
          </w:p>
        </w:tc>
        <w:tc>
          <w:tcPr>
            <w:tcW w:w="993" w:type="dxa"/>
            <w:vAlign w:val="center"/>
          </w:tcPr>
          <w:p w:rsidR="00AC40FC" w:rsidRPr="00AC37C7" w:rsidRDefault="00AC40FC" w:rsidP="00864BDD">
            <w:pPr>
              <w:spacing w:after="0"/>
              <w:jc w:val="center"/>
              <w:rPr>
                <w:szCs w:val="24"/>
              </w:rPr>
            </w:pPr>
            <w:r>
              <w:rPr>
                <w:szCs w:val="24"/>
              </w:rPr>
              <w:t>1</w:t>
            </w:r>
          </w:p>
        </w:tc>
        <w:tc>
          <w:tcPr>
            <w:tcW w:w="853" w:type="dxa"/>
            <w:vAlign w:val="center"/>
          </w:tcPr>
          <w:p w:rsidR="00AC40FC" w:rsidRPr="00AC37C7" w:rsidRDefault="00AC40FC" w:rsidP="00864BDD">
            <w:pPr>
              <w:tabs>
                <w:tab w:val="left" w:pos="608"/>
              </w:tabs>
              <w:spacing w:after="0"/>
              <w:jc w:val="center"/>
              <w:rPr>
                <w:szCs w:val="24"/>
              </w:rPr>
            </w:pPr>
          </w:p>
        </w:tc>
      </w:tr>
      <w:tr w:rsidR="00AC40FC" w:rsidRPr="00BA001C" w:rsidTr="00864BDD">
        <w:trPr>
          <w:cantSplit/>
          <w:jc w:val="center"/>
        </w:trPr>
        <w:tc>
          <w:tcPr>
            <w:tcW w:w="3927" w:type="dxa"/>
            <w:vAlign w:val="center"/>
          </w:tcPr>
          <w:p w:rsidR="00AC40FC" w:rsidRDefault="00AC40FC" w:rsidP="00864BDD">
            <w:pPr>
              <w:spacing w:after="0"/>
              <w:jc w:val="center"/>
              <w:rPr>
                <w:szCs w:val="24"/>
              </w:rPr>
            </w:pPr>
            <w:r>
              <w:rPr>
                <w:szCs w:val="24"/>
              </w:rPr>
              <w:t>Job Vacancy – Not Filled</w:t>
            </w:r>
          </w:p>
        </w:tc>
        <w:tc>
          <w:tcPr>
            <w:tcW w:w="992" w:type="dxa"/>
            <w:vAlign w:val="center"/>
          </w:tcPr>
          <w:p w:rsidR="00AC40FC" w:rsidRPr="00AC37C7" w:rsidRDefault="00AC40FC" w:rsidP="00864BDD">
            <w:pPr>
              <w:spacing w:after="0"/>
              <w:jc w:val="center"/>
              <w:rPr>
                <w:szCs w:val="24"/>
              </w:rPr>
            </w:pPr>
            <w:r>
              <w:rPr>
                <w:szCs w:val="24"/>
              </w:rPr>
              <w:t>2</w:t>
            </w:r>
          </w:p>
        </w:tc>
        <w:tc>
          <w:tcPr>
            <w:tcW w:w="992" w:type="dxa"/>
            <w:vAlign w:val="center"/>
          </w:tcPr>
          <w:p w:rsidR="00AC40FC" w:rsidRPr="00AC37C7" w:rsidRDefault="00AC40FC" w:rsidP="00864BDD">
            <w:pPr>
              <w:spacing w:after="0"/>
              <w:jc w:val="center"/>
              <w:rPr>
                <w:szCs w:val="24"/>
              </w:rPr>
            </w:pPr>
            <w:r>
              <w:rPr>
                <w:szCs w:val="24"/>
              </w:rPr>
              <w:t>6</w:t>
            </w:r>
          </w:p>
        </w:tc>
        <w:tc>
          <w:tcPr>
            <w:tcW w:w="993" w:type="dxa"/>
            <w:vAlign w:val="center"/>
          </w:tcPr>
          <w:p w:rsidR="00AC40FC" w:rsidRPr="00AC37C7" w:rsidRDefault="00AC40FC" w:rsidP="00864BDD">
            <w:pPr>
              <w:spacing w:after="0"/>
              <w:jc w:val="center"/>
              <w:rPr>
                <w:szCs w:val="24"/>
              </w:rPr>
            </w:pPr>
            <w:r>
              <w:rPr>
                <w:szCs w:val="24"/>
              </w:rPr>
              <w:t>8</w:t>
            </w:r>
          </w:p>
        </w:tc>
        <w:tc>
          <w:tcPr>
            <w:tcW w:w="853" w:type="dxa"/>
            <w:vAlign w:val="center"/>
          </w:tcPr>
          <w:p w:rsidR="00AC40FC" w:rsidRPr="00AC37C7" w:rsidRDefault="00AC40FC" w:rsidP="00864BDD">
            <w:pPr>
              <w:tabs>
                <w:tab w:val="left" w:pos="608"/>
              </w:tabs>
              <w:spacing w:after="0"/>
              <w:jc w:val="center"/>
              <w:rPr>
                <w:szCs w:val="24"/>
              </w:rPr>
            </w:pPr>
            <w:r>
              <w:rPr>
                <w:szCs w:val="24"/>
              </w:rPr>
              <w:t>2</w:t>
            </w:r>
          </w:p>
        </w:tc>
      </w:tr>
      <w:tr w:rsidR="00AC40FC" w:rsidRPr="00BA001C" w:rsidTr="00864BDD">
        <w:trPr>
          <w:cantSplit/>
          <w:jc w:val="center"/>
        </w:trPr>
        <w:tc>
          <w:tcPr>
            <w:tcW w:w="3927" w:type="dxa"/>
            <w:vAlign w:val="center"/>
          </w:tcPr>
          <w:p w:rsidR="00AC40FC" w:rsidRDefault="00AC40FC" w:rsidP="00864BDD">
            <w:pPr>
              <w:spacing w:after="0"/>
              <w:jc w:val="center"/>
              <w:rPr>
                <w:szCs w:val="24"/>
              </w:rPr>
            </w:pPr>
            <w:r>
              <w:rPr>
                <w:szCs w:val="24"/>
              </w:rPr>
              <w:t>Medical</w:t>
            </w:r>
          </w:p>
        </w:tc>
        <w:tc>
          <w:tcPr>
            <w:tcW w:w="992" w:type="dxa"/>
            <w:vAlign w:val="center"/>
          </w:tcPr>
          <w:p w:rsidR="00AC40FC" w:rsidRPr="00AC37C7" w:rsidRDefault="00AC40FC" w:rsidP="00864BDD">
            <w:pPr>
              <w:spacing w:after="0"/>
              <w:jc w:val="center"/>
              <w:rPr>
                <w:szCs w:val="24"/>
              </w:rPr>
            </w:pPr>
            <w:r>
              <w:rPr>
                <w:szCs w:val="24"/>
              </w:rPr>
              <w:t>4</w:t>
            </w:r>
          </w:p>
        </w:tc>
        <w:tc>
          <w:tcPr>
            <w:tcW w:w="992" w:type="dxa"/>
            <w:vAlign w:val="center"/>
          </w:tcPr>
          <w:p w:rsidR="00AC40FC" w:rsidRPr="00AC37C7" w:rsidRDefault="00AC40FC" w:rsidP="00864BDD">
            <w:pPr>
              <w:spacing w:after="0"/>
              <w:jc w:val="center"/>
              <w:rPr>
                <w:szCs w:val="24"/>
              </w:rPr>
            </w:pPr>
            <w:r>
              <w:rPr>
                <w:szCs w:val="24"/>
              </w:rPr>
              <w:t>5</w:t>
            </w:r>
          </w:p>
        </w:tc>
        <w:tc>
          <w:tcPr>
            <w:tcW w:w="993" w:type="dxa"/>
            <w:vAlign w:val="center"/>
          </w:tcPr>
          <w:p w:rsidR="00AC40FC" w:rsidRPr="00AC37C7" w:rsidRDefault="00AC40FC" w:rsidP="00864BDD">
            <w:pPr>
              <w:spacing w:after="0"/>
              <w:jc w:val="center"/>
              <w:rPr>
                <w:szCs w:val="24"/>
              </w:rPr>
            </w:pPr>
            <w:r>
              <w:rPr>
                <w:szCs w:val="24"/>
              </w:rPr>
              <w:t>4</w:t>
            </w:r>
          </w:p>
        </w:tc>
        <w:tc>
          <w:tcPr>
            <w:tcW w:w="853" w:type="dxa"/>
            <w:vAlign w:val="center"/>
          </w:tcPr>
          <w:p w:rsidR="00AC40FC" w:rsidRPr="00AC37C7" w:rsidRDefault="00AC40FC" w:rsidP="00864BDD">
            <w:pPr>
              <w:tabs>
                <w:tab w:val="left" w:pos="608"/>
              </w:tabs>
              <w:spacing w:after="0"/>
              <w:jc w:val="center"/>
              <w:rPr>
                <w:szCs w:val="24"/>
              </w:rPr>
            </w:pPr>
          </w:p>
        </w:tc>
      </w:tr>
      <w:tr w:rsidR="00AC40FC" w:rsidRPr="00BA001C" w:rsidTr="00864BDD">
        <w:trPr>
          <w:cantSplit/>
          <w:jc w:val="center"/>
        </w:trPr>
        <w:tc>
          <w:tcPr>
            <w:tcW w:w="3927" w:type="dxa"/>
            <w:vAlign w:val="center"/>
          </w:tcPr>
          <w:p w:rsidR="00AC40FC" w:rsidRDefault="00AC40FC" w:rsidP="00864BDD">
            <w:pPr>
              <w:spacing w:after="0"/>
              <w:jc w:val="center"/>
              <w:rPr>
                <w:szCs w:val="24"/>
              </w:rPr>
            </w:pPr>
            <w:r>
              <w:rPr>
                <w:szCs w:val="24"/>
              </w:rPr>
              <w:t>Past Practice – Paycheck</w:t>
            </w:r>
          </w:p>
        </w:tc>
        <w:tc>
          <w:tcPr>
            <w:tcW w:w="992" w:type="dxa"/>
            <w:vAlign w:val="center"/>
          </w:tcPr>
          <w:p w:rsidR="00AC40FC" w:rsidRPr="00AC37C7" w:rsidRDefault="00AC40FC" w:rsidP="00864BDD">
            <w:pPr>
              <w:spacing w:after="0"/>
              <w:jc w:val="center"/>
              <w:rPr>
                <w:szCs w:val="24"/>
              </w:rPr>
            </w:pPr>
            <w:r>
              <w:rPr>
                <w:szCs w:val="24"/>
              </w:rPr>
              <w:t>2</w:t>
            </w:r>
          </w:p>
        </w:tc>
        <w:tc>
          <w:tcPr>
            <w:tcW w:w="992" w:type="dxa"/>
            <w:vAlign w:val="center"/>
          </w:tcPr>
          <w:p w:rsidR="00AC40FC" w:rsidRPr="00AC37C7" w:rsidRDefault="00AC40FC" w:rsidP="00864BDD">
            <w:pPr>
              <w:spacing w:after="0"/>
              <w:jc w:val="center"/>
              <w:rPr>
                <w:szCs w:val="24"/>
              </w:rPr>
            </w:pPr>
            <w:r>
              <w:rPr>
                <w:szCs w:val="24"/>
              </w:rPr>
              <w:t>3</w:t>
            </w:r>
          </w:p>
        </w:tc>
        <w:tc>
          <w:tcPr>
            <w:tcW w:w="993" w:type="dxa"/>
            <w:vAlign w:val="center"/>
          </w:tcPr>
          <w:p w:rsidR="00AC40FC" w:rsidRPr="00AC37C7" w:rsidRDefault="00AC40FC" w:rsidP="00864BDD">
            <w:pPr>
              <w:spacing w:after="0"/>
              <w:jc w:val="center"/>
              <w:rPr>
                <w:szCs w:val="24"/>
              </w:rPr>
            </w:pPr>
          </w:p>
        </w:tc>
        <w:tc>
          <w:tcPr>
            <w:tcW w:w="853" w:type="dxa"/>
            <w:vAlign w:val="center"/>
          </w:tcPr>
          <w:p w:rsidR="00AC40FC" w:rsidRPr="00AC37C7" w:rsidRDefault="00AC40FC" w:rsidP="00864BDD">
            <w:pPr>
              <w:tabs>
                <w:tab w:val="left" w:pos="608"/>
              </w:tabs>
              <w:spacing w:after="0"/>
              <w:jc w:val="center"/>
              <w:rPr>
                <w:szCs w:val="24"/>
              </w:rPr>
            </w:pPr>
          </w:p>
        </w:tc>
      </w:tr>
      <w:tr w:rsidR="00AC40FC" w:rsidRPr="00BA001C" w:rsidTr="00864BDD">
        <w:trPr>
          <w:cantSplit/>
          <w:jc w:val="center"/>
        </w:trPr>
        <w:tc>
          <w:tcPr>
            <w:tcW w:w="3927" w:type="dxa"/>
            <w:vAlign w:val="center"/>
          </w:tcPr>
          <w:p w:rsidR="00AC40FC" w:rsidRDefault="00AC40FC" w:rsidP="00864BDD">
            <w:pPr>
              <w:spacing w:after="0"/>
              <w:jc w:val="center"/>
              <w:rPr>
                <w:szCs w:val="24"/>
              </w:rPr>
            </w:pPr>
            <w:r>
              <w:rPr>
                <w:szCs w:val="24"/>
              </w:rPr>
              <w:t>Performance Rating</w:t>
            </w:r>
          </w:p>
        </w:tc>
        <w:tc>
          <w:tcPr>
            <w:tcW w:w="992" w:type="dxa"/>
            <w:vAlign w:val="center"/>
          </w:tcPr>
          <w:p w:rsidR="00AC40FC" w:rsidRPr="00AC37C7" w:rsidRDefault="00AC40FC" w:rsidP="00864BDD">
            <w:pPr>
              <w:spacing w:after="0"/>
              <w:jc w:val="center"/>
              <w:rPr>
                <w:szCs w:val="24"/>
              </w:rPr>
            </w:pPr>
            <w:r>
              <w:rPr>
                <w:szCs w:val="24"/>
              </w:rPr>
              <w:t>19</w:t>
            </w:r>
          </w:p>
        </w:tc>
        <w:tc>
          <w:tcPr>
            <w:tcW w:w="992" w:type="dxa"/>
            <w:vAlign w:val="center"/>
          </w:tcPr>
          <w:p w:rsidR="00AC40FC" w:rsidRPr="00AC37C7" w:rsidRDefault="00AC40FC" w:rsidP="00864BDD">
            <w:pPr>
              <w:spacing w:after="0"/>
              <w:jc w:val="center"/>
              <w:rPr>
                <w:szCs w:val="24"/>
              </w:rPr>
            </w:pPr>
            <w:r>
              <w:rPr>
                <w:szCs w:val="24"/>
              </w:rPr>
              <w:t>18</w:t>
            </w:r>
          </w:p>
        </w:tc>
        <w:tc>
          <w:tcPr>
            <w:tcW w:w="993" w:type="dxa"/>
            <w:vAlign w:val="center"/>
          </w:tcPr>
          <w:p w:rsidR="00AC40FC" w:rsidRPr="00AC37C7" w:rsidRDefault="00AC40FC" w:rsidP="00864BDD">
            <w:pPr>
              <w:spacing w:after="0"/>
              <w:jc w:val="center"/>
              <w:rPr>
                <w:szCs w:val="24"/>
              </w:rPr>
            </w:pPr>
            <w:r>
              <w:rPr>
                <w:szCs w:val="24"/>
              </w:rPr>
              <w:t>15</w:t>
            </w:r>
          </w:p>
        </w:tc>
        <w:tc>
          <w:tcPr>
            <w:tcW w:w="853" w:type="dxa"/>
            <w:vAlign w:val="center"/>
          </w:tcPr>
          <w:p w:rsidR="00AC40FC" w:rsidRPr="00AC37C7" w:rsidRDefault="00AC40FC" w:rsidP="00864BDD">
            <w:pPr>
              <w:tabs>
                <w:tab w:val="left" w:pos="608"/>
              </w:tabs>
              <w:spacing w:after="0"/>
              <w:jc w:val="center"/>
              <w:rPr>
                <w:szCs w:val="24"/>
              </w:rPr>
            </w:pPr>
            <w:r>
              <w:rPr>
                <w:szCs w:val="24"/>
              </w:rPr>
              <w:t>22</w:t>
            </w:r>
          </w:p>
        </w:tc>
      </w:tr>
      <w:tr w:rsidR="00AC40FC" w:rsidRPr="00BA001C" w:rsidTr="00864BDD">
        <w:trPr>
          <w:cantSplit/>
          <w:jc w:val="center"/>
        </w:trPr>
        <w:tc>
          <w:tcPr>
            <w:tcW w:w="3927" w:type="dxa"/>
            <w:vAlign w:val="center"/>
          </w:tcPr>
          <w:p w:rsidR="00AC40FC" w:rsidRDefault="00AC40FC" w:rsidP="00864BDD">
            <w:pPr>
              <w:spacing w:after="0"/>
              <w:jc w:val="center"/>
              <w:rPr>
                <w:szCs w:val="24"/>
              </w:rPr>
            </w:pPr>
            <w:r>
              <w:rPr>
                <w:szCs w:val="24"/>
              </w:rPr>
              <w:t>Progression Line</w:t>
            </w:r>
          </w:p>
        </w:tc>
        <w:tc>
          <w:tcPr>
            <w:tcW w:w="992" w:type="dxa"/>
            <w:vAlign w:val="center"/>
          </w:tcPr>
          <w:p w:rsidR="00AC40FC" w:rsidRPr="00AC37C7" w:rsidRDefault="00AC40FC" w:rsidP="00864BDD">
            <w:pPr>
              <w:spacing w:after="0"/>
              <w:jc w:val="center"/>
              <w:rPr>
                <w:szCs w:val="24"/>
              </w:rPr>
            </w:pPr>
            <w:r>
              <w:rPr>
                <w:szCs w:val="24"/>
              </w:rPr>
              <w:t>5</w:t>
            </w:r>
          </w:p>
        </w:tc>
        <w:tc>
          <w:tcPr>
            <w:tcW w:w="992" w:type="dxa"/>
            <w:vAlign w:val="center"/>
          </w:tcPr>
          <w:p w:rsidR="00AC40FC" w:rsidRPr="00AC37C7" w:rsidRDefault="00AC40FC" w:rsidP="00864BDD">
            <w:pPr>
              <w:spacing w:after="0"/>
              <w:jc w:val="center"/>
              <w:rPr>
                <w:szCs w:val="24"/>
              </w:rPr>
            </w:pPr>
            <w:r>
              <w:rPr>
                <w:szCs w:val="24"/>
              </w:rPr>
              <w:t>25</w:t>
            </w:r>
          </w:p>
        </w:tc>
        <w:tc>
          <w:tcPr>
            <w:tcW w:w="993" w:type="dxa"/>
            <w:vAlign w:val="center"/>
          </w:tcPr>
          <w:p w:rsidR="00AC40FC" w:rsidRPr="00AC37C7" w:rsidRDefault="00AC40FC" w:rsidP="00864BDD">
            <w:pPr>
              <w:spacing w:after="0"/>
              <w:jc w:val="center"/>
              <w:rPr>
                <w:szCs w:val="24"/>
              </w:rPr>
            </w:pPr>
            <w:r>
              <w:rPr>
                <w:szCs w:val="24"/>
              </w:rPr>
              <w:t>4</w:t>
            </w:r>
          </w:p>
        </w:tc>
        <w:tc>
          <w:tcPr>
            <w:tcW w:w="853" w:type="dxa"/>
            <w:vAlign w:val="center"/>
          </w:tcPr>
          <w:p w:rsidR="00AC40FC" w:rsidRPr="00AC37C7" w:rsidRDefault="00AC40FC" w:rsidP="00864BDD">
            <w:pPr>
              <w:tabs>
                <w:tab w:val="left" w:pos="608"/>
              </w:tabs>
              <w:spacing w:after="0"/>
              <w:jc w:val="center"/>
              <w:rPr>
                <w:szCs w:val="24"/>
              </w:rPr>
            </w:pPr>
            <w:r>
              <w:rPr>
                <w:szCs w:val="24"/>
              </w:rPr>
              <w:t>4</w:t>
            </w:r>
          </w:p>
        </w:tc>
      </w:tr>
      <w:tr w:rsidR="00AC40FC" w:rsidRPr="00BA001C" w:rsidTr="00864BDD">
        <w:trPr>
          <w:cantSplit/>
          <w:jc w:val="center"/>
        </w:trPr>
        <w:tc>
          <w:tcPr>
            <w:tcW w:w="3927" w:type="dxa"/>
            <w:vAlign w:val="center"/>
          </w:tcPr>
          <w:p w:rsidR="00AC40FC" w:rsidRDefault="00AC40FC" w:rsidP="00864BDD">
            <w:pPr>
              <w:spacing w:after="0"/>
              <w:jc w:val="center"/>
              <w:rPr>
                <w:szCs w:val="24"/>
              </w:rPr>
            </w:pPr>
            <w:r>
              <w:rPr>
                <w:szCs w:val="24"/>
              </w:rPr>
              <w:t>RBP</w:t>
            </w:r>
          </w:p>
        </w:tc>
        <w:tc>
          <w:tcPr>
            <w:tcW w:w="992" w:type="dxa"/>
            <w:vAlign w:val="center"/>
          </w:tcPr>
          <w:p w:rsidR="00AC40FC" w:rsidRPr="00AC37C7" w:rsidRDefault="00AC40FC" w:rsidP="00864BDD">
            <w:pPr>
              <w:spacing w:after="0"/>
              <w:jc w:val="center"/>
              <w:rPr>
                <w:szCs w:val="24"/>
              </w:rPr>
            </w:pPr>
            <w:r>
              <w:rPr>
                <w:szCs w:val="24"/>
              </w:rPr>
              <w:t>21</w:t>
            </w:r>
          </w:p>
        </w:tc>
        <w:tc>
          <w:tcPr>
            <w:tcW w:w="992" w:type="dxa"/>
            <w:vAlign w:val="center"/>
          </w:tcPr>
          <w:p w:rsidR="00AC40FC" w:rsidRPr="00AC37C7" w:rsidRDefault="00AC40FC" w:rsidP="00864BDD">
            <w:pPr>
              <w:spacing w:after="0"/>
              <w:jc w:val="center"/>
              <w:rPr>
                <w:szCs w:val="24"/>
              </w:rPr>
            </w:pPr>
            <w:r>
              <w:rPr>
                <w:szCs w:val="24"/>
              </w:rPr>
              <w:t>15</w:t>
            </w:r>
          </w:p>
        </w:tc>
        <w:tc>
          <w:tcPr>
            <w:tcW w:w="993" w:type="dxa"/>
            <w:vAlign w:val="center"/>
          </w:tcPr>
          <w:p w:rsidR="00AC40FC" w:rsidRPr="00AC37C7" w:rsidRDefault="00AC40FC" w:rsidP="00864BDD">
            <w:pPr>
              <w:spacing w:after="0"/>
              <w:jc w:val="center"/>
              <w:rPr>
                <w:szCs w:val="24"/>
              </w:rPr>
            </w:pPr>
            <w:r>
              <w:rPr>
                <w:szCs w:val="24"/>
              </w:rPr>
              <w:t>21</w:t>
            </w:r>
          </w:p>
        </w:tc>
        <w:tc>
          <w:tcPr>
            <w:tcW w:w="853" w:type="dxa"/>
            <w:vAlign w:val="center"/>
          </w:tcPr>
          <w:p w:rsidR="00AC40FC" w:rsidRPr="00AC37C7" w:rsidRDefault="00AC40FC" w:rsidP="00864BDD">
            <w:pPr>
              <w:tabs>
                <w:tab w:val="left" w:pos="608"/>
              </w:tabs>
              <w:spacing w:after="0"/>
              <w:jc w:val="center"/>
              <w:rPr>
                <w:szCs w:val="24"/>
              </w:rPr>
            </w:pPr>
            <w:r>
              <w:rPr>
                <w:szCs w:val="24"/>
              </w:rPr>
              <w:t>10</w:t>
            </w:r>
          </w:p>
        </w:tc>
      </w:tr>
      <w:tr w:rsidR="00AC40FC" w:rsidRPr="00BA001C" w:rsidTr="00864BDD">
        <w:trPr>
          <w:cantSplit/>
          <w:jc w:val="center"/>
        </w:trPr>
        <w:tc>
          <w:tcPr>
            <w:tcW w:w="3927" w:type="dxa"/>
            <w:vAlign w:val="center"/>
          </w:tcPr>
          <w:p w:rsidR="00AC40FC" w:rsidRDefault="00AC40FC" w:rsidP="00864BDD">
            <w:pPr>
              <w:spacing w:after="0"/>
              <w:jc w:val="center"/>
              <w:rPr>
                <w:szCs w:val="24"/>
              </w:rPr>
            </w:pPr>
            <w:r>
              <w:rPr>
                <w:szCs w:val="24"/>
              </w:rPr>
              <w:t>Sick Pay</w:t>
            </w:r>
          </w:p>
        </w:tc>
        <w:tc>
          <w:tcPr>
            <w:tcW w:w="992" w:type="dxa"/>
            <w:vAlign w:val="center"/>
          </w:tcPr>
          <w:p w:rsidR="00AC40FC" w:rsidRPr="00AC37C7" w:rsidRDefault="00AC40FC" w:rsidP="00864BDD">
            <w:pPr>
              <w:spacing w:after="0"/>
              <w:jc w:val="center"/>
              <w:rPr>
                <w:szCs w:val="24"/>
              </w:rPr>
            </w:pPr>
            <w:r>
              <w:rPr>
                <w:szCs w:val="24"/>
              </w:rPr>
              <w:t>1</w:t>
            </w:r>
          </w:p>
        </w:tc>
        <w:tc>
          <w:tcPr>
            <w:tcW w:w="992" w:type="dxa"/>
            <w:vAlign w:val="center"/>
          </w:tcPr>
          <w:p w:rsidR="00AC40FC" w:rsidRPr="00AC37C7" w:rsidRDefault="00AC40FC" w:rsidP="00864BDD">
            <w:pPr>
              <w:spacing w:after="0"/>
              <w:jc w:val="center"/>
              <w:rPr>
                <w:szCs w:val="24"/>
              </w:rPr>
            </w:pPr>
            <w:r>
              <w:rPr>
                <w:szCs w:val="24"/>
              </w:rPr>
              <w:t>4</w:t>
            </w:r>
          </w:p>
        </w:tc>
        <w:tc>
          <w:tcPr>
            <w:tcW w:w="993" w:type="dxa"/>
            <w:vAlign w:val="center"/>
          </w:tcPr>
          <w:p w:rsidR="00AC40FC" w:rsidRPr="00AC37C7" w:rsidRDefault="00AC40FC" w:rsidP="00864BDD">
            <w:pPr>
              <w:spacing w:after="0"/>
              <w:jc w:val="center"/>
              <w:rPr>
                <w:szCs w:val="24"/>
              </w:rPr>
            </w:pPr>
            <w:r>
              <w:rPr>
                <w:szCs w:val="24"/>
              </w:rPr>
              <w:t>1</w:t>
            </w:r>
          </w:p>
        </w:tc>
        <w:tc>
          <w:tcPr>
            <w:tcW w:w="853" w:type="dxa"/>
            <w:vAlign w:val="center"/>
          </w:tcPr>
          <w:p w:rsidR="00AC40FC" w:rsidRPr="00AC37C7" w:rsidRDefault="00AC40FC" w:rsidP="00864BDD">
            <w:pPr>
              <w:tabs>
                <w:tab w:val="left" w:pos="608"/>
              </w:tabs>
              <w:spacing w:after="0"/>
              <w:jc w:val="center"/>
              <w:rPr>
                <w:szCs w:val="24"/>
              </w:rPr>
            </w:pPr>
          </w:p>
        </w:tc>
      </w:tr>
      <w:tr w:rsidR="00AC40FC" w:rsidRPr="00BA001C" w:rsidTr="00864BDD">
        <w:trPr>
          <w:cantSplit/>
          <w:jc w:val="center"/>
        </w:trPr>
        <w:tc>
          <w:tcPr>
            <w:tcW w:w="3927" w:type="dxa"/>
            <w:vAlign w:val="center"/>
          </w:tcPr>
          <w:p w:rsidR="00AC40FC" w:rsidRDefault="00AC40FC" w:rsidP="00864BDD">
            <w:pPr>
              <w:spacing w:after="0"/>
              <w:jc w:val="center"/>
              <w:rPr>
                <w:szCs w:val="24"/>
              </w:rPr>
            </w:pPr>
            <w:r>
              <w:rPr>
                <w:szCs w:val="24"/>
              </w:rPr>
              <w:t>SPV Doing Non-SPV Work</w:t>
            </w:r>
          </w:p>
        </w:tc>
        <w:tc>
          <w:tcPr>
            <w:tcW w:w="992" w:type="dxa"/>
            <w:vAlign w:val="center"/>
          </w:tcPr>
          <w:p w:rsidR="00AC40FC" w:rsidRPr="00AC37C7" w:rsidRDefault="00AC40FC" w:rsidP="00864BDD">
            <w:pPr>
              <w:spacing w:after="0"/>
              <w:jc w:val="center"/>
              <w:rPr>
                <w:szCs w:val="24"/>
              </w:rPr>
            </w:pPr>
            <w:r>
              <w:rPr>
                <w:szCs w:val="24"/>
              </w:rPr>
              <w:t>27</w:t>
            </w:r>
          </w:p>
        </w:tc>
        <w:tc>
          <w:tcPr>
            <w:tcW w:w="992" w:type="dxa"/>
            <w:vAlign w:val="center"/>
          </w:tcPr>
          <w:p w:rsidR="00AC40FC" w:rsidRPr="00AC37C7" w:rsidRDefault="00AC40FC" w:rsidP="00864BDD">
            <w:pPr>
              <w:spacing w:after="0"/>
              <w:jc w:val="center"/>
              <w:rPr>
                <w:szCs w:val="24"/>
              </w:rPr>
            </w:pPr>
            <w:r>
              <w:rPr>
                <w:szCs w:val="24"/>
              </w:rPr>
              <w:t>8</w:t>
            </w:r>
          </w:p>
        </w:tc>
        <w:tc>
          <w:tcPr>
            <w:tcW w:w="993" w:type="dxa"/>
            <w:vAlign w:val="center"/>
          </w:tcPr>
          <w:p w:rsidR="00AC40FC" w:rsidRPr="00AC37C7" w:rsidRDefault="00AC40FC" w:rsidP="00864BDD">
            <w:pPr>
              <w:spacing w:after="0"/>
              <w:jc w:val="center"/>
              <w:rPr>
                <w:szCs w:val="24"/>
              </w:rPr>
            </w:pPr>
            <w:r>
              <w:rPr>
                <w:szCs w:val="24"/>
              </w:rPr>
              <w:t>3</w:t>
            </w:r>
          </w:p>
        </w:tc>
        <w:tc>
          <w:tcPr>
            <w:tcW w:w="853" w:type="dxa"/>
            <w:vAlign w:val="center"/>
          </w:tcPr>
          <w:p w:rsidR="00AC40FC" w:rsidRPr="00AC37C7" w:rsidRDefault="00AC40FC" w:rsidP="00864BDD">
            <w:pPr>
              <w:tabs>
                <w:tab w:val="left" w:pos="608"/>
              </w:tabs>
              <w:spacing w:after="0"/>
              <w:jc w:val="center"/>
              <w:rPr>
                <w:szCs w:val="24"/>
              </w:rPr>
            </w:pPr>
            <w:r>
              <w:rPr>
                <w:szCs w:val="24"/>
              </w:rPr>
              <w:t>2</w:t>
            </w:r>
          </w:p>
        </w:tc>
      </w:tr>
      <w:tr w:rsidR="00AC40FC" w:rsidRPr="00BA001C" w:rsidTr="00864BDD">
        <w:trPr>
          <w:cantSplit/>
          <w:jc w:val="center"/>
        </w:trPr>
        <w:tc>
          <w:tcPr>
            <w:tcW w:w="3927" w:type="dxa"/>
            <w:vAlign w:val="center"/>
          </w:tcPr>
          <w:p w:rsidR="00AC40FC" w:rsidRDefault="00AC40FC" w:rsidP="00864BDD">
            <w:pPr>
              <w:spacing w:after="0"/>
              <w:jc w:val="center"/>
              <w:rPr>
                <w:szCs w:val="24"/>
              </w:rPr>
            </w:pPr>
            <w:r>
              <w:rPr>
                <w:szCs w:val="24"/>
              </w:rPr>
              <w:t>Suspension/Termination</w:t>
            </w:r>
          </w:p>
        </w:tc>
        <w:tc>
          <w:tcPr>
            <w:tcW w:w="992" w:type="dxa"/>
            <w:vAlign w:val="center"/>
          </w:tcPr>
          <w:p w:rsidR="00AC40FC" w:rsidRPr="00AC37C7" w:rsidRDefault="00AC40FC" w:rsidP="00864BDD">
            <w:pPr>
              <w:spacing w:after="0"/>
              <w:jc w:val="center"/>
              <w:rPr>
                <w:szCs w:val="24"/>
              </w:rPr>
            </w:pPr>
            <w:r>
              <w:rPr>
                <w:szCs w:val="24"/>
              </w:rPr>
              <w:t>12</w:t>
            </w:r>
          </w:p>
        </w:tc>
        <w:tc>
          <w:tcPr>
            <w:tcW w:w="992" w:type="dxa"/>
            <w:vAlign w:val="center"/>
          </w:tcPr>
          <w:p w:rsidR="00AC40FC" w:rsidRPr="00AC37C7" w:rsidRDefault="00AC40FC" w:rsidP="00864BDD">
            <w:pPr>
              <w:spacing w:after="0"/>
              <w:jc w:val="center"/>
              <w:rPr>
                <w:szCs w:val="24"/>
              </w:rPr>
            </w:pPr>
            <w:r>
              <w:rPr>
                <w:szCs w:val="24"/>
              </w:rPr>
              <w:t>3</w:t>
            </w:r>
          </w:p>
        </w:tc>
        <w:tc>
          <w:tcPr>
            <w:tcW w:w="993" w:type="dxa"/>
            <w:vAlign w:val="center"/>
          </w:tcPr>
          <w:p w:rsidR="00AC40FC" w:rsidRPr="00AC37C7" w:rsidRDefault="00AC40FC" w:rsidP="00864BDD">
            <w:pPr>
              <w:spacing w:after="0"/>
              <w:jc w:val="center"/>
              <w:rPr>
                <w:szCs w:val="24"/>
              </w:rPr>
            </w:pPr>
            <w:r>
              <w:rPr>
                <w:szCs w:val="24"/>
              </w:rPr>
              <w:t>9</w:t>
            </w:r>
          </w:p>
        </w:tc>
        <w:tc>
          <w:tcPr>
            <w:tcW w:w="853" w:type="dxa"/>
            <w:vAlign w:val="center"/>
          </w:tcPr>
          <w:p w:rsidR="00AC40FC" w:rsidRPr="00AC37C7" w:rsidRDefault="00AC40FC" w:rsidP="00864BDD">
            <w:pPr>
              <w:tabs>
                <w:tab w:val="left" w:pos="608"/>
              </w:tabs>
              <w:spacing w:after="0"/>
              <w:jc w:val="center"/>
              <w:rPr>
                <w:szCs w:val="24"/>
              </w:rPr>
            </w:pPr>
          </w:p>
        </w:tc>
      </w:tr>
      <w:tr w:rsidR="00AC40FC" w:rsidRPr="00BA001C" w:rsidTr="00864BDD">
        <w:trPr>
          <w:cantSplit/>
          <w:jc w:val="center"/>
        </w:trPr>
        <w:tc>
          <w:tcPr>
            <w:tcW w:w="3927" w:type="dxa"/>
            <w:vAlign w:val="center"/>
          </w:tcPr>
          <w:p w:rsidR="00AC40FC" w:rsidRDefault="00AC40FC" w:rsidP="00864BDD">
            <w:pPr>
              <w:spacing w:after="0"/>
              <w:jc w:val="center"/>
              <w:rPr>
                <w:szCs w:val="24"/>
              </w:rPr>
            </w:pPr>
            <w:r>
              <w:rPr>
                <w:szCs w:val="24"/>
              </w:rPr>
              <w:t>Testing</w:t>
            </w:r>
          </w:p>
        </w:tc>
        <w:tc>
          <w:tcPr>
            <w:tcW w:w="992" w:type="dxa"/>
            <w:vAlign w:val="center"/>
          </w:tcPr>
          <w:p w:rsidR="00AC40FC" w:rsidRPr="00AC37C7" w:rsidRDefault="00AC40FC" w:rsidP="00864BDD">
            <w:pPr>
              <w:spacing w:after="0"/>
              <w:jc w:val="center"/>
              <w:rPr>
                <w:szCs w:val="24"/>
              </w:rPr>
            </w:pPr>
            <w:r>
              <w:rPr>
                <w:szCs w:val="24"/>
              </w:rPr>
              <w:t>4</w:t>
            </w:r>
          </w:p>
        </w:tc>
        <w:tc>
          <w:tcPr>
            <w:tcW w:w="992" w:type="dxa"/>
            <w:vAlign w:val="center"/>
          </w:tcPr>
          <w:p w:rsidR="00AC40FC" w:rsidRPr="00AC37C7" w:rsidRDefault="00AC40FC" w:rsidP="00864BDD">
            <w:pPr>
              <w:spacing w:after="0"/>
              <w:jc w:val="center"/>
              <w:rPr>
                <w:szCs w:val="24"/>
              </w:rPr>
            </w:pPr>
            <w:r>
              <w:rPr>
                <w:szCs w:val="24"/>
              </w:rPr>
              <w:t>1</w:t>
            </w:r>
          </w:p>
        </w:tc>
        <w:tc>
          <w:tcPr>
            <w:tcW w:w="993" w:type="dxa"/>
            <w:vAlign w:val="center"/>
          </w:tcPr>
          <w:p w:rsidR="00AC40FC" w:rsidRPr="00AC37C7" w:rsidRDefault="00AC40FC" w:rsidP="00864BDD">
            <w:pPr>
              <w:spacing w:after="0"/>
              <w:jc w:val="center"/>
              <w:rPr>
                <w:szCs w:val="24"/>
              </w:rPr>
            </w:pPr>
            <w:r>
              <w:rPr>
                <w:szCs w:val="24"/>
              </w:rPr>
              <w:t>1</w:t>
            </w:r>
          </w:p>
        </w:tc>
        <w:tc>
          <w:tcPr>
            <w:tcW w:w="853" w:type="dxa"/>
            <w:vAlign w:val="center"/>
          </w:tcPr>
          <w:p w:rsidR="00AC40FC" w:rsidRPr="00AC37C7" w:rsidRDefault="00AC40FC" w:rsidP="00864BDD">
            <w:pPr>
              <w:tabs>
                <w:tab w:val="left" w:pos="608"/>
              </w:tabs>
              <w:spacing w:after="0"/>
              <w:jc w:val="center"/>
              <w:rPr>
                <w:szCs w:val="24"/>
              </w:rPr>
            </w:pPr>
          </w:p>
        </w:tc>
      </w:tr>
      <w:tr w:rsidR="00AC40FC" w:rsidRPr="00BA001C" w:rsidTr="00864BDD">
        <w:trPr>
          <w:cantSplit/>
          <w:jc w:val="center"/>
        </w:trPr>
        <w:tc>
          <w:tcPr>
            <w:tcW w:w="3927" w:type="dxa"/>
            <w:vAlign w:val="center"/>
          </w:tcPr>
          <w:p w:rsidR="00AC40FC" w:rsidRDefault="00AC40FC" w:rsidP="00864BDD">
            <w:pPr>
              <w:spacing w:after="0"/>
              <w:jc w:val="center"/>
              <w:rPr>
                <w:szCs w:val="24"/>
              </w:rPr>
            </w:pPr>
            <w:r>
              <w:rPr>
                <w:szCs w:val="24"/>
              </w:rPr>
              <w:t>Time Off</w:t>
            </w:r>
          </w:p>
        </w:tc>
        <w:tc>
          <w:tcPr>
            <w:tcW w:w="992" w:type="dxa"/>
            <w:vAlign w:val="center"/>
          </w:tcPr>
          <w:p w:rsidR="00AC40FC" w:rsidRPr="00AC37C7" w:rsidRDefault="00AC40FC" w:rsidP="00864BDD">
            <w:pPr>
              <w:spacing w:after="0"/>
              <w:jc w:val="center"/>
              <w:rPr>
                <w:szCs w:val="24"/>
              </w:rPr>
            </w:pPr>
            <w:r>
              <w:rPr>
                <w:szCs w:val="24"/>
              </w:rPr>
              <w:t>8</w:t>
            </w:r>
          </w:p>
        </w:tc>
        <w:tc>
          <w:tcPr>
            <w:tcW w:w="992" w:type="dxa"/>
            <w:vAlign w:val="center"/>
          </w:tcPr>
          <w:p w:rsidR="00AC40FC" w:rsidRPr="00AC37C7" w:rsidRDefault="00AC40FC" w:rsidP="00864BDD">
            <w:pPr>
              <w:spacing w:after="0"/>
              <w:jc w:val="center"/>
              <w:rPr>
                <w:szCs w:val="24"/>
              </w:rPr>
            </w:pPr>
            <w:r>
              <w:rPr>
                <w:szCs w:val="24"/>
              </w:rPr>
              <w:t>2</w:t>
            </w:r>
          </w:p>
        </w:tc>
        <w:tc>
          <w:tcPr>
            <w:tcW w:w="993" w:type="dxa"/>
            <w:vAlign w:val="center"/>
          </w:tcPr>
          <w:p w:rsidR="00AC40FC" w:rsidRPr="00AC37C7" w:rsidRDefault="00AC40FC" w:rsidP="00864BDD">
            <w:pPr>
              <w:spacing w:after="0"/>
              <w:jc w:val="center"/>
              <w:rPr>
                <w:szCs w:val="24"/>
              </w:rPr>
            </w:pPr>
            <w:r>
              <w:rPr>
                <w:szCs w:val="24"/>
              </w:rPr>
              <w:t>6</w:t>
            </w:r>
          </w:p>
        </w:tc>
        <w:tc>
          <w:tcPr>
            <w:tcW w:w="853" w:type="dxa"/>
            <w:vAlign w:val="center"/>
          </w:tcPr>
          <w:p w:rsidR="00AC40FC" w:rsidRPr="00AC37C7" w:rsidRDefault="00AC40FC" w:rsidP="00864BDD">
            <w:pPr>
              <w:tabs>
                <w:tab w:val="left" w:pos="608"/>
              </w:tabs>
              <w:spacing w:after="0"/>
              <w:jc w:val="center"/>
              <w:rPr>
                <w:szCs w:val="24"/>
              </w:rPr>
            </w:pPr>
            <w:r>
              <w:rPr>
                <w:szCs w:val="24"/>
              </w:rPr>
              <w:t>2</w:t>
            </w:r>
          </w:p>
        </w:tc>
      </w:tr>
      <w:tr w:rsidR="00AC40FC" w:rsidRPr="00BA001C" w:rsidTr="00864BDD">
        <w:trPr>
          <w:cantSplit/>
          <w:jc w:val="center"/>
        </w:trPr>
        <w:tc>
          <w:tcPr>
            <w:tcW w:w="3927" w:type="dxa"/>
            <w:vAlign w:val="center"/>
          </w:tcPr>
          <w:p w:rsidR="00AC40FC" w:rsidRDefault="00AC40FC" w:rsidP="00864BDD">
            <w:pPr>
              <w:spacing w:after="0"/>
              <w:jc w:val="center"/>
              <w:rPr>
                <w:szCs w:val="24"/>
              </w:rPr>
            </w:pPr>
            <w:r>
              <w:rPr>
                <w:szCs w:val="24"/>
              </w:rPr>
              <w:lastRenderedPageBreak/>
              <w:t>Training</w:t>
            </w:r>
          </w:p>
        </w:tc>
        <w:tc>
          <w:tcPr>
            <w:tcW w:w="992" w:type="dxa"/>
            <w:vAlign w:val="center"/>
          </w:tcPr>
          <w:p w:rsidR="00AC40FC" w:rsidRPr="00AC37C7" w:rsidRDefault="00AC40FC" w:rsidP="00864BDD">
            <w:pPr>
              <w:spacing w:after="0"/>
              <w:jc w:val="center"/>
              <w:rPr>
                <w:szCs w:val="24"/>
              </w:rPr>
            </w:pPr>
            <w:r>
              <w:rPr>
                <w:szCs w:val="24"/>
              </w:rPr>
              <w:t>2</w:t>
            </w:r>
          </w:p>
        </w:tc>
        <w:tc>
          <w:tcPr>
            <w:tcW w:w="992" w:type="dxa"/>
            <w:vAlign w:val="center"/>
          </w:tcPr>
          <w:p w:rsidR="00AC40FC" w:rsidRPr="00AC37C7" w:rsidRDefault="00AC40FC" w:rsidP="00864BDD">
            <w:pPr>
              <w:spacing w:after="0"/>
              <w:jc w:val="center"/>
              <w:rPr>
                <w:szCs w:val="24"/>
              </w:rPr>
            </w:pPr>
            <w:r>
              <w:rPr>
                <w:szCs w:val="24"/>
              </w:rPr>
              <w:t>1</w:t>
            </w:r>
          </w:p>
        </w:tc>
        <w:tc>
          <w:tcPr>
            <w:tcW w:w="993" w:type="dxa"/>
            <w:vAlign w:val="center"/>
          </w:tcPr>
          <w:p w:rsidR="00AC40FC" w:rsidRPr="00AC37C7" w:rsidRDefault="00AC40FC" w:rsidP="00864BDD">
            <w:pPr>
              <w:spacing w:after="0"/>
              <w:jc w:val="center"/>
              <w:rPr>
                <w:szCs w:val="24"/>
              </w:rPr>
            </w:pPr>
            <w:r>
              <w:rPr>
                <w:szCs w:val="24"/>
              </w:rPr>
              <w:t>7</w:t>
            </w:r>
          </w:p>
        </w:tc>
        <w:tc>
          <w:tcPr>
            <w:tcW w:w="853" w:type="dxa"/>
            <w:vAlign w:val="center"/>
          </w:tcPr>
          <w:p w:rsidR="00AC40FC" w:rsidRPr="00AC37C7" w:rsidRDefault="00AC40FC" w:rsidP="00864BDD">
            <w:pPr>
              <w:tabs>
                <w:tab w:val="left" w:pos="608"/>
              </w:tabs>
              <w:spacing w:after="0"/>
              <w:jc w:val="center"/>
              <w:rPr>
                <w:szCs w:val="24"/>
              </w:rPr>
            </w:pPr>
          </w:p>
        </w:tc>
      </w:tr>
      <w:tr w:rsidR="00AC40FC" w:rsidRPr="00BA001C" w:rsidTr="00864BDD">
        <w:trPr>
          <w:cantSplit/>
          <w:jc w:val="center"/>
        </w:trPr>
        <w:tc>
          <w:tcPr>
            <w:tcW w:w="3927" w:type="dxa"/>
            <w:vAlign w:val="center"/>
          </w:tcPr>
          <w:p w:rsidR="00AC40FC" w:rsidRDefault="00AC40FC" w:rsidP="00864BDD">
            <w:pPr>
              <w:spacing w:after="0"/>
              <w:jc w:val="center"/>
              <w:rPr>
                <w:szCs w:val="24"/>
              </w:rPr>
            </w:pPr>
            <w:r>
              <w:rPr>
                <w:szCs w:val="24"/>
              </w:rPr>
              <w:t>Working OT – By Passed</w:t>
            </w:r>
          </w:p>
        </w:tc>
        <w:tc>
          <w:tcPr>
            <w:tcW w:w="992" w:type="dxa"/>
            <w:vAlign w:val="center"/>
          </w:tcPr>
          <w:p w:rsidR="00AC40FC" w:rsidRPr="00AC37C7" w:rsidRDefault="00AC40FC" w:rsidP="00864BDD">
            <w:pPr>
              <w:spacing w:after="0"/>
              <w:jc w:val="center"/>
              <w:rPr>
                <w:szCs w:val="24"/>
              </w:rPr>
            </w:pPr>
          </w:p>
        </w:tc>
        <w:tc>
          <w:tcPr>
            <w:tcW w:w="992" w:type="dxa"/>
            <w:vAlign w:val="center"/>
          </w:tcPr>
          <w:p w:rsidR="00AC40FC" w:rsidRPr="00AC37C7" w:rsidRDefault="00AC40FC" w:rsidP="00864BDD">
            <w:pPr>
              <w:spacing w:after="0"/>
              <w:jc w:val="center"/>
              <w:rPr>
                <w:szCs w:val="24"/>
              </w:rPr>
            </w:pPr>
            <w:r>
              <w:rPr>
                <w:szCs w:val="24"/>
              </w:rPr>
              <w:t>1</w:t>
            </w:r>
          </w:p>
        </w:tc>
        <w:tc>
          <w:tcPr>
            <w:tcW w:w="993" w:type="dxa"/>
            <w:vAlign w:val="center"/>
          </w:tcPr>
          <w:p w:rsidR="00AC40FC" w:rsidRPr="00AC37C7" w:rsidRDefault="00AC40FC" w:rsidP="00864BDD">
            <w:pPr>
              <w:spacing w:after="0"/>
              <w:jc w:val="center"/>
              <w:rPr>
                <w:szCs w:val="24"/>
              </w:rPr>
            </w:pPr>
            <w:r>
              <w:rPr>
                <w:szCs w:val="24"/>
              </w:rPr>
              <w:t>3</w:t>
            </w:r>
          </w:p>
        </w:tc>
        <w:tc>
          <w:tcPr>
            <w:tcW w:w="853" w:type="dxa"/>
            <w:vAlign w:val="center"/>
          </w:tcPr>
          <w:p w:rsidR="00AC40FC" w:rsidRPr="00AC37C7" w:rsidRDefault="00AC40FC" w:rsidP="00864BDD">
            <w:pPr>
              <w:tabs>
                <w:tab w:val="left" w:pos="608"/>
              </w:tabs>
              <w:spacing w:after="0"/>
              <w:jc w:val="center"/>
              <w:rPr>
                <w:szCs w:val="24"/>
              </w:rPr>
            </w:pPr>
            <w:r>
              <w:rPr>
                <w:szCs w:val="24"/>
              </w:rPr>
              <w:t>2</w:t>
            </w:r>
          </w:p>
        </w:tc>
      </w:tr>
      <w:tr w:rsidR="00AC40FC" w:rsidRPr="00BA001C" w:rsidTr="00864BDD">
        <w:trPr>
          <w:cantSplit/>
          <w:jc w:val="center"/>
        </w:trPr>
        <w:tc>
          <w:tcPr>
            <w:tcW w:w="3927" w:type="dxa"/>
            <w:vAlign w:val="center"/>
          </w:tcPr>
          <w:p w:rsidR="00AC40FC" w:rsidRDefault="00AC40FC" w:rsidP="00864BDD">
            <w:pPr>
              <w:spacing w:after="0"/>
              <w:jc w:val="center"/>
              <w:rPr>
                <w:szCs w:val="24"/>
              </w:rPr>
            </w:pPr>
            <w:r>
              <w:rPr>
                <w:szCs w:val="24"/>
              </w:rPr>
              <w:t>Working OT – Denied</w:t>
            </w:r>
          </w:p>
        </w:tc>
        <w:tc>
          <w:tcPr>
            <w:tcW w:w="992" w:type="dxa"/>
            <w:vAlign w:val="center"/>
          </w:tcPr>
          <w:p w:rsidR="00AC40FC" w:rsidRPr="00AC37C7" w:rsidRDefault="00AC40FC" w:rsidP="00864BDD">
            <w:pPr>
              <w:spacing w:after="0"/>
              <w:jc w:val="center"/>
              <w:rPr>
                <w:szCs w:val="24"/>
              </w:rPr>
            </w:pPr>
            <w:r>
              <w:rPr>
                <w:szCs w:val="24"/>
              </w:rPr>
              <w:t>5</w:t>
            </w:r>
          </w:p>
        </w:tc>
        <w:tc>
          <w:tcPr>
            <w:tcW w:w="992" w:type="dxa"/>
            <w:vAlign w:val="center"/>
          </w:tcPr>
          <w:p w:rsidR="00AC40FC" w:rsidRPr="00AC37C7" w:rsidRDefault="00AC40FC" w:rsidP="00864BDD">
            <w:pPr>
              <w:spacing w:after="0"/>
              <w:jc w:val="center"/>
              <w:rPr>
                <w:szCs w:val="24"/>
              </w:rPr>
            </w:pPr>
          </w:p>
        </w:tc>
        <w:tc>
          <w:tcPr>
            <w:tcW w:w="993" w:type="dxa"/>
            <w:vAlign w:val="center"/>
          </w:tcPr>
          <w:p w:rsidR="00AC40FC" w:rsidRPr="00AC37C7" w:rsidRDefault="00AC40FC" w:rsidP="00864BDD">
            <w:pPr>
              <w:spacing w:after="0"/>
              <w:jc w:val="center"/>
              <w:rPr>
                <w:szCs w:val="24"/>
              </w:rPr>
            </w:pPr>
          </w:p>
        </w:tc>
        <w:tc>
          <w:tcPr>
            <w:tcW w:w="853" w:type="dxa"/>
            <w:vAlign w:val="center"/>
          </w:tcPr>
          <w:p w:rsidR="00AC40FC" w:rsidRPr="00AC37C7" w:rsidRDefault="00AC40FC" w:rsidP="00864BDD">
            <w:pPr>
              <w:tabs>
                <w:tab w:val="left" w:pos="608"/>
              </w:tabs>
              <w:spacing w:after="0"/>
              <w:jc w:val="center"/>
              <w:rPr>
                <w:szCs w:val="24"/>
              </w:rPr>
            </w:pPr>
            <w:r>
              <w:rPr>
                <w:szCs w:val="24"/>
              </w:rPr>
              <w:t>3</w:t>
            </w:r>
          </w:p>
        </w:tc>
      </w:tr>
      <w:tr w:rsidR="00AC40FC" w:rsidRPr="00BA001C" w:rsidTr="00864BDD">
        <w:trPr>
          <w:cantSplit/>
          <w:jc w:val="center"/>
        </w:trPr>
        <w:tc>
          <w:tcPr>
            <w:tcW w:w="3927" w:type="dxa"/>
            <w:vAlign w:val="center"/>
          </w:tcPr>
          <w:p w:rsidR="00AC40FC" w:rsidRDefault="00AC40FC" w:rsidP="00864BDD">
            <w:pPr>
              <w:spacing w:after="0"/>
              <w:jc w:val="center"/>
              <w:rPr>
                <w:szCs w:val="24"/>
              </w:rPr>
            </w:pPr>
            <w:r>
              <w:rPr>
                <w:szCs w:val="24"/>
              </w:rPr>
              <w:t>Working – Distribution of Work</w:t>
            </w:r>
          </w:p>
        </w:tc>
        <w:tc>
          <w:tcPr>
            <w:tcW w:w="992" w:type="dxa"/>
            <w:vAlign w:val="center"/>
          </w:tcPr>
          <w:p w:rsidR="00AC40FC" w:rsidRPr="00AC37C7" w:rsidRDefault="00AC40FC" w:rsidP="00864BDD">
            <w:pPr>
              <w:spacing w:after="0"/>
              <w:jc w:val="center"/>
              <w:rPr>
                <w:szCs w:val="24"/>
              </w:rPr>
            </w:pPr>
            <w:r>
              <w:rPr>
                <w:szCs w:val="24"/>
              </w:rPr>
              <w:t>4</w:t>
            </w:r>
          </w:p>
        </w:tc>
        <w:tc>
          <w:tcPr>
            <w:tcW w:w="992" w:type="dxa"/>
            <w:vAlign w:val="center"/>
          </w:tcPr>
          <w:p w:rsidR="00AC40FC" w:rsidRPr="00AC37C7" w:rsidRDefault="00AC40FC" w:rsidP="00864BDD">
            <w:pPr>
              <w:spacing w:after="0"/>
              <w:jc w:val="center"/>
              <w:rPr>
                <w:szCs w:val="24"/>
              </w:rPr>
            </w:pPr>
          </w:p>
        </w:tc>
        <w:tc>
          <w:tcPr>
            <w:tcW w:w="993" w:type="dxa"/>
            <w:vAlign w:val="center"/>
          </w:tcPr>
          <w:p w:rsidR="00AC40FC" w:rsidRPr="00AC37C7" w:rsidRDefault="00AC40FC" w:rsidP="00864BDD">
            <w:pPr>
              <w:spacing w:after="0"/>
              <w:jc w:val="center"/>
              <w:rPr>
                <w:szCs w:val="24"/>
              </w:rPr>
            </w:pPr>
          </w:p>
        </w:tc>
        <w:tc>
          <w:tcPr>
            <w:tcW w:w="853" w:type="dxa"/>
            <w:vAlign w:val="center"/>
          </w:tcPr>
          <w:p w:rsidR="00AC40FC" w:rsidRPr="00AC37C7" w:rsidRDefault="00AC40FC" w:rsidP="00864BDD">
            <w:pPr>
              <w:tabs>
                <w:tab w:val="left" w:pos="608"/>
              </w:tabs>
              <w:spacing w:after="0"/>
              <w:jc w:val="center"/>
              <w:rPr>
                <w:szCs w:val="24"/>
              </w:rPr>
            </w:pPr>
          </w:p>
        </w:tc>
      </w:tr>
      <w:tr w:rsidR="00AC40FC" w:rsidRPr="00BA001C" w:rsidTr="00864BDD">
        <w:trPr>
          <w:cantSplit/>
          <w:jc w:val="center"/>
        </w:trPr>
        <w:tc>
          <w:tcPr>
            <w:tcW w:w="3927" w:type="dxa"/>
            <w:vAlign w:val="center"/>
          </w:tcPr>
          <w:p w:rsidR="00AC40FC" w:rsidRDefault="00AC40FC" w:rsidP="00864BDD">
            <w:pPr>
              <w:spacing w:after="0"/>
              <w:jc w:val="center"/>
              <w:rPr>
                <w:szCs w:val="24"/>
              </w:rPr>
            </w:pPr>
            <w:r w:rsidRPr="003103AD">
              <w:rPr>
                <w:szCs w:val="24"/>
              </w:rPr>
              <w:t xml:space="preserve">Working </w:t>
            </w:r>
            <w:r>
              <w:rPr>
                <w:szCs w:val="24"/>
              </w:rPr>
              <w:t>–</w:t>
            </w:r>
            <w:r w:rsidRPr="003103AD">
              <w:rPr>
                <w:szCs w:val="24"/>
              </w:rPr>
              <w:t xml:space="preserve"> </w:t>
            </w:r>
            <w:r>
              <w:rPr>
                <w:szCs w:val="24"/>
              </w:rPr>
              <w:t>Modified Duty Denied</w:t>
            </w:r>
          </w:p>
        </w:tc>
        <w:tc>
          <w:tcPr>
            <w:tcW w:w="992" w:type="dxa"/>
            <w:vAlign w:val="center"/>
          </w:tcPr>
          <w:p w:rsidR="00AC40FC" w:rsidRPr="00AC37C7" w:rsidRDefault="00AC40FC" w:rsidP="00864BDD">
            <w:pPr>
              <w:spacing w:after="0"/>
              <w:jc w:val="center"/>
              <w:rPr>
                <w:szCs w:val="24"/>
              </w:rPr>
            </w:pPr>
            <w:r>
              <w:rPr>
                <w:szCs w:val="24"/>
              </w:rPr>
              <w:t>2</w:t>
            </w:r>
          </w:p>
        </w:tc>
        <w:tc>
          <w:tcPr>
            <w:tcW w:w="992" w:type="dxa"/>
            <w:vAlign w:val="center"/>
          </w:tcPr>
          <w:p w:rsidR="00AC40FC" w:rsidRPr="00AC37C7" w:rsidRDefault="00AC40FC" w:rsidP="00864BDD">
            <w:pPr>
              <w:spacing w:after="0"/>
              <w:jc w:val="center"/>
              <w:rPr>
                <w:szCs w:val="24"/>
              </w:rPr>
            </w:pPr>
          </w:p>
        </w:tc>
        <w:tc>
          <w:tcPr>
            <w:tcW w:w="993" w:type="dxa"/>
            <w:vAlign w:val="center"/>
          </w:tcPr>
          <w:p w:rsidR="00AC40FC" w:rsidRPr="00AC37C7" w:rsidRDefault="00AC40FC" w:rsidP="00864BDD">
            <w:pPr>
              <w:spacing w:after="0"/>
              <w:jc w:val="center"/>
              <w:rPr>
                <w:szCs w:val="24"/>
              </w:rPr>
            </w:pPr>
          </w:p>
        </w:tc>
        <w:tc>
          <w:tcPr>
            <w:tcW w:w="853" w:type="dxa"/>
            <w:vAlign w:val="center"/>
          </w:tcPr>
          <w:p w:rsidR="00AC40FC" w:rsidRPr="00AC37C7" w:rsidRDefault="00AC40FC" w:rsidP="00864BDD">
            <w:pPr>
              <w:tabs>
                <w:tab w:val="left" w:pos="608"/>
              </w:tabs>
              <w:spacing w:after="0"/>
              <w:jc w:val="center"/>
              <w:rPr>
                <w:szCs w:val="24"/>
              </w:rPr>
            </w:pPr>
          </w:p>
        </w:tc>
      </w:tr>
      <w:tr w:rsidR="00AC40FC" w:rsidRPr="00BA001C" w:rsidTr="00864BDD">
        <w:trPr>
          <w:cantSplit/>
          <w:jc w:val="center"/>
        </w:trPr>
        <w:tc>
          <w:tcPr>
            <w:tcW w:w="3927" w:type="dxa"/>
            <w:vAlign w:val="center"/>
          </w:tcPr>
          <w:p w:rsidR="00AC40FC" w:rsidRDefault="00AC40FC" w:rsidP="00864BDD">
            <w:pPr>
              <w:spacing w:after="0"/>
              <w:jc w:val="center"/>
              <w:rPr>
                <w:szCs w:val="24"/>
              </w:rPr>
            </w:pPr>
            <w:r w:rsidRPr="003103AD">
              <w:rPr>
                <w:szCs w:val="24"/>
              </w:rPr>
              <w:t xml:space="preserve">Working </w:t>
            </w:r>
            <w:r>
              <w:rPr>
                <w:szCs w:val="24"/>
              </w:rPr>
              <w:t>–</w:t>
            </w:r>
            <w:r w:rsidRPr="003103AD">
              <w:rPr>
                <w:szCs w:val="24"/>
              </w:rPr>
              <w:t xml:space="preserve"> </w:t>
            </w:r>
            <w:r>
              <w:rPr>
                <w:szCs w:val="24"/>
              </w:rPr>
              <w:t>Out of Job Class</w:t>
            </w:r>
          </w:p>
        </w:tc>
        <w:tc>
          <w:tcPr>
            <w:tcW w:w="992" w:type="dxa"/>
            <w:vAlign w:val="center"/>
          </w:tcPr>
          <w:p w:rsidR="00AC40FC" w:rsidRPr="00AC37C7" w:rsidRDefault="00AC40FC" w:rsidP="00864BDD">
            <w:pPr>
              <w:spacing w:after="0"/>
              <w:jc w:val="center"/>
              <w:rPr>
                <w:szCs w:val="24"/>
              </w:rPr>
            </w:pPr>
            <w:r>
              <w:rPr>
                <w:szCs w:val="24"/>
              </w:rPr>
              <w:t>16</w:t>
            </w:r>
          </w:p>
        </w:tc>
        <w:tc>
          <w:tcPr>
            <w:tcW w:w="992" w:type="dxa"/>
            <w:vAlign w:val="center"/>
          </w:tcPr>
          <w:p w:rsidR="00AC40FC" w:rsidRPr="00AC37C7" w:rsidRDefault="00AC40FC" w:rsidP="00864BDD">
            <w:pPr>
              <w:spacing w:after="0"/>
              <w:jc w:val="center"/>
              <w:rPr>
                <w:szCs w:val="24"/>
              </w:rPr>
            </w:pPr>
            <w:r>
              <w:rPr>
                <w:szCs w:val="24"/>
              </w:rPr>
              <w:t>3</w:t>
            </w:r>
          </w:p>
        </w:tc>
        <w:tc>
          <w:tcPr>
            <w:tcW w:w="993" w:type="dxa"/>
            <w:vAlign w:val="center"/>
          </w:tcPr>
          <w:p w:rsidR="00AC40FC" w:rsidRPr="00AC37C7" w:rsidRDefault="00AC40FC" w:rsidP="00864BDD">
            <w:pPr>
              <w:spacing w:after="0"/>
              <w:jc w:val="center"/>
              <w:rPr>
                <w:szCs w:val="24"/>
              </w:rPr>
            </w:pPr>
            <w:r>
              <w:rPr>
                <w:szCs w:val="24"/>
              </w:rPr>
              <w:t>1</w:t>
            </w:r>
          </w:p>
        </w:tc>
        <w:tc>
          <w:tcPr>
            <w:tcW w:w="853" w:type="dxa"/>
            <w:vAlign w:val="center"/>
          </w:tcPr>
          <w:p w:rsidR="00AC40FC" w:rsidRPr="00AC37C7" w:rsidRDefault="00AC40FC" w:rsidP="00864BDD">
            <w:pPr>
              <w:tabs>
                <w:tab w:val="left" w:pos="608"/>
              </w:tabs>
              <w:spacing w:after="0"/>
              <w:jc w:val="center"/>
              <w:rPr>
                <w:szCs w:val="24"/>
              </w:rPr>
            </w:pPr>
          </w:p>
        </w:tc>
      </w:tr>
      <w:tr w:rsidR="00AC40FC" w:rsidRPr="00BA001C" w:rsidTr="00864BDD">
        <w:trPr>
          <w:cantSplit/>
          <w:jc w:val="center"/>
        </w:trPr>
        <w:tc>
          <w:tcPr>
            <w:tcW w:w="3927" w:type="dxa"/>
            <w:vAlign w:val="center"/>
          </w:tcPr>
          <w:p w:rsidR="00AC40FC" w:rsidRDefault="00AC40FC" w:rsidP="00864BDD">
            <w:pPr>
              <w:spacing w:after="0"/>
              <w:jc w:val="center"/>
              <w:rPr>
                <w:szCs w:val="24"/>
              </w:rPr>
            </w:pPr>
            <w:r w:rsidRPr="003103AD">
              <w:rPr>
                <w:szCs w:val="24"/>
              </w:rPr>
              <w:t xml:space="preserve">Working </w:t>
            </w:r>
            <w:r>
              <w:rPr>
                <w:szCs w:val="24"/>
              </w:rPr>
              <w:t>–</w:t>
            </w:r>
            <w:r w:rsidRPr="003103AD">
              <w:rPr>
                <w:szCs w:val="24"/>
              </w:rPr>
              <w:t xml:space="preserve"> </w:t>
            </w:r>
            <w:r>
              <w:rPr>
                <w:szCs w:val="24"/>
              </w:rPr>
              <w:t>Schedule Change</w:t>
            </w:r>
          </w:p>
        </w:tc>
        <w:tc>
          <w:tcPr>
            <w:tcW w:w="992" w:type="dxa"/>
            <w:vAlign w:val="center"/>
          </w:tcPr>
          <w:p w:rsidR="00AC40FC" w:rsidRPr="00AC37C7" w:rsidRDefault="00AC40FC" w:rsidP="00864BDD">
            <w:pPr>
              <w:spacing w:after="0"/>
              <w:jc w:val="center"/>
              <w:rPr>
                <w:szCs w:val="24"/>
              </w:rPr>
            </w:pPr>
            <w:r>
              <w:rPr>
                <w:szCs w:val="24"/>
              </w:rPr>
              <w:t>7</w:t>
            </w:r>
          </w:p>
        </w:tc>
        <w:tc>
          <w:tcPr>
            <w:tcW w:w="992" w:type="dxa"/>
            <w:vAlign w:val="center"/>
          </w:tcPr>
          <w:p w:rsidR="00AC40FC" w:rsidRPr="00AC37C7" w:rsidRDefault="00AC40FC" w:rsidP="00864BDD">
            <w:pPr>
              <w:spacing w:after="0"/>
              <w:jc w:val="center"/>
              <w:rPr>
                <w:szCs w:val="24"/>
              </w:rPr>
            </w:pPr>
          </w:p>
        </w:tc>
        <w:tc>
          <w:tcPr>
            <w:tcW w:w="993" w:type="dxa"/>
            <w:vAlign w:val="center"/>
          </w:tcPr>
          <w:p w:rsidR="00AC40FC" w:rsidRPr="00AC37C7" w:rsidRDefault="00AC40FC" w:rsidP="00864BDD">
            <w:pPr>
              <w:spacing w:after="0"/>
              <w:jc w:val="center"/>
              <w:rPr>
                <w:szCs w:val="24"/>
              </w:rPr>
            </w:pPr>
            <w:r>
              <w:rPr>
                <w:szCs w:val="24"/>
              </w:rPr>
              <w:t>2</w:t>
            </w:r>
          </w:p>
        </w:tc>
        <w:tc>
          <w:tcPr>
            <w:tcW w:w="853" w:type="dxa"/>
            <w:vAlign w:val="center"/>
          </w:tcPr>
          <w:p w:rsidR="00AC40FC" w:rsidRPr="00AC37C7" w:rsidRDefault="00AC40FC" w:rsidP="00864BDD">
            <w:pPr>
              <w:tabs>
                <w:tab w:val="left" w:pos="608"/>
              </w:tabs>
              <w:spacing w:after="0"/>
              <w:jc w:val="center"/>
              <w:rPr>
                <w:szCs w:val="24"/>
              </w:rPr>
            </w:pPr>
            <w:r>
              <w:rPr>
                <w:szCs w:val="24"/>
              </w:rPr>
              <w:t>1</w:t>
            </w:r>
          </w:p>
        </w:tc>
      </w:tr>
      <w:tr w:rsidR="00AC40FC" w:rsidRPr="00BA001C" w:rsidTr="00864BDD">
        <w:trPr>
          <w:cantSplit/>
          <w:jc w:val="center"/>
        </w:trPr>
        <w:tc>
          <w:tcPr>
            <w:tcW w:w="3927" w:type="dxa"/>
            <w:vAlign w:val="center"/>
          </w:tcPr>
          <w:p w:rsidR="00AC40FC" w:rsidRDefault="00AC40FC" w:rsidP="00864BDD">
            <w:pPr>
              <w:spacing w:after="0"/>
              <w:jc w:val="center"/>
              <w:rPr>
                <w:szCs w:val="24"/>
              </w:rPr>
            </w:pPr>
            <w:r w:rsidRPr="003103AD">
              <w:rPr>
                <w:szCs w:val="24"/>
              </w:rPr>
              <w:t xml:space="preserve">Working </w:t>
            </w:r>
            <w:r>
              <w:rPr>
                <w:szCs w:val="24"/>
              </w:rPr>
              <w:t>–</w:t>
            </w:r>
            <w:r w:rsidRPr="003103AD">
              <w:rPr>
                <w:szCs w:val="24"/>
              </w:rPr>
              <w:t xml:space="preserve"> </w:t>
            </w:r>
            <w:r>
              <w:rPr>
                <w:szCs w:val="24"/>
              </w:rPr>
              <w:t>Area Assignment</w:t>
            </w:r>
          </w:p>
        </w:tc>
        <w:tc>
          <w:tcPr>
            <w:tcW w:w="992" w:type="dxa"/>
            <w:vAlign w:val="center"/>
          </w:tcPr>
          <w:p w:rsidR="00AC40FC" w:rsidRPr="00AC37C7" w:rsidRDefault="00AC40FC" w:rsidP="00864BDD">
            <w:pPr>
              <w:spacing w:after="0"/>
              <w:jc w:val="center"/>
              <w:rPr>
                <w:szCs w:val="24"/>
              </w:rPr>
            </w:pPr>
            <w:r>
              <w:rPr>
                <w:szCs w:val="24"/>
              </w:rPr>
              <w:t>4</w:t>
            </w:r>
          </w:p>
        </w:tc>
        <w:tc>
          <w:tcPr>
            <w:tcW w:w="992" w:type="dxa"/>
            <w:vAlign w:val="center"/>
          </w:tcPr>
          <w:p w:rsidR="00AC40FC" w:rsidRPr="00AC37C7" w:rsidRDefault="00AC40FC" w:rsidP="00864BDD">
            <w:pPr>
              <w:spacing w:after="0"/>
              <w:jc w:val="center"/>
              <w:rPr>
                <w:szCs w:val="24"/>
              </w:rPr>
            </w:pPr>
            <w:r>
              <w:rPr>
                <w:szCs w:val="24"/>
              </w:rPr>
              <w:t>1</w:t>
            </w:r>
          </w:p>
        </w:tc>
        <w:tc>
          <w:tcPr>
            <w:tcW w:w="993" w:type="dxa"/>
            <w:vAlign w:val="center"/>
          </w:tcPr>
          <w:p w:rsidR="00AC40FC" w:rsidRPr="00AC37C7" w:rsidRDefault="00AC40FC" w:rsidP="00864BDD">
            <w:pPr>
              <w:spacing w:after="0"/>
              <w:jc w:val="center"/>
              <w:rPr>
                <w:szCs w:val="24"/>
              </w:rPr>
            </w:pPr>
            <w:r>
              <w:rPr>
                <w:szCs w:val="24"/>
              </w:rPr>
              <w:t>2</w:t>
            </w:r>
          </w:p>
        </w:tc>
        <w:tc>
          <w:tcPr>
            <w:tcW w:w="853" w:type="dxa"/>
            <w:vAlign w:val="center"/>
          </w:tcPr>
          <w:p w:rsidR="00AC40FC" w:rsidRPr="00AC37C7" w:rsidRDefault="00AC40FC" w:rsidP="00864BDD">
            <w:pPr>
              <w:tabs>
                <w:tab w:val="left" w:pos="608"/>
              </w:tabs>
              <w:spacing w:after="0"/>
              <w:jc w:val="center"/>
              <w:rPr>
                <w:szCs w:val="24"/>
              </w:rPr>
            </w:pPr>
            <w:r>
              <w:rPr>
                <w:szCs w:val="24"/>
              </w:rPr>
              <w:t>1</w:t>
            </w:r>
          </w:p>
        </w:tc>
      </w:tr>
      <w:tr w:rsidR="00AC40FC" w:rsidRPr="005A3D46" w:rsidTr="00864BDD">
        <w:trPr>
          <w:cantSplit/>
          <w:jc w:val="center"/>
        </w:trPr>
        <w:tc>
          <w:tcPr>
            <w:tcW w:w="3927" w:type="dxa"/>
            <w:vAlign w:val="center"/>
          </w:tcPr>
          <w:p w:rsidR="00AC40FC" w:rsidRDefault="00AC40FC" w:rsidP="00864BDD">
            <w:pPr>
              <w:spacing w:after="0"/>
              <w:jc w:val="right"/>
              <w:rPr>
                <w:b/>
                <w:szCs w:val="24"/>
              </w:rPr>
            </w:pPr>
            <w:r w:rsidRPr="00C641BC">
              <w:rPr>
                <w:b/>
                <w:szCs w:val="24"/>
              </w:rPr>
              <w:t>Totals</w:t>
            </w:r>
          </w:p>
        </w:tc>
        <w:tc>
          <w:tcPr>
            <w:tcW w:w="992" w:type="dxa"/>
            <w:vAlign w:val="center"/>
          </w:tcPr>
          <w:p w:rsidR="00AC40FC" w:rsidRPr="005A3D46" w:rsidRDefault="00AC40FC" w:rsidP="00864BDD">
            <w:pPr>
              <w:spacing w:after="0"/>
              <w:jc w:val="center"/>
              <w:rPr>
                <w:b/>
                <w:szCs w:val="24"/>
              </w:rPr>
            </w:pPr>
            <w:r w:rsidRPr="00C641BC">
              <w:rPr>
                <w:b/>
                <w:szCs w:val="24"/>
              </w:rPr>
              <w:t>216</w:t>
            </w:r>
          </w:p>
        </w:tc>
        <w:tc>
          <w:tcPr>
            <w:tcW w:w="992" w:type="dxa"/>
            <w:vAlign w:val="center"/>
          </w:tcPr>
          <w:p w:rsidR="00AC40FC" w:rsidRPr="005A3D46" w:rsidRDefault="00AC40FC" w:rsidP="00864BDD">
            <w:pPr>
              <w:spacing w:after="0"/>
              <w:jc w:val="center"/>
              <w:rPr>
                <w:b/>
                <w:szCs w:val="24"/>
              </w:rPr>
            </w:pPr>
            <w:r w:rsidRPr="00C641BC">
              <w:rPr>
                <w:b/>
                <w:szCs w:val="24"/>
              </w:rPr>
              <w:t>212</w:t>
            </w:r>
          </w:p>
        </w:tc>
        <w:tc>
          <w:tcPr>
            <w:tcW w:w="993" w:type="dxa"/>
            <w:vAlign w:val="center"/>
          </w:tcPr>
          <w:p w:rsidR="00AC40FC" w:rsidRPr="005A3D46" w:rsidRDefault="00AC40FC" w:rsidP="00864BDD">
            <w:pPr>
              <w:spacing w:after="0"/>
              <w:jc w:val="center"/>
              <w:rPr>
                <w:b/>
                <w:szCs w:val="24"/>
              </w:rPr>
            </w:pPr>
            <w:r w:rsidRPr="00C641BC">
              <w:rPr>
                <w:b/>
                <w:szCs w:val="24"/>
              </w:rPr>
              <w:t>139</w:t>
            </w:r>
          </w:p>
        </w:tc>
        <w:tc>
          <w:tcPr>
            <w:tcW w:w="853" w:type="dxa"/>
            <w:vAlign w:val="center"/>
          </w:tcPr>
          <w:p w:rsidR="00AC40FC" w:rsidRPr="005A3D46" w:rsidRDefault="00AC40FC" w:rsidP="00864BDD">
            <w:pPr>
              <w:tabs>
                <w:tab w:val="left" w:pos="608"/>
              </w:tabs>
              <w:spacing w:after="0"/>
              <w:jc w:val="center"/>
              <w:rPr>
                <w:b/>
                <w:szCs w:val="24"/>
              </w:rPr>
            </w:pPr>
            <w:r w:rsidRPr="00C641BC">
              <w:rPr>
                <w:b/>
                <w:szCs w:val="24"/>
              </w:rPr>
              <w:t>70</w:t>
            </w:r>
          </w:p>
        </w:tc>
      </w:tr>
      <w:tr w:rsidR="00AC40FC" w:rsidRPr="00BA001C" w:rsidTr="00864BDD">
        <w:trPr>
          <w:cantSplit/>
          <w:jc w:val="center"/>
        </w:trPr>
        <w:tc>
          <w:tcPr>
            <w:tcW w:w="7757" w:type="dxa"/>
            <w:gridSpan w:val="5"/>
          </w:tcPr>
          <w:p w:rsidR="00AC40FC" w:rsidRDefault="00AC40FC" w:rsidP="00864BDD">
            <w:pPr>
              <w:spacing w:after="0"/>
              <w:rPr>
                <w:szCs w:val="24"/>
              </w:rPr>
            </w:pPr>
            <w:r>
              <w:rPr>
                <w:szCs w:val="24"/>
              </w:rPr>
              <w:t>Source:  DN 05-078</w:t>
            </w:r>
          </w:p>
        </w:tc>
      </w:tr>
    </w:tbl>
    <w:p w:rsidR="00AC40FC" w:rsidRPr="00F9098C" w:rsidRDefault="00AC40FC" w:rsidP="00864BDD">
      <w:pPr>
        <w:pStyle w:val="Normal-aftertable"/>
      </w:pPr>
      <w:r>
        <w:t>The table shows significant reduction in the total number of grievances over the time period.</w:t>
      </w:r>
      <w:r w:rsidRPr="000F3287">
        <w:rPr>
          <w:rFonts w:cs="Arial"/>
          <w:szCs w:val="24"/>
        </w:rPr>
        <w:t xml:space="preserve"> </w:t>
      </w:r>
      <w:r>
        <w:rPr>
          <w:rFonts w:cs="Arial"/>
          <w:szCs w:val="24"/>
        </w:rPr>
        <w:t xml:space="preserve"> The reduction is at least partially attributable to the positive</w:t>
      </w:r>
      <w:r w:rsidRPr="00DD4E68">
        <w:rPr>
          <w:rFonts w:cs="Arial"/>
          <w:szCs w:val="24"/>
        </w:rPr>
        <w:t xml:space="preserve"> practices </w:t>
      </w:r>
      <w:r>
        <w:rPr>
          <w:rFonts w:cs="Arial"/>
          <w:szCs w:val="24"/>
        </w:rPr>
        <w:t xml:space="preserve">identified in Finding 15 being taken to build </w:t>
      </w:r>
      <w:r w:rsidRPr="00DD4E68">
        <w:rPr>
          <w:rFonts w:cs="Arial"/>
          <w:szCs w:val="24"/>
        </w:rPr>
        <w:t>strong labor-management relationships</w:t>
      </w:r>
      <w:r>
        <w:rPr>
          <w:rFonts w:cs="Arial"/>
          <w:szCs w:val="24"/>
        </w:rPr>
        <w:t>.</w:t>
      </w:r>
    </w:p>
    <w:p w:rsidR="00AC40FC" w:rsidRDefault="00AC40FC" w:rsidP="000E34CD">
      <w:pPr>
        <w:pStyle w:val="Findings"/>
      </w:pPr>
      <w:r w:rsidRPr="00F9098C">
        <w:t>Security measures related to employee safety and protection, employee information, and controlled access to technology systems appear to be sound.</w:t>
      </w:r>
    </w:p>
    <w:p w:rsidR="00AC40FC" w:rsidRPr="00F9098C" w:rsidRDefault="00AC40FC" w:rsidP="00864BDD">
      <w:r>
        <w:t>Policies and procedures are in place to safeguard employee information and access to technology systems.  In addition, policies and procedures are in place to safeguard employees during emergency situations.</w:t>
      </w:r>
    </w:p>
    <w:p w:rsidR="00AC40FC" w:rsidRDefault="00AC40FC" w:rsidP="000E34CD">
      <w:pPr>
        <w:pStyle w:val="Findings"/>
      </w:pPr>
      <w:r>
        <w:t>The HR information system self-service portal is cumbersome and inconvenient.</w:t>
      </w:r>
    </w:p>
    <w:p w:rsidR="00AC40FC" w:rsidRDefault="00AC40FC" w:rsidP="00864BDD">
      <w:r>
        <w:t>There are approximately eight major HR applications and three major Security applications within PPL SC and PPL EUS HR.  While many of these technologies are well integrated, the end user experience for both the employee and the PPL SC and PPL EUS HR user is sometimes cumbersome and inefficient.  For example, when HR employees use self-service through the HR system, they are required to leave the HR system self-service portal and visit each of the individual third party benefit provider websites (e.g., health insurance and retirement programs) to perform benefit related transactions rather than being able to access all of this information through one portal.  Similarly, when an employee accesses these technologies as an end user, there is no single point of entry.  For example, the end user must go to separate web pages to obtain or enter information for retirement savings and benefits.</w:t>
      </w:r>
    </w:p>
    <w:p w:rsidR="00AC40FC" w:rsidRDefault="00AC40FC">
      <w:pPr>
        <w:spacing w:after="0"/>
        <w:jc w:val="left"/>
      </w:pPr>
      <w:r>
        <w:br w:type="page"/>
      </w:r>
    </w:p>
    <w:p w:rsidR="00AC40FC" w:rsidRDefault="00AC40FC" w:rsidP="004F00E5">
      <w:pPr>
        <w:pStyle w:val="Heading2"/>
        <w:numPr>
          <w:ilvl w:val="0"/>
          <w:numId w:val="110"/>
        </w:numPr>
      </w:pPr>
      <w:bookmarkStart w:id="234" w:name="_Toc462647880"/>
      <w:bookmarkStart w:id="235" w:name="_Toc464552119"/>
      <w:r w:rsidRPr="0065420C">
        <w:lastRenderedPageBreak/>
        <w:t>Recommendations</w:t>
      </w:r>
      <w:bookmarkEnd w:id="234"/>
      <w:bookmarkEnd w:id="235"/>
    </w:p>
    <w:p w:rsidR="00AC40FC" w:rsidRPr="00347245" w:rsidRDefault="00AC40FC" w:rsidP="004F5678">
      <w:pPr>
        <w:pStyle w:val="Findings"/>
        <w:numPr>
          <w:ilvl w:val="0"/>
          <w:numId w:val="11"/>
        </w:numPr>
      </w:pPr>
      <w:r w:rsidRPr="00347245">
        <w:t>Reassign the PPL EUS HR personnel to the appropriate PPL SC HR functional counterpart</w:t>
      </w:r>
      <w:r>
        <w:t xml:space="preserve"> organization units</w:t>
      </w:r>
      <w:r w:rsidRPr="00347245">
        <w:t>.</w:t>
      </w:r>
      <w:r>
        <w:t xml:space="preserve">  (See Finding 1</w:t>
      </w:r>
      <w:r w:rsidRPr="00347245">
        <w:t>)</w:t>
      </w:r>
    </w:p>
    <w:p w:rsidR="00AC40FC" w:rsidRDefault="00AC40FC" w:rsidP="00864BDD">
      <w:r>
        <w:t xml:space="preserve">This recommendation will improve the consistency of personnel policy application, reduce redundancies between PPL SC and PPL EUS HR staff, increase the likelihood of appropriate staffing levels for PPL SC HR, and will encourage the full utilization of PPL SC HR staff.  The PPL EUS HR personnel can stay physically deployed to the PPL EU office area and continue to work closely with their PPL EU clients.  However, they should report directly to their PPL SC functional counterparts.  For example, the talent acquisition personnel for PPL EUS should be a part of the PPL SC HR talent acquisition function.  The staff physically deployed with PPL EU would report indirectly to their primary client, PPL EU. </w:t>
      </w:r>
    </w:p>
    <w:p w:rsidR="00AC40FC" w:rsidRDefault="00AC40FC" w:rsidP="004F00E5">
      <w:pPr>
        <w:pStyle w:val="Findings"/>
        <w:numPr>
          <w:ilvl w:val="0"/>
          <w:numId w:val="124"/>
        </w:numPr>
      </w:pPr>
      <w:r w:rsidRPr="00F962D8">
        <w:t>PPL</w:t>
      </w:r>
      <w:r>
        <w:t xml:space="preserve"> SC HR should participate in an appropriate HR comprehensive benchmarking study.  (See Finding 4)</w:t>
      </w:r>
    </w:p>
    <w:p w:rsidR="00AC40FC" w:rsidRDefault="00AC40FC" w:rsidP="00864BDD">
      <w:r>
        <w:t xml:space="preserve">Active participation in a credible benchmarking study will require </w:t>
      </w:r>
      <w:r w:rsidRPr="00D57E9C">
        <w:t>establish</w:t>
      </w:r>
      <w:r>
        <w:t>ing</w:t>
      </w:r>
      <w:r w:rsidRPr="00D57E9C">
        <w:t xml:space="preserve"> </w:t>
      </w:r>
      <w:r>
        <w:t xml:space="preserve">the </w:t>
      </w:r>
      <w:r w:rsidRPr="00D57E9C">
        <w:t>measurements</w:t>
      </w:r>
      <w:r>
        <w:t xml:space="preserve"> utilized by the benchmarking program.  The benchmark comparisons to other peers will identify improvement areas, help to set performance targets, and ultimately lead</w:t>
      </w:r>
      <w:r w:rsidRPr="00D57E9C">
        <w:t xml:space="preserve"> to improve</w:t>
      </w:r>
      <w:r>
        <w:t>ment in</w:t>
      </w:r>
      <w:r w:rsidRPr="00D57E9C">
        <w:t xml:space="preserve"> the effectiveness and efficiency of </w:t>
      </w:r>
      <w:r>
        <w:t>the</w:t>
      </w:r>
      <w:r w:rsidRPr="00D57E9C">
        <w:t xml:space="preserve"> HR department. </w:t>
      </w:r>
      <w:r>
        <w:t xml:space="preserve"> </w:t>
      </w:r>
    </w:p>
    <w:p w:rsidR="00AC40FC" w:rsidRDefault="00AC40FC" w:rsidP="000E34CD">
      <w:pPr>
        <w:pStyle w:val="Findings"/>
      </w:pPr>
      <w:r w:rsidRPr="00710017">
        <w:t>Select and implement HR metrics for each functional area that will me</w:t>
      </w:r>
      <w:r>
        <w:t>asure the effectiveness and eff</w:t>
      </w:r>
      <w:r w:rsidRPr="00710017">
        <w:t>icien</w:t>
      </w:r>
      <w:r>
        <w:t>c</w:t>
      </w:r>
      <w:r w:rsidRPr="00710017">
        <w:t>y of the function.</w:t>
      </w:r>
      <w:r>
        <w:t xml:space="preserve">  (See Finding 6)</w:t>
      </w:r>
    </w:p>
    <w:p w:rsidR="00AC40FC" w:rsidRPr="00667958" w:rsidRDefault="00AC40FC" w:rsidP="00864BDD">
      <w:r>
        <w:t>In conjunction with implementing a HR staffing benchmarking program (Recommendation 2), a comprehensive set of HR metrics should be selected and implemented.  Recognizing that implementation of a comprehensive set of HR metrics is a formidable task; the following are suggested as initial HR metrics in the program.</w:t>
      </w:r>
    </w:p>
    <w:p w:rsidR="00AC40FC" w:rsidRPr="00667958" w:rsidRDefault="00AC40FC" w:rsidP="00864BDD">
      <w:pPr>
        <w:pStyle w:val="Bullet"/>
      </w:pPr>
      <w:r w:rsidRPr="00667958">
        <w:t xml:space="preserve">Benefit </w:t>
      </w:r>
      <w:r>
        <w:t>o</w:t>
      </w:r>
      <w:r w:rsidRPr="00667958">
        <w:t>r Program Costs Per Employee</w:t>
      </w:r>
    </w:p>
    <w:p w:rsidR="00AC40FC" w:rsidRPr="00667958" w:rsidRDefault="00AC40FC" w:rsidP="00864BDD">
      <w:pPr>
        <w:pStyle w:val="Bullet"/>
      </w:pPr>
      <w:r w:rsidRPr="00667958">
        <w:t>Benefits As A Percent Of Salary</w:t>
      </w:r>
    </w:p>
    <w:p w:rsidR="00AC40FC" w:rsidRPr="00667958" w:rsidRDefault="00AC40FC" w:rsidP="00864BDD">
      <w:pPr>
        <w:pStyle w:val="Bullet"/>
      </w:pPr>
      <w:r w:rsidRPr="00667958">
        <w:t>Cost Per Hire</w:t>
      </w:r>
    </w:p>
    <w:p w:rsidR="00AC40FC" w:rsidRPr="00667958" w:rsidRDefault="00AC40FC" w:rsidP="00864BDD">
      <w:pPr>
        <w:pStyle w:val="Bullet"/>
      </w:pPr>
      <w:r w:rsidRPr="00667958">
        <w:t xml:space="preserve">Engagement </w:t>
      </w:r>
      <w:r>
        <w:t>o</w:t>
      </w:r>
      <w:r w:rsidRPr="00667958">
        <w:t>r Satisfaction Rating</w:t>
      </w:r>
    </w:p>
    <w:p w:rsidR="00AC40FC" w:rsidRPr="00667958" w:rsidRDefault="00AC40FC" w:rsidP="00864BDD">
      <w:pPr>
        <w:pStyle w:val="Bullet"/>
      </w:pPr>
      <w:r w:rsidRPr="00667958">
        <w:t>HR Expense Factor</w:t>
      </w:r>
    </w:p>
    <w:p w:rsidR="00AC40FC" w:rsidRPr="00667958" w:rsidRDefault="00AC40FC" w:rsidP="00864BDD">
      <w:pPr>
        <w:pStyle w:val="Bullet"/>
      </w:pPr>
      <w:r w:rsidRPr="00667958">
        <w:t xml:space="preserve">Revenue </w:t>
      </w:r>
      <w:r>
        <w:t>p</w:t>
      </w:r>
      <w:r w:rsidRPr="00667958">
        <w:t>er Employee</w:t>
      </w:r>
    </w:p>
    <w:p w:rsidR="00AC40FC" w:rsidRPr="00667958" w:rsidRDefault="00AC40FC" w:rsidP="00864BDD">
      <w:pPr>
        <w:pStyle w:val="Bullet"/>
      </w:pPr>
      <w:r w:rsidRPr="00667958">
        <w:t>Tenure</w:t>
      </w:r>
    </w:p>
    <w:p w:rsidR="00AC40FC" w:rsidRPr="00667958" w:rsidRDefault="00AC40FC" w:rsidP="00864BDD">
      <w:pPr>
        <w:pStyle w:val="Bullet"/>
      </w:pPr>
      <w:r w:rsidRPr="00667958">
        <w:t xml:space="preserve">Training (ROI) </w:t>
      </w:r>
    </w:p>
    <w:p w:rsidR="00AC40FC" w:rsidRPr="00667958" w:rsidRDefault="00AC40FC" w:rsidP="00864BDD">
      <w:pPr>
        <w:pStyle w:val="Bullet"/>
      </w:pPr>
      <w:r w:rsidRPr="00667958">
        <w:t>Training Investment Factor</w:t>
      </w:r>
    </w:p>
    <w:p w:rsidR="00AC40FC" w:rsidRPr="00667958" w:rsidRDefault="00AC40FC" w:rsidP="00864BDD">
      <w:pPr>
        <w:pStyle w:val="Bullet"/>
      </w:pPr>
      <w:r w:rsidRPr="00667958">
        <w:t>Training/Development Hours</w:t>
      </w:r>
    </w:p>
    <w:p w:rsidR="00AC40FC" w:rsidRPr="00667958" w:rsidRDefault="00AC40FC" w:rsidP="00864BDD">
      <w:pPr>
        <w:pStyle w:val="Bullet"/>
      </w:pPr>
      <w:r w:rsidRPr="00667958">
        <w:t>Turnover Costs</w:t>
      </w:r>
    </w:p>
    <w:p w:rsidR="00AC40FC" w:rsidRPr="00667958" w:rsidRDefault="00AC40FC" w:rsidP="00864BDD">
      <w:pPr>
        <w:pStyle w:val="Bullet"/>
      </w:pPr>
      <w:r w:rsidRPr="00667958">
        <w:t>Vacancy Rate</w:t>
      </w:r>
    </w:p>
    <w:p w:rsidR="00AC40FC" w:rsidRPr="00667958" w:rsidRDefault="00AC40FC" w:rsidP="00864BDD">
      <w:pPr>
        <w:pStyle w:val="Bullet"/>
      </w:pPr>
      <w:r w:rsidRPr="00667958">
        <w:t xml:space="preserve">Workers' Compensation Cost </w:t>
      </w:r>
      <w:r>
        <w:t>p</w:t>
      </w:r>
      <w:r w:rsidRPr="00667958">
        <w:t>er Employee</w:t>
      </w:r>
    </w:p>
    <w:p w:rsidR="00AC40FC" w:rsidRPr="00187CF6" w:rsidRDefault="00AC40FC" w:rsidP="00864BDD">
      <w:pPr>
        <w:pStyle w:val="Normal-aftertable"/>
        <w:rPr>
          <w:rFonts w:ascii="Calibri" w:hAnsi="Calibri"/>
          <w:sz w:val="22"/>
        </w:rPr>
      </w:pPr>
      <w:r w:rsidRPr="001734E6">
        <w:t>HR processes and investments must be directly linked to critical business outcomes</w:t>
      </w:r>
      <w:r w:rsidRPr="001734E6">
        <w:rPr>
          <w:b/>
          <w:bCs/>
        </w:rPr>
        <w:t xml:space="preserve"> </w:t>
      </w:r>
      <w:r w:rsidRPr="001734E6">
        <w:t xml:space="preserve">(e.g., </w:t>
      </w:r>
      <w:r>
        <w:t>reliability</w:t>
      </w:r>
      <w:r w:rsidRPr="001734E6">
        <w:t xml:space="preserve">, productivity, </w:t>
      </w:r>
      <w:r>
        <w:t xml:space="preserve">and </w:t>
      </w:r>
      <w:r w:rsidRPr="001734E6">
        <w:t>customer satisfaction) to understand their impact</w:t>
      </w:r>
      <w:r>
        <w:t xml:space="preserve"> and</w:t>
      </w:r>
      <w:r w:rsidRPr="001734E6">
        <w:t xml:space="preserve"> how they drive those outcomes.  By quantifying the relationship between HR processes </w:t>
      </w:r>
      <w:r w:rsidRPr="001734E6">
        <w:lastRenderedPageBreak/>
        <w:t>and critical business outcomes in the past (lagging indicators), algorithms can be created to predict future impact of HR investments</w:t>
      </w:r>
      <w:r w:rsidRPr="001734E6">
        <w:rPr>
          <w:b/>
        </w:rPr>
        <w:t xml:space="preserve"> </w:t>
      </w:r>
      <w:r w:rsidRPr="001734E6">
        <w:t xml:space="preserve">(leading indicators).  HR must look holistically at all HR processes and potential investments to understand their HR priorities and make investment decisions like </w:t>
      </w:r>
      <w:r>
        <w:t xml:space="preserve">other lines of business/functions.  </w:t>
      </w:r>
    </w:p>
    <w:p w:rsidR="00AC40FC" w:rsidRDefault="00AC40FC" w:rsidP="000E34CD">
      <w:pPr>
        <w:pStyle w:val="Findings"/>
      </w:pPr>
      <w:r>
        <w:t>Provide opportunities and encouragement for more employees within PPL SC HR to obtain relevant professional HR certifications.  (See Finding 9)</w:t>
      </w:r>
    </w:p>
    <w:p w:rsidR="00AC40FC" w:rsidRDefault="00AC40FC">
      <w:r>
        <w:t>The benefits of attaining relevant professional HR certifications include expanding the capabilities of the HR staff; enhanced understanding of effective HR practices, processes, and technologies; and staff use of standardized HR terminology.  Certification and recertification could be encouraged through the use of existing tuition reimbursement programs.</w:t>
      </w:r>
    </w:p>
    <w:p w:rsidR="00AC40FC" w:rsidRDefault="00AC40FC" w:rsidP="00864BDD">
      <w:r>
        <w:t>There are several nationally recognized organizations that serve as certifying bodies for various functional areas of human resources.  Outlined below are several examples:</w:t>
      </w:r>
    </w:p>
    <w:p w:rsidR="00AC40FC" w:rsidRPr="005F3E20" w:rsidRDefault="00AC40FC" w:rsidP="00864BDD">
      <w:pPr>
        <w:pStyle w:val="Bullet"/>
      </w:pPr>
      <w:r w:rsidRPr="005F3E20">
        <w:t>The Human Resource Certification Institute (HRCI) offers two nationally recognized credentials including the Professional in Human Resources (PHR) and the Senior Professional in Human Resources (SPHR) certifications.</w:t>
      </w:r>
    </w:p>
    <w:p w:rsidR="00AC40FC" w:rsidRPr="005F3E20" w:rsidRDefault="00AC40FC" w:rsidP="00864BDD">
      <w:pPr>
        <w:pStyle w:val="Bullet"/>
      </w:pPr>
      <w:r w:rsidRPr="005F3E20">
        <w:t>The Society for Human Resource Management (SHRM) offers two nationally recognized credentials including the Society for Human Resource Professional Certified Professional (SHRM-CP) and Senior Certified Professional (SHRM-SCP).</w:t>
      </w:r>
    </w:p>
    <w:p w:rsidR="00AC40FC" w:rsidRPr="005F3E20" w:rsidRDefault="00AC40FC" w:rsidP="00864BDD">
      <w:pPr>
        <w:pStyle w:val="Bullet"/>
      </w:pPr>
      <w:r w:rsidRPr="005F3E20">
        <w:t>WorldatWork offers four relevant nationally recognized certifications including the Certified Compensation Professional (CCP) and Certified Benefits Professional (CBP) certifications, Certified Executive Compensation Professional (CECP) and the Work-Life Certified Professional (WLCP).</w:t>
      </w:r>
    </w:p>
    <w:p w:rsidR="00AC40FC" w:rsidRDefault="00AC40FC" w:rsidP="00BB665B">
      <w:pPr>
        <w:pStyle w:val="Bullet"/>
        <w:spacing w:after="120"/>
      </w:pPr>
      <w:r w:rsidRPr="005F3E20">
        <w:t>The Association for Talent Development (ATD) also provides various talent development certifications</w:t>
      </w:r>
      <w:r>
        <w:t>.</w:t>
      </w:r>
    </w:p>
    <w:p w:rsidR="00AC40FC" w:rsidRDefault="00AC40FC" w:rsidP="000E34CD">
      <w:pPr>
        <w:pStyle w:val="Findings"/>
      </w:pPr>
      <w:r>
        <w:t>Measure all four levels of training effectiveness according to the Kirkpatrick model.  (See Finding 11)</w:t>
      </w:r>
    </w:p>
    <w:p w:rsidR="00AC40FC" w:rsidRDefault="00AC40FC">
      <w:r>
        <w:t>Merely measuring satisfaction with non-technical training is not sufficient to understand and manage the effectiveness of the training delivered.  Measuring training effectiveness at all four levels described by the Kirkpatrick model will enhance management’s ability to make program adjustments to assure training effectiveness and resource efficiency.</w:t>
      </w:r>
    </w:p>
    <w:p w:rsidR="00AC40FC" w:rsidRDefault="00AC40FC" w:rsidP="000E34CD">
      <w:pPr>
        <w:pStyle w:val="Findings"/>
      </w:pPr>
      <w:r>
        <w:t>Update the PPL SC and PPL EU succession plan.  (See Finding 12)</w:t>
      </w:r>
    </w:p>
    <w:p w:rsidR="00AC40FC" w:rsidRDefault="00AC40FC" w:rsidP="00864BDD">
      <w:r>
        <w:t xml:space="preserve">Incorporate the positive features of the 2013 succession plan in an updated plan that supports the present succession planning needs of the organizations. </w:t>
      </w:r>
    </w:p>
    <w:p w:rsidR="00AC40FC" w:rsidRDefault="00AC40FC" w:rsidP="000E34CD">
      <w:pPr>
        <w:pStyle w:val="Findings"/>
      </w:pPr>
      <w:r>
        <w:t>Improve the HR system self-service portal.  (See Finding 18)</w:t>
      </w:r>
    </w:p>
    <w:p w:rsidR="00AC40FC" w:rsidRDefault="00AC40FC" w:rsidP="00252486">
      <w:r>
        <w:t xml:space="preserve">Partner with PPL SC Information Technology to conduct an assessment of PPL HR SC end user and employee requirements and identify a HR technology solution that would address the identified needs and include a better and more user-friendly employee and manager self-service portal.  </w:t>
      </w:r>
    </w:p>
    <w:p w:rsidR="00AC40FC" w:rsidRDefault="00AC40FC" w:rsidP="008305C3">
      <w:pPr>
        <w:pStyle w:val="Bullet"/>
        <w:numPr>
          <w:ilvl w:val="0"/>
          <w:numId w:val="0"/>
        </w:numPr>
        <w:sectPr w:rsidR="00AC40FC" w:rsidSect="00C73199">
          <w:footerReference w:type="default" r:id="rId72"/>
          <w:type w:val="continuous"/>
          <w:pgSz w:w="12240" w:h="15840"/>
          <w:pgMar w:top="1440" w:right="1440" w:bottom="1440" w:left="1440" w:header="720" w:footer="576" w:gutter="0"/>
          <w:cols w:space="720"/>
          <w:docGrid w:linePitch="360"/>
        </w:sectPr>
      </w:pPr>
    </w:p>
    <w:p w:rsidR="00AC40FC" w:rsidRPr="00451E86" w:rsidRDefault="00AC40FC" w:rsidP="00AC40FC">
      <w:pPr>
        <w:pStyle w:val="Heading1"/>
        <w:ind w:left="720"/>
      </w:pPr>
      <w:bookmarkStart w:id="236" w:name="_Toc462647881"/>
      <w:bookmarkStart w:id="237" w:name="_Toc464552120"/>
      <w:r>
        <w:lastRenderedPageBreak/>
        <w:t>Executive Compensation</w:t>
      </w:r>
      <w:bookmarkEnd w:id="236"/>
      <w:bookmarkEnd w:id="237"/>
    </w:p>
    <w:p w:rsidR="00AC40FC" w:rsidRDefault="00AC40FC" w:rsidP="004F00E5">
      <w:pPr>
        <w:pStyle w:val="Heading2"/>
        <w:numPr>
          <w:ilvl w:val="0"/>
          <w:numId w:val="125"/>
        </w:numPr>
      </w:pPr>
      <w:bookmarkStart w:id="238" w:name="_Toc462647882"/>
      <w:bookmarkStart w:id="239" w:name="_Toc464552121"/>
      <w:r>
        <w:t>BACKGround</w:t>
      </w:r>
      <w:bookmarkEnd w:id="238"/>
      <w:bookmarkEnd w:id="239"/>
    </w:p>
    <w:p w:rsidR="00AC40FC" w:rsidRDefault="00AC40FC" w:rsidP="00C73199">
      <w:r>
        <w:t xml:space="preserve">This chapter addresses executive compensation practices relevant to PPL Corporation and PPL Electric Utilities Corporation (PPL EU).  The PPL Services Corporation (PPL SC) Human Resources (HR) department provides broad-based compensation services to PPL Corporation and PPL EU.  PPL Corporation’s Named Executive Officers (NEOs) and PPL EU’s top four highly compensated executives are specifically evaluated as a focus of the executive compensation chapter. </w:t>
      </w:r>
    </w:p>
    <w:p w:rsidR="00AC40FC" w:rsidRDefault="00AC40FC" w:rsidP="00C73199">
      <w:r>
        <w:t xml:space="preserve">PPL Corporation’s executive compensation program must comply with enacted regulations of the Securities Exchange Act of 1934 (Exchange Act), including all amendments; the Sarbanes-Oxley Act (SOX) of 2002; the Dodd-Frank Wall Street Reform and Consumer Protection Act (Dodd-Frank Act); the New York Stock Exchange (NYSE) and the Internal Revenue Code. </w:t>
      </w:r>
    </w:p>
    <w:p w:rsidR="00AC40FC" w:rsidRDefault="00AC40FC" w:rsidP="00C73199">
      <w:pPr>
        <w:pStyle w:val="Heading30"/>
      </w:pPr>
      <w:r>
        <w:t>Securities and exchange commission</w:t>
      </w:r>
    </w:p>
    <w:p w:rsidR="00AC40FC" w:rsidRPr="00996B88" w:rsidRDefault="00AC40FC" w:rsidP="00C73199">
      <w:r w:rsidRPr="00576342">
        <w:t>With the Exchange Act,</w:t>
      </w:r>
      <w:r w:rsidRPr="00576342">
        <w:rPr>
          <w:color w:val="273A56"/>
        </w:rPr>
        <w:t xml:space="preserve"> </w:t>
      </w:r>
      <w:r w:rsidRPr="00996B88">
        <w:t>Congress created the Securities and Exchange Commission (SEC).</w:t>
      </w:r>
      <w:r>
        <w:t xml:space="preserve"> </w:t>
      </w:r>
      <w:r w:rsidRPr="00996B88">
        <w:t xml:space="preserve"> The </w:t>
      </w:r>
      <w:r>
        <w:t xml:space="preserve">Exchange </w:t>
      </w:r>
      <w:r w:rsidRPr="00996B88">
        <w:t>Act empowers the SEC with broad enforcement authority over all aspects of the securities industry.</w:t>
      </w:r>
      <w:r>
        <w:t xml:space="preserve"> </w:t>
      </w:r>
      <w:r w:rsidRPr="00996B88">
        <w:t xml:space="preserve"> This includes the power to register, regulate, and oversee various securities exchanges, such as the New York Stock Exchange</w:t>
      </w:r>
      <w:r>
        <w:t xml:space="preserve"> (NYSE)</w:t>
      </w:r>
      <w:r w:rsidRPr="00996B88">
        <w:t xml:space="preserve"> and the NASDAQ Stock Market.  The Exchange Act also identifies and prohibits certain types of conduct in the markets and provides the SEC with disciplinary powers over regulated entities and persons associated with them.  The </w:t>
      </w:r>
      <w:r>
        <w:t xml:space="preserve">Exchange </w:t>
      </w:r>
      <w:r w:rsidRPr="00996B88">
        <w:t>Act also empowers the SEC to require periodic reporting of information by companies wi</w:t>
      </w:r>
      <w:r>
        <w:t>th publicly traded securities.  PPL Corporation shares of common stock are</w:t>
      </w:r>
      <w:r w:rsidDel="007446C2">
        <w:t xml:space="preserve"> </w:t>
      </w:r>
      <w:r>
        <w:t>traded on the NYSE.</w:t>
      </w:r>
    </w:p>
    <w:p w:rsidR="00AC40FC" w:rsidRDefault="00AC40FC" w:rsidP="00C73199">
      <w:r>
        <w:t xml:space="preserve">SEC requirements mandate transparency of compensation analysis methodologies and public reporting of all elements of executive compensation, some of which must be in prescribed table formats.  Other important requirements include the use of independent compensation committees with formal written charters as part of publicly traded corporations’ regulatory obligations. </w:t>
      </w:r>
    </w:p>
    <w:p w:rsidR="00AC40FC" w:rsidRDefault="00AC40FC" w:rsidP="00C73199">
      <w:pPr>
        <w:pStyle w:val="Heading30"/>
      </w:pPr>
      <w:r>
        <w:t>sarbanes-oxley act of 2002</w:t>
      </w:r>
    </w:p>
    <w:p w:rsidR="00AC40FC" w:rsidRDefault="00AC40FC" w:rsidP="00C73199">
      <w:r>
        <w:t xml:space="preserve">The Sarbanes-Oxley Act of 2002 requires executive officer verification and validation of the publicly submitted financial reports, and introduced executive compensation forfeiture and repayment of compensation due to financial restatement if financial reporting errors occur.  </w:t>
      </w:r>
    </w:p>
    <w:p w:rsidR="00AC40FC" w:rsidRDefault="00AC40FC" w:rsidP="00C73199">
      <w:pPr>
        <w:pStyle w:val="Heading30"/>
      </w:pPr>
      <w:r>
        <w:t>dodd-frank act</w:t>
      </w:r>
    </w:p>
    <w:p w:rsidR="00AC40FC" w:rsidRDefault="00AC40FC" w:rsidP="00C73199">
      <w:r>
        <w:t xml:space="preserve">The Dodd-Frank Act extended the SOX executive compensation forfeiture and repayment from twelve months to three years, and extended requirements for shareholder advisory vote of NEO compensation at least once every three years.  The Dodd-Frank Act also required heightened scrutiny of compensation committees’ independence.   </w:t>
      </w:r>
    </w:p>
    <w:p w:rsidR="00AC40FC" w:rsidRDefault="00AC40FC" w:rsidP="00C73199">
      <w:pPr>
        <w:pStyle w:val="Heading30"/>
      </w:pPr>
      <w:r>
        <w:lastRenderedPageBreak/>
        <w:t>internal revenue code</w:t>
      </w:r>
    </w:p>
    <w:p w:rsidR="00AC40FC" w:rsidRDefault="00AC40FC" w:rsidP="00C73199">
      <w:r>
        <w:t xml:space="preserve">Section 162(m) of the Internal Revenue Code (IRC) defines covered executives as Chief Executive Officers (CEOs) and the top four most highly compensated executives in publicly held corporations.  The IRC establishes allowable salary level limits for covered executives’ federal income tax deductions, defines excluded executive types of compensation, and requires shareholder approval of most equity compensation plans.   </w:t>
      </w:r>
    </w:p>
    <w:p w:rsidR="00AC40FC" w:rsidRDefault="00AC40FC" w:rsidP="00C73199">
      <w:pPr>
        <w:pStyle w:val="Heading30"/>
      </w:pPr>
      <w:r>
        <w:t>governance</w:t>
      </w:r>
    </w:p>
    <w:p w:rsidR="00AC40FC" w:rsidRDefault="00AC40FC" w:rsidP="00C73199">
      <w:r>
        <w:t xml:space="preserve">Each legal standard and regulatory enhancement has placed an increased level of responsibility on PPL Corporation’s Board of Directors (BOD); the Compensation, Governance, and Nominating Committee (CGNC); and PPL SC HR’s executive compensation staff performing functions related to executive compensation.  These regulatory frameworks form the primary requirements of PPL Corporation’s executive compensation practices and they provide guidance to ensure executive compensation practices are reasonable; ensure expenses are prudently incurred; protect the interests of ratepayers, shareholders, and employees; and are competitive within the industry.  Likewise, the executive compensation plans are to be structured in a way that promotes operational effectiveness and efficiency. </w:t>
      </w:r>
    </w:p>
    <w:p w:rsidR="00AC40FC" w:rsidRDefault="00AC40FC" w:rsidP="00C73199">
      <w:pPr>
        <w:pStyle w:val="Heading30"/>
      </w:pPr>
      <w:r>
        <w:t>evaluation</w:t>
      </w:r>
    </w:p>
    <w:p w:rsidR="00AC40FC" w:rsidRPr="006D3A52" w:rsidRDefault="00AC40FC" w:rsidP="00C73199">
      <w:pPr>
        <w:rPr>
          <w:rFonts w:cs="Arial"/>
          <w:szCs w:val="24"/>
        </w:rPr>
      </w:pPr>
      <w:r>
        <w:rPr>
          <w:rFonts w:cs="Arial"/>
          <w:szCs w:val="24"/>
        </w:rPr>
        <w:t xml:space="preserve">Our review evaluated PPL’s Tier I and Tier II executives (defined below in the Executive Compensation Functional Overview section) to include NEOs and </w:t>
      </w:r>
      <w:r w:rsidRPr="006D3A52">
        <w:rPr>
          <w:rFonts w:cs="Arial"/>
          <w:szCs w:val="24"/>
        </w:rPr>
        <w:t>executive compensation practices</w:t>
      </w:r>
      <w:r>
        <w:rPr>
          <w:rFonts w:cs="Arial"/>
          <w:szCs w:val="24"/>
        </w:rPr>
        <w:t xml:space="preserve"> relevant to PPL EU.  </w:t>
      </w:r>
      <w:r w:rsidRPr="006D3A52">
        <w:rPr>
          <w:rFonts w:cs="Arial"/>
          <w:szCs w:val="24"/>
        </w:rPr>
        <w:t>This evaluation include</w:t>
      </w:r>
      <w:r>
        <w:rPr>
          <w:rFonts w:cs="Arial"/>
          <w:szCs w:val="24"/>
        </w:rPr>
        <w:t>s</w:t>
      </w:r>
      <w:r w:rsidRPr="006D3A52">
        <w:rPr>
          <w:rFonts w:cs="Arial"/>
          <w:szCs w:val="24"/>
        </w:rPr>
        <w:t xml:space="preserve"> an assessment of the following:</w:t>
      </w:r>
    </w:p>
    <w:p w:rsidR="00AC40FC" w:rsidRDefault="00AC40FC" w:rsidP="00C73199">
      <w:pPr>
        <w:pStyle w:val="Bullet"/>
      </w:pPr>
      <w:r w:rsidRPr="006D3A52">
        <w:t>A review of the compensation for PPL</w:t>
      </w:r>
      <w:r>
        <w:t xml:space="preserve">’s NEOs and PPL EU executives </w:t>
      </w:r>
      <w:r w:rsidRPr="006D3A52">
        <w:t xml:space="preserve">including base salary, </w:t>
      </w:r>
      <w:r>
        <w:t xml:space="preserve">incentive pay, equity, and benefits.  </w:t>
      </w:r>
    </w:p>
    <w:p w:rsidR="00AC40FC" w:rsidRDefault="00AC40FC" w:rsidP="00C73199">
      <w:pPr>
        <w:pStyle w:val="Bullet"/>
      </w:pPr>
      <w:r w:rsidRPr="006D3A52">
        <w:t xml:space="preserve">A review of the role </w:t>
      </w:r>
      <w:r>
        <w:t xml:space="preserve">of </w:t>
      </w:r>
      <w:r w:rsidRPr="006D3A52">
        <w:t>the</w:t>
      </w:r>
      <w:r>
        <w:t xml:space="preserve"> PPL</w:t>
      </w:r>
      <w:r w:rsidRPr="006D3A52">
        <w:t xml:space="preserve"> </w:t>
      </w:r>
      <w:r>
        <w:t>BOD</w:t>
      </w:r>
      <w:r w:rsidRPr="006D3A52">
        <w:t xml:space="preserve"> and </w:t>
      </w:r>
      <w:r>
        <w:t xml:space="preserve">the CGNC related to </w:t>
      </w:r>
      <w:r w:rsidRPr="006D3A52">
        <w:t>the</w:t>
      </w:r>
      <w:r>
        <w:t xml:space="preserve"> setting of e</w:t>
      </w:r>
      <w:r w:rsidRPr="006D3A52">
        <w:t>xecutive compensation levels and the development of any incentive pay structure</w:t>
      </w:r>
      <w:r>
        <w:t xml:space="preserve">.  </w:t>
      </w:r>
      <w:r w:rsidRPr="006D3A52">
        <w:t xml:space="preserve"> </w:t>
      </w:r>
    </w:p>
    <w:p w:rsidR="00AC40FC" w:rsidRPr="00F52585" w:rsidRDefault="00AC40FC" w:rsidP="00C73199">
      <w:pPr>
        <w:pStyle w:val="Bullet"/>
        <w:rPr>
          <w:rFonts w:ascii="Microsoft Sans Serif" w:hAnsi="Microsoft Sans Serif" w:cs="Microsoft Sans Serif"/>
          <w:sz w:val="22"/>
        </w:rPr>
      </w:pPr>
      <w:r w:rsidRPr="006D3A52">
        <w:t>A review of the frequency and scope of compensation s</w:t>
      </w:r>
      <w:r>
        <w:t xml:space="preserve">tudies, for NEOs </w:t>
      </w:r>
      <w:r w:rsidRPr="006D3A52">
        <w:t xml:space="preserve">and </w:t>
      </w:r>
      <w:r>
        <w:t xml:space="preserve">PPL EU executives, as well as </w:t>
      </w:r>
      <w:r w:rsidRPr="006D3A52">
        <w:t>PPL</w:t>
      </w:r>
      <w:r>
        <w:t>’s practices of</w:t>
      </w:r>
      <w:r w:rsidRPr="006D3A52">
        <w:t xml:space="preserve"> comparison to industry peers</w:t>
      </w:r>
      <w:r>
        <w:t xml:space="preserve">.  </w:t>
      </w:r>
    </w:p>
    <w:p w:rsidR="00AC40FC" w:rsidRDefault="00AC40FC" w:rsidP="00C73199">
      <w:pPr>
        <w:pStyle w:val="Bullet"/>
      </w:pPr>
      <w:r w:rsidRPr="006D3A52">
        <w:t xml:space="preserve">The effectiveness of the compensation structure in incentivizing and supporting the operational goals and performance of PPL </w:t>
      </w:r>
      <w:r>
        <w:t xml:space="preserve">EU </w:t>
      </w:r>
      <w:r w:rsidRPr="006D3A52">
        <w:t xml:space="preserve">and the overall strategy of PPL </w:t>
      </w:r>
      <w:r>
        <w:t xml:space="preserve">Corporation.  </w:t>
      </w:r>
    </w:p>
    <w:p w:rsidR="00AC40FC" w:rsidRDefault="00AC40FC" w:rsidP="00C73199">
      <w:pPr>
        <w:pStyle w:val="Normal-aftertable"/>
      </w:pPr>
      <w:r w:rsidRPr="00DF0BCA">
        <w:t xml:space="preserve">The structure and specific executive compensation services </w:t>
      </w:r>
      <w:r>
        <w:t>performed by PPL’s</w:t>
      </w:r>
      <w:r w:rsidRPr="00DF0BCA">
        <w:t xml:space="preserve"> </w:t>
      </w:r>
      <w:r>
        <w:t>BOD</w:t>
      </w:r>
      <w:r w:rsidRPr="00DF0BCA">
        <w:t xml:space="preserve">, </w:t>
      </w:r>
      <w:r w:rsidRPr="00953550">
        <w:t>CGNC, and PPL SC HR</w:t>
      </w:r>
      <w:r>
        <w:t>’s compensation and benefits function are organized in this section as follows:</w:t>
      </w:r>
      <w:r w:rsidRPr="00953550">
        <w:t xml:space="preserve"> </w:t>
      </w:r>
    </w:p>
    <w:p w:rsidR="00AC40FC" w:rsidRPr="00B214B0" w:rsidRDefault="00AC40FC" w:rsidP="00C73199">
      <w:pPr>
        <w:pStyle w:val="Bullet"/>
      </w:pPr>
      <w:r w:rsidRPr="00B214B0">
        <w:t>Executive Compensation Function Overview</w:t>
      </w:r>
    </w:p>
    <w:p w:rsidR="00AC40FC" w:rsidRDefault="00AC40FC" w:rsidP="00C73199">
      <w:pPr>
        <w:pStyle w:val="Bullet"/>
      </w:pPr>
      <w:r w:rsidRPr="00B214B0">
        <w:t>Executive Compensation Philosophy and Objectives</w:t>
      </w:r>
    </w:p>
    <w:p w:rsidR="00AC40FC" w:rsidRPr="00B214B0" w:rsidRDefault="00AC40FC" w:rsidP="00C73199">
      <w:pPr>
        <w:pStyle w:val="Bullet"/>
      </w:pPr>
      <w:r>
        <w:t xml:space="preserve">Role of the Board of Directors </w:t>
      </w:r>
    </w:p>
    <w:p w:rsidR="00AC40FC" w:rsidRDefault="00AC40FC" w:rsidP="00C73199">
      <w:pPr>
        <w:pStyle w:val="Bullet"/>
      </w:pPr>
      <w:r>
        <w:t>Review of Market Competiveness Analysis: Total Executive Cash, Benefits, and Equity Compensation Program</w:t>
      </w:r>
    </w:p>
    <w:p w:rsidR="00AC40FC" w:rsidRPr="00536A8C" w:rsidRDefault="00AC40FC" w:rsidP="00C73199">
      <w:pPr>
        <w:pStyle w:val="Heading30"/>
      </w:pPr>
      <w:r w:rsidRPr="00536A8C">
        <w:lastRenderedPageBreak/>
        <w:t>EXECUTIVE cOMPENSATION FUNCTION OVERVIEW</w:t>
      </w:r>
    </w:p>
    <w:p w:rsidR="00AC40FC" w:rsidRPr="00A84F53" w:rsidRDefault="00AC40FC" w:rsidP="00C73199">
      <w:pPr>
        <w:pStyle w:val="Normal-aftertable"/>
      </w:pPr>
      <w:r>
        <w:t xml:space="preserve">The PPL SC HR Compensation and Benefits unit provides executive compensation services, </w:t>
      </w:r>
      <w:r w:rsidRPr="00E3019E">
        <w:t xml:space="preserve">retirement plan administration, executive perquisites coordination, and health and welfare plan administration including vendor management for </w:t>
      </w:r>
      <w:r>
        <w:t>34</w:t>
      </w:r>
      <w:r w:rsidRPr="00E3019E">
        <w:t xml:space="preserve"> Tier I and Tier II executives of PPL Corporation and its subsidiaries. </w:t>
      </w:r>
      <w:r>
        <w:t xml:space="preserve"> </w:t>
      </w:r>
      <w:r w:rsidRPr="00A84F53">
        <w:t xml:space="preserve">Tier I executives </w:t>
      </w:r>
      <w:r>
        <w:t xml:space="preserve">include those officers who are "deemed" to be executive officers for the purposes of </w:t>
      </w:r>
      <w:r w:rsidRPr="00A84F53">
        <w:t xml:space="preserve">Section 16 of the Exchange Act and include titles such as </w:t>
      </w:r>
      <w:r>
        <w:t>Chief Executive Officer</w:t>
      </w:r>
      <w:r w:rsidRPr="00A84F53">
        <w:t>, Chief Financial Officer, Controller, and Treasurer and also include non-</w:t>
      </w:r>
      <w:r>
        <w:t xml:space="preserve">Section </w:t>
      </w:r>
      <w:r w:rsidRPr="00A84F53">
        <w:t xml:space="preserve">16 officers </w:t>
      </w:r>
      <w:r>
        <w:t xml:space="preserve">in </w:t>
      </w:r>
      <w:r w:rsidRPr="00A84F53">
        <w:t xml:space="preserve"> business units and functional units of the corporation </w:t>
      </w:r>
      <w:r>
        <w:t xml:space="preserve">and its subsidiaries </w:t>
      </w:r>
      <w:r w:rsidRPr="00A84F53">
        <w:t xml:space="preserve">that </w:t>
      </w:r>
      <w:r>
        <w:t xml:space="preserve">have </w:t>
      </w:r>
      <w:r w:rsidRPr="00A84F53">
        <w:t xml:space="preserve">key </w:t>
      </w:r>
      <w:r>
        <w:t>responsibilities</w:t>
      </w:r>
      <w:r w:rsidRPr="00A84F53">
        <w:t xml:space="preserve">.  </w:t>
      </w:r>
    </w:p>
    <w:p w:rsidR="00AC40FC" w:rsidRDefault="00AC40FC" w:rsidP="00C73199">
      <w:pPr>
        <w:pStyle w:val="Normal-aftertable"/>
      </w:pPr>
      <w:r w:rsidRPr="00E3019E">
        <w:t xml:space="preserve">PPL EU’s top </w:t>
      </w:r>
      <w:r>
        <w:t>three</w:t>
      </w:r>
      <w:r w:rsidRPr="00E3019E">
        <w:t xml:space="preserve"> highly compensated employees are Tier I executives including the job titles of President, Vice President</w:t>
      </w:r>
      <w:r>
        <w:t>-</w:t>
      </w:r>
      <w:r w:rsidRPr="00E3019E">
        <w:t xml:space="preserve">Distribution Operations, </w:t>
      </w:r>
      <w:r>
        <w:t xml:space="preserve">and </w:t>
      </w:r>
      <w:r w:rsidRPr="00E3019E">
        <w:t>Vice President</w:t>
      </w:r>
      <w:r>
        <w:t>-</w:t>
      </w:r>
      <w:r w:rsidRPr="00E3019E">
        <w:t>Transmission and Substations</w:t>
      </w:r>
      <w:r>
        <w:t>.</w:t>
      </w:r>
      <w:r w:rsidRPr="00E3019E">
        <w:t xml:space="preserve"> </w:t>
      </w:r>
      <w:r>
        <w:t xml:space="preserve"> The </w:t>
      </w:r>
      <w:r w:rsidRPr="00E3019E">
        <w:t>Customer</w:t>
      </w:r>
      <w:r>
        <w:t xml:space="preserve"> Services Vice President is a Tier II executive and is not an elected officer of PPL EU.  Tier II executives are defined as non-business leader functional heads and report to Tier I executives.  For example, the PPL SC HR Senior Vice President (SVP) / Chief Human Resource Officer (CHRO) is a Tier I executive even though the position is not a Section 16 officer defined by the SEC.  The Compensation and Benefits Vice President (VP) reports to the PPL SC HR SVP/CHRO and is a Tier II executive.  A list of Tier I and Tier II executives is shown in the table below.</w:t>
      </w:r>
    </w:p>
    <w:p w:rsidR="00AC40FC" w:rsidRDefault="00AC40FC" w:rsidP="002B3172">
      <w:pPr>
        <w:pStyle w:val="Caption"/>
      </w:pPr>
      <w:bookmarkStart w:id="240" w:name="_Toc462648454"/>
      <w:bookmarkStart w:id="241" w:name="_Toc464553076"/>
      <w:r>
        <w:t xml:space="preserve">Exhibit </w:t>
      </w:r>
      <w:fldSimple w:instr=" STYLEREF 1 \s ">
        <w:r w:rsidR="00A24205">
          <w:rPr>
            <w:noProof/>
          </w:rPr>
          <w:t>XIII</w:t>
        </w:r>
      </w:fldSimple>
      <w:r w:rsidR="00264A1B">
        <w:noBreakHyphen/>
      </w:r>
      <w:fldSimple w:instr=" SEQ Exhibit \* ARABIC \s 1 ">
        <w:r w:rsidR="00A24205">
          <w:rPr>
            <w:noProof/>
          </w:rPr>
          <w:t>1</w:t>
        </w:r>
      </w:fldSimple>
      <w:r>
        <w:br/>
        <w:t>PPL Corporation Tier I and Tier II Executive Job Titles</w:t>
      </w:r>
      <w:bookmarkEnd w:id="240"/>
      <w:bookmarkEnd w:id="241"/>
    </w:p>
    <w:tbl>
      <w:tblPr>
        <w:tblW w:w="7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7"/>
        <w:gridCol w:w="5260"/>
        <w:gridCol w:w="1167"/>
      </w:tblGrid>
      <w:tr w:rsidR="00AC40FC" w:rsidRPr="00521E7D" w:rsidTr="00C73199">
        <w:trPr>
          <w:cantSplit/>
          <w:trHeight w:val="630"/>
          <w:tblHeader/>
          <w:jc w:val="center"/>
        </w:trPr>
        <w:tc>
          <w:tcPr>
            <w:tcW w:w="1168" w:type="dxa"/>
            <w:shd w:val="clear" w:color="auto" w:fill="A5CD74"/>
            <w:vAlign w:val="center"/>
            <w:hideMark/>
          </w:tcPr>
          <w:p w:rsidR="00AC40FC" w:rsidRPr="00521E7D" w:rsidRDefault="00AC40FC" w:rsidP="00521E7D">
            <w:pPr>
              <w:spacing w:before="120"/>
              <w:jc w:val="center"/>
              <w:rPr>
                <w:b/>
                <w:szCs w:val="24"/>
              </w:rPr>
            </w:pPr>
            <w:r w:rsidRPr="00521E7D">
              <w:rPr>
                <w:b/>
                <w:szCs w:val="24"/>
              </w:rPr>
              <w:t>Org</w:t>
            </w:r>
          </w:p>
        </w:tc>
        <w:tc>
          <w:tcPr>
            <w:tcW w:w="5260" w:type="dxa"/>
            <w:shd w:val="clear" w:color="auto" w:fill="A5CD74"/>
            <w:vAlign w:val="center"/>
            <w:hideMark/>
          </w:tcPr>
          <w:p w:rsidR="00AC40FC" w:rsidRPr="00521E7D" w:rsidRDefault="00AC40FC" w:rsidP="00521E7D">
            <w:pPr>
              <w:spacing w:before="120"/>
              <w:jc w:val="center"/>
              <w:rPr>
                <w:b/>
                <w:szCs w:val="24"/>
              </w:rPr>
            </w:pPr>
            <w:r w:rsidRPr="00521E7D">
              <w:rPr>
                <w:b/>
                <w:szCs w:val="24"/>
              </w:rPr>
              <w:t>Job Title</w:t>
            </w:r>
          </w:p>
        </w:tc>
        <w:tc>
          <w:tcPr>
            <w:tcW w:w="1167" w:type="dxa"/>
            <w:shd w:val="clear" w:color="auto" w:fill="A5CD74"/>
            <w:vAlign w:val="center"/>
            <w:hideMark/>
          </w:tcPr>
          <w:p w:rsidR="00AC40FC" w:rsidRPr="00521E7D" w:rsidRDefault="00AC40FC" w:rsidP="00521E7D">
            <w:pPr>
              <w:spacing w:before="120"/>
              <w:jc w:val="center"/>
              <w:rPr>
                <w:b/>
                <w:szCs w:val="24"/>
              </w:rPr>
            </w:pPr>
            <w:r w:rsidRPr="00521E7D">
              <w:rPr>
                <w:b/>
                <w:szCs w:val="24"/>
              </w:rPr>
              <w:t>Tier Level</w:t>
            </w:r>
          </w:p>
        </w:tc>
      </w:tr>
      <w:tr w:rsidR="00AC40FC" w:rsidRPr="00DD1024" w:rsidTr="00C73199">
        <w:trPr>
          <w:cantSplit/>
          <w:trHeight w:val="315"/>
          <w:jc w:val="center"/>
        </w:trPr>
        <w:tc>
          <w:tcPr>
            <w:tcW w:w="1168" w:type="dxa"/>
            <w:shd w:val="clear" w:color="auto" w:fill="auto"/>
            <w:noWrap/>
            <w:vAlign w:val="bottom"/>
            <w:hideMark/>
          </w:tcPr>
          <w:p w:rsidR="00AC40FC" w:rsidRPr="00DD1024" w:rsidRDefault="00AC40FC" w:rsidP="00C73199">
            <w:pPr>
              <w:spacing w:after="0"/>
              <w:jc w:val="center"/>
            </w:pPr>
            <w:r w:rsidRPr="00DD1024">
              <w:t>S</w:t>
            </w:r>
            <w:r>
              <w:t>C</w:t>
            </w:r>
          </w:p>
        </w:tc>
        <w:tc>
          <w:tcPr>
            <w:tcW w:w="5260" w:type="dxa"/>
            <w:shd w:val="clear" w:color="auto" w:fill="auto"/>
            <w:noWrap/>
            <w:vAlign w:val="bottom"/>
            <w:hideMark/>
          </w:tcPr>
          <w:p w:rsidR="00AC40FC" w:rsidRPr="00DD1024" w:rsidRDefault="00AC40FC" w:rsidP="00C73199">
            <w:pPr>
              <w:spacing w:after="0"/>
              <w:jc w:val="center"/>
            </w:pPr>
            <w:r w:rsidRPr="00DD1024">
              <w:t>Chairman, President and CEO</w:t>
            </w:r>
          </w:p>
        </w:tc>
        <w:tc>
          <w:tcPr>
            <w:tcW w:w="1167" w:type="dxa"/>
            <w:shd w:val="clear" w:color="auto" w:fill="auto"/>
            <w:noWrap/>
            <w:vAlign w:val="bottom"/>
            <w:hideMark/>
          </w:tcPr>
          <w:p w:rsidR="00AC40FC" w:rsidRPr="00DD1024" w:rsidRDefault="00AC40FC" w:rsidP="00C73199">
            <w:pPr>
              <w:spacing w:after="0"/>
              <w:jc w:val="center"/>
              <w:rPr>
                <w:rFonts w:eastAsia="Arial Unicode MS" w:cs="Arial"/>
                <w:szCs w:val="24"/>
              </w:rPr>
            </w:pPr>
            <w:r>
              <w:rPr>
                <w:rFonts w:eastAsia="Arial Unicode MS" w:cs="Arial"/>
                <w:szCs w:val="24"/>
              </w:rPr>
              <w:t>Tier I</w:t>
            </w:r>
          </w:p>
        </w:tc>
      </w:tr>
      <w:tr w:rsidR="00AC40FC" w:rsidRPr="00DD1024" w:rsidTr="00C73199">
        <w:trPr>
          <w:cantSplit/>
          <w:trHeight w:val="300"/>
          <w:jc w:val="center"/>
        </w:trPr>
        <w:tc>
          <w:tcPr>
            <w:tcW w:w="1168" w:type="dxa"/>
            <w:shd w:val="clear" w:color="auto" w:fill="auto"/>
            <w:noWrap/>
            <w:vAlign w:val="bottom"/>
            <w:hideMark/>
          </w:tcPr>
          <w:p w:rsidR="00AC40FC" w:rsidRPr="00DD1024" w:rsidRDefault="00AC40FC" w:rsidP="00C73199">
            <w:pPr>
              <w:spacing w:after="0"/>
              <w:jc w:val="center"/>
              <w:rPr>
                <w:rFonts w:eastAsia="Arial Unicode MS" w:cs="Arial"/>
                <w:szCs w:val="24"/>
              </w:rPr>
            </w:pPr>
            <w:r w:rsidRPr="00DD1024">
              <w:rPr>
                <w:rFonts w:eastAsia="Arial Unicode MS" w:cs="Arial"/>
                <w:szCs w:val="24"/>
              </w:rPr>
              <w:t>LKS</w:t>
            </w:r>
          </w:p>
        </w:tc>
        <w:tc>
          <w:tcPr>
            <w:tcW w:w="5260" w:type="dxa"/>
            <w:shd w:val="clear" w:color="auto" w:fill="auto"/>
            <w:noWrap/>
            <w:vAlign w:val="bottom"/>
            <w:hideMark/>
          </w:tcPr>
          <w:p w:rsidR="00AC40FC" w:rsidRPr="00DD1024" w:rsidRDefault="00AC40FC" w:rsidP="00C73199">
            <w:pPr>
              <w:spacing w:after="0"/>
              <w:jc w:val="center"/>
              <w:rPr>
                <w:rFonts w:eastAsia="Arial Unicode MS" w:cs="Arial"/>
                <w:szCs w:val="24"/>
              </w:rPr>
            </w:pPr>
            <w:r w:rsidRPr="00DD1024">
              <w:rPr>
                <w:rFonts w:eastAsia="Arial Unicode MS" w:cs="Arial"/>
                <w:szCs w:val="24"/>
              </w:rPr>
              <w:t>Chairman, CEO</w:t>
            </w:r>
            <w:r>
              <w:rPr>
                <w:rFonts w:eastAsia="Arial Unicode MS" w:cs="Arial"/>
                <w:szCs w:val="24"/>
              </w:rPr>
              <w:t xml:space="preserve"> </w:t>
            </w:r>
            <w:r w:rsidRPr="00DD1024">
              <w:rPr>
                <w:rFonts w:eastAsia="Arial Unicode MS" w:cs="Arial"/>
                <w:szCs w:val="24"/>
              </w:rPr>
              <w:t>&amp;</w:t>
            </w:r>
            <w:r>
              <w:rPr>
                <w:rFonts w:eastAsia="Arial Unicode MS" w:cs="Arial"/>
                <w:szCs w:val="24"/>
              </w:rPr>
              <w:t xml:space="preserve"> </w:t>
            </w:r>
            <w:r w:rsidRPr="00DD1024">
              <w:rPr>
                <w:rFonts w:eastAsia="Arial Unicode MS" w:cs="Arial"/>
                <w:szCs w:val="24"/>
              </w:rPr>
              <w:t>President</w:t>
            </w:r>
          </w:p>
        </w:tc>
        <w:tc>
          <w:tcPr>
            <w:tcW w:w="1167" w:type="dxa"/>
            <w:shd w:val="clear" w:color="auto" w:fill="auto"/>
            <w:noWrap/>
            <w:vAlign w:val="bottom"/>
            <w:hideMark/>
          </w:tcPr>
          <w:p w:rsidR="00AC40FC" w:rsidRPr="00DD1024" w:rsidRDefault="00AC40FC" w:rsidP="00C73199">
            <w:pPr>
              <w:spacing w:after="0"/>
              <w:jc w:val="center"/>
              <w:rPr>
                <w:rFonts w:eastAsia="Arial Unicode MS" w:cs="Arial"/>
                <w:szCs w:val="24"/>
              </w:rPr>
            </w:pPr>
            <w:r>
              <w:rPr>
                <w:rFonts w:eastAsia="Arial Unicode MS" w:cs="Arial"/>
                <w:szCs w:val="24"/>
              </w:rPr>
              <w:t>Tier I</w:t>
            </w:r>
          </w:p>
        </w:tc>
      </w:tr>
      <w:tr w:rsidR="00AC40FC" w:rsidRPr="00DD1024" w:rsidTr="00C73199">
        <w:trPr>
          <w:cantSplit/>
          <w:trHeight w:val="300"/>
          <w:jc w:val="center"/>
        </w:trPr>
        <w:tc>
          <w:tcPr>
            <w:tcW w:w="1168" w:type="dxa"/>
            <w:shd w:val="clear" w:color="auto" w:fill="auto"/>
            <w:noWrap/>
            <w:vAlign w:val="bottom"/>
            <w:hideMark/>
          </w:tcPr>
          <w:p w:rsidR="00AC40FC" w:rsidRPr="00DD1024" w:rsidRDefault="00AC40FC" w:rsidP="00C73199">
            <w:pPr>
              <w:spacing w:after="0"/>
              <w:jc w:val="center"/>
              <w:rPr>
                <w:rFonts w:eastAsia="Arial Unicode MS" w:cs="Arial"/>
                <w:szCs w:val="24"/>
              </w:rPr>
            </w:pPr>
            <w:r w:rsidRPr="00DD1024">
              <w:rPr>
                <w:rFonts w:eastAsia="Arial Unicode MS" w:cs="Arial"/>
                <w:szCs w:val="24"/>
              </w:rPr>
              <w:t>LKS</w:t>
            </w:r>
          </w:p>
        </w:tc>
        <w:tc>
          <w:tcPr>
            <w:tcW w:w="5260" w:type="dxa"/>
            <w:shd w:val="clear" w:color="auto" w:fill="auto"/>
            <w:noWrap/>
            <w:vAlign w:val="bottom"/>
            <w:hideMark/>
          </w:tcPr>
          <w:p w:rsidR="00AC40FC" w:rsidRPr="00DD1024" w:rsidRDefault="00AC40FC" w:rsidP="00C73199">
            <w:pPr>
              <w:spacing w:after="0"/>
              <w:jc w:val="center"/>
              <w:rPr>
                <w:rFonts w:eastAsia="Arial Unicode MS" w:cs="Arial"/>
                <w:szCs w:val="24"/>
              </w:rPr>
            </w:pPr>
            <w:r w:rsidRPr="00DD1024">
              <w:rPr>
                <w:rFonts w:eastAsia="Arial Unicode MS" w:cs="Arial"/>
                <w:szCs w:val="24"/>
              </w:rPr>
              <w:t>Chief Operating Officer</w:t>
            </w:r>
          </w:p>
        </w:tc>
        <w:tc>
          <w:tcPr>
            <w:tcW w:w="1167" w:type="dxa"/>
            <w:shd w:val="clear" w:color="auto" w:fill="auto"/>
            <w:noWrap/>
            <w:vAlign w:val="bottom"/>
            <w:hideMark/>
          </w:tcPr>
          <w:p w:rsidR="00AC40FC" w:rsidRPr="00DD1024" w:rsidRDefault="00AC40FC" w:rsidP="00C73199">
            <w:pPr>
              <w:spacing w:after="0"/>
              <w:jc w:val="center"/>
              <w:rPr>
                <w:rFonts w:eastAsia="Arial Unicode MS" w:cs="Arial"/>
                <w:szCs w:val="24"/>
              </w:rPr>
            </w:pPr>
            <w:r>
              <w:rPr>
                <w:rFonts w:eastAsia="Arial Unicode MS" w:cs="Arial"/>
                <w:szCs w:val="24"/>
              </w:rPr>
              <w:t>Tier I</w:t>
            </w:r>
          </w:p>
        </w:tc>
      </w:tr>
      <w:tr w:rsidR="00AC40FC" w:rsidRPr="00DD1024" w:rsidTr="00C73199">
        <w:trPr>
          <w:cantSplit/>
          <w:trHeight w:val="300"/>
          <w:jc w:val="center"/>
        </w:trPr>
        <w:tc>
          <w:tcPr>
            <w:tcW w:w="1168" w:type="dxa"/>
            <w:shd w:val="clear" w:color="auto" w:fill="auto"/>
            <w:noWrap/>
            <w:vAlign w:val="bottom"/>
            <w:hideMark/>
          </w:tcPr>
          <w:p w:rsidR="00AC40FC" w:rsidRPr="00DD1024" w:rsidRDefault="00AC40FC" w:rsidP="00C73199">
            <w:pPr>
              <w:spacing w:after="0"/>
              <w:jc w:val="center"/>
              <w:rPr>
                <w:rFonts w:eastAsia="Arial Unicode MS" w:cs="Arial"/>
                <w:szCs w:val="24"/>
              </w:rPr>
            </w:pPr>
            <w:r w:rsidRPr="00DD1024">
              <w:rPr>
                <w:rFonts w:eastAsia="Arial Unicode MS" w:cs="Arial"/>
                <w:szCs w:val="24"/>
              </w:rPr>
              <w:t>PPL</w:t>
            </w:r>
            <w:r>
              <w:rPr>
                <w:rFonts w:eastAsia="Arial Unicode MS" w:cs="Arial"/>
                <w:szCs w:val="24"/>
              </w:rPr>
              <w:t xml:space="preserve"> EU</w:t>
            </w:r>
          </w:p>
        </w:tc>
        <w:tc>
          <w:tcPr>
            <w:tcW w:w="5260" w:type="dxa"/>
            <w:shd w:val="clear" w:color="auto" w:fill="auto"/>
            <w:noWrap/>
            <w:vAlign w:val="bottom"/>
            <w:hideMark/>
          </w:tcPr>
          <w:p w:rsidR="00AC40FC" w:rsidRPr="00DD1024" w:rsidRDefault="00AC40FC" w:rsidP="00C73199">
            <w:pPr>
              <w:spacing w:after="0"/>
              <w:jc w:val="center"/>
              <w:rPr>
                <w:rFonts w:eastAsia="Arial Unicode MS" w:cs="Arial"/>
                <w:szCs w:val="24"/>
              </w:rPr>
            </w:pPr>
            <w:r w:rsidRPr="00DD1024">
              <w:rPr>
                <w:rFonts w:eastAsia="Arial Unicode MS" w:cs="Arial"/>
                <w:szCs w:val="24"/>
              </w:rPr>
              <w:t>President</w:t>
            </w:r>
          </w:p>
        </w:tc>
        <w:tc>
          <w:tcPr>
            <w:tcW w:w="1167" w:type="dxa"/>
            <w:shd w:val="clear" w:color="auto" w:fill="auto"/>
            <w:noWrap/>
            <w:vAlign w:val="bottom"/>
            <w:hideMark/>
          </w:tcPr>
          <w:p w:rsidR="00AC40FC" w:rsidRPr="00DD1024" w:rsidRDefault="00AC40FC" w:rsidP="00C73199">
            <w:pPr>
              <w:spacing w:after="0"/>
              <w:jc w:val="center"/>
              <w:rPr>
                <w:rFonts w:eastAsia="Arial Unicode MS" w:cs="Arial"/>
                <w:szCs w:val="24"/>
              </w:rPr>
            </w:pPr>
            <w:r>
              <w:rPr>
                <w:rFonts w:eastAsia="Arial Unicode MS" w:cs="Arial"/>
                <w:szCs w:val="24"/>
              </w:rPr>
              <w:t>Tier I</w:t>
            </w:r>
          </w:p>
        </w:tc>
      </w:tr>
      <w:tr w:rsidR="00AC40FC" w:rsidRPr="00DD1024" w:rsidTr="00C73199">
        <w:trPr>
          <w:cantSplit/>
          <w:trHeight w:val="300"/>
          <w:jc w:val="center"/>
        </w:trPr>
        <w:tc>
          <w:tcPr>
            <w:tcW w:w="1168" w:type="dxa"/>
            <w:shd w:val="clear" w:color="auto" w:fill="auto"/>
            <w:noWrap/>
            <w:vAlign w:val="bottom"/>
            <w:hideMark/>
          </w:tcPr>
          <w:p w:rsidR="00AC40FC" w:rsidRPr="00DD1024" w:rsidRDefault="00AC40FC" w:rsidP="00C73199">
            <w:pPr>
              <w:spacing w:after="0"/>
              <w:jc w:val="center"/>
              <w:rPr>
                <w:rFonts w:eastAsia="Arial Unicode MS" w:cs="Arial"/>
                <w:szCs w:val="24"/>
              </w:rPr>
            </w:pPr>
            <w:r w:rsidRPr="00DD1024">
              <w:rPr>
                <w:rFonts w:eastAsia="Arial Unicode MS" w:cs="Arial"/>
                <w:szCs w:val="24"/>
              </w:rPr>
              <w:t>PPL</w:t>
            </w:r>
            <w:r>
              <w:rPr>
                <w:rFonts w:eastAsia="Arial Unicode MS" w:cs="Arial"/>
                <w:szCs w:val="24"/>
              </w:rPr>
              <w:t xml:space="preserve"> EU</w:t>
            </w:r>
          </w:p>
        </w:tc>
        <w:tc>
          <w:tcPr>
            <w:tcW w:w="5260" w:type="dxa"/>
            <w:shd w:val="clear" w:color="auto" w:fill="auto"/>
            <w:noWrap/>
            <w:vAlign w:val="bottom"/>
            <w:hideMark/>
          </w:tcPr>
          <w:p w:rsidR="00AC40FC" w:rsidRPr="00DD1024" w:rsidRDefault="00AC40FC" w:rsidP="00C73199">
            <w:pPr>
              <w:spacing w:after="0"/>
              <w:jc w:val="center"/>
              <w:rPr>
                <w:rFonts w:eastAsia="Arial Unicode MS" w:cs="Arial"/>
                <w:szCs w:val="24"/>
              </w:rPr>
            </w:pPr>
            <w:r w:rsidRPr="00DD1024">
              <w:rPr>
                <w:rFonts w:eastAsia="Arial Unicode MS" w:cs="Arial"/>
                <w:szCs w:val="24"/>
              </w:rPr>
              <w:t>VP-Distribution Operations</w:t>
            </w:r>
          </w:p>
        </w:tc>
        <w:tc>
          <w:tcPr>
            <w:tcW w:w="1167" w:type="dxa"/>
            <w:shd w:val="clear" w:color="auto" w:fill="auto"/>
            <w:noWrap/>
            <w:vAlign w:val="bottom"/>
            <w:hideMark/>
          </w:tcPr>
          <w:p w:rsidR="00AC40FC" w:rsidRPr="00DD1024" w:rsidRDefault="00AC40FC" w:rsidP="00C73199">
            <w:pPr>
              <w:spacing w:after="0"/>
              <w:jc w:val="center"/>
              <w:rPr>
                <w:rFonts w:eastAsia="Arial Unicode MS" w:cs="Arial"/>
                <w:szCs w:val="24"/>
              </w:rPr>
            </w:pPr>
            <w:r>
              <w:rPr>
                <w:rFonts w:eastAsia="Arial Unicode MS" w:cs="Arial"/>
                <w:szCs w:val="24"/>
              </w:rPr>
              <w:t>Tier I</w:t>
            </w:r>
          </w:p>
        </w:tc>
      </w:tr>
      <w:tr w:rsidR="00AC40FC" w:rsidRPr="00DD1024" w:rsidTr="00C73199">
        <w:trPr>
          <w:cantSplit/>
          <w:trHeight w:val="300"/>
          <w:jc w:val="center"/>
        </w:trPr>
        <w:tc>
          <w:tcPr>
            <w:tcW w:w="1168" w:type="dxa"/>
            <w:shd w:val="clear" w:color="auto" w:fill="auto"/>
            <w:noWrap/>
            <w:vAlign w:val="bottom"/>
            <w:hideMark/>
          </w:tcPr>
          <w:p w:rsidR="00AC40FC" w:rsidRPr="00DD1024" w:rsidRDefault="00AC40FC" w:rsidP="00C73199">
            <w:pPr>
              <w:spacing w:after="0"/>
              <w:jc w:val="center"/>
              <w:rPr>
                <w:rFonts w:eastAsia="Arial Unicode MS" w:cs="Arial"/>
                <w:szCs w:val="24"/>
              </w:rPr>
            </w:pPr>
            <w:r w:rsidRPr="00DD1024">
              <w:rPr>
                <w:rFonts w:eastAsia="Arial Unicode MS" w:cs="Arial"/>
                <w:szCs w:val="24"/>
              </w:rPr>
              <w:t>PPL</w:t>
            </w:r>
            <w:r>
              <w:rPr>
                <w:rFonts w:eastAsia="Arial Unicode MS" w:cs="Arial"/>
                <w:szCs w:val="24"/>
              </w:rPr>
              <w:t xml:space="preserve"> EU</w:t>
            </w:r>
          </w:p>
        </w:tc>
        <w:tc>
          <w:tcPr>
            <w:tcW w:w="5260" w:type="dxa"/>
            <w:shd w:val="clear" w:color="auto" w:fill="auto"/>
            <w:noWrap/>
            <w:vAlign w:val="bottom"/>
            <w:hideMark/>
          </w:tcPr>
          <w:p w:rsidR="00AC40FC" w:rsidRPr="00DD1024" w:rsidRDefault="00AC40FC" w:rsidP="00C73199">
            <w:pPr>
              <w:spacing w:after="0"/>
              <w:jc w:val="center"/>
              <w:rPr>
                <w:rFonts w:eastAsia="Arial Unicode MS" w:cs="Arial"/>
                <w:szCs w:val="24"/>
              </w:rPr>
            </w:pPr>
            <w:r w:rsidRPr="00DD1024">
              <w:rPr>
                <w:rFonts w:eastAsia="Arial Unicode MS" w:cs="Arial"/>
                <w:szCs w:val="24"/>
              </w:rPr>
              <w:t>VP-Transmission &amp; Substations</w:t>
            </w:r>
          </w:p>
        </w:tc>
        <w:tc>
          <w:tcPr>
            <w:tcW w:w="1167" w:type="dxa"/>
            <w:shd w:val="clear" w:color="auto" w:fill="auto"/>
            <w:noWrap/>
            <w:vAlign w:val="bottom"/>
            <w:hideMark/>
          </w:tcPr>
          <w:p w:rsidR="00AC40FC" w:rsidRPr="00DD1024" w:rsidRDefault="00AC40FC" w:rsidP="00C73199">
            <w:pPr>
              <w:spacing w:after="0"/>
              <w:jc w:val="center"/>
              <w:rPr>
                <w:rFonts w:eastAsia="Arial Unicode MS" w:cs="Arial"/>
                <w:szCs w:val="24"/>
              </w:rPr>
            </w:pPr>
            <w:r>
              <w:rPr>
                <w:rFonts w:eastAsia="Arial Unicode MS" w:cs="Arial"/>
                <w:szCs w:val="24"/>
              </w:rPr>
              <w:t>Tier I</w:t>
            </w:r>
          </w:p>
        </w:tc>
      </w:tr>
      <w:tr w:rsidR="00AC40FC" w:rsidRPr="00DD1024" w:rsidTr="00C73199">
        <w:trPr>
          <w:cantSplit/>
          <w:trHeight w:val="300"/>
          <w:jc w:val="center"/>
        </w:trPr>
        <w:tc>
          <w:tcPr>
            <w:tcW w:w="1168" w:type="dxa"/>
            <w:shd w:val="clear" w:color="auto" w:fill="auto"/>
            <w:noWrap/>
            <w:vAlign w:val="bottom"/>
            <w:hideMark/>
          </w:tcPr>
          <w:p w:rsidR="00AC40FC" w:rsidRPr="00DD1024" w:rsidRDefault="00AC40FC" w:rsidP="00C73199">
            <w:pPr>
              <w:spacing w:after="0"/>
              <w:jc w:val="center"/>
              <w:rPr>
                <w:rFonts w:eastAsia="Arial Unicode MS" w:cs="Arial"/>
                <w:szCs w:val="24"/>
              </w:rPr>
            </w:pPr>
            <w:r>
              <w:rPr>
                <w:rFonts w:eastAsia="Arial Unicode MS" w:cs="Arial"/>
                <w:szCs w:val="24"/>
              </w:rPr>
              <w:t>PPL EU</w:t>
            </w:r>
          </w:p>
        </w:tc>
        <w:tc>
          <w:tcPr>
            <w:tcW w:w="5260" w:type="dxa"/>
            <w:shd w:val="clear" w:color="auto" w:fill="auto"/>
            <w:noWrap/>
            <w:vAlign w:val="bottom"/>
            <w:hideMark/>
          </w:tcPr>
          <w:p w:rsidR="00AC40FC" w:rsidRPr="00DD1024" w:rsidRDefault="00AC40FC" w:rsidP="00C73199">
            <w:pPr>
              <w:spacing w:after="0"/>
              <w:jc w:val="center"/>
              <w:rPr>
                <w:rFonts w:eastAsia="Arial Unicode MS" w:cs="Arial"/>
                <w:szCs w:val="24"/>
              </w:rPr>
            </w:pPr>
            <w:r w:rsidRPr="00DD1024">
              <w:rPr>
                <w:rFonts w:eastAsia="Arial Unicode MS" w:cs="Arial"/>
                <w:szCs w:val="24"/>
              </w:rPr>
              <w:t>Customer Services VP</w:t>
            </w:r>
          </w:p>
        </w:tc>
        <w:tc>
          <w:tcPr>
            <w:tcW w:w="1167" w:type="dxa"/>
            <w:shd w:val="clear" w:color="auto" w:fill="auto"/>
            <w:noWrap/>
            <w:vAlign w:val="bottom"/>
            <w:hideMark/>
          </w:tcPr>
          <w:p w:rsidR="00AC40FC" w:rsidRPr="00DD1024" w:rsidRDefault="00AC40FC" w:rsidP="00C73199">
            <w:pPr>
              <w:spacing w:after="0"/>
              <w:jc w:val="center"/>
              <w:rPr>
                <w:rFonts w:eastAsia="Arial Unicode MS" w:cs="Arial"/>
                <w:szCs w:val="24"/>
              </w:rPr>
            </w:pPr>
            <w:r>
              <w:rPr>
                <w:rFonts w:eastAsia="Arial Unicode MS" w:cs="Arial"/>
                <w:szCs w:val="24"/>
              </w:rPr>
              <w:t>Tier II</w:t>
            </w:r>
          </w:p>
        </w:tc>
      </w:tr>
      <w:tr w:rsidR="00AC40FC" w:rsidRPr="00DD1024" w:rsidTr="00C73199">
        <w:trPr>
          <w:cantSplit/>
          <w:trHeight w:val="300"/>
          <w:jc w:val="center"/>
        </w:trPr>
        <w:tc>
          <w:tcPr>
            <w:tcW w:w="1168" w:type="dxa"/>
            <w:shd w:val="clear" w:color="000000" w:fill="FFFF00"/>
            <w:noWrap/>
            <w:vAlign w:val="bottom"/>
            <w:hideMark/>
          </w:tcPr>
          <w:p w:rsidR="00AC40FC" w:rsidRPr="00DD1024" w:rsidRDefault="00AC40FC" w:rsidP="00C73199">
            <w:pPr>
              <w:spacing w:after="0"/>
              <w:jc w:val="center"/>
              <w:rPr>
                <w:rFonts w:eastAsia="Arial Unicode MS" w:cs="Arial"/>
                <w:szCs w:val="24"/>
              </w:rPr>
            </w:pPr>
            <w:r w:rsidRPr="00DD1024">
              <w:rPr>
                <w:rFonts w:eastAsia="Arial Unicode MS" w:cs="Arial"/>
                <w:szCs w:val="24"/>
              </w:rPr>
              <w:t>S</w:t>
            </w:r>
            <w:r>
              <w:rPr>
                <w:rFonts w:eastAsia="Arial Unicode MS" w:cs="Arial"/>
                <w:szCs w:val="24"/>
              </w:rPr>
              <w:t>C</w:t>
            </w:r>
          </w:p>
        </w:tc>
        <w:tc>
          <w:tcPr>
            <w:tcW w:w="5260" w:type="dxa"/>
            <w:shd w:val="clear" w:color="000000" w:fill="FFFF00"/>
            <w:noWrap/>
            <w:vAlign w:val="bottom"/>
            <w:hideMark/>
          </w:tcPr>
          <w:p w:rsidR="00AC40FC" w:rsidRPr="00DD1024" w:rsidRDefault="00AC40FC" w:rsidP="00C73199">
            <w:pPr>
              <w:spacing w:after="0"/>
              <w:jc w:val="center"/>
              <w:rPr>
                <w:rFonts w:eastAsia="Arial Unicode MS" w:cs="Arial"/>
                <w:szCs w:val="24"/>
              </w:rPr>
            </w:pPr>
            <w:r w:rsidRPr="00DD1024">
              <w:rPr>
                <w:rFonts w:eastAsia="Arial Unicode MS" w:cs="Arial"/>
                <w:szCs w:val="24"/>
              </w:rPr>
              <w:t>EVP &amp; Chief Legal Officer</w:t>
            </w:r>
          </w:p>
        </w:tc>
        <w:tc>
          <w:tcPr>
            <w:tcW w:w="1167" w:type="dxa"/>
            <w:shd w:val="clear" w:color="000000" w:fill="FFFF00"/>
            <w:noWrap/>
            <w:vAlign w:val="bottom"/>
            <w:hideMark/>
          </w:tcPr>
          <w:p w:rsidR="00AC40FC" w:rsidRPr="00DD1024" w:rsidRDefault="00AC40FC" w:rsidP="00C73199">
            <w:pPr>
              <w:spacing w:after="0"/>
              <w:jc w:val="center"/>
              <w:rPr>
                <w:rFonts w:eastAsia="Arial Unicode MS" w:cs="Arial"/>
                <w:szCs w:val="24"/>
              </w:rPr>
            </w:pPr>
            <w:r>
              <w:rPr>
                <w:rFonts w:eastAsia="Arial Unicode MS" w:cs="Arial"/>
                <w:szCs w:val="24"/>
              </w:rPr>
              <w:t>Tier I</w:t>
            </w:r>
          </w:p>
        </w:tc>
      </w:tr>
      <w:tr w:rsidR="00AC40FC" w:rsidRPr="00DD1024" w:rsidTr="00C73199">
        <w:trPr>
          <w:cantSplit/>
          <w:trHeight w:val="300"/>
          <w:jc w:val="center"/>
        </w:trPr>
        <w:tc>
          <w:tcPr>
            <w:tcW w:w="1168" w:type="dxa"/>
            <w:shd w:val="clear" w:color="auto" w:fill="auto"/>
            <w:noWrap/>
            <w:vAlign w:val="bottom"/>
            <w:hideMark/>
          </w:tcPr>
          <w:p w:rsidR="00AC40FC" w:rsidRPr="00DD1024" w:rsidRDefault="00AC40FC" w:rsidP="00C73199">
            <w:pPr>
              <w:spacing w:after="0"/>
              <w:jc w:val="center"/>
              <w:rPr>
                <w:rFonts w:eastAsia="Arial Unicode MS" w:cs="Arial"/>
                <w:szCs w:val="24"/>
              </w:rPr>
            </w:pPr>
            <w:r w:rsidRPr="00DD1024">
              <w:rPr>
                <w:rFonts w:eastAsia="Arial Unicode MS" w:cs="Arial"/>
                <w:szCs w:val="24"/>
              </w:rPr>
              <w:t>S</w:t>
            </w:r>
            <w:r>
              <w:rPr>
                <w:rFonts w:eastAsia="Arial Unicode MS" w:cs="Arial"/>
                <w:szCs w:val="24"/>
              </w:rPr>
              <w:t>C</w:t>
            </w:r>
          </w:p>
        </w:tc>
        <w:tc>
          <w:tcPr>
            <w:tcW w:w="5260" w:type="dxa"/>
            <w:shd w:val="clear" w:color="auto" w:fill="auto"/>
            <w:noWrap/>
            <w:vAlign w:val="bottom"/>
            <w:hideMark/>
          </w:tcPr>
          <w:p w:rsidR="00AC40FC" w:rsidRPr="00DD1024" w:rsidRDefault="00AC40FC" w:rsidP="00C73199">
            <w:pPr>
              <w:spacing w:after="0"/>
              <w:jc w:val="center"/>
              <w:rPr>
                <w:rFonts w:eastAsia="Arial Unicode MS" w:cs="Arial"/>
                <w:szCs w:val="24"/>
              </w:rPr>
            </w:pPr>
            <w:r w:rsidRPr="00DD1024">
              <w:rPr>
                <w:rFonts w:eastAsia="Arial Unicode MS" w:cs="Arial"/>
                <w:szCs w:val="24"/>
              </w:rPr>
              <w:t>Senior VP &amp; CFO</w:t>
            </w:r>
          </w:p>
        </w:tc>
        <w:tc>
          <w:tcPr>
            <w:tcW w:w="1167" w:type="dxa"/>
            <w:shd w:val="clear" w:color="auto" w:fill="auto"/>
            <w:noWrap/>
            <w:vAlign w:val="bottom"/>
            <w:hideMark/>
          </w:tcPr>
          <w:p w:rsidR="00AC40FC" w:rsidRPr="00DD1024" w:rsidRDefault="00AC40FC" w:rsidP="00C73199">
            <w:pPr>
              <w:spacing w:after="0"/>
              <w:jc w:val="center"/>
              <w:rPr>
                <w:rFonts w:eastAsia="Arial Unicode MS" w:cs="Arial"/>
                <w:szCs w:val="24"/>
              </w:rPr>
            </w:pPr>
            <w:r>
              <w:rPr>
                <w:rFonts w:eastAsia="Arial Unicode MS" w:cs="Arial"/>
                <w:szCs w:val="24"/>
              </w:rPr>
              <w:t>Tier I</w:t>
            </w:r>
          </w:p>
        </w:tc>
      </w:tr>
      <w:tr w:rsidR="00AC40FC" w:rsidRPr="00DD1024" w:rsidTr="00C73199">
        <w:trPr>
          <w:cantSplit/>
          <w:trHeight w:val="300"/>
          <w:jc w:val="center"/>
        </w:trPr>
        <w:tc>
          <w:tcPr>
            <w:tcW w:w="1168" w:type="dxa"/>
            <w:shd w:val="clear" w:color="auto" w:fill="auto"/>
            <w:noWrap/>
            <w:vAlign w:val="bottom"/>
            <w:hideMark/>
          </w:tcPr>
          <w:p w:rsidR="00AC40FC" w:rsidRPr="00DD1024" w:rsidRDefault="00AC40FC" w:rsidP="00C73199">
            <w:pPr>
              <w:spacing w:after="0"/>
              <w:jc w:val="center"/>
              <w:rPr>
                <w:rFonts w:eastAsia="Arial Unicode MS" w:cs="Arial"/>
                <w:szCs w:val="24"/>
              </w:rPr>
            </w:pPr>
            <w:r w:rsidRPr="00DD1024">
              <w:rPr>
                <w:rFonts w:eastAsia="Arial Unicode MS" w:cs="Arial"/>
                <w:szCs w:val="24"/>
              </w:rPr>
              <w:t>S</w:t>
            </w:r>
            <w:r>
              <w:rPr>
                <w:rFonts w:eastAsia="Arial Unicode MS" w:cs="Arial"/>
                <w:szCs w:val="24"/>
              </w:rPr>
              <w:t>C</w:t>
            </w:r>
          </w:p>
        </w:tc>
        <w:tc>
          <w:tcPr>
            <w:tcW w:w="5260" w:type="dxa"/>
            <w:shd w:val="clear" w:color="auto" w:fill="auto"/>
            <w:noWrap/>
            <w:vAlign w:val="bottom"/>
            <w:hideMark/>
          </w:tcPr>
          <w:p w:rsidR="00AC40FC" w:rsidRPr="00DD1024" w:rsidRDefault="00AC40FC" w:rsidP="00C73199">
            <w:pPr>
              <w:spacing w:after="0"/>
              <w:jc w:val="center"/>
              <w:rPr>
                <w:rFonts w:eastAsia="Arial Unicode MS" w:cs="Arial"/>
                <w:szCs w:val="24"/>
              </w:rPr>
            </w:pPr>
            <w:r w:rsidRPr="00DD1024">
              <w:rPr>
                <w:rFonts w:eastAsia="Arial Unicode MS" w:cs="Arial"/>
                <w:szCs w:val="24"/>
              </w:rPr>
              <w:t>Global Chief Compliance Officer</w:t>
            </w:r>
          </w:p>
        </w:tc>
        <w:tc>
          <w:tcPr>
            <w:tcW w:w="1167" w:type="dxa"/>
            <w:shd w:val="clear" w:color="auto" w:fill="auto"/>
            <w:noWrap/>
            <w:vAlign w:val="bottom"/>
            <w:hideMark/>
          </w:tcPr>
          <w:p w:rsidR="00AC40FC" w:rsidRPr="00DD1024" w:rsidRDefault="00AC40FC" w:rsidP="00C73199">
            <w:pPr>
              <w:spacing w:after="0"/>
              <w:jc w:val="center"/>
              <w:rPr>
                <w:rFonts w:eastAsia="Arial Unicode MS" w:cs="Arial"/>
                <w:szCs w:val="24"/>
              </w:rPr>
            </w:pPr>
            <w:r>
              <w:rPr>
                <w:rFonts w:eastAsia="Arial Unicode MS" w:cs="Arial"/>
                <w:szCs w:val="24"/>
              </w:rPr>
              <w:t>Tier I</w:t>
            </w:r>
          </w:p>
        </w:tc>
      </w:tr>
      <w:tr w:rsidR="00AC40FC" w:rsidRPr="00DD1024" w:rsidTr="00C73199">
        <w:trPr>
          <w:cantSplit/>
          <w:trHeight w:val="300"/>
          <w:jc w:val="center"/>
        </w:trPr>
        <w:tc>
          <w:tcPr>
            <w:tcW w:w="1168" w:type="dxa"/>
            <w:shd w:val="clear" w:color="auto" w:fill="auto"/>
            <w:noWrap/>
            <w:vAlign w:val="bottom"/>
            <w:hideMark/>
          </w:tcPr>
          <w:p w:rsidR="00AC40FC" w:rsidRPr="00DD1024" w:rsidRDefault="00AC40FC" w:rsidP="00C73199">
            <w:pPr>
              <w:spacing w:after="0"/>
              <w:jc w:val="center"/>
              <w:rPr>
                <w:rFonts w:eastAsia="Arial Unicode MS" w:cs="Arial"/>
                <w:szCs w:val="24"/>
              </w:rPr>
            </w:pPr>
            <w:r w:rsidRPr="00DD1024">
              <w:rPr>
                <w:rFonts w:eastAsia="Arial Unicode MS" w:cs="Arial"/>
                <w:szCs w:val="24"/>
              </w:rPr>
              <w:t>S</w:t>
            </w:r>
            <w:r>
              <w:rPr>
                <w:rFonts w:eastAsia="Arial Unicode MS" w:cs="Arial"/>
                <w:szCs w:val="24"/>
              </w:rPr>
              <w:t>C</w:t>
            </w:r>
          </w:p>
        </w:tc>
        <w:tc>
          <w:tcPr>
            <w:tcW w:w="5260" w:type="dxa"/>
            <w:shd w:val="clear" w:color="auto" w:fill="auto"/>
            <w:noWrap/>
            <w:vAlign w:val="bottom"/>
            <w:hideMark/>
          </w:tcPr>
          <w:p w:rsidR="00AC40FC" w:rsidRPr="00DD1024" w:rsidRDefault="00AC40FC" w:rsidP="00C73199">
            <w:pPr>
              <w:spacing w:after="0"/>
              <w:jc w:val="center"/>
              <w:rPr>
                <w:rFonts w:eastAsia="Arial Unicode MS" w:cs="Arial"/>
                <w:szCs w:val="24"/>
              </w:rPr>
            </w:pPr>
            <w:r w:rsidRPr="00DD1024">
              <w:rPr>
                <w:rFonts w:eastAsia="Arial Unicode MS" w:cs="Arial"/>
                <w:szCs w:val="24"/>
              </w:rPr>
              <w:t>SVP</w:t>
            </w:r>
            <w:r>
              <w:rPr>
                <w:rFonts w:eastAsia="Arial Unicode MS" w:cs="Arial"/>
                <w:szCs w:val="24"/>
              </w:rPr>
              <w:t>,</w:t>
            </w:r>
            <w:r w:rsidRPr="00DD1024">
              <w:rPr>
                <w:rFonts w:eastAsia="Arial Unicode MS" w:cs="Arial"/>
                <w:szCs w:val="24"/>
              </w:rPr>
              <w:t xml:space="preserve"> Gen</w:t>
            </w:r>
            <w:r>
              <w:rPr>
                <w:rFonts w:eastAsia="Arial Unicode MS" w:cs="Arial"/>
                <w:szCs w:val="24"/>
              </w:rPr>
              <w:t>eral</w:t>
            </w:r>
            <w:r w:rsidRPr="00DD1024">
              <w:rPr>
                <w:rFonts w:eastAsia="Arial Unicode MS" w:cs="Arial"/>
                <w:szCs w:val="24"/>
              </w:rPr>
              <w:t xml:space="preserve"> Counsel &amp; Corp</w:t>
            </w:r>
            <w:r>
              <w:rPr>
                <w:rFonts w:eastAsia="Arial Unicode MS" w:cs="Arial"/>
                <w:szCs w:val="24"/>
              </w:rPr>
              <w:t>orate</w:t>
            </w:r>
            <w:r w:rsidRPr="00DD1024">
              <w:rPr>
                <w:rFonts w:eastAsia="Arial Unicode MS" w:cs="Arial"/>
                <w:szCs w:val="24"/>
              </w:rPr>
              <w:t xml:space="preserve"> Secr</w:t>
            </w:r>
            <w:r>
              <w:rPr>
                <w:rFonts w:eastAsia="Arial Unicode MS" w:cs="Arial"/>
                <w:szCs w:val="24"/>
              </w:rPr>
              <w:t>etary</w:t>
            </w:r>
          </w:p>
        </w:tc>
        <w:tc>
          <w:tcPr>
            <w:tcW w:w="1167" w:type="dxa"/>
            <w:shd w:val="clear" w:color="auto" w:fill="auto"/>
            <w:noWrap/>
            <w:vAlign w:val="bottom"/>
            <w:hideMark/>
          </w:tcPr>
          <w:p w:rsidR="00AC40FC" w:rsidRPr="00DD1024" w:rsidRDefault="00AC40FC" w:rsidP="00C73199">
            <w:pPr>
              <w:spacing w:after="0"/>
              <w:jc w:val="center"/>
              <w:rPr>
                <w:rFonts w:eastAsia="Arial Unicode MS" w:cs="Arial"/>
                <w:szCs w:val="24"/>
              </w:rPr>
            </w:pPr>
            <w:r>
              <w:rPr>
                <w:rFonts w:eastAsia="Arial Unicode MS" w:cs="Arial"/>
                <w:szCs w:val="24"/>
              </w:rPr>
              <w:t>Tier I</w:t>
            </w:r>
          </w:p>
        </w:tc>
      </w:tr>
      <w:tr w:rsidR="00AC40FC" w:rsidRPr="00DD1024" w:rsidTr="00C73199">
        <w:trPr>
          <w:cantSplit/>
          <w:trHeight w:val="300"/>
          <w:jc w:val="center"/>
        </w:trPr>
        <w:tc>
          <w:tcPr>
            <w:tcW w:w="1168" w:type="dxa"/>
            <w:shd w:val="clear" w:color="auto" w:fill="auto"/>
            <w:noWrap/>
            <w:vAlign w:val="bottom"/>
            <w:hideMark/>
          </w:tcPr>
          <w:p w:rsidR="00AC40FC" w:rsidRPr="00DD1024" w:rsidRDefault="00AC40FC" w:rsidP="00C73199">
            <w:pPr>
              <w:spacing w:after="0"/>
              <w:jc w:val="center"/>
              <w:rPr>
                <w:rFonts w:eastAsia="Arial Unicode MS" w:cs="Arial"/>
                <w:szCs w:val="24"/>
              </w:rPr>
            </w:pPr>
            <w:r w:rsidRPr="00DD1024">
              <w:rPr>
                <w:rFonts w:eastAsia="Arial Unicode MS" w:cs="Arial"/>
                <w:szCs w:val="24"/>
              </w:rPr>
              <w:t>S</w:t>
            </w:r>
            <w:r>
              <w:rPr>
                <w:rFonts w:eastAsia="Arial Unicode MS" w:cs="Arial"/>
                <w:szCs w:val="24"/>
              </w:rPr>
              <w:t>C</w:t>
            </w:r>
          </w:p>
        </w:tc>
        <w:tc>
          <w:tcPr>
            <w:tcW w:w="5260" w:type="dxa"/>
            <w:shd w:val="clear" w:color="auto" w:fill="auto"/>
            <w:noWrap/>
            <w:vAlign w:val="bottom"/>
            <w:hideMark/>
          </w:tcPr>
          <w:p w:rsidR="00AC40FC" w:rsidRPr="00DD1024" w:rsidRDefault="00AC40FC" w:rsidP="00C73199">
            <w:pPr>
              <w:spacing w:after="0"/>
              <w:jc w:val="center"/>
              <w:rPr>
                <w:rFonts w:eastAsia="Arial Unicode MS" w:cs="Arial"/>
                <w:szCs w:val="24"/>
              </w:rPr>
            </w:pPr>
            <w:r w:rsidRPr="00DD1024">
              <w:rPr>
                <w:rFonts w:eastAsia="Arial Unicode MS" w:cs="Arial"/>
                <w:szCs w:val="24"/>
              </w:rPr>
              <w:t>SVP-HR&amp;S and Chief HR Officer</w:t>
            </w:r>
          </w:p>
        </w:tc>
        <w:tc>
          <w:tcPr>
            <w:tcW w:w="1167" w:type="dxa"/>
            <w:shd w:val="clear" w:color="auto" w:fill="auto"/>
            <w:noWrap/>
            <w:vAlign w:val="bottom"/>
            <w:hideMark/>
          </w:tcPr>
          <w:p w:rsidR="00AC40FC" w:rsidRPr="00DD1024" w:rsidRDefault="00AC40FC" w:rsidP="00C73199">
            <w:pPr>
              <w:spacing w:after="0"/>
              <w:jc w:val="center"/>
              <w:rPr>
                <w:rFonts w:eastAsia="Arial Unicode MS" w:cs="Arial"/>
                <w:szCs w:val="24"/>
              </w:rPr>
            </w:pPr>
            <w:r>
              <w:rPr>
                <w:rFonts w:eastAsia="Arial Unicode MS" w:cs="Arial"/>
                <w:szCs w:val="24"/>
              </w:rPr>
              <w:t>Tier I</w:t>
            </w:r>
          </w:p>
        </w:tc>
      </w:tr>
      <w:tr w:rsidR="00AC40FC" w:rsidRPr="00DD1024" w:rsidTr="00C73199">
        <w:trPr>
          <w:cantSplit/>
          <w:trHeight w:val="300"/>
          <w:jc w:val="center"/>
        </w:trPr>
        <w:tc>
          <w:tcPr>
            <w:tcW w:w="1168" w:type="dxa"/>
            <w:shd w:val="clear" w:color="000000" w:fill="FFFF00"/>
            <w:noWrap/>
            <w:vAlign w:val="bottom"/>
            <w:hideMark/>
          </w:tcPr>
          <w:p w:rsidR="00AC40FC" w:rsidRPr="00DD1024" w:rsidRDefault="00AC40FC" w:rsidP="00C73199">
            <w:pPr>
              <w:spacing w:after="0"/>
              <w:jc w:val="center"/>
              <w:rPr>
                <w:rFonts w:eastAsia="Arial Unicode MS" w:cs="Arial"/>
                <w:szCs w:val="24"/>
              </w:rPr>
            </w:pPr>
            <w:r w:rsidRPr="00DD1024">
              <w:rPr>
                <w:rFonts w:eastAsia="Arial Unicode MS" w:cs="Arial"/>
                <w:szCs w:val="24"/>
              </w:rPr>
              <w:t>S</w:t>
            </w:r>
            <w:r>
              <w:rPr>
                <w:rFonts w:eastAsia="Arial Unicode MS" w:cs="Arial"/>
                <w:szCs w:val="24"/>
              </w:rPr>
              <w:t>C</w:t>
            </w:r>
          </w:p>
        </w:tc>
        <w:tc>
          <w:tcPr>
            <w:tcW w:w="5260" w:type="dxa"/>
            <w:shd w:val="clear" w:color="000000" w:fill="FFFF00"/>
            <w:noWrap/>
            <w:vAlign w:val="bottom"/>
            <w:hideMark/>
          </w:tcPr>
          <w:p w:rsidR="00AC40FC" w:rsidRPr="00DD1024" w:rsidRDefault="00AC40FC" w:rsidP="00C73199">
            <w:pPr>
              <w:spacing w:after="0"/>
              <w:jc w:val="center"/>
              <w:rPr>
                <w:rFonts w:eastAsia="Arial Unicode MS" w:cs="Arial"/>
                <w:szCs w:val="24"/>
              </w:rPr>
            </w:pPr>
            <w:r w:rsidRPr="00DD1024">
              <w:rPr>
                <w:rFonts w:eastAsia="Arial Unicode MS" w:cs="Arial"/>
                <w:szCs w:val="24"/>
              </w:rPr>
              <w:t>VP, Treas</w:t>
            </w:r>
            <w:r>
              <w:rPr>
                <w:rFonts w:eastAsia="Arial Unicode MS" w:cs="Arial"/>
                <w:szCs w:val="24"/>
              </w:rPr>
              <w:t>urer</w:t>
            </w:r>
            <w:r w:rsidRPr="00DD1024">
              <w:rPr>
                <w:rFonts w:eastAsia="Arial Unicode MS" w:cs="Arial"/>
                <w:szCs w:val="24"/>
              </w:rPr>
              <w:t xml:space="preserve"> &amp; Chief Risk Officer</w:t>
            </w:r>
          </w:p>
        </w:tc>
        <w:tc>
          <w:tcPr>
            <w:tcW w:w="1167" w:type="dxa"/>
            <w:shd w:val="clear" w:color="000000" w:fill="FFFF00"/>
            <w:noWrap/>
            <w:vAlign w:val="bottom"/>
            <w:hideMark/>
          </w:tcPr>
          <w:p w:rsidR="00AC40FC" w:rsidRPr="00DD1024" w:rsidRDefault="00AC40FC" w:rsidP="00C73199">
            <w:pPr>
              <w:spacing w:after="0"/>
              <w:jc w:val="center"/>
              <w:rPr>
                <w:rFonts w:eastAsia="Arial Unicode MS" w:cs="Arial"/>
                <w:szCs w:val="24"/>
              </w:rPr>
            </w:pPr>
            <w:r>
              <w:rPr>
                <w:rFonts w:eastAsia="Arial Unicode MS" w:cs="Arial"/>
                <w:szCs w:val="24"/>
              </w:rPr>
              <w:t>Tier I</w:t>
            </w:r>
          </w:p>
        </w:tc>
      </w:tr>
      <w:tr w:rsidR="00AC40FC" w:rsidRPr="00DD1024" w:rsidTr="00C73199">
        <w:trPr>
          <w:cantSplit/>
          <w:trHeight w:val="300"/>
          <w:jc w:val="center"/>
        </w:trPr>
        <w:tc>
          <w:tcPr>
            <w:tcW w:w="1168" w:type="dxa"/>
            <w:shd w:val="clear" w:color="auto" w:fill="auto"/>
            <w:noWrap/>
            <w:vAlign w:val="bottom"/>
            <w:hideMark/>
          </w:tcPr>
          <w:p w:rsidR="00AC40FC" w:rsidRPr="00DD1024" w:rsidRDefault="00AC40FC" w:rsidP="00C73199">
            <w:pPr>
              <w:spacing w:after="0"/>
              <w:jc w:val="center"/>
              <w:rPr>
                <w:rFonts w:eastAsia="Arial Unicode MS" w:cs="Arial"/>
                <w:szCs w:val="24"/>
              </w:rPr>
            </w:pPr>
            <w:r w:rsidRPr="00DD1024">
              <w:rPr>
                <w:rFonts w:eastAsia="Arial Unicode MS" w:cs="Arial"/>
                <w:szCs w:val="24"/>
              </w:rPr>
              <w:t>S</w:t>
            </w:r>
            <w:r>
              <w:rPr>
                <w:rFonts w:eastAsia="Arial Unicode MS" w:cs="Arial"/>
                <w:szCs w:val="24"/>
              </w:rPr>
              <w:t>C</w:t>
            </w:r>
          </w:p>
        </w:tc>
        <w:tc>
          <w:tcPr>
            <w:tcW w:w="5260" w:type="dxa"/>
            <w:shd w:val="clear" w:color="auto" w:fill="auto"/>
            <w:noWrap/>
            <w:vAlign w:val="bottom"/>
            <w:hideMark/>
          </w:tcPr>
          <w:p w:rsidR="00AC40FC" w:rsidRPr="00DD1024" w:rsidRDefault="00AC40FC" w:rsidP="00C73199">
            <w:pPr>
              <w:spacing w:after="0"/>
              <w:jc w:val="center"/>
              <w:rPr>
                <w:rFonts w:eastAsia="Arial Unicode MS" w:cs="Arial"/>
                <w:szCs w:val="24"/>
              </w:rPr>
            </w:pPr>
            <w:r w:rsidRPr="00DD1024">
              <w:rPr>
                <w:rFonts w:eastAsia="Arial Unicode MS" w:cs="Arial"/>
                <w:szCs w:val="24"/>
              </w:rPr>
              <w:t>VP &amp; Controller</w:t>
            </w:r>
          </w:p>
        </w:tc>
        <w:tc>
          <w:tcPr>
            <w:tcW w:w="1167" w:type="dxa"/>
            <w:shd w:val="clear" w:color="auto" w:fill="auto"/>
            <w:noWrap/>
            <w:vAlign w:val="bottom"/>
            <w:hideMark/>
          </w:tcPr>
          <w:p w:rsidR="00AC40FC" w:rsidRPr="00DD1024" w:rsidRDefault="00AC40FC" w:rsidP="00C73199">
            <w:pPr>
              <w:spacing w:after="0"/>
              <w:jc w:val="center"/>
              <w:rPr>
                <w:rFonts w:eastAsia="Arial Unicode MS" w:cs="Arial"/>
                <w:szCs w:val="24"/>
              </w:rPr>
            </w:pPr>
            <w:r>
              <w:rPr>
                <w:rFonts w:eastAsia="Arial Unicode MS" w:cs="Arial"/>
                <w:szCs w:val="24"/>
              </w:rPr>
              <w:t>Tier I</w:t>
            </w:r>
          </w:p>
        </w:tc>
      </w:tr>
      <w:tr w:rsidR="00AC40FC" w:rsidRPr="00DD1024" w:rsidTr="00C73199">
        <w:trPr>
          <w:cantSplit/>
          <w:trHeight w:val="300"/>
          <w:jc w:val="center"/>
        </w:trPr>
        <w:tc>
          <w:tcPr>
            <w:tcW w:w="1168" w:type="dxa"/>
            <w:shd w:val="clear" w:color="auto" w:fill="auto"/>
            <w:noWrap/>
            <w:vAlign w:val="bottom"/>
            <w:hideMark/>
          </w:tcPr>
          <w:p w:rsidR="00AC40FC" w:rsidRPr="00DD1024" w:rsidRDefault="00AC40FC" w:rsidP="00C73199">
            <w:pPr>
              <w:spacing w:after="0"/>
              <w:jc w:val="center"/>
              <w:rPr>
                <w:rFonts w:eastAsia="Arial Unicode MS" w:cs="Arial"/>
                <w:szCs w:val="24"/>
              </w:rPr>
            </w:pPr>
            <w:r w:rsidRPr="00DD1024">
              <w:rPr>
                <w:rFonts w:eastAsia="Arial Unicode MS" w:cs="Arial"/>
                <w:szCs w:val="24"/>
              </w:rPr>
              <w:t>S</w:t>
            </w:r>
            <w:r>
              <w:rPr>
                <w:rFonts w:eastAsia="Arial Unicode MS" w:cs="Arial"/>
                <w:szCs w:val="24"/>
              </w:rPr>
              <w:t>C</w:t>
            </w:r>
          </w:p>
        </w:tc>
        <w:tc>
          <w:tcPr>
            <w:tcW w:w="5260" w:type="dxa"/>
            <w:shd w:val="clear" w:color="auto" w:fill="auto"/>
            <w:noWrap/>
            <w:vAlign w:val="bottom"/>
            <w:hideMark/>
          </w:tcPr>
          <w:p w:rsidR="00AC40FC" w:rsidRPr="00DD1024" w:rsidRDefault="00AC40FC" w:rsidP="00C73199">
            <w:pPr>
              <w:spacing w:after="0"/>
              <w:jc w:val="center"/>
              <w:rPr>
                <w:rFonts w:eastAsia="Arial Unicode MS" w:cs="Arial"/>
                <w:szCs w:val="24"/>
              </w:rPr>
            </w:pPr>
            <w:r w:rsidRPr="00DD1024">
              <w:rPr>
                <w:rFonts w:eastAsia="Arial Unicode MS" w:cs="Arial"/>
                <w:szCs w:val="24"/>
              </w:rPr>
              <w:t>VP-Investor Relations</w:t>
            </w:r>
            <w:r>
              <w:rPr>
                <w:rFonts w:eastAsia="Arial Unicode MS" w:cs="Arial"/>
                <w:szCs w:val="24"/>
              </w:rPr>
              <w:t xml:space="preserve"> </w:t>
            </w:r>
            <w:r w:rsidRPr="00DD1024">
              <w:rPr>
                <w:rFonts w:eastAsia="Arial Unicode MS" w:cs="Arial"/>
                <w:szCs w:val="24"/>
              </w:rPr>
              <w:t>&amp;</w:t>
            </w:r>
            <w:r>
              <w:rPr>
                <w:rFonts w:eastAsia="Arial Unicode MS" w:cs="Arial"/>
                <w:szCs w:val="24"/>
              </w:rPr>
              <w:t xml:space="preserve"> </w:t>
            </w:r>
            <w:r w:rsidRPr="00DD1024">
              <w:rPr>
                <w:rFonts w:eastAsia="Arial Unicode MS" w:cs="Arial"/>
                <w:szCs w:val="24"/>
              </w:rPr>
              <w:t>Fin Pl</w:t>
            </w:r>
            <w:r>
              <w:rPr>
                <w:rFonts w:eastAsia="Arial Unicode MS" w:cs="Arial"/>
                <w:szCs w:val="24"/>
              </w:rPr>
              <w:t>a</w:t>
            </w:r>
            <w:r w:rsidRPr="00DD1024">
              <w:rPr>
                <w:rFonts w:eastAsia="Arial Unicode MS" w:cs="Arial"/>
                <w:szCs w:val="24"/>
              </w:rPr>
              <w:t>n</w:t>
            </w:r>
            <w:r>
              <w:rPr>
                <w:rFonts w:eastAsia="Arial Unicode MS" w:cs="Arial"/>
                <w:szCs w:val="24"/>
              </w:rPr>
              <w:t>nin</w:t>
            </w:r>
            <w:r w:rsidRPr="00DD1024">
              <w:rPr>
                <w:rFonts w:eastAsia="Arial Unicode MS" w:cs="Arial"/>
                <w:szCs w:val="24"/>
              </w:rPr>
              <w:t>g</w:t>
            </w:r>
          </w:p>
        </w:tc>
        <w:tc>
          <w:tcPr>
            <w:tcW w:w="1167" w:type="dxa"/>
            <w:shd w:val="clear" w:color="auto" w:fill="auto"/>
            <w:noWrap/>
            <w:vAlign w:val="bottom"/>
            <w:hideMark/>
          </w:tcPr>
          <w:p w:rsidR="00AC40FC" w:rsidRPr="00DD1024" w:rsidRDefault="00AC40FC" w:rsidP="00C73199">
            <w:pPr>
              <w:spacing w:after="0"/>
              <w:jc w:val="center"/>
              <w:rPr>
                <w:rFonts w:eastAsia="Arial Unicode MS" w:cs="Arial"/>
                <w:szCs w:val="24"/>
              </w:rPr>
            </w:pPr>
            <w:r>
              <w:rPr>
                <w:rFonts w:eastAsia="Arial Unicode MS" w:cs="Arial"/>
                <w:szCs w:val="24"/>
              </w:rPr>
              <w:t>Tier I</w:t>
            </w:r>
          </w:p>
        </w:tc>
      </w:tr>
      <w:tr w:rsidR="00AC40FC" w:rsidRPr="00DD1024" w:rsidTr="00B67C99">
        <w:trPr>
          <w:cantSplit/>
          <w:trHeight w:val="300"/>
          <w:jc w:val="center"/>
        </w:trPr>
        <w:tc>
          <w:tcPr>
            <w:tcW w:w="1168" w:type="dxa"/>
            <w:shd w:val="clear" w:color="auto" w:fill="auto"/>
            <w:noWrap/>
            <w:vAlign w:val="bottom"/>
            <w:hideMark/>
          </w:tcPr>
          <w:p w:rsidR="00AC40FC" w:rsidRPr="00DD1024" w:rsidRDefault="00AC40FC" w:rsidP="00C73199">
            <w:pPr>
              <w:spacing w:after="0"/>
              <w:jc w:val="center"/>
              <w:rPr>
                <w:rFonts w:eastAsia="Arial Unicode MS" w:cs="Arial"/>
                <w:szCs w:val="24"/>
              </w:rPr>
            </w:pPr>
            <w:r>
              <w:rPr>
                <w:rFonts w:eastAsia="Arial Unicode MS" w:cs="Arial"/>
                <w:szCs w:val="24"/>
              </w:rPr>
              <w:t>WPD Midlands</w:t>
            </w:r>
          </w:p>
        </w:tc>
        <w:tc>
          <w:tcPr>
            <w:tcW w:w="5260" w:type="dxa"/>
            <w:shd w:val="clear" w:color="auto" w:fill="auto"/>
            <w:noWrap/>
            <w:vAlign w:val="center"/>
            <w:hideMark/>
          </w:tcPr>
          <w:p w:rsidR="00AC40FC" w:rsidRPr="00DD1024" w:rsidRDefault="00AC40FC" w:rsidP="00B67C99">
            <w:pPr>
              <w:spacing w:after="0"/>
              <w:jc w:val="center"/>
              <w:rPr>
                <w:rFonts w:eastAsia="Arial Unicode MS" w:cs="Arial"/>
                <w:szCs w:val="24"/>
              </w:rPr>
            </w:pPr>
            <w:r w:rsidRPr="00DD1024">
              <w:rPr>
                <w:rFonts w:eastAsia="Arial Unicode MS" w:cs="Arial"/>
                <w:szCs w:val="24"/>
              </w:rPr>
              <w:t>Chief Executive</w:t>
            </w:r>
          </w:p>
        </w:tc>
        <w:tc>
          <w:tcPr>
            <w:tcW w:w="1167" w:type="dxa"/>
            <w:shd w:val="clear" w:color="auto" w:fill="auto"/>
            <w:noWrap/>
            <w:vAlign w:val="center"/>
            <w:hideMark/>
          </w:tcPr>
          <w:p w:rsidR="00AC40FC" w:rsidRPr="00DD1024" w:rsidRDefault="00AC40FC" w:rsidP="00B67C99">
            <w:pPr>
              <w:spacing w:after="0"/>
              <w:jc w:val="center"/>
              <w:rPr>
                <w:rFonts w:eastAsia="Arial Unicode MS" w:cs="Arial"/>
                <w:szCs w:val="24"/>
              </w:rPr>
            </w:pPr>
            <w:r>
              <w:rPr>
                <w:rFonts w:eastAsia="Arial Unicode MS" w:cs="Arial"/>
                <w:szCs w:val="24"/>
              </w:rPr>
              <w:t>Tier I</w:t>
            </w:r>
          </w:p>
        </w:tc>
      </w:tr>
      <w:tr w:rsidR="00AC40FC" w:rsidRPr="00DD1024" w:rsidTr="00B67C99">
        <w:trPr>
          <w:cantSplit/>
          <w:trHeight w:val="300"/>
          <w:jc w:val="center"/>
        </w:trPr>
        <w:tc>
          <w:tcPr>
            <w:tcW w:w="1168" w:type="dxa"/>
            <w:shd w:val="clear" w:color="auto" w:fill="auto"/>
            <w:noWrap/>
            <w:vAlign w:val="bottom"/>
            <w:hideMark/>
          </w:tcPr>
          <w:p w:rsidR="00AC40FC" w:rsidRPr="00DD1024" w:rsidRDefault="00AC40FC" w:rsidP="00C73199">
            <w:pPr>
              <w:spacing w:after="0"/>
              <w:jc w:val="center"/>
              <w:rPr>
                <w:rFonts w:eastAsia="Arial Unicode MS" w:cs="Arial"/>
                <w:szCs w:val="24"/>
              </w:rPr>
            </w:pPr>
            <w:r>
              <w:rPr>
                <w:rFonts w:eastAsia="Arial Unicode MS" w:cs="Arial"/>
                <w:szCs w:val="24"/>
              </w:rPr>
              <w:t>WPD Midlands</w:t>
            </w:r>
          </w:p>
        </w:tc>
        <w:tc>
          <w:tcPr>
            <w:tcW w:w="5260" w:type="dxa"/>
            <w:shd w:val="clear" w:color="auto" w:fill="auto"/>
            <w:noWrap/>
            <w:vAlign w:val="center"/>
            <w:hideMark/>
          </w:tcPr>
          <w:p w:rsidR="00AC40FC" w:rsidRPr="00DD1024" w:rsidRDefault="00AC40FC" w:rsidP="00B67C99">
            <w:pPr>
              <w:spacing w:after="0"/>
              <w:jc w:val="center"/>
              <w:rPr>
                <w:rFonts w:eastAsia="Arial Unicode MS" w:cs="Arial"/>
                <w:szCs w:val="24"/>
              </w:rPr>
            </w:pPr>
            <w:r w:rsidRPr="00DD1024">
              <w:rPr>
                <w:rFonts w:eastAsia="Arial Unicode MS" w:cs="Arial"/>
                <w:szCs w:val="24"/>
              </w:rPr>
              <w:t>Finance Director</w:t>
            </w:r>
          </w:p>
        </w:tc>
        <w:tc>
          <w:tcPr>
            <w:tcW w:w="1167" w:type="dxa"/>
            <w:shd w:val="clear" w:color="auto" w:fill="auto"/>
            <w:noWrap/>
            <w:vAlign w:val="center"/>
            <w:hideMark/>
          </w:tcPr>
          <w:p w:rsidR="00AC40FC" w:rsidRPr="00DD1024" w:rsidRDefault="00AC40FC" w:rsidP="00B67C99">
            <w:pPr>
              <w:spacing w:after="0"/>
              <w:jc w:val="center"/>
              <w:rPr>
                <w:rFonts w:eastAsia="Arial Unicode MS" w:cs="Arial"/>
                <w:szCs w:val="24"/>
              </w:rPr>
            </w:pPr>
            <w:r>
              <w:rPr>
                <w:rFonts w:eastAsia="Arial Unicode MS" w:cs="Arial"/>
                <w:szCs w:val="24"/>
              </w:rPr>
              <w:t>Tier I</w:t>
            </w:r>
          </w:p>
        </w:tc>
      </w:tr>
      <w:tr w:rsidR="00AC40FC" w:rsidRPr="00DD1024" w:rsidTr="00B67C99">
        <w:trPr>
          <w:cantSplit/>
          <w:trHeight w:val="300"/>
          <w:jc w:val="center"/>
        </w:trPr>
        <w:tc>
          <w:tcPr>
            <w:tcW w:w="1168" w:type="dxa"/>
            <w:shd w:val="clear" w:color="auto" w:fill="auto"/>
            <w:noWrap/>
            <w:vAlign w:val="bottom"/>
            <w:hideMark/>
          </w:tcPr>
          <w:p w:rsidR="00AC40FC" w:rsidRPr="00DD1024" w:rsidRDefault="00AC40FC" w:rsidP="00C73199">
            <w:pPr>
              <w:spacing w:after="0"/>
              <w:jc w:val="center"/>
              <w:rPr>
                <w:rFonts w:eastAsia="Arial Unicode MS" w:cs="Arial"/>
                <w:szCs w:val="24"/>
              </w:rPr>
            </w:pPr>
            <w:r>
              <w:rPr>
                <w:rFonts w:eastAsia="Arial Unicode MS" w:cs="Arial"/>
                <w:szCs w:val="24"/>
              </w:rPr>
              <w:lastRenderedPageBreak/>
              <w:t>WPD Midlands</w:t>
            </w:r>
          </w:p>
        </w:tc>
        <w:tc>
          <w:tcPr>
            <w:tcW w:w="5260" w:type="dxa"/>
            <w:shd w:val="clear" w:color="auto" w:fill="auto"/>
            <w:noWrap/>
            <w:vAlign w:val="center"/>
            <w:hideMark/>
          </w:tcPr>
          <w:p w:rsidR="00AC40FC" w:rsidRPr="00DD1024" w:rsidRDefault="00AC40FC" w:rsidP="00B67C99">
            <w:pPr>
              <w:spacing w:after="0"/>
              <w:jc w:val="center"/>
              <w:rPr>
                <w:rFonts w:eastAsia="Arial Unicode MS" w:cs="Arial"/>
                <w:szCs w:val="24"/>
              </w:rPr>
            </w:pPr>
            <w:r w:rsidRPr="00DD1024">
              <w:rPr>
                <w:rFonts w:eastAsia="Arial Unicode MS" w:cs="Arial"/>
                <w:szCs w:val="24"/>
              </w:rPr>
              <w:t>Operations Director</w:t>
            </w:r>
          </w:p>
        </w:tc>
        <w:tc>
          <w:tcPr>
            <w:tcW w:w="1167" w:type="dxa"/>
            <w:shd w:val="clear" w:color="auto" w:fill="auto"/>
            <w:noWrap/>
            <w:vAlign w:val="center"/>
            <w:hideMark/>
          </w:tcPr>
          <w:p w:rsidR="00AC40FC" w:rsidRPr="00DD1024" w:rsidRDefault="00AC40FC" w:rsidP="00B67C99">
            <w:pPr>
              <w:spacing w:after="0"/>
              <w:jc w:val="center"/>
              <w:rPr>
                <w:rFonts w:eastAsia="Arial Unicode MS" w:cs="Arial"/>
                <w:szCs w:val="24"/>
              </w:rPr>
            </w:pPr>
            <w:r>
              <w:rPr>
                <w:rFonts w:eastAsia="Arial Unicode MS" w:cs="Arial"/>
                <w:szCs w:val="24"/>
              </w:rPr>
              <w:t>Tier II</w:t>
            </w:r>
          </w:p>
        </w:tc>
      </w:tr>
      <w:tr w:rsidR="00AC40FC" w:rsidRPr="00DD1024" w:rsidTr="00C73199">
        <w:trPr>
          <w:cantSplit/>
          <w:trHeight w:val="300"/>
          <w:jc w:val="center"/>
        </w:trPr>
        <w:tc>
          <w:tcPr>
            <w:tcW w:w="1168" w:type="dxa"/>
            <w:shd w:val="clear" w:color="auto" w:fill="auto"/>
            <w:noWrap/>
            <w:vAlign w:val="bottom"/>
            <w:hideMark/>
          </w:tcPr>
          <w:p w:rsidR="00AC40FC" w:rsidRPr="00DD1024" w:rsidRDefault="00AC40FC" w:rsidP="00C73199">
            <w:pPr>
              <w:spacing w:after="0"/>
              <w:jc w:val="center"/>
              <w:rPr>
                <w:rFonts w:eastAsia="Arial Unicode MS" w:cs="Arial"/>
                <w:szCs w:val="24"/>
              </w:rPr>
            </w:pPr>
            <w:r w:rsidRPr="00DD1024">
              <w:rPr>
                <w:rFonts w:eastAsia="Arial Unicode MS" w:cs="Arial"/>
                <w:szCs w:val="24"/>
              </w:rPr>
              <w:t>LKS</w:t>
            </w:r>
          </w:p>
        </w:tc>
        <w:tc>
          <w:tcPr>
            <w:tcW w:w="5260" w:type="dxa"/>
            <w:shd w:val="clear" w:color="auto" w:fill="auto"/>
            <w:noWrap/>
            <w:vAlign w:val="bottom"/>
            <w:hideMark/>
          </w:tcPr>
          <w:p w:rsidR="00AC40FC" w:rsidRPr="00DD1024" w:rsidRDefault="00AC40FC" w:rsidP="00C73199">
            <w:pPr>
              <w:spacing w:after="0"/>
              <w:jc w:val="center"/>
              <w:rPr>
                <w:rFonts w:eastAsia="Arial Unicode MS" w:cs="Arial"/>
                <w:szCs w:val="24"/>
              </w:rPr>
            </w:pPr>
            <w:r>
              <w:rPr>
                <w:rFonts w:eastAsia="Arial Unicode MS" w:cs="Arial"/>
                <w:szCs w:val="24"/>
              </w:rPr>
              <w:t>SVP-</w:t>
            </w:r>
            <w:r w:rsidRPr="00DD1024">
              <w:rPr>
                <w:rFonts w:eastAsia="Arial Unicode MS" w:cs="Arial"/>
                <w:szCs w:val="24"/>
              </w:rPr>
              <w:t>Human Resources</w:t>
            </w:r>
          </w:p>
        </w:tc>
        <w:tc>
          <w:tcPr>
            <w:tcW w:w="1167" w:type="dxa"/>
            <w:shd w:val="clear" w:color="auto" w:fill="auto"/>
            <w:noWrap/>
            <w:vAlign w:val="bottom"/>
            <w:hideMark/>
          </w:tcPr>
          <w:p w:rsidR="00AC40FC" w:rsidRPr="00DD1024" w:rsidRDefault="00AC40FC" w:rsidP="00C73199">
            <w:pPr>
              <w:spacing w:after="0"/>
              <w:jc w:val="center"/>
              <w:rPr>
                <w:rFonts w:eastAsia="Arial Unicode MS" w:cs="Arial"/>
                <w:szCs w:val="24"/>
              </w:rPr>
            </w:pPr>
            <w:r>
              <w:rPr>
                <w:rFonts w:eastAsia="Arial Unicode MS" w:cs="Arial"/>
                <w:szCs w:val="24"/>
              </w:rPr>
              <w:t>Tier II</w:t>
            </w:r>
          </w:p>
        </w:tc>
      </w:tr>
      <w:tr w:rsidR="00AC40FC" w:rsidRPr="00DD1024" w:rsidTr="00C73199">
        <w:trPr>
          <w:cantSplit/>
          <w:trHeight w:val="300"/>
          <w:jc w:val="center"/>
        </w:trPr>
        <w:tc>
          <w:tcPr>
            <w:tcW w:w="1168" w:type="dxa"/>
            <w:shd w:val="clear" w:color="auto" w:fill="auto"/>
            <w:noWrap/>
            <w:vAlign w:val="bottom"/>
            <w:hideMark/>
          </w:tcPr>
          <w:p w:rsidR="00AC40FC" w:rsidRPr="00DD1024" w:rsidRDefault="00AC40FC" w:rsidP="00C73199">
            <w:pPr>
              <w:spacing w:after="0"/>
              <w:jc w:val="center"/>
              <w:rPr>
                <w:rFonts w:eastAsia="Arial Unicode MS" w:cs="Arial"/>
                <w:szCs w:val="24"/>
              </w:rPr>
            </w:pPr>
            <w:r w:rsidRPr="00DD1024">
              <w:rPr>
                <w:rFonts w:eastAsia="Arial Unicode MS" w:cs="Arial"/>
                <w:szCs w:val="24"/>
              </w:rPr>
              <w:t>LKS</w:t>
            </w:r>
          </w:p>
        </w:tc>
        <w:tc>
          <w:tcPr>
            <w:tcW w:w="5260" w:type="dxa"/>
            <w:shd w:val="clear" w:color="auto" w:fill="auto"/>
            <w:noWrap/>
            <w:vAlign w:val="bottom"/>
            <w:hideMark/>
          </w:tcPr>
          <w:p w:rsidR="00AC40FC" w:rsidRPr="00DD1024" w:rsidRDefault="00AC40FC" w:rsidP="00C73199">
            <w:pPr>
              <w:spacing w:after="0"/>
              <w:jc w:val="center"/>
              <w:rPr>
                <w:rFonts w:eastAsia="Arial Unicode MS" w:cs="Arial"/>
                <w:szCs w:val="24"/>
              </w:rPr>
            </w:pPr>
            <w:r w:rsidRPr="00DD1024">
              <w:rPr>
                <w:rFonts w:eastAsia="Arial Unicode MS" w:cs="Arial"/>
                <w:szCs w:val="24"/>
              </w:rPr>
              <w:t>Chief Financial Officer</w:t>
            </w:r>
          </w:p>
        </w:tc>
        <w:tc>
          <w:tcPr>
            <w:tcW w:w="1167" w:type="dxa"/>
            <w:shd w:val="clear" w:color="auto" w:fill="auto"/>
            <w:noWrap/>
            <w:vAlign w:val="bottom"/>
            <w:hideMark/>
          </w:tcPr>
          <w:p w:rsidR="00AC40FC" w:rsidRPr="00DD1024" w:rsidRDefault="00AC40FC" w:rsidP="00C73199">
            <w:pPr>
              <w:spacing w:after="0"/>
              <w:jc w:val="center"/>
              <w:rPr>
                <w:rFonts w:eastAsia="Arial Unicode MS" w:cs="Arial"/>
                <w:szCs w:val="24"/>
              </w:rPr>
            </w:pPr>
            <w:r>
              <w:rPr>
                <w:rFonts w:eastAsia="Arial Unicode MS" w:cs="Arial"/>
                <w:szCs w:val="24"/>
              </w:rPr>
              <w:t>Tier II</w:t>
            </w:r>
          </w:p>
        </w:tc>
      </w:tr>
      <w:tr w:rsidR="00AC40FC" w:rsidRPr="00DD1024" w:rsidTr="00C73199">
        <w:trPr>
          <w:cantSplit/>
          <w:trHeight w:val="300"/>
          <w:jc w:val="center"/>
        </w:trPr>
        <w:tc>
          <w:tcPr>
            <w:tcW w:w="1168" w:type="dxa"/>
            <w:shd w:val="clear" w:color="auto" w:fill="auto"/>
            <w:noWrap/>
            <w:vAlign w:val="bottom"/>
            <w:hideMark/>
          </w:tcPr>
          <w:p w:rsidR="00AC40FC" w:rsidRPr="00DD1024" w:rsidRDefault="00AC40FC" w:rsidP="00C73199">
            <w:pPr>
              <w:spacing w:after="0"/>
              <w:jc w:val="center"/>
              <w:rPr>
                <w:rFonts w:eastAsia="Arial Unicode MS" w:cs="Arial"/>
                <w:szCs w:val="24"/>
              </w:rPr>
            </w:pPr>
            <w:r w:rsidRPr="00DD1024">
              <w:rPr>
                <w:rFonts w:eastAsia="Arial Unicode MS" w:cs="Arial"/>
                <w:szCs w:val="24"/>
              </w:rPr>
              <w:t>LKS</w:t>
            </w:r>
          </w:p>
        </w:tc>
        <w:tc>
          <w:tcPr>
            <w:tcW w:w="5260" w:type="dxa"/>
            <w:shd w:val="clear" w:color="auto" w:fill="auto"/>
            <w:noWrap/>
            <w:vAlign w:val="bottom"/>
            <w:hideMark/>
          </w:tcPr>
          <w:p w:rsidR="00AC40FC" w:rsidRPr="00DD1024" w:rsidRDefault="00AC40FC" w:rsidP="00C73199">
            <w:pPr>
              <w:spacing w:after="0"/>
              <w:jc w:val="center"/>
              <w:rPr>
                <w:rFonts w:eastAsia="Arial Unicode MS" w:cs="Arial"/>
                <w:szCs w:val="24"/>
              </w:rPr>
            </w:pPr>
            <w:r w:rsidRPr="00DD1024">
              <w:rPr>
                <w:rFonts w:eastAsia="Arial Unicode MS" w:cs="Arial"/>
                <w:szCs w:val="24"/>
              </w:rPr>
              <w:t>Chief Information Officer</w:t>
            </w:r>
          </w:p>
        </w:tc>
        <w:tc>
          <w:tcPr>
            <w:tcW w:w="1167" w:type="dxa"/>
            <w:shd w:val="clear" w:color="auto" w:fill="auto"/>
            <w:noWrap/>
            <w:vAlign w:val="bottom"/>
            <w:hideMark/>
          </w:tcPr>
          <w:p w:rsidR="00AC40FC" w:rsidRPr="00DD1024" w:rsidRDefault="00AC40FC" w:rsidP="00C73199">
            <w:pPr>
              <w:spacing w:after="0"/>
              <w:jc w:val="center"/>
              <w:rPr>
                <w:rFonts w:eastAsia="Arial Unicode MS" w:cs="Arial"/>
                <w:szCs w:val="24"/>
              </w:rPr>
            </w:pPr>
            <w:r>
              <w:rPr>
                <w:rFonts w:eastAsia="Arial Unicode MS" w:cs="Arial"/>
                <w:szCs w:val="24"/>
              </w:rPr>
              <w:t>Tier II</w:t>
            </w:r>
          </w:p>
        </w:tc>
      </w:tr>
      <w:tr w:rsidR="00AC40FC" w:rsidRPr="00DD1024" w:rsidTr="00B67C99">
        <w:trPr>
          <w:cantSplit/>
          <w:trHeight w:val="300"/>
          <w:jc w:val="center"/>
        </w:trPr>
        <w:tc>
          <w:tcPr>
            <w:tcW w:w="1168" w:type="dxa"/>
            <w:shd w:val="clear" w:color="auto" w:fill="auto"/>
            <w:noWrap/>
            <w:vAlign w:val="bottom"/>
            <w:hideMark/>
          </w:tcPr>
          <w:p w:rsidR="00AC40FC" w:rsidRPr="00DD1024" w:rsidRDefault="00AC40FC" w:rsidP="00C73199">
            <w:pPr>
              <w:spacing w:after="0"/>
              <w:jc w:val="center"/>
              <w:rPr>
                <w:rFonts w:eastAsia="Arial Unicode MS" w:cs="Arial"/>
                <w:szCs w:val="24"/>
              </w:rPr>
            </w:pPr>
            <w:r w:rsidRPr="00DD1024">
              <w:rPr>
                <w:rFonts w:eastAsia="Arial Unicode MS" w:cs="Arial"/>
                <w:szCs w:val="24"/>
              </w:rPr>
              <w:t>LKS</w:t>
            </w:r>
          </w:p>
        </w:tc>
        <w:tc>
          <w:tcPr>
            <w:tcW w:w="5260" w:type="dxa"/>
            <w:shd w:val="clear" w:color="auto" w:fill="auto"/>
            <w:noWrap/>
            <w:vAlign w:val="bottom"/>
            <w:hideMark/>
          </w:tcPr>
          <w:p w:rsidR="00AC40FC" w:rsidRPr="00DD1024" w:rsidRDefault="00AC40FC" w:rsidP="00C73199">
            <w:pPr>
              <w:spacing w:after="0"/>
              <w:jc w:val="center"/>
              <w:rPr>
                <w:rFonts w:eastAsia="Arial Unicode MS" w:cs="Arial"/>
                <w:szCs w:val="24"/>
              </w:rPr>
            </w:pPr>
            <w:r w:rsidRPr="00DD1024">
              <w:rPr>
                <w:rFonts w:eastAsia="Arial Unicode MS" w:cs="Arial"/>
                <w:szCs w:val="24"/>
              </w:rPr>
              <w:t>Gen</w:t>
            </w:r>
            <w:r>
              <w:rPr>
                <w:rFonts w:eastAsia="Arial Unicode MS" w:cs="Arial"/>
                <w:szCs w:val="24"/>
              </w:rPr>
              <w:t xml:space="preserve">eral </w:t>
            </w:r>
            <w:r w:rsidRPr="00DD1024">
              <w:rPr>
                <w:rFonts w:eastAsia="Arial Unicode MS" w:cs="Arial"/>
                <w:szCs w:val="24"/>
              </w:rPr>
              <w:t>Counsel</w:t>
            </w:r>
            <w:r>
              <w:rPr>
                <w:rFonts w:eastAsia="Arial Unicode MS" w:cs="Arial"/>
                <w:szCs w:val="24"/>
              </w:rPr>
              <w:t>,</w:t>
            </w:r>
            <w:r w:rsidRPr="00DD1024">
              <w:rPr>
                <w:rFonts w:eastAsia="Arial Unicode MS" w:cs="Arial"/>
                <w:szCs w:val="24"/>
              </w:rPr>
              <w:t xml:space="preserve"> </w:t>
            </w:r>
            <w:r>
              <w:rPr>
                <w:rFonts w:eastAsia="Arial Unicode MS" w:cs="Arial"/>
                <w:szCs w:val="24"/>
              </w:rPr>
              <w:t xml:space="preserve">Chief </w:t>
            </w:r>
            <w:r w:rsidRPr="00DD1024">
              <w:rPr>
                <w:rFonts w:eastAsia="Arial Unicode MS" w:cs="Arial"/>
                <w:szCs w:val="24"/>
              </w:rPr>
              <w:t>Compl</w:t>
            </w:r>
            <w:r>
              <w:rPr>
                <w:rFonts w:eastAsia="Arial Unicode MS" w:cs="Arial"/>
                <w:szCs w:val="24"/>
              </w:rPr>
              <w:t>iance Officer and</w:t>
            </w:r>
            <w:r w:rsidRPr="00DD1024">
              <w:rPr>
                <w:rFonts w:eastAsia="Arial Unicode MS" w:cs="Arial"/>
                <w:szCs w:val="24"/>
              </w:rPr>
              <w:t xml:space="preserve"> Corp</w:t>
            </w:r>
            <w:r>
              <w:rPr>
                <w:rFonts w:eastAsia="Arial Unicode MS" w:cs="Arial"/>
                <w:szCs w:val="24"/>
              </w:rPr>
              <w:t xml:space="preserve">orate </w:t>
            </w:r>
            <w:r w:rsidRPr="00DD1024">
              <w:rPr>
                <w:rFonts w:eastAsia="Arial Unicode MS" w:cs="Arial"/>
                <w:szCs w:val="24"/>
              </w:rPr>
              <w:t>Sec</w:t>
            </w:r>
            <w:r>
              <w:rPr>
                <w:rFonts w:eastAsia="Arial Unicode MS" w:cs="Arial"/>
                <w:szCs w:val="24"/>
              </w:rPr>
              <w:t>retary</w:t>
            </w:r>
          </w:p>
        </w:tc>
        <w:tc>
          <w:tcPr>
            <w:tcW w:w="1167" w:type="dxa"/>
            <w:shd w:val="clear" w:color="auto" w:fill="auto"/>
            <w:noWrap/>
            <w:vAlign w:val="center"/>
            <w:hideMark/>
          </w:tcPr>
          <w:p w:rsidR="00AC40FC" w:rsidRPr="00DD1024" w:rsidRDefault="00AC40FC" w:rsidP="00B67C99">
            <w:pPr>
              <w:spacing w:after="0"/>
              <w:jc w:val="center"/>
              <w:rPr>
                <w:rFonts w:eastAsia="Arial Unicode MS" w:cs="Arial"/>
                <w:szCs w:val="24"/>
              </w:rPr>
            </w:pPr>
            <w:r>
              <w:rPr>
                <w:rFonts w:eastAsia="Arial Unicode MS" w:cs="Arial"/>
                <w:szCs w:val="24"/>
              </w:rPr>
              <w:t>Tier II</w:t>
            </w:r>
          </w:p>
        </w:tc>
      </w:tr>
      <w:tr w:rsidR="00AC40FC" w:rsidRPr="00DD1024" w:rsidTr="00C73199">
        <w:trPr>
          <w:cantSplit/>
          <w:trHeight w:val="300"/>
          <w:jc w:val="center"/>
        </w:trPr>
        <w:tc>
          <w:tcPr>
            <w:tcW w:w="1168" w:type="dxa"/>
            <w:shd w:val="clear" w:color="auto" w:fill="auto"/>
            <w:noWrap/>
            <w:vAlign w:val="bottom"/>
            <w:hideMark/>
          </w:tcPr>
          <w:p w:rsidR="00AC40FC" w:rsidRPr="00DD1024" w:rsidRDefault="00AC40FC" w:rsidP="00C73199">
            <w:pPr>
              <w:spacing w:after="0"/>
              <w:jc w:val="center"/>
              <w:rPr>
                <w:rFonts w:eastAsia="Arial Unicode MS" w:cs="Arial"/>
                <w:szCs w:val="24"/>
              </w:rPr>
            </w:pPr>
            <w:r w:rsidRPr="00DD1024">
              <w:rPr>
                <w:rFonts w:eastAsia="Arial Unicode MS" w:cs="Arial"/>
                <w:szCs w:val="24"/>
              </w:rPr>
              <w:t>LKS</w:t>
            </w:r>
          </w:p>
        </w:tc>
        <w:tc>
          <w:tcPr>
            <w:tcW w:w="5260" w:type="dxa"/>
            <w:shd w:val="clear" w:color="auto" w:fill="auto"/>
            <w:noWrap/>
            <w:vAlign w:val="bottom"/>
            <w:hideMark/>
          </w:tcPr>
          <w:p w:rsidR="00AC40FC" w:rsidRPr="00DD1024" w:rsidRDefault="00AC40FC" w:rsidP="00C73199">
            <w:pPr>
              <w:spacing w:after="0"/>
              <w:jc w:val="center"/>
              <w:rPr>
                <w:rFonts w:eastAsia="Arial Unicode MS" w:cs="Arial"/>
                <w:szCs w:val="24"/>
              </w:rPr>
            </w:pPr>
            <w:r>
              <w:rPr>
                <w:rFonts w:eastAsia="Arial Unicode MS" w:cs="Arial"/>
                <w:szCs w:val="24"/>
              </w:rPr>
              <w:t>VP-</w:t>
            </w:r>
            <w:r w:rsidRPr="00DD1024">
              <w:rPr>
                <w:rFonts w:eastAsia="Arial Unicode MS" w:cs="Arial"/>
                <w:szCs w:val="24"/>
              </w:rPr>
              <w:t>En</w:t>
            </w:r>
            <w:r>
              <w:rPr>
                <w:rFonts w:eastAsia="Arial Unicode MS" w:cs="Arial"/>
                <w:szCs w:val="24"/>
              </w:rPr>
              <w:t>e</w:t>
            </w:r>
            <w:r w:rsidRPr="00DD1024">
              <w:rPr>
                <w:rFonts w:eastAsia="Arial Unicode MS" w:cs="Arial"/>
                <w:szCs w:val="24"/>
              </w:rPr>
              <w:t>rgy</w:t>
            </w:r>
            <w:r>
              <w:rPr>
                <w:rFonts w:eastAsia="Arial Unicode MS" w:cs="Arial"/>
                <w:szCs w:val="24"/>
              </w:rPr>
              <w:t xml:space="preserve"> </w:t>
            </w:r>
            <w:r w:rsidRPr="00DD1024">
              <w:rPr>
                <w:rFonts w:eastAsia="Arial Unicode MS" w:cs="Arial"/>
                <w:szCs w:val="24"/>
              </w:rPr>
              <w:t>Supply</w:t>
            </w:r>
            <w:r>
              <w:rPr>
                <w:rFonts w:eastAsia="Arial Unicode MS" w:cs="Arial"/>
                <w:szCs w:val="24"/>
              </w:rPr>
              <w:t xml:space="preserve"> </w:t>
            </w:r>
            <w:r w:rsidRPr="00DD1024">
              <w:rPr>
                <w:rFonts w:eastAsia="Arial Unicode MS" w:cs="Arial"/>
                <w:szCs w:val="24"/>
              </w:rPr>
              <w:t>&amp;</w:t>
            </w:r>
            <w:r>
              <w:rPr>
                <w:rFonts w:eastAsia="Arial Unicode MS" w:cs="Arial"/>
                <w:szCs w:val="24"/>
              </w:rPr>
              <w:t xml:space="preserve"> </w:t>
            </w:r>
            <w:r w:rsidRPr="00DD1024">
              <w:rPr>
                <w:rFonts w:eastAsia="Arial Unicode MS" w:cs="Arial"/>
                <w:szCs w:val="24"/>
              </w:rPr>
              <w:t>Analysis</w:t>
            </w:r>
          </w:p>
        </w:tc>
        <w:tc>
          <w:tcPr>
            <w:tcW w:w="1167" w:type="dxa"/>
            <w:shd w:val="clear" w:color="auto" w:fill="auto"/>
            <w:noWrap/>
            <w:vAlign w:val="bottom"/>
            <w:hideMark/>
          </w:tcPr>
          <w:p w:rsidR="00AC40FC" w:rsidRPr="00DD1024" w:rsidRDefault="00AC40FC" w:rsidP="00C73199">
            <w:pPr>
              <w:spacing w:after="0"/>
              <w:jc w:val="center"/>
              <w:rPr>
                <w:rFonts w:eastAsia="Arial Unicode MS" w:cs="Arial"/>
                <w:szCs w:val="24"/>
              </w:rPr>
            </w:pPr>
            <w:r>
              <w:rPr>
                <w:rFonts w:eastAsia="Arial Unicode MS" w:cs="Arial"/>
                <w:szCs w:val="24"/>
              </w:rPr>
              <w:t>Tier II</w:t>
            </w:r>
          </w:p>
        </w:tc>
      </w:tr>
      <w:tr w:rsidR="00AC40FC" w:rsidRPr="00DD1024" w:rsidTr="00C73199">
        <w:trPr>
          <w:cantSplit/>
          <w:trHeight w:val="300"/>
          <w:jc w:val="center"/>
        </w:trPr>
        <w:tc>
          <w:tcPr>
            <w:tcW w:w="1168" w:type="dxa"/>
            <w:shd w:val="clear" w:color="auto" w:fill="auto"/>
            <w:noWrap/>
            <w:vAlign w:val="bottom"/>
            <w:hideMark/>
          </w:tcPr>
          <w:p w:rsidR="00AC40FC" w:rsidRPr="00DD1024" w:rsidRDefault="00AC40FC" w:rsidP="00C73199">
            <w:pPr>
              <w:spacing w:after="0"/>
              <w:jc w:val="center"/>
              <w:rPr>
                <w:rFonts w:eastAsia="Arial Unicode MS" w:cs="Arial"/>
                <w:szCs w:val="24"/>
              </w:rPr>
            </w:pPr>
            <w:r w:rsidRPr="00DD1024">
              <w:rPr>
                <w:rFonts w:eastAsia="Arial Unicode MS" w:cs="Arial"/>
                <w:szCs w:val="24"/>
              </w:rPr>
              <w:t>LKS</w:t>
            </w:r>
          </w:p>
        </w:tc>
        <w:tc>
          <w:tcPr>
            <w:tcW w:w="5260" w:type="dxa"/>
            <w:shd w:val="clear" w:color="auto" w:fill="auto"/>
            <w:noWrap/>
            <w:vAlign w:val="bottom"/>
            <w:hideMark/>
          </w:tcPr>
          <w:p w:rsidR="00AC40FC" w:rsidRPr="00DD1024" w:rsidRDefault="00AC40FC" w:rsidP="00C73199">
            <w:pPr>
              <w:spacing w:after="0"/>
              <w:jc w:val="center"/>
              <w:rPr>
                <w:rFonts w:eastAsia="Arial Unicode MS" w:cs="Arial"/>
                <w:szCs w:val="24"/>
              </w:rPr>
            </w:pPr>
            <w:r>
              <w:rPr>
                <w:rFonts w:eastAsia="Arial Unicode MS" w:cs="Arial"/>
                <w:szCs w:val="24"/>
              </w:rPr>
              <w:t>VP-</w:t>
            </w:r>
            <w:r w:rsidRPr="00DD1024">
              <w:rPr>
                <w:rFonts w:eastAsia="Arial Unicode MS" w:cs="Arial"/>
                <w:szCs w:val="24"/>
              </w:rPr>
              <w:t>Power Production</w:t>
            </w:r>
          </w:p>
        </w:tc>
        <w:tc>
          <w:tcPr>
            <w:tcW w:w="1167" w:type="dxa"/>
            <w:shd w:val="clear" w:color="auto" w:fill="auto"/>
            <w:noWrap/>
            <w:vAlign w:val="bottom"/>
            <w:hideMark/>
          </w:tcPr>
          <w:p w:rsidR="00AC40FC" w:rsidRPr="00DD1024" w:rsidRDefault="00AC40FC" w:rsidP="00C73199">
            <w:pPr>
              <w:spacing w:after="0"/>
              <w:jc w:val="center"/>
              <w:rPr>
                <w:rFonts w:eastAsia="Arial Unicode MS" w:cs="Arial"/>
                <w:szCs w:val="24"/>
              </w:rPr>
            </w:pPr>
            <w:r>
              <w:rPr>
                <w:rFonts w:eastAsia="Arial Unicode MS" w:cs="Arial"/>
                <w:szCs w:val="24"/>
              </w:rPr>
              <w:t>Tier II</w:t>
            </w:r>
          </w:p>
        </w:tc>
      </w:tr>
      <w:tr w:rsidR="00AC40FC" w:rsidRPr="00DD1024" w:rsidTr="00C73199">
        <w:trPr>
          <w:cantSplit/>
          <w:trHeight w:val="300"/>
          <w:jc w:val="center"/>
        </w:trPr>
        <w:tc>
          <w:tcPr>
            <w:tcW w:w="1168" w:type="dxa"/>
            <w:shd w:val="clear" w:color="auto" w:fill="auto"/>
            <w:noWrap/>
            <w:vAlign w:val="bottom"/>
            <w:hideMark/>
          </w:tcPr>
          <w:p w:rsidR="00AC40FC" w:rsidRPr="00DD1024" w:rsidRDefault="00AC40FC" w:rsidP="00C73199">
            <w:pPr>
              <w:spacing w:after="0"/>
              <w:jc w:val="center"/>
              <w:rPr>
                <w:rFonts w:eastAsia="Arial Unicode MS" w:cs="Arial"/>
                <w:szCs w:val="24"/>
              </w:rPr>
            </w:pPr>
            <w:r w:rsidRPr="00DD1024">
              <w:rPr>
                <w:rFonts w:eastAsia="Arial Unicode MS" w:cs="Arial"/>
                <w:szCs w:val="24"/>
              </w:rPr>
              <w:t>LKS</w:t>
            </w:r>
          </w:p>
        </w:tc>
        <w:tc>
          <w:tcPr>
            <w:tcW w:w="5260" w:type="dxa"/>
            <w:shd w:val="clear" w:color="auto" w:fill="auto"/>
            <w:noWrap/>
            <w:vAlign w:val="bottom"/>
            <w:hideMark/>
          </w:tcPr>
          <w:p w:rsidR="00AC40FC" w:rsidRPr="00DD1024" w:rsidRDefault="00AC40FC" w:rsidP="00C73199">
            <w:pPr>
              <w:spacing w:after="0"/>
              <w:jc w:val="center"/>
              <w:rPr>
                <w:rFonts w:eastAsia="Arial Unicode MS" w:cs="Arial"/>
                <w:szCs w:val="24"/>
              </w:rPr>
            </w:pPr>
            <w:r>
              <w:rPr>
                <w:rFonts w:eastAsia="Arial Unicode MS" w:cs="Arial"/>
                <w:szCs w:val="24"/>
              </w:rPr>
              <w:t>VP-</w:t>
            </w:r>
            <w:r w:rsidRPr="00DD1024">
              <w:rPr>
                <w:rFonts w:eastAsia="Arial Unicode MS" w:cs="Arial"/>
                <w:szCs w:val="24"/>
              </w:rPr>
              <w:t>Transmission</w:t>
            </w:r>
          </w:p>
        </w:tc>
        <w:tc>
          <w:tcPr>
            <w:tcW w:w="1167" w:type="dxa"/>
            <w:shd w:val="clear" w:color="auto" w:fill="auto"/>
            <w:noWrap/>
            <w:vAlign w:val="bottom"/>
            <w:hideMark/>
          </w:tcPr>
          <w:p w:rsidR="00AC40FC" w:rsidRPr="00DD1024" w:rsidRDefault="00AC40FC" w:rsidP="00C73199">
            <w:pPr>
              <w:spacing w:after="0"/>
              <w:jc w:val="center"/>
              <w:rPr>
                <w:rFonts w:eastAsia="Arial Unicode MS" w:cs="Arial"/>
                <w:szCs w:val="24"/>
              </w:rPr>
            </w:pPr>
            <w:r>
              <w:rPr>
                <w:rFonts w:eastAsia="Arial Unicode MS" w:cs="Arial"/>
                <w:szCs w:val="24"/>
              </w:rPr>
              <w:t>Tier II</w:t>
            </w:r>
          </w:p>
        </w:tc>
      </w:tr>
      <w:tr w:rsidR="00AC40FC" w:rsidRPr="00DD1024" w:rsidTr="00C73199">
        <w:trPr>
          <w:cantSplit/>
          <w:trHeight w:val="300"/>
          <w:jc w:val="center"/>
        </w:trPr>
        <w:tc>
          <w:tcPr>
            <w:tcW w:w="1168" w:type="dxa"/>
            <w:shd w:val="clear" w:color="auto" w:fill="auto"/>
            <w:noWrap/>
            <w:vAlign w:val="bottom"/>
            <w:hideMark/>
          </w:tcPr>
          <w:p w:rsidR="00AC40FC" w:rsidRPr="00DD1024" w:rsidRDefault="00AC40FC" w:rsidP="00C73199">
            <w:pPr>
              <w:spacing w:after="0"/>
              <w:jc w:val="center"/>
              <w:rPr>
                <w:rFonts w:eastAsia="Arial Unicode MS" w:cs="Arial"/>
                <w:szCs w:val="24"/>
              </w:rPr>
            </w:pPr>
            <w:r w:rsidRPr="00DD1024">
              <w:rPr>
                <w:rFonts w:eastAsia="Arial Unicode MS" w:cs="Arial"/>
                <w:szCs w:val="24"/>
              </w:rPr>
              <w:t>SOL</w:t>
            </w:r>
          </w:p>
        </w:tc>
        <w:tc>
          <w:tcPr>
            <w:tcW w:w="5260" w:type="dxa"/>
            <w:shd w:val="clear" w:color="auto" w:fill="auto"/>
            <w:noWrap/>
            <w:vAlign w:val="bottom"/>
            <w:hideMark/>
          </w:tcPr>
          <w:p w:rsidR="00AC40FC" w:rsidRPr="00DD1024" w:rsidRDefault="00AC40FC" w:rsidP="00C73199">
            <w:pPr>
              <w:spacing w:after="0"/>
              <w:jc w:val="center"/>
              <w:rPr>
                <w:rFonts w:eastAsia="Arial Unicode MS" w:cs="Arial"/>
                <w:szCs w:val="24"/>
              </w:rPr>
            </w:pPr>
            <w:r w:rsidRPr="00DD1024">
              <w:rPr>
                <w:rFonts w:eastAsia="Arial Unicode MS" w:cs="Arial"/>
                <w:szCs w:val="24"/>
              </w:rPr>
              <w:t>President</w:t>
            </w:r>
          </w:p>
        </w:tc>
        <w:tc>
          <w:tcPr>
            <w:tcW w:w="1167" w:type="dxa"/>
            <w:shd w:val="clear" w:color="auto" w:fill="auto"/>
            <w:noWrap/>
            <w:vAlign w:val="bottom"/>
            <w:hideMark/>
          </w:tcPr>
          <w:p w:rsidR="00AC40FC" w:rsidRPr="00DD1024" w:rsidRDefault="00AC40FC" w:rsidP="00C73199">
            <w:pPr>
              <w:spacing w:after="0"/>
              <w:jc w:val="center"/>
              <w:rPr>
                <w:rFonts w:eastAsia="Arial Unicode MS" w:cs="Arial"/>
                <w:szCs w:val="24"/>
              </w:rPr>
            </w:pPr>
            <w:r>
              <w:rPr>
                <w:rFonts w:eastAsia="Arial Unicode MS" w:cs="Arial"/>
                <w:szCs w:val="24"/>
              </w:rPr>
              <w:t>Tier II</w:t>
            </w:r>
          </w:p>
        </w:tc>
      </w:tr>
      <w:tr w:rsidR="00AC40FC" w:rsidRPr="00DD1024" w:rsidTr="00C73199">
        <w:trPr>
          <w:cantSplit/>
          <w:trHeight w:val="300"/>
          <w:jc w:val="center"/>
        </w:trPr>
        <w:tc>
          <w:tcPr>
            <w:tcW w:w="1168" w:type="dxa"/>
            <w:shd w:val="clear" w:color="auto" w:fill="auto"/>
            <w:noWrap/>
            <w:vAlign w:val="bottom"/>
            <w:hideMark/>
          </w:tcPr>
          <w:p w:rsidR="00AC40FC" w:rsidRPr="00DD1024" w:rsidRDefault="00AC40FC" w:rsidP="00C73199">
            <w:pPr>
              <w:spacing w:after="0"/>
              <w:jc w:val="center"/>
              <w:rPr>
                <w:rFonts w:eastAsia="Arial Unicode MS" w:cs="Arial"/>
                <w:szCs w:val="24"/>
              </w:rPr>
            </w:pPr>
            <w:r w:rsidRPr="00DD1024">
              <w:rPr>
                <w:rFonts w:eastAsia="Arial Unicode MS" w:cs="Arial"/>
                <w:szCs w:val="24"/>
              </w:rPr>
              <w:t>S</w:t>
            </w:r>
            <w:r>
              <w:rPr>
                <w:rFonts w:eastAsia="Arial Unicode MS" w:cs="Arial"/>
                <w:szCs w:val="24"/>
              </w:rPr>
              <w:t>C</w:t>
            </w:r>
          </w:p>
        </w:tc>
        <w:tc>
          <w:tcPr>
            <w:tcW w:w="5260" w:type="dxa"/>
            <w:shd w:val="clear" w:color="auto" w:fill="auto"/>
            <w:noWrap/>
            <w:vAlign w:val="bottom"/>
            <w:hideMark/>
          </w:tcPr>
          <w:p w:rsidR="00AC40FC" w:rsidRPr="00DD1024" w:rsidRDefault="00AC40FC" w:rsidP="00C73199">
            <w:pPr>
              <w:spacing w:after="0"/>
              <w:jc w:val="center"/>
              <w:rPr>
                <w:rFonts w:eastAsia="Arial Unicode MS" w:cs="Arial"/>
                <w:szCs w:val="24"/>
              </w:rPr>
            </w:pPr>
            <w:r w:rsidRPr="00DD1024">
              <w:rPr>
                <w:rFonts w:eastAsia="Arial Unicode MS" w:cs="Arial"/>
                <w:szCs w:val="24"/>
              </w:rPr>
              <w:t>Deputy General Counsel &amp; VP</w:t>
            </w:r>
          </w:p>
        </w:tc>
        <w:tc>
          <w:tcPr>
            <w:tcW w:w="1167" w:type="dxa"/>
            <w:shd w:val="clear" w:color="auto" w:fill="auto"/>
            <w:noWrap/>
            <w:vAlign w:val="bottom"/>
            <w:hideMark/>
          </w:tcPr>
          <w:p w:rsidR="00AC40FC" w:rsidRPr="00DD1024" w:rsidRDefault="00AC40FC" w:rsidP="00C73199">
            <w:pPr>
              <w:spacing w:after="0"/>
              <w:jc w:val="center"/>
              <w:rPr>
                <w:rFonts w:eastAsia="Arial Unicode MS" w:cs="Arial"/>
                <w:szCs w:val="24"/>
              </w:rPr>
            </w:pPr>
            <w:r>
              <w:rPr>
                <w:rFonts w:eastAsia="Arial Unicode MS" w:cs="Arial"/>
                <w:szCs w:val="24"/>
              </w:rPr>
              <w:t>Tier II</w:t>
            </w:r>
          </w:p>
        </w:tc>
      </w:tr>
      <w:tr w:rsidR="00AC40FC" w:rsidRPr="00DD1024" w:rsidTr="00C73199">
        <w:trPr>
          <w:cantSplit/>
          <w:trHeight w:val="300"/>
          <w:jc w:val="center"/>
        </w:trPr>
        <w:tc>
          <w:tcPr>
            <w:tcW w:w="1168" w:type="dxa"/>
            <w:shd w:val="clear" w:color="auto" w:fill="auto"/>
            <w:noWrap/>
            <w:vAlign w:val="bottom"/>
            <w:hideMark/>
          </w:tcPr>
          <w:p w:rsidR="00AC40FC" w:rsidRPr="00DD1024" w:rsidRDefault="00AC40FC" w:rsidP="00C73199">
            <w:pPr>
              <w:spacing w:after="0"/>
              <w:jc w:val="center"/>
              <w:rPr>
                <w:rFonts w:eastAsia="Arial Unicode MS" w:cs="Arial"/>
                <w:szCs w:val="24"/>
              </w:rPr>
            </w:pPr>
            <w:r w:rsidRPr="00DD1024">
              <w:rPr>
                <w:rFonts w:eastAsia="Arial Unicode MS" w:cs="Arial"/>
                <w:szCs w:val="24"/>
              </w:rPr>
              <w:t>S</w:t>
            </w:r>
            <w:r>
              <w:rPr>
                <w:rFonts w:eastAsia="Arial Unicode MS" w:cs="Arial"/>
                <w:szCs w:val="24"/>
              </w:rPr>
              <w:t>C</w:t>
            </w:r>
          </w:p>
        </w:tc>
        <w:tc>
          <w:tcPr>
            <w:tcW w:w="5260" w:type="dxa"/>
            <w:shd w:val="clear" w:color="auto" w:fill="auto"/>
            <w:noWrap/>
            <w:vAlign w:val="bottom"/>
            <w:hideMark/>
          </w:tcPr>
          <w:p w:rsidR="00AC40FC" w:rsidRPr="00DD1024" w:rsidRDefault="00AC40FC" w:rsidP="00C73199">
            <w:pPr>
              <w:spacing w:after="0"/>
              <w:jc w:val="center"/>
              <w:rPr>
                <w:rFonts w:eastAsia="Arial Unicode MS" w:cs="Arial"/>
                <w:szCs w:val="24"/>
              </w:rPr>
            </w:pPr>
            <w:r w:rsidRPr="00DD1024">
              <w:rPr>
                <w:rFonts w:eastAsia="Arial Unicode MS" w:cs="Arial"/>
                <w:szCs w:val="24"/>
              </w:rPr>
              <w:t>Tax Vice President</w:t>
            </w:r>
          </w:p>
        </w:tc>
        <w:tc>
          <w:tcPr>
            <w:tcW w:w="1167" w:type="dxa"/>
            <w:shd w:val="clear" w:color="auto" w:fill="auto"/>
            <w:noWrap/>
            <w:vAlign w:val="bottom"/>
            <w:hideMark/>
          </w:tcPr>
          <w:p w:rsidR="00AC40FC" w:rsidRPr="00DD1024" w:rsidRDefault="00AC40FC" w:rsidP="00C73199">
            <w:pPr>
              <w:spacing w:after="0"/>
              <w:jc w:val="center"/>
              <w:rPr>
                <w:rFonts w:eastAsia="Arial Unicode MS" w:cs="Arial"/>
                <w:szCs w:val="24"/>
              </w:rPr>
            </w:pPr>
            <w:r>
              <w:rPr>
                <w:rFonts w:eastAsia="Arial Unicode MS" w:cs="Arial"/>
                <w:szCs w:val="24"/>
              </w:rPr>
              <w:t>Tier II</w:t>
            </w:r>
          </w:p>
        </w:tc>
      </w:tr>
      <w:tr w:rsidR="00AC40FC" w:rsidRPr="00DD1024" w:rsidTr="00C73199">
        <w:trPr>
          <w:cantSplit/>
          <w:trHeight w:val="300"/>
          <w:jc w:val="center"/>
        </w:trPr>
        <w:tc>
          <w:tcPr>
            <w:tcW w:w="1168" w:type="dxa"/>
            <w:shd w:val="clear" w:color="auto" w:fill="auto"/>
            <w:noWrap/>
            <w:vAlign w:val="bottom"/>
            <w:hideMark/>
          </w:tcPr>
          <w:p w:rsidR="00AC40FC" w:rsidRPr="00DD1024" w:rsidRDefault="00AC40FC" w:rsidP="00C73199">
            <w:pPr>
              <w:spacing w:after="0"/>
              <w:jc w:val="center"/>
              <w:rPr>
                <w:rFonts w:eastAsia="Arial Unicode MS" w:cs="Arial"/>
                <w:szCs w:val="24"/>
              </w:rPr>
            </w:pPr>
            <w:r w:rsidRPr="00DD1024">
              <w:rPr>
                <w:rFonts w:eastAsia="Arial Unicode MS" w:cs="Arial"/>
                <w:szCs w:val="24"/>
              </w:rPr>
              <w:t>S</w:t>
            </w:r>
            <w:r>
              <w:rPr>
                <w:rFonts w:eastAsia="Arial Unicode MS" w:cs="Arial"/>
                <w:szCs w:val="24"/>
              </w:rPr>
              <w:t>C</w:t>
            </w:r>
          </w:p>
        </w:tc>
        <w:tc>
          <w:tcPr>
            <w:tcW w:w="5260" w:type="dxa"/>
            <w:shd w:val="clear" w:color="auto" w:fill="auto"/>
            <w:noWrap/>
            <w:vAlign w:val="bottom"/>
            <w:hideMark/>
          </w:tcPr>
          <w:p w:rsidR="00AC40FC" w:rsidRPr="00DD1024" w:rsidRDefault="00AC40FC" w:rsidP="00C73199">
            <w:pPr>
              <w:spacing w:after="0"/>
              <w:jc w:val="center"/>
              <w:rPr>
                <w:rFonts w:eastAsia="Arial Unicode MS" w:cs="Arial"/>
                <w:szCs w:val="24"/>
              </w:rPr>
            </w:pPr>
            <w:r w:rsidRPr="00DD1024">
              <w:rPr>
                <w:rFonts w:eastAsia="Arial Unicode MS" w:cs="Arial"/>
                <w:szCs w:val="24"/>
              </w:rPr>
              <w:t>Public Affairs Vice President</w:t>
            </w:r>
          </w:p>
        </w:tc>
        <w:tc>
          <w:tcPr>
            <w:tcW w:w="1167" w:type="dxa"/>
            <w:shd w:val="clear" w:color="auto" w:fill="auto"/>
            <w:noWrap/>
            <w:vAlign w:val="bottom"/>
            <w:hideMark/>
          </w:tcPr>
          <w:p w:rsidR="00AC40FC" w:rsidRPr="00DD1024" w:rsidRDefault="00AC40FC" w:rsidP="00C73199">
            <w:pPr>
              <w:spacing w:after="0"/>
              <w:jc w:val="center"/>
              <w:rPr>
                <w:rFonts w:eastAsia="Arial Unicode MS" w:cs="Arial"/>
                <w:szCs w:val="24"/>
              </w:rPr>
            </w:pPr>
            <w:r>
              <w:rPr>
                <w:rFonts w:eastAsia="Arial Unicode MS" w:cs="Arial"/>
                <w:szCs w:val="24"/>
              </w:rPr>
              <w:t>Tier II</w:t>
            </w:r>
          </w:p>
        </w:tc>
      </w:tr>
      <w:tr w:rsidR="00AC40FC" w:rsidRPr="00DD1024" w:rsidTr="00C73199">
        <w:trPr>
          <w:cantSplit/>
          <w:trHeight w:val="300"/>
          <w:jc w:val="center"/>
        </w:trPr>
        <w:tc>
          <w:tcPr>
            <w:tcW w:w="1168" w:type="dxa"/>
            <w:shd w:val="clear" w:color="000000" w:fill="FFFF00"/>
            <w:noWrap/>
            <w:vAlign w:val="bottom"/>
            <w:hideMark/>
          </w:tcPr>
          <w:p w:rsidR="00AC40FC" w:rsidRPr="00DD1024" w:rsidRDefault="00AC40FC" w:rsidP="00C73199">
            <w:pPr>
              <w:spacing w:after="0"/>
              <w:jc w:val="center"/>
              <w:rPr>
                <w:rFonts w:eastAsia="Arial Unicode MS" w:cs="Arial"/>
                <w:szCs w:val="24"/>
              </w:rPr>
            </w:pPr>
            <w:r w:rsidRPr="00DD1024">
              <w:rPr>
                <w:rFonts w:eastAsia="Arial Unicode MS" w:cs="Arial"/>
                <w:szCs w:val="24"/>
              </w:rPr>
              <w:t>S</w:t>
            </w:r>
            <w:r>
              <w:rPr>
                <w:rFonts w:eastAsia="Arial Unicode MS" w:cs="Arial"/>
                <w:szCs w:val="24"/>
              </w:rPr>
              <w:t>C</w:t>
            </w:r>
          </w:p>
        </w:tc>
        <w:tc>
          <w:tcPr>
            <w:tcW w:w="5260" w:type="dxa"/>
            <w:shd w:val="clear" w:color="000000" w:fill="FFFF00"/>
            <w:noWrap/>
            <w:vAlign w:val="bottom"/>
            <w:hideMark/>
          </w:tcPr>
          <w:p w:rsidR="00AC40FC" w:rsidRPr="00DD1024" w:rsidRDefault="00AC40FC" w:rsidP="00C73199">
            <w:pPr>
              <w:spacing w:after="0"/>
              <w:jc w:val="center"/>
              <w:rPr>
                <w:rFonts w:eastAsia="Arial Unicode MS" w:cs="Arial"/>
                <w:szCs w:val="24"/>
              </w:rPr>
            </w:pPr>
            <w:r w:rsidRPr="00DD1024">
              <w:rPr>
                <w:rFonts w:eastAsia="Arial Unicode MS" w:cs="Arial"/>
                <w:szCs w:val="24"/>
              </w:rPr>
              <w:t>Comp</w:t>
            </w:r>
            <w:r>
              <w:rPr>
                <w:rFonts w:eastAsia="Arial Unicode MS" w:cs="Arial"/>
                <w:szCs w:val="24"/>
              </w:rPr>
              <w:t>ensation</w:t>
            </w:r>
            <w:r w:rsidRPr="00DD1024">
              <w:rPr>
                <w:rFonts w:eastAsia="Arial Unicode MS" w:cs="Arial"/>
                <w:szCs w:val="24"/>
              </w:rPr>
              <w:t xml:space="preserve"> &amp; Benefits VP</w:t>
            </w:r>
          </w:p>
        </w:tc>
        <w:tc>
          <w:tcPr>
            <w:tcW w:w="1167" w:type="dxa"/>
            <w:shd w:val="clear" w:color="000000" w:fill="FFFF00"/>
            <w:noWrap/>
            <w:vAlign w:val="bottom"/>
            <w:hideMark/>
          </w:tcPr>
          <w:p w:rsidR="00AC40FC" w:rsidRPr="00DD1024" w:rsidRDefault="00AC40FC" w:rsidP="00C73199">
            <w:pPr>
              <w:spacing w:after="0"/>
              <w:jc w:val="center"/>
              <w:rPr>
                <w:rFonts w:eastAsia="Arial Unicode MS" w:cs="Arial"/>
                <w:szCs w:val="24"/>
              </w:rPr>
            </w:pPr>
            <w:r>
              <w:rPr>
                <w:rFonts w:eastAsia="Arial Unicode MS" w:cs="Arial"/>
                <w:szCs w:val="24"/>
              </w:rPr>
              <w:t>Tier II</w:t>
            </w:r>
          </w:p>
        </w:tc>
      </w:tr>
      <w:tr w:rsidR="00AC40FC" w:rsidRPr="00DD1024" w:rsidTr="00C73199">
        <w:trPr>
          <w:cantSplit/>
          <w:trHeight w:val="300"/>
          <w:jc w:val="center"/>
        </w:trPr>
        <w:tc>
          <w:tcPr>
            <w:tcW w:w="1168" w:type="dxa"/>
            <w:shd w:val="clear" w:color="000000" w:fill="FFFF00"/>
            <w:noWrap/>
            <w:vAlign w:val="bottom"/>
            <w:hideMark/>
          </w:tcPr>
          <w:p w:rsidR="00AC40FC" w:rsidRPr="00DD1024" w:rsidRDefault="00AC40FC" w:rsidP="00C73199">
            <w:pPr>
              <w:spacing w:after="0"/>
              <w:jc w:val="center"/>
              <w:rPr>
                <w:rFonts w:eastAsia="Arial Unicode MS" w:cs="Arial"/>
                <w:szCs w:val="24"/>
              </w:rPr>
            </w:pPr>
            <w:r w:rsidRPr="00DD1024">
              <w:rPr>
                <w:rFonts w:eastAsia="Arial Unicode MS" w:cs="Arial"/>
                <w:szCs w:val="24"/>
              </w:rPr>
              <w:t>S</w:t>
            </w:r>
            <w:r>
              <w:rPr>
                <w:rFonts w:eastAsia="Arial Unicode MS" w:cs="Arial"/>
                <w:szCs w:val="24"/>
              </w:rPr>
              <w:t>C</w:t>
            </w:r>
          </w:p>
        </w:tc>
        <w:tc>
          <w:tcPr>
            <w:tcW w:w="5260" w:type="dxa"/>
            <w:shd w:val="clear" w:color="000000" w:fill="FFFF00"/>
            <w:noWrap/>
            <w:vAlign w:val="bottom"/>
            <w:hideMark/>
          </w:tcPr>
          <w:p w:rsidR="00AC40FC" w:rsidRPr="00DD1024" w:rsidRDefault="00AC40FC" w:rsidP="00C73199">
            <w:pPr>
              <w:spacing w:after="0"/>
              <w:jc w:val="center"/>
              <w:rPr>
                <w:rFonts w:eastAsia="Arial Unicode MS" w:cs="Arial"/>
                <w:szCs w:val="24"/>
              </w:rPr>
            </w:pPr>
            <w:r w:rsidRPr="00DD1024">
              <w:rPr>
                <w:rFonts w:eastAsia="Arial Unicode MS" w:cs="Arial"/>
                <w:szCs w:val="24"/>
              </w:rPr>
              <w:t>HR&amp;S Pl</w:t>
            </w:r>
            <w:r>
              <w:rPr>
                <w:rFonts w:eastAsia="Arial Unicode MS" w:cs="Arial"/>
                <w:szCs w:val="24"/>
              </w:rPr>
              <w:t>a</w:t>
            </w:r>
            <w:r w:rsidRPr="00DD1024">
              <w:rPr>
                <w:rFonts w:eastAsia="Arial Unicode MS" w:cs="Arial"/>
                <w:szCs w:val="24"/>
              </w:rPr>
              <w:t>n</w:t>
            </w:r>
            <w:r>
              <w:rPr>
                <w:rFonts w:eastAsia="Arial Unicode MS" w:cs="Arial"/>
                <w:szCs w:val="24"/>
              </w:rPr>
              <w:t>nin</w:t>
            </w:r>
            <w:r w:rsidRPr="00DD1024">
              <w:rPr>
                <w:rFonts w:eastAsia="Arial Unicode MS" w:cs="Arial"/>
                <w:szCs w:val="24"/>
              </w:rPr>
              <w:t>g &amp; Admin</w:t>
            </w:r>
            <w:r>
              <w:rPr>
                <w:rFonts w:eastAsia="Arial Unicode MS" w:cs="Arial"/>
                <w:szCs w:val="24"/>
              </w:rPr>
              <w:t>istration</w:t>
            </w:r>
            <w:r w:rsidRPr="00DD1024">
              <w:rPr>
                <w:rFonts w:eastAsia="Arial Unicode MS" w:cs="Arial"/>
                <w:szCs w:val="24"/>
              </w:rPr>
              <w:t xml:space="preserve"> VP</w:t>
            </w:r>
          </w:p>
        </w:tc>
        <w:tc>
          <w:tcPr>
            <w:tcW w:w="1167" w:type="dxa"/>
            <w:shd w:val="clear" w:color="000000" w:fill="FFFF00"/>
            <w:noWrap/>
            <w:vAlign w:val="bottom"/>
            <w:hideMark/>
          </w:tcPr>
          <w:p w:rsidR="00AC40FC" w:rsidRPr="00DD1024" w:rsidRDefault="00AC40FC" w:rsidP="00C73199">
            <w:pPr>
              <w:spacing w:after="0"/>
              <w:jc w:val="center"/>
              <w:rPr>
                <w:rFonts w:eastAsia="Arial Unicode MS" w:cs="Arial"/>
                <w:szCs w:val="24"/>
              </w:rPr>
            </w:pPr>
            <w:r>
              <w:rPr>
                <w:rFonts w:eastAsia="Arial Unicode MS" w:cs="Arial"/>
                <w:szCs w:val="24"/>
              </w:rPr>
              <w:t>Tier II</w:t>
            </w:r>
          </w:p>
        </w:tc>
      </w:tr>
      <w:tr w:rsidR="00AC40FC" w:rsidRPr="00DD1024" w:rsidTr="00C73199">
        <w:trPr>
          <w:cantSplit/>
          <w:trHeight w:val="300"/>
          <w:jc w:val="center"/>
        </w:trPr>
        <w:tc>
          <w:tcPr>
            <w:tcW w:w="1168" w:type="dxa"/>
            <w:shd w:val="clear" w:color="auto" w:fill="auto"/>
            <w:noWrap/>
            <w:vAlign w:val="bottom"/>
            <w:hideMark/>
          </w:tcPr>
          <w:p w:rsidR="00AC40FC" w:rsidRPr="00DD1024" w:rsidRDefault="00AC40FC" w:rsidP="00C73199">
            <w:pPr>
              <w:spacing w:after="0"/>
              <w:jc w:val="center"/>
              <w:rPr>
                <w:rFonts w:eastAsia="Arial Unicode MS" w:cs="Arial"/>
                <w:szCs w:val="24"/>
              </w:rPr>
            </w:pPr>
            <w:r w:rsidRPr="00DD1024">
              <w:rPr>
                <w:rFonts w:eastAsia="Arial Unicode MS" w:cs="Arial"/>
                <w:szCs w:val="24"/>
              </w:rPr>
              <w:t>S</w:t>
            </w:r>
            <w:r>
              <w:rPr>
                <w:rFonts w:eastAsia="Arial Unicode MS" w:cs="Arial"/>
                <w:szCs w:val="24"/>
              </w:rPr>
              <w:t>C</w:t>
            </w:r>
          </w:p>
        </w:tc>
        <w:tc>
          <w:tcPr>
            <w:tcW w:w="5260" w:type="dxa"/>
            <w:shd w:val="clear" w:color="auto" w:fill="auto"/>
            <w:noWrap/>
            <w:vAlign w:val="bottom"/>
            <w:hideMark/>
          </w:tcPr>
          <w:p w:rsidR="00AC40FC" w:rsidRPr="00DD1024" w:rsidRDefault="00AC40FC" w:rsidP="00C73199">
            <w:pPr>
              <w:spacing w:after="0"/>
              <w:jc w:val="center"/>
              <w:rPr>
                <w:rFonts w:eastAsia="Arial Unicode MS" w:cs="Arial"/>
                <w:szCs w:val="24"/>
              </w:rPr>
            </w:pPr>
            <w:r w:rsidRPr="00DD1024">
              <w:rPr>
                <w:rFonts w:eastAsia="Arial Unicode MS" w:cs="Arial"/>
                <w:szCs w:val="24"/>
              </w:rPr>
              <w:t>Federal Gov</w:t>
            </w:r>
            <w:r>
              <w:rPr>
                <w:rFonts w:eastAsia="Arial Unicode MS" w:cs="Arial"/>
                <w:szCs w:val="24"/>
              </w:rPr>
              <w:t>ernmen</w:t>
            </w:r>
            <w:r w:rsidRPr="00DD1024">
              <w:rPr>
                <w:rFonts w:eastAsia="Arial Unicode MS" w:cs="Arial"/>
                <w:szCs w:val="24"/>
              </w:rPr>
              <w:t>t Relations VP</w:t>
            </w:r>
          </w:p>
        </w:tc>
        <w:tc>
          <w:tcPr>
            <w:tcW w:w="1167" w:type="dxa"/>
            <w:shd w:val="clear" w:color="auto" w:fill="auto"/>
            <w:noWrap/>
            <w:vAlign w:val="bottom"/>
            <w:hideMark/>
          </w:tcPr>
          <w:p w:rsidR="00AC40FC" w:rsidRPr="00DD1024" w:rsidRDefault="00AC40FC" w:rsidP="00C73199">
            <w:pPr>
              <w:spacing w:after="0"/>
              <w:jc w:val="center"/>
              <w:rPr>
                <w:rFonts w:eastAsia="Arial Unicode MS" w:cs="Arial"/>
                <w:szCs w:val="24"/>
              </w:rPr>
            </w:pPr>
            <w:r>
              <w:rPr>
                <w:rFonts w:eastAsia="Arial Unicode MS" w:cs="Arial"/>
                <w:szCs w:val="24"/>
              </w:rPr>
              <w:t>Tier II</w:t>
            </w:r>
          </w:p>
        </w:tc>
      </w:tr>
      <w:tr w:rsidR="00AC40FC" w:rsidRPr="00DD1024" w:rsidTr="00C73199">
        <w:trPr>
          <w:cantSplit/>
          <w:trHeight w:val="300"/>
          <w:jc w:val="center"/>
        </w:trPr>
        <w:tc>
          <w:tcPr>
            <w:tcW w:w="1168" w:type="dxa"/>
            <w:shd w:val="clear" w:color="auto" w:fill="auto"/>
            <w:noWrap/>
            <w:vAlign w:val="bottom"/>
          </w:tcPr>
          <w:p w:rsidR="00AC40FC" w:rsidRPr="00DD1024" w:rsidRDefault="00AC40FC" w:rsidP="00C73199">
            <w:pPr>
              <w:spacing w:after="0"/>
              <w:jc w:val="center"/>
              <w:rPr>
                <w:rFonts w:eastAsia="Arial Unicode MS" w:cs="Arial"/>
                <w:szCs w:val="24"/>
              </w:rPr>
            </w:pPr>
            <w:r>
              <w:rPr>
                <w:rFonts w:eastAsia="Arial Unicode MS" w:cs="Arial"/>
                <w:szCs w:val="24"/>
              </w:rPr>
              <w:t>SC</w:t>
            </w:r>
          </w:p>
        </w:tc>
        <w:tc>
          <w:tcPr>
            <w:tcW w:w="5260" w:type="dxa"/>
            <w:shd w:val="clear" w:color="auto" w:fill="auto"/>
            <w:noWrap/>
            <w:vAlign w:val="bottom"/>
          </w:tcPr>
          <w:p w:rsidR="00AC40FC" w:rsidRPr="00DD1024" w:rsidRDefault="00AC40FC" w:rsidP="00C73199">
            <w:pPr>
              <w:spacing w:after="0"/>
              <w:jc w:val="center"/>
              <w:rPr>
                <w:rFonts w:eastAsia="Arial Unicode MS" w:cs="Arial"/>
                <w:color w:val="000000"/>
                <w:szCs w:val="24"/>
              </w:rPr>
            </w:pPr>
            <w:r>
              <w:rPr>
                <w:rFonts w:eastAsia="Arial Unicode MS" w:cs="Arial"/>
                <w:color w:val="000000"/>
                <w:szCs w:val="24"/>
              </w:rPr>
              <w:t>Corporate Audit &amp; Business Ethics VP</w:t>
            </w:r>
          </w:p>
        </w:tc>
        <w:tc>
          <w:tcPr>
            <w:tcW w:w="1167" w:type="dxa"/>
            <w:shd w:val="clear" w:color="auto" w:fill="auto"/>
            <w:noWrap/>
            <w:vAlign w:val="bottom"/>
          </w:tcPr>
          <w:p w:rsidR="00AC40FC" w:rsidRPr="00DD1024" w:rsidRDefault="00AC40FC" w:rsidP="00C73199">
            <w:pPr>
              <w:spacing w:after="0"/>
              <w:jc w:val="center"/>
              <w:rPr>
                <w:rFonts w:eastAsia="Arial Unicode MS" w:cs="Arial"/>
                <w:color w:val="000000"/>
                <w:szCs w:val="24"/>
              </w:rPr>
            </w:pPr>
            <w:r>
              <w:rPr>
                <w:rFonts w:eastAsia="Arial Unicode MS" w:cs="Arial"/>
                <w:szCs w:val="24"/>
              </w:rPr>
              <w:t>Tier II</w:t>
            </w:r>
          </w:p>
        </w:tc>
      </w:tr>
      <w:tr w:rsidR="00AC40FC" w:rsidRPr="00DD1024" w:rsidTr="00B67C99">
        <w:trPr>
          <w:cantSplit/>
          <w:trHeight w:val="300"/>
          <w:jc w:val="center"/>
        </w:trPr>
        <w:tc>
          <w:tcPr>
            <w:tcW w:w="1168" w:type="dxa"/>
            <w:shd w:val="clear" w:color="auto" w:fill="auto"/>
            <w:noWrap/>
            <w:vAlign w:val="bottom"/>
            <w:hideMark/>
          </w:tcPr>
          <w:p w:rsidR="00AC40FC" w:rsidRPr="00DD1024" w:rsidRDefault="00AC40FC" w:rsidP="00C73199">
            <w:pPr>
              <w:spacing w:after="0"/>
              <w:jc w:val="center"/>
              <w:rPr>
                <w:rFonts w:eastAsia="Arial Unicode MS" w:cs="Arial"/>
                <w:szCs w:val="24"/>
              </w:rPr>
            </w:pPr>
            <w:r>
              <w:rPr>
                <w:rFonts w:eastAsia="Arial Unicode MS" w:cs="Arial"/>
                <w:szCs w:val="24"/>
              </w:rPr>
              <w:t>WPD Midlands</w:t>
            </w:r>
          </w:p>
        </w:tc>
        <w:tc>
          <w:tcPr>
            <w:tcW w:w="5260" w:type="dxa"/>
            <w:shd w:val="clear" w:color="auto" w:fill="auto"/>
            <w:noWrap/>
            <w:vAlign w:val="center"/>
            <w:hideMark/>
          </w:tcPr>
          <w:p w:rsidR="00AC40FC" w:rsidRPr="00DD1024" w:rsidRDefault="00AC40FC" w:rsidP="00B67C99">
            <w:pPr>
              <w:spacing w:after="0"/>
              <w:jc w:val="center"/>
              <w:rPr>
                <w:rFonts w:eastAsia="Arial Unicode MS" w:cs="Arial"/>
                <w:color w:val="000000"/>
                <w:szCs w:val="24"/>
              </w:rPr>
            </w:pPr>
            <w:r w:rsidRPr="00DD1024">
              <w:rPr>
                <w:rFonts w:eastAsia="Arial Unicode MS" w:cs="Arial"/>
                <w:color w:val="000000"/>
                <w:szCs w:val="24"/>
              </w:rPr>
              <w:t>Resources</w:t>
            </w:r>
            <w:r>
              <w:rPr>
                <w:rFonts w:eastAsia="Arial Unicode MS" w:cs="Arial"/>
                <w:color w:val="000000"/>
                <w:szCs w:val="24"/>
              </w:rPr>
              <w:t xml:space="preserve"> </w:t>
            </w:r>
            <w:r w:rsidRPr="00DD1024">
              <w:rPr>
                <w:rFonts w:eastAsia="Arial Unicode MS" w:cs="Arial"/>
                <w:color w:val="000000"/>
                <w:szCs w:val="24"/>
              </w:rPr>
              <w:t>&amp; Ext</w:t>
            </w:r>
            <w:r>
              <w:rPr>
                <w:rFonts w:eastAsia="Arial Unicode MS" w:cs="Arial"/>
                <w:color w:val="000000"/>
                <w:szCs w:val="24"/>
              </w:rPr>
              <w:t xml:space="preserve">ernal </w:t>
            </w:r>
            <w:r w:rsidRPr="00DD1024">
              <w:rPr>
                <w:rFonts w:eastAsia="Arial Unicode MS" w:cs="Arial"/>
                <w:color w:val="000000"/>
                <w:szCs w:val="24"/>
              </w:rPr>
              <w:t>Affairs Director</w:t>
            </w:r>
          </w:p>
        </w:tc>
        <w:tc>
          <w:tcPr>
            <w:tcW w:w="1167" w:type="dxa"/>
            <w:shd w:val="clear" w:color="auto" w:fill="auto"/>
            <w:noWrap/>
            <w:vAlign w:val="center"/>
            <w:hideMark/>
          </w:tcPr>
          <w:p w:rsidR="00AC40FC" w:rsidRPr="00DD1024" w:rsidRDefault="00AC40FC" w:rsidP="00B67C99">
            <w:pPr>
              <w:spacing w:after="0"/>
              <w:jc w:val="center"/>
              <w:rPr>
                <w:rFonts w:eastAsia="Arial Unicode MS" w:cs="Arial"/>
                <w:color w:val="000000"/>
                <w:szCs w:val="24"/>
              </w:rPr>
            </w:pPr>
            <w:r>
              <w:rPr>
                <w:rFonts w:eastAsia="Arial Unicode MS" w:cs="Arial"/>
                <w:szCs w:val="24"/>
              </w:rPr>
              <w:t>Tier II</w:t>
            </w:r>
          </w:p>
        </w:tc>
      </w:tr>
      <w:tr w:rsidR="00AC40FC" w:rsidRPr="00DD1024" w:rsidTr="00C73199">
        <w:trPr>
          <w:cantSplit/>
          <w:trHeight w:val="300"/>
          <w:jc w:val="center"/>
        </w:trPr>
        <w:tc>
          <w:tcPr>
            <w:tcW w:w="7595" w:type="dxa"/>
            <w:gridSpan w:val="3"/>
            <w:shd w:val="clear" w:color="000000" w:fill="FFFF00"/>
            <w:noWrap/>
            <w:vAlign w:val="bottom"/>
            <w:hideMark/>
          </w:tcPr>
          <w:p w:rsidR="00AC40FC" w:rsidRPr="00DD1024" w:rsidRDefault="00AC40FC" w:rsidP="00C73199">
            <w:pPr>
              <w:spacing w:after="0"/>
              <w:jc w:val="left"/>
              <w:rPr>
                <w:rFonts w:eastAsia="Arial Unicode MS" w:cs="Arial"/>
                <w:color w:val="000000"/>
                <w:szCs w:val="24"/>
              </w:rPr>
            </w:pPr>
            <w:r w:rsidRPr="00DD1024">
              <w:rPr>
                <w:rFonts w:eastAsia="Arial Unicode MS" w:cs="Arial"/>
                <w:color w:val="000000"/>
                <w:szCs w:val="24"/>
              </w:rPr>
              <w:t>Highlighted positions are being eliminated and not replaced</w:t>
            </w:r>
          </w:p>
        </w:tc>
      </w:tr>
      <w:tr w:rsidR="00AC40FC" w:rsidRPr="00DD1024" w:rsidTr="00C73199">
        <w:trPr>
          <w:cantSplit/>
          <w:trHeight w:val="300"/>
          <w:jc w:val="center"/>
        </w:trPr>
        <w:tc>
          <w:tcPr>
            <w:tcW w:w="7595" w:type="dxa"/>
            <w:gridSpan w:val="3"/>
            <w:shd w:val="clear" w:color="auto" w:fill="auto"/>
            <w:noWrap/>
            <w:vAlign w:val="bottom"/>
            <w:hideMark/>
          </w:tcPr>
          <w:p w:rsidR="00AC40FC" w:rsidRPr="00482AAF" w:rsidRDefault="00AC40FC" w:rsidP="00C73199">
            <w:pPr>
              <w:spacing w:after="0"/>
              <w:jc w:val="left"/>
              <w:rPr>
                <w:rFonts w:eastAsia="Arial Unicode MS" w:cs="Arial"/>
                <w:color w:val="000000" w:themeColor="text1"/>
                <w:szCs w:val="24"/>
              </w:rPr>
            </w:pPr>
            <w:r>
              <w:rPr>
                <w:rFonts w:eastAsia="Arial Unicode MS" w:cs="Arial"/>
                <w:szCs w:val="24"/>
              </w:rPr>
              <w:t>Source:  DN 15-144</w:t>
            </w:r>
          </w:p>
        </w:tc>
      </w:tr>
    </w:tbl>
    <w:p w:rsidR="00AC40FC" w:rsidRDefault="00AC40FC" w:rsidP="00C73199">
      <w:pPr>
        <w:pStyle w:val="Normal-aftertable"/>
      </w:pPr>
      <w:r w:rsidRPr="007B3405">
        <w:t xml:space="preserve">The table above </w:t>
      </w:r>
      <w:r>
        <w:t>identifies 34</w:t>
      </w:r>
      <w:r w:rsidRPr="007B3405">
        <w:t xml:space="preserve"> </w:t>
      </w:r>
      <w:r>
        <w:t>executives</w:t>
      </w:r>
      <w:r w:rsidRPr="007B3405">
        <w:t xml:space="preserve"> of</w:t>
      </w:r>
      <w:r>
        <w:t xml:space="preserve"> PPL Corporation and its subsidiaries </w:t>
      </w:r>
      <w:r w:rsidRPr="007B3405">
        <w:t>categorized as either Tier I or Tier</w:t>
      </w:r>
      <w:r>
        <w:t xml:space="preserve"> II</w:t>
      </w:r>
      <w:r w:rsidRPr="007B3405">
        <w:t xml:space="preserve"> executives.  </w:t>
      </w:r>
      <w:r>
        <w:t>In addition, the above table identifies the highlighted positions that will be eliminated as part of PPL Corporation’s current restructuring to reduce PPL SC HR’s service costs to PPL EU and all other subsidiaries.  The duties performed by the individuals leaving the highlighted positions will be absorbed by other executives and one internal staff promotion, reducing Tier I and Tier II executives to a total of 30.</w:t>
      </w:r>
    </w:p>
    <w:p w:rsidR="00AC40FC" w:rsidRDefault="00AC40FC" w:rsidP="00C73199">
      <w:r>
        <w:t xml:space="preserve">PPL SC HR Compensation and Benefits staff provide executive compensation services to PPL Corporation’s BOD and CGNC, and regularly interface with the CGNC's independent external executive compensation consultant.  PPL SC HR’s SVP/CHRO is management’s liaison to PPL’s CGNC.  The Compensation and Benefits organization structure is illustrated in the organizational chart below.  </w:t>
      </w:r>
    </w:p>
    <w:p w:rsidR="00AC40FC" w:rsidRDefault="00AC40FC" w:rsidP="002B3172">
      <w:pPr>
        <w:pStyle w:val="Caption"/>
      </w:pPr>
      <w:bookmarkStart w:id="242" w:name="_Toc462648455"/>
      <w:bookmarkStart w:id="243" w:name="_Toc464553077"/>
      <w:r>
        <w:lastRenderedPageBreak/>
        <w:t xml:space="preserve">Exhibit </w:t>
      </w:r>
      <w:fldSimple w:instr=" STYLEREF 1 \s ">
        <w:r w:rsidR="00A24205">
          <w:rPr>
            <w:noProof/>
          </w:rPr>
          <w:t>XIII</w:t>
        </w:r>
      </w:fldSimple>
      <w:r w:rsidR="00264A1B">
        <w:noBreakHyphen/>
      </w:r>
      <w:fldSimple w:instr=" SEQ Exhibit \* ARABIC \s 1 ">
        <w:r w:rsidR="00A24205">
          <w:rPr>
            <w:noProof/>
          </w:rPr>
          <w:t>2</w:t>
        </w:r>
      </w:fldSimple>
      <w:r>
        <w:br/>
        <w:t>PPL SC HR Compensation and Benefits Structure</w:t>
      </w:r>
      <w:bookmarkEnd w:id="242"/>
      <w:bookmarkEnd w:id="243"/>
    </w:p>
    <w:p w:rsidR="00AC40FC" w:rsidRPr="00243D77" w:rsidRDefault="00AC40FC" w:rsidP="00C73199">
      <w:pPr>
        <w:pStyle w:val="Title"/>
        <w:rPr>
          <w:b w:val="0"/>
        </w:rPr>
      </w:pPr>
      <w:r>
        <w:rPr>
          <w:b w:val="0"/>
          <w:noProof/>
        </w:rPr>
        <w:drawing>
          <wp:inline distT="0" distB="0" distL="0" distR="0">
            <wp:extent cx="5943600" cy="284099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PL-SC_Benefits-Admin_page49_v3.jpg"/>
                    <pic:cNvPicPr/>
                  </pic:nvPicPr>
                  <pic:blipFill>
                    <a:blip r:embed="rId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2840990"/>
                    </a:xfrm>
                    <a:prstGeom prst="rect">
                      <a:avLst/>
                    </a:prstGeom>
                  </pic:spPr>
                </pic:pic>
              </a:graphicData>
            </a:graphic>
          </wp:inline>
        </w:drawing>
      </w:r>
    </w:p>
    <w:p w:rsidR="00AC40FC" w:rsidRPr="00E243DC" w:rsidRDefault="00AC40FC" w:rsidP="00C73199">
      <w:pPr>
        <w:pStyle w:val="Normal-aftertable"/>
        <w:rPr>
          <w:szCs w:val="24"/>
        </w:rPr>
      </w:pPr>
      <w:r>
        <w:rPr>
          <w:szCs w:val="24"/>
        </w:rPr>
        <w:t xml:space="preserve">Source: </w:t>
      </w:r>
      <w:r w:rsidRPr="00421996">
        <w:rPr>
          <w:szCs w:val="24"/>
        </w:rPr>
        <w:t>DN 01-072</w:t>
      </w:r>
    </w:p>
    <w:p w:rsidR="00AC40FC" w:rsidRDefault="00AC40FC" w:rsidP="00C73199">
      <w:r>
        <w:t xml:space="preserve">The Compensation and Benefits department consists of a Vice President and a staff of seven, with four personnel working directly with benefits and two with compensation.  The current Compensation and Benefits VP will be leaving in June 2016 and will be replaced by the Director of Compensation, reducing the department to a staff of seven total personnel.  The Director position will not be backfilled. The most recent decision to promote the Director of Compensation to replace the current VP of Compensation and Benefits was part of PPL’s SC HR Department’s restructuring plans at the time of our Audit fieldwork.  The department serves approximately 3,000 employees including 34 executives. </w:t>
      </w:r>
    </w:p>
    <w:p w:rsidR="00AC40FC" w:rsidRDefault="00AC40FC" w:rsidP="00C73199">
      <w:r w:rsidRPr="00D03472">
        <w:t xml:space="preserve">The Director of Compensation </w:t>
      </w:r>
      <w:r>
        <w:t xml:space="preserve">and Benefits </w:t>
      </w:r>
      <w:r w:rsidRPr="00D03472">
        <w:t>currently</w:t>
      </w:r>
      <w:r>
        <w:t xml:space="preserve"> </w:t>
      </w:r>
      <w:r w:rsidRPr="00A51F0E">
        <w:t xml:space="preserve">oversees broad-based </w:t>
      </w:r>
      <w:r>
        <w:t xml:space="preserve">and  executive compensation (Tier I and Tier II), as well as benefits for Company personnel including PPL EU’s top four executives, </w:t>
      </w:r>
      <w:r w:rsidRPr="00A51F0E">
        <w:t>salaried personnel</w:t>
      </w:r>
      <w:r>
        <w:t xml:space="preserve">, and market data analysis for bargaining unit positions.  </w:t>
      </w:r>
      <w:r w:rsidRPr="00A51F0E">
        <w:t xml:space="preserve">The </w:t>
      </w:r>
      <w:r>
        <w:t>two</w:t>
      </w:r>
      <w:r w:rsidRPr="00A51F0E">
        <w:t xml:space="preserve"> staff </w:t>
      </w:r>
      <w:r>
        <w:t xml:space="preserve">members </w:t>
      </w:r>
      <w:r w:rsidRPr="00A51F0E">
        <w:t xml:space="preserve">dedicated to </w:t>
      </w:r>
      <w:r>
        <w:t>compensation provide</w:t>
      </w:r>
      <w:r w:rsidRPr="00A51F0E">
        <w:t xml:space="preserve"> a</w:t>
      </w:r>
      <w:r>
        <w:t xml:space="preserve">dministration of broad-based compensation including </w:t>
      </w:r>
      <w:r w:rsidRPr="00A51F0E">
        <w:t>base pay</w:t>
      </w:r>
      <w:r>
        <w:t>,</w:t>
      </w:r>
      <w:r w:rsidRPr="00A51F0E">
        <w:t xml:space="preserve"> annual short-term cash incentives</w:t>
      </w:r>
      <w:r>
        <w:t>,</w:t>
      </w:r>
      <w:r w:rsidRPr="00A51F0E">
        <w:t xml:space="preserve"> performance units and </w:t>
      </w:r>
      <w:r>
        <w:t xml:space="preserve">performance-contingent </w:t>
      </w:r>
      <w:r w:rsidRPr="00A51F0E">
        <w:t>restricted stock units</w:t>
      </w:r>
      <w:r>
        <w:t xml:space="preserve">, executive perquisites, and vendor management.  </w:t>
      </w:r>
    </w:p>
    <w:p w:rsidR="00AC40FC" w:rsidRDefault="00AC40FC" w:rsidP="00C73199">
      <w:r w:rsidRPr="00C67088">
        <w:t>Tier I and Tier II executives</w:t>
      </w:r>
      <w:r>
        <w:t xml:space="preserve"> are eligible for performance units and performance-contingent restricted stock units, which are equity–based, long-term incentives.  Performance units are awarded based on the performance of PPL Corporation stock, relative to the Philadelphia Stock Exchange Utility Index (UTY) and total shareowner return including stock price appreciation and reinvested dividends over a three-year period.  Conversely, performance-contingent restricted stock units are awarded based on the average of PPL Corporation’s earnings per share from ongoing operations for the previous three years and vest over an additional three-year period.  Although s</w:t>
      </w:r>
      <w:r w:rsidRPr="00A51F0E">
        <w:t>tock options were discontinue</w:t>
      </w:r>
      <w:r>
        <w:t xml:space="preserve">d in 2013, the PPL SC HR Compensation and Benefits </w:t>
      </w:r>
      <w:r>
        <w:lastRenderedPageBreak/>
        <w:t>Consultant, continues to monitor and report</w:t>
      </w:r>
      <w:r w:rsidRPr="00A51F0E">
        <w:t xml:space="preserve"> </w:t>
      </w:r>
      <w:r>
        <w:t>on stock options through 2023 when</w:t>
      </w:r>
      <w:r w:rsidRPr="00A51F0E">
        <w:t xml:space="preserve"> the stock option exercise period ends</w:t>
      </w:r>
      <w:r>
        <w:t xml:space="preserve">.  </w:t>
      </w:r>
    </w:p>
    <w:p w:rsidR="00AC40FC" w:rsidRDefault="00AC40FC" w:rsidP="00C73199">
      <w:r>
        <w:t xml:space="preserve">PPL SC HR engaged a consultant to assist with preparation of a Request for Proposal to procure the services of an external executive compensation consultant to work with the BOD and the CGNC in 2014.  As reported in PPL Corporation’s 2015 Proxy statement, </w:t>
      </w:r>
      <w:r w:rsidRPr="00EF278E">
        <w:t>Frederic W. Cook &amp; Co., Inc.</w:t>
      </w:r>
      <w:r>
        <w:t xml:space="preserve">, a compensation specialist firm, was retained by the CGNC effective July 1, 2014 as the independent external executive compensation consultant to replace the prior firm and the independent external executive compensation consultant selection process is followed each year and reported in the annual proxy statements.  </w:t>
      </w:r>
    </w:p>
    <w:p w:rsidR="00AC40FC" w:rsidRDefault="00AC40FC" w:rsidP="00C73199">
      <w:pPr>
        <w:pStyle w:val="Heading30"/>
      </w:pPr>
      <w:r w:rsidRPr="003B7618">
        <w:t>eXECUTIVE COMPENSATION</w:t>
      </w:r>
      <w:r>
        <w:t xml:space="preserve"> Philosophy and Objectives</w:t>
      </w:r>
    </w:p>
    <w:p w:rsidR="00AC40FC" w:rsidRDefault="00AC40FC" w:rsidP="00C73199">
      <w:r>
        <w:t>PPL’s executive compensation philosophy is to provide balanced and competitive compensation programs that attract, retain, and motivate high-performing executives who will achieve the corporation’s short and long-term business objectives and further support the corporation’s sustainability efforts.  The primary mission of the compensation and benefits function is to pay executives at competitive market rates.  A plus or minus 15% difference from the median is considered market competitive.</w:t>
      </w:r>
    </w:p>
    <w:p w:rsidR="00AC40FC" w:rsidRDefault="00AC40FC" w:rsidP="00C73199">
      <w:r>
        <w:t>The objectives of the executive compensation programs are to support a high performance work culture and to ensure continued industry leadership consistent with PPL Corporation’s and PPL EU’s overall corporate goal to achieve first quartile performance.  In addition, executives are compensated and recognized for demonstrating responsible and exceptional performance that will lead to long-term shareowner value and that proves to be cost-effective for the business and competitive and accountable within the industry.  E</w:t>
      </w:r>
      <w:r w:rsidRPr="00814925">
        <w:t xml:space="preserve">xecutive compensation is guided by the PPL Corporation’s pay for performance process operationalized by the </w:t>
      </w:r>
      <w:r>
        <w:t>Employee Performance and Compensation System</w:t>
      </w:r>
      <w:r w:rsidRPr="00814925">
        <w:t xml:space="preserve"> </w:t>
      </w:r>
      <w:r>
        <w:t>(</w:t>
      </w:r>
      <w:r w:rsidRPr="00814925">
        <w:t>EMPACS</w:t>
      </w:r>
      <w:r>
        <w:t>) and the Corporate Strategic</w:t>
      </w:r>
      <w:r w:rsidRPr="00814925">
        <w:t xml:space="preserve"> Framework</w:t>
      </w:r>
      <w:r>
        <w:t xml:space="preserve">, as described in Chapter XII, Human Resources. LKE and WPD Midlands executives, however, are not included in the EMPACS system.  Further, the performance review for the PPL Corporation CEO is completed separately by the CGNC, outside of the EMPACS system. </w:t>
      </w:r>
      <w:r w:rsidRPr="00814925">
        <w:t xml:space="preserve"> </w:t>
      </w:r>
    </w:p>
    <w:p w:rsidR="00AC40FC" w:rsidRPr="004060D6" w:rsidRDefault="00AC40FC" w:rsidP="00C73199">
      <w:pPr>
        <w:pStyle w:val="Heading30"/>
      </w:pPr>
      <w:r>
        <w:t xml:space="preserve">Role of the Board of Directors </w:t>
      </w:r>
    </w:p>
    <w:p w:rsidR="00AC40FC" w:rsidRDefault="00AC40FC" w:rsidP="00C73199">
      <w:pPr>
        <w:pStyle w:val="Heading40"/>
      </w:pPr>
      <w:r>
        <w:t>Compensation, Governance, and Nominating Committee</w:t>
      </w:r>
    </w:p>
    <w:p w:rsidR="00AC40FC" w:rsidRDefault="00AC40FC" w:rsidP="00C73199">
      <w:r>
        <w:t>Section 10C of the Exchange Act defines the requirement for a publicly held company to have a compensation committee consisting of independent directors responsible for a range of executive compensation-related duties. The NYSE requires each compensation committee to have a written committee charter that is reviewed at least annually.  PPL’s CGNC has a written committee charter, with the most recent revision of the charter approved by the BOD on January 22, 2016.</w:t>
      </w:r>
    </w:p>
    <w:p w:rsidR="00AC40FC" w:rsidRDefault="00AC40FC" w:rsidP="00C73199">
      <w:r>
        <w:t xml:space="preserve">To be considered an independent director for purposes of CGNC membership, members must be non-employees, free of any material business relationship other than stock ownership, and free from employee or material business relationships for at least three years.  Independent directors must also meet all of the restrictions related to immediate family members, satisfy Rule 16b-3 of the Exchange Act, and satisfy the </w:t>
      </w:r>
      <w:r>
        <w:lastRenderedPageBreak/>
        <w:t>requirements of an outside director for Section 162(m) of the IRC.  According to PPL’s Proxy Statements for 2011 through 2015, all members of the CGNC were entirely independent directors.</w:t>
      </w:r>
    </w:p>
    <w:p w:rsidR="00AC40FC" w:rsidRDefault="00AC40FC" w:rsidP="00C73199">
      <w:r>
        <w:t>PPL Corporation’s CGNC reviews and approves annual executive compensation structure, including base salary, short and long-term incentives, and benefits for the Company.  Additionally, the CGNC ensures a succession plan is in place as outlined in CGNC’s written charter, and it fulfills other principal functions related to BOD selection and compensation.</w:t>
      </w:r>
    </w:p>
    <w:p w:rsidR="00AC40FC" w:rsidRDefault="00AC40FC" w:rsidP="00C73199">
      <w:r>
        <w:t xml:space="preserve">All executive incentive goals for Section 16 officers are reviewed and approved by the CGNC.  In January of each year the CGNC reviews and evaluates the performance of the CEO and the executive officers covered by Section 16 of the Exchange Act, including all executives named in the Proxy Statements.  The executives covered by Section 16 of the Exchange Act are all Tier I Executives as previously defined.  The CEO reviews the performance of Section 16 officers, including executive direct reports, Presidents of the business lines, and the Treasurer and Controller and shares the reviews with the CGNC.  With input from the CFO and SVP/CHRO, the CEO provides compensation recommendations to the CGNC based on performance goal achievement and other factors related to the strategic significance of various executives.  An example of a performance review form for the President of PPL EU was shared with redacted ratings and included measurable, specific, and aligned goals and targets as well as performance feedback. </w:t>
      </w:r>
    </w:p>
    <w:p w:rsidR="00AC40FC" w:rsidRDefault="00AC40FC" w:rsidP="00C73199">
      <w:pPr>
        <w:pStyle w:val="Heading40"/>
      </w:pPr>
      <w:r>
        <w:t>Competitive Compensation Analysis</w:t>
      </w:r>
    </w:p>
    <w:p w:rsidR="00AC40FC" w:rsidRDefault="00AC40FC" w:rsidP="00C73199">
      <w:r>
        <w:t>Using utility industry comparable executive compensation data, PPL Corporation’s independent external executive compensation consultant provides an annual report to the CGNC on “emerging issues and executive compensation trends in the largest U.S. utilities,” reviews compensation practices for non-employee directors, and performs an executive compensation analysis with compensation market data for the Section 16 officers. The output from the compensation analysis, the</w:t>
      </w:r>
      <w:r w:rsidRPr="00856B83">
        <w:t xml:space="preserve"> </w:t>
      </w:r>
      <w:r w:rsidRPr="00BE0737">
        <w:t>reasonableness of executive compensation</w:t>
      </w:r>
      <w:r>
        <w:t>,</w:t>
      </w:r>
      <w:r w:rsidRPr="00BE0737">
        <w:t xml:space="preserve"> and the cost allocation of NEO compensation</w:t>
      </w:r>
      <w:r>
        <w:t>’s</w:t>
      </w:r>
      <w:r w:rsidRPr="00BE0737">
        <w:t xml:space="preserve"> effects on PPL EU </w:t>
      </w:r>
      <w:r>
        <w:t xml:space="preserve">expenses will be discussed later in the Market Competitive Analysis section of this </w:t>
      </w:r>
      <w:r w:rsidRPr="00BE0737">
        <w:t>chapter for PPL</w:t>
      </w:r>
      <w:r>
        <w:t xml:space="preserve"> Corporation’s</w:t>
      </w:r>
      <w:r w:rsidRPr="00BE0737">
        <w:t xml:space="preserve"> </w:t>
      </w:r>
      <w:r>
        <w:t xml:space="preserve">top five </w:t>
      </w:r>
      <w:r w:rsidRPr="00BE0737">
        <w:t>NEOs</w:t>
      </w:r>
      <w:r>
        <w:t>’</w:t>
      </w:r>
      <w:r w:rsidRPr="00BE0737">
        <w:t xml:space="preserve"> and PPL EU’s top four executives’ total direct compensation.  </w:t>
      </w:r>
      <w:r>
        <w:t xml:space="preserve">  </w:t>
      </w:r>
    </w:p>
    <w:p w:rsidR="00AC40FC" w:rsidRDefault="00AC40FC" w:rsidP="00C73199">
      <w:r>
        <w:t>The executive compensation analysis performed by the independent external executive compensation consultant utilizes the energy and general industry sectors as comparators and is provided annually to the CGNC in December.  The output of the 50</w:t>
      </w:r>
      <w:r w:rsidRPr="00CA0019">
        <w:rPr>
          <w:vertAlign w:val="superscript"/>
        </w:rPr>
        <w:t>th</w:t>
      </w:r>
      <w:r>
        <w:t xml:space="preserve"> percentile or market median is used to establish target total direct compensation and to determine the reasonableness and competitiveness of PPL Corporation’s executive compensation practices. These market analyses results are part of the core content of the</w:t>
      </w:r>
      <w:r w:rsidRPr="00C8381F">
        <w:t xml:space="preserve"> </w:t>
      </w:r>
      <w:r>
        <w:t>Compensation, Discussion, and Analysis (CD&amp;A) section in annual Proxy Statements.  The Compensation and Benefits department works closely with PPL Corporation’s legal department to prepare the CD&amp;A and other required compensation disclosures.</w:t>
      </w:r>
    </w:p>
    <w:p w:rsidR="00AC40FC" w:rsidRDefault="00AC40FC" w:rsidP="00C73199">
      <w:pPr>
        <w:pStyle w:val="Heading30"/>
      </w:pPr>
      <w:r>
        <w:lastRenderedPageBreak/>
        <w:t>REview OF MARKET Competiveness Analysis:  Total Executive Cash, Benefits, and Equity Compensation Program</w:t>
      </w:r>
    </w:p>
    <w:p w:rsidR="00AC40FC" w:rsidRDefault="00AC40FC" w:rsidP="00C73199">
      <w:r>
        <w:t>The four primary components of PPL Corporation’s (and PPL EU’s) executive compensation program are base pay, short-term or annual cash incentives, benefits, and long-term or performance-contingent restricted stock units or performance units.</w:t>
      </w:r>
    </w:p>
    <w:p w:rsidR="00AC40FC" w:rsidRDefault="00AC40FC" w:rsidP="00C73199">
      <w:pPr>
        <w:pStyle w:val="Heading40"/>
      </w:pPr>
      <w:r>
        <w:t>Base Pay</w:t>
      </w:r>
    </w:p>
    <w:p w:rsidR="00AC40FC" w:rsidRDefault="00AC40FC" w:rsidP="00C73199">
      <w:r>
        <w:t>Base pay is the fixed element of annual cash based compensation.  PPL Corporation’s executive base pay is determined by considering an executive’s level of knowledge, experience, skills and abilities, and how well the executive applies these factors to his or her job over a period of time.  A comparative market analysis is performed annually by an external executive compensation consultant hired by the CGNC for Section 16 officers.  Additionally, other Tier I and Tier II executives’ base pay is analyzed by the Compensation and Benefits Department every three years</w:t>
      </w:r>
      <w:r w:rsidRPr="00AC3099">
        <w:t xml:space="preserve"> </w:t>
      </w:r>
      <w:r>
        <w:t xml:space="preserve">using market data.  Peer comparators listed in the General Industry and Energy Industry categories are considered when recommending base pay levels for approval by the CGNC for Section 16 officers of PPL and its subsidiaries, including PPL EU.  </w:t>
      </w:r>
    </w:p>
    <w:p w:rsidR="00AC40FC" w:rsidRPr="00536A8C" w:rsidRDefault="00AC40FC" w:rsidP="00C73199">
      <w:pPr>
        <w:pStyle w:val="Heading40"/>
      </w:pPr>
      <w:r w:rsidRPr="00536A8C">
        <w:t xml:space="preserve">Short-Term Incentive </w:t>
      </w:r>
      <w:r>
        <w:t xml:space="preserve">(STI) </w:t>
      </w:r>
      <w:r w:rsidRPr="00536A8C">
        <w:t>Compensation</w:t>
      </w:r>
    </w:p>
    <w:p w:rsidR="00AC40FC" w:rsidRDefault="00AC40FC" w:rsidP="00C73199">
      <w:r>
        <w:t xml:space="preserve">PPL Corporation’s executive short-term cash incentive compensation provides periodic cash awards that are calculated based on a percentage of base pay.  Short-term incentive compensation is considered pay “at risk” because incentive compensation is only awarded if predetermined financial, operational, and individual targets are achieved by executives related to their performance obligations towards competitive strategic goals.  </w:t>
      </w:r>
    </w:p>
    <w:p w:rsidR="00AC40FC" w:rsidRDefault="00AC40FC" w:rsidP="00C73199">
      <w:r>
        <w:t xml:space="preserve">PPL Corporation’s executive short-term incentive compensation varies based on the level of the executive’s scope of work and experience, strategic significance to the corporation, and their internal worth or value.  The CGNC approves the financial and operational goals and objectives during the first quarter of each year and approves achievement of the established goals in January of the following year for Section 16 officers.  The short-term goals established become part of PPL’s Corporate Strategic Framework to ensure executive short-term incentives are part of the EMPACS individual performance review process.  Within EMPACS, participating executives are evaluated on the attainment of predetermined goals and objectives and for demonstrating behaviors aligned with PPL corporate values. This is done prior to determining short-term incentive payouts in January of each year.  </w:t>
      </w:r>
    </w:p>
    <w:p w:rsidR="00AC40FC" w:rsidRDefault="00AC40FC" w:rsidP="00C73199">
      <w:r>
        <w:t xml:space="preserve">By incorporating the Corporate Strategic Framework into the executive’s EMPACS, PPL Corporation’s values such as customer focus, safety, integrity and openness, corporate citizenship, performance excellence, and employee commitment and diversity are part of individual executive performance plans.  Specific annual corporate and business line financial goals are established. </w:t>
      </w:r>
    </w:p>
    <w:p w:rsidR="00AC40FC" w:rsidRDefault="00AC40FC" w:rsidP="00C73199">
      <w:pPr>
        <w:rPr>
          <w:rFonts w:cs="Arial"/>
          <w:color w:val="000000"/>
          <w:szCs w:val="24"/>
        </w:rPr>
      </w:pPr>
      <w:r>
        <w:t xml:space="preserve">The executive payout for short-term executive incentive compensation is based on measureable and successful job performance and is based on the formulas established by the CGNC.  For example, target awards are established for short-term incentive compensation as a percentage of base salary and target opportunities are based on the </w:t>
      </w:r>
      <w:r>
        <w:lastRenderedPageBreak/>
        <w:t xml:space="preserve">goals and objectives established for the annual period of performance.  </w:t>
      </w:r>
      <w:r>
        <w:rPr>
          <w:rFonts w:cs="Arial"/>
          <w:color w:val="000000"/>
          <w:szCs w:val="24"/>
        </w:rPr>
        <w:t xml:space="preserve">From 2011 through 2015 PPL Corporation, PPL SC HR, and the CGNC (for Section 16 officers) established aligned executive rewards based on business criteria and funding target levels and formulas for annual short-term cash incentives contained within the proxy statements.  Corporate financial performance for 2015 is provided in the 2016 Proxy Statement’s table at page 35 as shown below. </w:t>
      </w:r>
    </w:p>
    <w:p w:rsidR="00AC40FC" w:rsidRDefault="00AC40FC" w:rsidP="002B3172">
      <w:pPr>
        <w:pStyle w:val="Caption"/>
      </w:pPr>
      <w:bookmarkStart w:id="244" w:name="_Toc462648456"/>
      <w:bookmarkStart w:id="245" w:name="_Toc464553078"/>
      <w:r>
        <w:t xml:space="preserve">Exhibit </w:t>
      </w:r>
      <w:fldSimple w:instr=" STYLEREF 1 \s ">
        <w:r w:rsidR="00A24205">
          <w:rPr>
            <w:noProof/>
          </w:rPr>
          <w:t>XIII</w:t>
        </w:r>
      </w:fldSimple>
      <w:r w:rsidR="00264A1B">
        <w:noBreakHyphen/>
      </w:r>
      <w:fldSimple w:instr=" SEQ Exhibit \* ARABIC \s 1 ">
        <w:r w:rsidR="00A24205">
          <w:rPr>
            <w:noProof/>
          </w:rPr>
          <w:t>3</w:t>
        </w:r>
      </w:fldSimple>
      <w:r>
        <w:br/>
        <w:t>2015 Corporate Financial Performance</w:t>
      </w:r>
      <w:bookmarkEnd w:id="244"/>
      <w:bookmarkEnd w:id="245"/>
    </w:p>
    <w:p w:rsidR="00AC40FC" w:rsidRDefault="00AC40FC" w:rsidP="00C73199">
      <w:pPr>
        <w:pStyle w:val="Normal-aftertable"/>
        <w:jc w:val="center"/>
      </w:pPr>
      <w:r>
        <w:rPr>
          <w:noProof/>
        </w:rPr>
        <w:drawing>
          <wp:inline distT="0" distB="0" distL="0" distR="0">
            <wp:extent cx="5943600" cy="387223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43600" cy="3872230"/>
                    </a:xfrm>
                    <a:prstGeom prst="rect">
                      <a:avLst/>
                    </a:prstGeom>
                  </pic:spPr>
                </pic:pic>
              </a:graphicData>
            </a:graphic>
          </wp:inline>
        </w:drawing>
      </w:r>
    </w:p>
    <w:p w:rsidR="00AC40FC" w:rsidRDefault="00AC40FC" w:rsidP="00C73199">
      <w:r>
        <w:t>Source: PPL Corporation 2016 Proxy Statement</w:t>
      </w:r>
    </w:p>
    <w:p w:rsidR="00AC40FC" w:rsidRDefault="00AC40FC" w:rsidP="00C73199">
      <w:r>
        <w:t>The above table represents the linkage to targeted levels of EPS and EBIT required for eligibility for executive short-term cash awards.  In 2015, PPL Corporation achieved $2.21 in EPS resulting in 127.3% goal achievement.  In 2015, EBIT achievement was $2,889.92 million resulting in 91.4% goal achievement.  The maximum short-term annual cash incentive has a maximum limit of 200% of an executive’s base salary if highest target levels are met.</w:t>
      </w:r>
    </w:p>
    <w:p w:rsidR="00AC40FC" w:rsidRDefault="00AC40FC" w:rsidP="00C73199">
      <w:r>
        <w:t xml:space="preserve">The CGNC reviewed the performance results in January 2016 and the total calculated annual short-term cash incentives are shown in the table below from page 36 of the PPL Corporation 2016 Proxy Statement. </w:t>
      </w:r>
    </w:p>
    <w:p w:rsidR="00AC40FC" w:rsidRDefault="00AC40FC" w:rsidP="00C73199">
      <w:pPr>
        <w:pStyle w:val="Title"/>
        <w:jc w:val="left"/>
      </w:pPr>
      <w:r>
        <w:t>Individual Annual Cash Incentive Awards for 2015 Performance</w:t>
      </w:r>
    </w:p>
    <w:p w:rsidR="00AC40FC" w:rsidRDefault="00AC40FC" w:rsidP="00C73199">
      <w:r>
        <w:t>The following individual annual cash incentive awards were approved by the CGNC for 2015 performance:</w:t>
      </w:r>
    </w:p>
    <w:p w:rsidR="00AC40FC" w:rsidRPr="00CB7E51" w:rsidRDefault="00AC40FC" w:rsidP="002B3172">
      <w:pPr>
        <w:pStyle w:val="Caption"/>
      </w:pPr>
      <w:bookmarkStart w:id="246" w:name="_Toc462648457"/>
      <w:bookmarkStart w:id="247" w:name="_Toc464553079"/>
      <w:r>
        <w:lastRenderedPageBreak/>
        <w:t xml:space="preserve">Exhibit </w:t>
      </w:r>
      <w:fldSimple w:instr=" STYLEREF 1 \s ">
        <w:r w:rsidR="00A24205">
          <w:rPr>
            <w:noProof/>
          </w:rPr>
          <w:t>XIII</w:t>
        </w:r>
      </w:fldSimple>
      <w:r w:rsidR="00264A1B">
        <w:noBreakHyphen/>
      </w:r>
      <w:fldSimple w:instr=" SEQ Exhibit \* ARABIC \s 1 ">
        <w:r w:rsidR="00A24205">
          <w:rPr>
            <w:noProof/>
          </w:rPr>
          <w:t>4</w:t>
        </w:r>
      </w:fldSimple>
      <w:r>
        <w:br/>
        <w:t>Individual 2015 Annual Cash Incentive Awards</w:t>
      </w:r>
      <w:bookmarkEnd w:id="246"/>
      <w:bookmarkEnd w:id="247"/>
    </w:p>
    <w:p w:rsidR="00AC40FC" w:rsidRDefault="00AC40FC" w:rsidP="00C73199">
      <w:r>
        <w:rPr>
          <w:noProof/>
        </w:rPr>
        <w:drawing>
          <wp:inline distT="0" distB="0" distL="0" distR="0">
            <wp:extent cx="5943600" cy="51625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43600" cy="5162550"/>
                    </a:xfrm>
                    <a:prstGeom prst="rect">
                      <a:avLst/>
                    </a:prstGeom>
                  </pic:spPr>
                </pic:pic>
              </a:graphicData>
            </a:graphic>
          </wp:inline>
        </w:drawing>
      </w:r>
    </w:p>
    <w:p w:rsidR="00AC40FC" w:rsidRDefault="00AC40FC" w:rsidP="00C73199">
      <w:r>
        <w:t>Source:  PPL Corporation Proxy Statement 2016</w:t>
      </w:r>
    </w:p>
    <w:p w:rsidR="00AC40FC" w:rsidRDefault="00AC40FC" w:rsidP="00C73199">
      <w:r>
        <w:t>The above tables depict the base salaries, the target award opportunity based on the Target as a Percentage of Salary, actual goal attainment as a percentage of the Target Award and the resultant cash incentive awards earned by each of the NEOs.</w:t>
      </w:r>
    </w:p>
    <w:p w:rsidR="00AC40FC" w:rsidRDefault="00AC40FC" w:rsidP="00C73199">
      <w:r>
        <w:t xml:space="preserve">The executive payout for short-term executive incentive compensation for PPL EU executives is based on measureable and successful job performance, and also based on the formulas approved by the CGNC. </w:t>
      </w:r>
    </w:p>
    <w:p w:rsidR="00AC40FC" w:rsidRPr="00536A8C" w:rsidRDefault="00AC40FC" w:rsidP="00C73199">
      <w:pPr>
        <w:pStyle w:val="Heading40"/>
      </w:pPr>
      <w:r w:rsidRPr="008E53B3">
        <w:t xml:space="preserve">Long-term Incentive </w:t>
      </w:r>
      <w:r>
        <w:t xml:space="preserve">(LTI) </w:t>
      </w:r>
      <w:r w:rsidRPr="008E53B3">
        <w:t>Compensation</w:t>
      </w:r>
    </w:p>
    <w:p w:rsidR="00AC40FC" w:rsidRPr="00702194" w:rsidRDefault="00AC40FC" w:rsidP="00C73199">
      <w:r>
        <w:t xml:space="preserve">The long-term or equity based executive incentive compensation of PPL Corporation consists of two plans.  The first plan is the Stock Incentive Plan that started in 2012 and awards performance-contingent restricted stock units (RSUs) based on EPS from ongoing operations achieved during the prior three-year period and performance units </w:t>
      </w:r>
      <w:r>
        <w:lastRenderedPageBreak/>
        <w:t xml:space="preserve">based on the corporation’s total shareholder return for the future three years as compared to the UTY and is only available to Section 16 officers.  All long-term equity awards for Section 16 officers are approved by the CGNC. The second plan is the Incentive Compensation Plan for Key Employees which awards long-term equity for all levels of managers including all non-Section 16 Tier I and Tier II executives.  </w:t>
      </w:r>
    </w:p>
    <w:p w:rsidR="00AC40FC" w:rsidRPr="00536A8C" w:rsidRDefault="00AC40FC" w:rsidP="00C73199">
      <w:pPr>
        <w:pStyle w:val="Heading40"/>
      </w:pPr>
      <w:r w:rsidRPr="00536A8C">
        <w:t>Health and Welfare Benefits</w:t>
      </w:r>
    </w:p>
    <w:p w:rsidR="00AC40FC" w:rsidRDefault="00AC40FC" w:rsidP="00C73199">
      <w:r>
        <w:t>A third party benefits consultant is used to administer health and welfare benefits, including open enrollment for Tier I and Tier II executives.  Executive health and welfare related benefits were reported to be similar to that of all PPL Corporation salaried employees.  Health and welfare related benefits consist of medical, prescription, dental, vision, life insurance, flexible spending account (FSA), health savings account (HSA), and an Employee Assistance Program (EAP).  PPL Corporation’s domestic subsidiaries are self-insured for medical, prescription, and dental programs although contractors are utilized to administer these programs.  A consultant has been engaged to benchmark the competitiveness of PPL Corporation’s and PPL EU’s healthcare plan offerings as well as the need for healthcare plan redesign and employee premium cost sharing to offset the rising costs of healthcare.</w:t>
      </w:r>
    </w:p>
    <w:p w:rsidR="00AC40FC" w:rsidRPr="00536A8C" w:rsidRDefault="00AC40FC" w:rsidP="00C73199">
      <w:pPr>
        <w:pStyle w:val="Heading40"/>
      </w:pPr>
      <w:r w:rsidRPr="00536A8C">
        <w:t>Pension and Retirement Savings Benefits</w:t>
      </w:r>
    </w:p>
    <w:p w:rsidR="00AC40FC" w:rsidRDefault="00AC40FC" w:rsidP="00C73199">
      <w:r>
        <w:t xml:space="preserve">A vendor provides administration services for retirement savings plans.  The PPL SC HR Compensation and Benefits function manages this vendor relationship.  PPL SC HR participated in a benchmarking study conducted by an independent consultant in 2015 regarding the prevalence of defined benefit pension plans in the utility sector. </w:t>
      </w:r>
    </w:p>
    <w:p w:rsidR="00AC40FC" w:rsidRDefault="00AC40FC" w:rsidP="00C73199">
      <w:r w:rsidRPr="00A27D4B">
        <w:t>The findings indicated the declining prevalence of defined benefit plan pension offerings due to higher costs and risks associated with defined benefit p</w:t>
      </w:r>
      <w:r>
        <w:t xml:space="preserve">lans. </w:t>
      </w:r>
      <w:r w:rsidRPr="00A27D4B">
        <w:t xml:space="preserve"> P</w:t>
      </w:r>
      <w:r>
        <w:t xml:space="preserve">PL Corporation closed the defined benefit pension plan to new hires for non-bargaining unit employees in 2012 and closed the defined benefit pension plan to new hires for union employees in 2014.  As a result, </w:t>
      </w:r>
      <w:r w:rsidRPr="00A27D4B">
        <w:t xml:space="preserve">PPL Corporation has transitioned </w:t>
      </w:r>
      <w:r>
        <w:t xml:space="preserve">from defined benefit </w:t>
      </w:r>
      <w:r w:rsidRPr="00A27D4B">
        <w:t>pension plans to defined contribution plans or a 401</w:t>
      </w:r>
      <w:r>
        <w:t>(</w:t>
      </w:r>
      <w:r w:rsidRPr="00A27D4B">
        <w:t>k</w:t>
      </w:r>
      <w:r>
        <w:t>) for union and non-union employees</w:t>
      </w:r>
      <w:r w:rsidRPr="00A27D4B">
        <w:t>.</w:t>
      </w:r>
      <w:r>
        <w:t xml:space="preserve">  The 401(k) previously provided a 3% employer contribution calculated on base salary and a 100% employer contribution of 6% on employee contributions (total possible employer contribution of up to 9%). In 2016 the employer match on employee contributions was reduced to 75% or up to 4.5% for non-union employees’ 401(k) pension contributions (total possible employer contribution of up to 7.5%).</w:t>
      </w:r>
      <w:r w:rsidRPr="009F48E1">
        <w:t xml:space="preserve"> </w:t>
      </w:r>
    </w:p>
    <w:p w:rsidR="00AC40FC" w:rsidRPr="00536A8C" w:rsidRDefault="00AC40FC" w:rsidP="00C73199">
      <w:pPr>
        <w:pStyle w:val="Heading40"/>
      </w:pPr>
      <w:r w:rsidRPr="00536A8C">
        <w:t>Executive Perquisites</w:t>
      </w:r>
    </w:p>
    <w:p w:rsidR="00AC40FC" w:rsidRDefault="00AC40FC" w:rsidP="00C73199">
      <w:r>
        <w:t>Executive perquisites, such as financial planning, severance packages, estate planning, tax preparation, and executive physicals are provided.  PPL SC’s HR Compensation and Benefits function manages vendor relationships to provide these perquisites.  Executives may choose between one of two preferred vendors for executive physicals, however, they may choose to use the preferred vendor or any vendor of their choice for financial planning services.</w:t>
      </w:r>
    </w:p>
    <w:p w:rsidR="00AC40FC" w:rsidRDefault="00AC40FC" w:rsidP="00C73199">
      <w:r>
        <w:t xml:space="preserve">Tier I executives receive severance packages equal to two times their annual salary and Tier II executives receive severance equal to one time their annual salary.  The dollar amounts available for financial planning and tax preparation are $11,000 annually for </w:t>
      </w:r>
      <w:r>
        <w:lastRenderedPageBreak/>
        <w:t>Tier I and $7,500 annually for Tier II executives.  Tier I executives are eligible for a one-time estate planning benefit of $5,000.  Tier I and Tier II executives have a limit of $5,000 for an executive physical every two years.</w:t>
      </w:r>
    </w:p>
    <w:p w:rsidR="00AC40FC" w:rsidRDefault="00AC40FC" w:rsidP="00C73199">
      <w:r>
        <w:t xml:space="preserve">PPL Corporation’s Form 10-K reports and Proxy Statements provide total compensation transparency for the NEOs for 2011 through 2015. The Proxy Statements also provided the qualifications of existing CGNC committee members and confirmed the independence of the non-employee Board directors.  </w:t>
      </w:r>
    </w:p>
    <w:p w:rsidR="00AC40FC" w:rsidRDefault="00AC40FC" w:rsidP="00C73199">
      <w:r>
        <w:t xml:space="preserve">The CD&amp;A provides an overview of PPL Corporation’s 2015 executive compensation program; philosophy and objectives for PPL Corporation, including all of its subsidiaries; and aligns with PPL Corporation’s executive compensation program, philosophy, and objectives.  In addition, the CD&amp;A explicitly defines recommendations and compensation decisions made that affected the corporation’s NEOs each year.  </w:t>
      </w:r>
    </w:p>
    <w:p w:rsidR="00AC40FC" w:rsidRDefault="00AC40FC" w:rsidP="00C73199">
      <w:r>
        <w:t xml:space="preserve">The six NEOs for 2015 reported in the 2016 Proxy Statement were as follows: </w:t>
      </w:r>
    </w:p>
    <w:p w:rsidR="00AC40FC" w:rsidRDefault="00AC40FC" w:rsidP="004F00E5">
      <w:pPr>
        <w:pStyle w:val="Numbering"/>
        <w:numPr>
          <w:ilvl w:val="0"/>
          <w:numId w:val="90"/>
        </w:numPr>
        <w:spacing w:after="120"/>
      </w:pPr>
      <w:r>
        <w:t>William H. Spence, Chairman, President and Chief Executive Officer (CEO)</w:t>
      </w:r>
    </w:p>
    <w:p w:rsidR="00AC40FC" w:rsidRDefault="00AC40FC" w:rsidP="004F00E5">
      <w:pPr>
        <w:pStyle w:val="Numbering"/>
        <w:numPr>
          <w:ilvl w:val="0"/>
          <w:numId w:val="90"/>
        </w:numPr>
        <w:spacing w:after="120"/>
      </w:pPr>
      <w:r>
        <w:t>Vincent Sorgi, Senior Vice President and Chief Financial Officer (CFO)</w:t>
      </w:r>
    </w:p>
    <w:p w:rsidR="00AC40FC" w:rsidRDefault="00AC40FC" w:rsidP="004F00E5">
      <w:pPr>
        <w:pStyle w:val="Numbering"/>
        <w:numPr>
          <w:ilvl w:val="0"/>
          <w:numId w:val="90"/>
        </w:numPr>
        <w:spacing w:after="120"/>
      </w:pPr>
      <w:r>
        <w:t>Paul A. Farr, former President, PPL Energy Supply, LLC (an indirect, wholly owned subsidiary of PPL until it was spun off to Talen Energy Corporation on June 1, 2015))</w:t>
      </w:r>
    </w:p>
    <w:p w:rsidR="00AC40FC" w:rsidRDefault="00AC40FC" w:rsidP="004F00E5">
      <w:pPr>
        <w:pStyle w:val="Numbering"/>
        <w:numPr>
          <w:ilvl w:val="0"/>
          <w:numId w:val="90"/>
        </w:numPr>
        <w:spacing w:after="120"/>
      </w:pPr>
      <w:r>
        <w:t>Robert J. Grey, Executive Vice President and Chief Legal Officer (retired as of January 31, 2016)</w:t>
      </w:r>
    </w:p>
    <w:p w:rsidR="00AC40FC" w:rsidRDefault="00AC40FC" w:rsidP="004F00E5">
      <w:pPr>
        <w:pStyle w:val="Numbering"/>
        <w:numPr>
          <w:ilvl w:val="0"/>
          <w:numId w:val="90"/>
        </w:numPr>
        <w:spacing w:after="120"/>
      </w:pPr>
      <w:r>
        <w:t>Victor A. Staffieri, Chairman of the Board, Chief Executive Officer, and President of LG&amp;E and KU Energy LLC (LKE) (a wholly owned subsidiary of PPL Corporation)</w:t>
      </w:r>
    </w:p>
    <w:p w:rsidR="00AC40FC" w:rsidRDefault="00AC40FC" w:rsidP="004F00E5">
      <w:pPr>
        <w:pStyle w:val="Numbering"/>
        <w:numPr>
          <w:ilvl w:val="0"/>
          <w:numId w:val="90"/>
        </w:numPr>
        <w:spacing w:after="120"/>
      </w:pPr>
      <w:r>
        <w:t>Robert A. Symons, Chief Executive of Western Power Distribution Midlands Companies (WPD Midlands) (an indirect, wholly owned subsidiary of PPL Corporation)</w:t>
      </w:r>
    </w:p>
    <w:p w:rsidR="00AC40FC" w:rsidRDefault="00AC40FC" w:rsidP="00C73199">
      <w:r>
        <w:t>Item 402 of Regulation S-K requires, “clear, concise and understandable disclosure of all plan and non-plan compensation awarded to, earned by, or paid to the named executive officers and directors.”  Item 402 requires PPL Corporation to include the following main tables in each year’s proxy statement:</w:t>
      </w:r>
    </w:p>
    <w:p w:rsidR="00AC40FC" w:rsidRPr="00E3019E" w:rsidRDefault="00AC40FC" w:rsidP="00C73199">
      <w:pPr>
        <w:pStyle w:val="Bullet"/>
      </w:pPr>
      <w:r w:rsidRPr="00E3019E">
        <w:t>Summary Compensation Table</w:t>
      </w:r>
    </w:p>
    <w:p w:rsidR="00AC40FC" w:rsidRPr="00E3019E" w:rsidRDefault="00AC40FC" w:rsidP="00C73199">
      <w:pPr>
        <w:pStyle w:val="Bullet"/>
      </w:pPr>
      <w:r w:rsidRPr="00E3019E">
        <w:t>Grants of Plan-Based Awards</w:t>
      </w:r>
    </w:p>
    <w:p w:rsidR="00AC40FC" w:rsidRPr="00E3019E" w:rsidRDefault="00AC40FC" w:rsidP="00C73199">
      <w:pPr>
        <w:pStyle w:val="Bullet"/>
      </w:pPr>
      <w:r w:rsidRPr="00E3019E">
        <w:t>Outstanding Equity Awards at Fiscal Year-End</w:t>
      </w:r>
    </w:p>
    <w:p w:rsidR="00AC40FC" w:rsidRPr="00E3019E" w:rsidRDefault="00AC40FC" w:rsidP="00C73199">
      <w:pPr>
        <w:pStyle w:val="Bullet"/>
      </w:pPr>
      <w:r w:rsidRPr="00E3019E">
        <w:t>Option Exercises and Stock Vested</w:t>
      </w:r>
    </w:p>
    <w:p w:rsidR="00AC40FC" w:rsidRPr="00E3019E" w:rsidRDefault="00AC40FC" w:rsidP="00C73199">
      <w:pPr>
        <w:pStyle w:val="Bullet"/>
      </w:pPr>
      <w:r w:rsidRPr="00E3019E">
        <w:t>Pension Benefits</w:t>
      </w:r>
    </w:p>
    <w:p w:rsidR="00AC40FC" w:rsidRPr="00E3019E" w:rsidRDefault="00AC40FC" w:rsidP="00C73199">
      <w:pPr>
        <w:pStyle w:val="Bullet"/>
      </w:pPr>
      <w:r w:rsidRPr="00E3019E">
        <w:t>Nonqualified Deferred Compensation</w:t>
      </w:r>
    </w:p>
    <w:p w:rsidR="00AC40FC" w:rsidRPr="00E3019E" w:rsidRDefault="00AC40FC" w:rsidP="00C73199">
      <w:pPr>
        <w:pStyle w:val="Bullet"/>
      </w:pPr>
      <w:r w:rsidRPr="00E3019E">
        <w:t>Director Compensation</w:t>
      </w:r>
    </w:p>
    <w:p w:rsidR="00AC40FC" w:rsidRDefault="00AC40FC" w:rsidP="00C73199">
      <w:pPr>
        <w:pStyle w:val="Bullet"/>
      </w:pPr>
      <w:r w:rsidRPr="00E3019E">
        <w:t>Golden Parachute</w:t>
      </w:r>
      <w:r>
        <w:t xml:space="preserve"> Compensation</w:t>
      </w:r>
    </w:p>
    <w:p w:rsidR="00AC40FC" w:rsidRDefault="00AC40FC" w:rsidP="00C73199">
      <w:pPr>
        <w:pStyle w:val="Normal-aftertable"/>
      </w:pPr>
      <w:r>
        <w:lastRenderedPageBreak/>
        <w:t>In addition, tables related to Item 403, and Item 404 of Regulation S-K are required if security ownership of certain beneficial owners apply, changes of control occur, and transactions with related persons, promoters, and certain control persons occur.</w:t>
      </w:r>
    </w:p>
    <w:p w:rsidR="006D76FB" w:rsidRDefault="006D76FB" w:rsidP="00C73199">
      <w:pPr>
        <w:pStyle w:val="Normal-aftertable"/>
      </w:pPr>
      <w:r>
        <w:t>The following table and notes from the PPL Corporation 2016 Proxy Statement summarize all compensation for PPL</w:t>
      </w:r>
      <w:r w:rsidR="00952D50">
        <w:t xml:space="preserve"> Corporation</w:t>
      </w:r>
      <w:r>
        <w:t>’s six NEOs.</w:t>
      </w:r>
    </w:p>
    <w:p w:rsidR="00AC40FC" w:rsidRDefault="00AC40FC" w:rsidP="00C73199">
      <w:pPr>
        <w:jc w:val="left"/>
        <w:sectPr w:rsidR="00AC40FC" w:rsidSect="00C73199">
          <w:footerReference w:type="default" r:id="rId76"/>
          <w:type w:val="continuous"/>
          <w:pgSz w:w="12240" w:h="15840"/>
          <w:pgMar w:top="1440" w:right="1440" w:bottom="1440" w:left="1440" w:header="720" w:footer="576" w:gutter="0"/>
          <w:cols w:space="720"/>
          <w:docGrid w:linePitch="360"/>
        </w:sectPr>
      </w:pPr>
    </w:p>
    <w:p w:rsidR="00AC40FC" w:rsidRPr="001C0A42" w:rsidRDefault="00AC40FC" w:rsidP="002B3172">
      <w:pPr>
        <w:pStyle w:val="Caption"/>
      </w:pPr>
      <w:bookmarkStart w:id="248" w:name="_Toc462648458"/>
      <w:bookmarkStart w:id="249" w:name="_Toc464553080"/>
      <w:r>
        <w:lastRenderedPageBreak/>
        <w:t xml:space="preserve">Exhibit </w:t>
      </w:r>
      <w:fldSimple w:instr=" STYLEREF 1 \s ">
        <w:r w:rsidR="00A24205">
          <w:rPr>
            <w:noProof/>
          </w:rPr>
          <w:t>XIII</w:t>
        </w:r>
      </w:fldSimple>
      <w:r w:rsidR="00264A1B">
        <w:noBreakHyphen/>
      </w:r>
      <w:fldSimple w:instr=" SEQ Exhibit \* ARABIC \s 1 ">
        <w:r w:rsidR="00A24205">
          <w:rPr>
            <w:noProof/>
          </w:rPr>
          <w:t>5</w:t>
        </w:r>
      </w:fldSimple>
      <w:r>
        <w:br/>
        <w:t>PPL NEO Total Executive Compensation, Tier I</w:t>
      </w:r>
      <w:r>
        <w:br/>
      </w:r>
      <w:r w:rsidRPr="00BE01C2">
        <w:t>S</w:t>
      </w:r>
      <w:r w:rsidRPr="001C0A42">
        <w:t>ummar</w:t>
      </w:r>
      <w:r>
        <w:t>y Compensation Table 2013–2015</w:t>
      </w:r>
      <w:r w:rsidRPr="001C0A42">
        <w:br/>
        <w:t>(Comparison across Years)</w:t>
      </w:r>
      <w:bookmarkEnd w:id="248"/>
      <w:bookmarkEnd w:id="249"/>
      <w:r w:rsidRPr="001C0A42">
        <w:t xml:space="preserve">  </w:t>
      </w:r>
    </w:p>
    <w:tbl>
      <w:tblPr>
        <w:tblStyle w:val="TableGrid"/>
        <w:tblW w:w="0" w:type="auto"/>
        <w:jc w:val="center"/>
        <w:tblLayout w:type="fixed"/>
        <w:tblCellMar>
          <w:top w:w="14" w:type="dxa"/>
          <w:left w:w="72" w:type="dxa"/>
          <w:bottom w:w="14" w:type="dxa"/>
          <w:right w:w="72" w:type="dxa"/>
        </w:tblCellMar>
        <w:tblLook w:val="04A0"/>
      </w:tblPr>
      <w:tblGrid>
        <w:gridCol w:w="1687"/>
        <w:gridCol w:w="630"/>
        <w:gridCol w:w="1170"/>
        <w:gridCol w:w="990"/>
        <w:gridCol w:w="1170"/>
        <w:gridCol w:w="1170"/>
        <w:gridCol w:w="1620"/>
        <w:gridCol w:w="1890"/>
        <w:gridCol w:w="1080"/>
        <w:gridCol w:w="1506"/>
      </w:tblGrid>
      <w:tr w:rsidR="00AC40FC" w:rsidRPr="00BA4BFA" w:rsidTr="00E32117">
        <w:trPr>
          <w:cantSplit/>
          <w:trHeight w:val="1440"/>
          <w:tblHeader/>
          <w:jc w:val="center"/>
        </w:trPr>
        <w:tc>
          <w:tcPr>
            <w:tcW w:w="1687" w:type="dxa"/>
            <w:shd w:val="clear" w:color="auto" w:fill="A5CD7E"/>
            <w:noWrap/>
            <w:vAlign w:val="center"/>
            <w:hideMark/>
          </w:tcPr>
          <w:p w:rsidR="00AC40FC" w:rsidRPr="00617E32" w:rsidRDefault="00AC40FC" w:rsidP="007B54B0">
            <w:pPr>
              <w:spacing w:before="120"/>
              <w:jc w:val="center"/>
              <w:rPr>
                <w:vertAlign w:val="superscript"/>
              </w:rPr>
            </w:pPr>
            <w:r w:rsidRPr="007B54B0">
              <w:rPr>
                <w:rFonts w:cs="Arial"/>
                <w:b/>
                <w:bCs/>
                <w:sz w:val="20"/>
                <w:szCs w:val="20"/>
              </w:rPr>
              <w:t>Name and Principal Position</w:t>
            </w:r>
            <w:r w:rsidRPr="007B54B0">
              <w:rPr>
                <w:rFonts w:cs="Arial"/>
                <w:b/>
                <w:bCs/>
                <w:sz w:val="20"/>
                <w:szCs w:val="20"/>
                <w:vertAlign w:val="superscript"/>
              </w:rPr>
              <w:t>(1)</w:t>
            </w:r>
          </w:p>
        </w:tc>
        <w:tc>
          <w:tcPr>
            <w:tcW w:w="630" w:type="dxa"/>
            <w:shd w:val="clear" w:color="auto" w:fill="A5CD7E"/>
            <w:vAlign w:val="center"/>
            <w:hideMark/>
          </w:tcPr>
          <w:p w:rsidR="00AC40FC" w:rsidRPr="00B92333" w:rsidRDefault="00AC40FC" w:rsidP="00521E7D">
            <w:pPr>
              <w:spacing w:before="120"/>
              <w:jc w:val="center"/>
              <w:rPr>
                <w:rFonts w:cs="Arial"/>
                <w:b/>
                <w:bCs/>
                <w:sz w:val="20"/>
                <w:szCs w:val="20"/>
              </w:rPr>
            </w:pPr>
            <w:r w:rsidRPr="00B92333">
              <w:rPr>
                <w:rFonts w:cs="Arial"/>
                <w:b/>
                <w:bCs/>
                <w:sz w:val="20"/>
                <w:szCs w:val="20"/>
              </w:rPr>
              <w:t>Year</w:t>
            </w:r>
          </w:p>
        </w:tc>
        <w:tc>
          <w:tcPr>
            <w:tcW w:w="1170" w:type="dxa"/>
            <w:shd w:val="clear" w:color="auto" w:fill="A5CD7E"/>
            <w:vAlign w:val="center"/>
            <w:hideMark/>
          </w:tcPr>
          <w:p w:rsidR="00AC40FC" w:rsidRPr="00617E32" w:rsidRDefault="00AC40FC" w:rsidP="00BB665B">
            <w:pPr>
              <w:spacing w:before="120"/>
              <w:jc w:val="center"/>
              <w:rPr>
                <w:rFonts w:cs="Arial"/>
                <w:b/>
                <w:bCs/>
                <w:sz w:val="20"/>
                <w:szCs w:val="20"/>
                <w:vertAlign w:val="superscript"/>
              </w:rPr>
            </w:pPr>
            <w:r w:rsidRPr="00B92333">
              <w:rPr>
                <w:rFonts w:cs="Arial"/>
                <w:b/>
                <w:bCs/>
                <w:sz w:val="20"/>
                <w:szCs w:val="20"/>
              </w:rPr>
              <w:t>Salary</w:t>
            </w:r>
            <w:r>
              <w:rPr>
                <w:rFonts w:cs="Arial"/>
                <w:b/>
                <w:bCs/>
                <w:sz w:val="20"/>
                <w:szCs w:val="20"/>
                <w:vertAlign w:val="superscript"/>
              </w:rPr>
              <w:t>(2)</w:t>
            </w:r>
          </w:p>
        </w:tc>
        <w:tc>
          <w:tcPr>
            <w:tcW w:w="990" w:type="dxa"/>
            <w:shd w:val="clear" w:color="auto" w:fill="A5CD7E"/>
            <w:vAlign w:val="center"/>
            <w:hideMark/>
          </w:tcPr>
          <w:p w:rsidR="00AC40FC" w:rsidRPr="00B92333" w:rsidRDefault="00AC40FC" w:rsidP="00521E7D">
            <w:pPr>
              <w:spacing w:before="120"/>
              <w:jc w:val="center"/>
              <w:rPr>
                <w:rFonts w:cs="Arial"/>
                <w:b/>
                <w:bCs/>
                <w:sz w:val="20"/>
                <w:szCs w:val="20"/>
              </w:rPr>
            </w:pPr>
            <w:r w:rsidRPr="00B92333">
              <w:rPr>
                <w:rFonts w:cs="Arial"/>
                <w:b/>
                <w:bCs/>
                <w:sz w:val="20"/>
                <w:szCs w:val="20"/>
              </w:rPr>
              <w:t>Bonus</w:t>
            </w:r>
          </w:p>
        </w:tc>
        <w:tc>
          <w:tcPr>
            <w:tcW w:w="1170" w:type="dxa"/>
            <w:shd w:val="clear" w:color="auto" w:fill="A5CD7E"/>
            <w:vAlign w:val="center"/>
            <w:hideMark/>
          </w:tcPr>
          <w:p w:rsidR="00AC40FC" w:rsidRPr="00617E32" w:rsidRDefault="00AC40FC" w:rsidP="00521E7D">
            <w:pPr>
              <w:spacing w:before="120"/>
              <w:jc w:val="center"/>
              <w:rPr>
                <w:rFonts w:cs="Arial"/>
                <w:b/>
                <w:bCs/>
                <w:sz w:val="20"/>
                <w:szCs w:val="20"/>
                <w:vertAlign w:val="superscript"/>
              </w:rPr>
            </w:pPr>
            <w:r w:rsidRPr="00B92333">
              <w:rPr>
                <w:rFonts w:cs="Arial"/>
                <w:b/>
                <w:bCs/>
                <w:sz w:val="20"/>
                <w:szCs w:val="20"/>
              </w:rPr>
              <w:t>Stock Awards</w:t>
            </w:r>
            <w:r>
              <w:rPr>
                <w:rFonts w:cs="Arial"/>
                <w:b/>
                <w:bCs/>
                <w:sz w:val="20"/>
                <w:szCs w:val="20"/>
                <w:vertAlign w:val="superscript"/>
              </w:rPr>
              <w:t>(3)</w:t>
            </w:r>
          </w:p>
        </w:tc>
        <w:tc>
          <w:tcPr>
            <w:tcW w:w="1170" w:type="dxa"/>
            <w:shd w:val="clear" w:color="auto" w:fill="A5CD7E"/>
            <w:vAlign w:val="center"/>
            <w:hideMark/>
          </w:tcPr>
          <w:p w:rsidR="00AC40FC" w:rsidRPr="00617E32" w:rsidRDefault="00AC40FC" w:rsidP="00521E7D">
            <w:pPr>
              <w:spacing w:before="120"/>
              <w:jc w:val="center"/>
              <w:rPr>
                <w:rFonts w:cs="Arial"/>
                <w:b/>
                <w:bCs/>
                <w:sz w:val="20"/>
                <w:szCs w:val="20"/>
                <w:vertAlign w:val="superscript"/>
              </w:rPr>
            </w:pPr>
            <w:r w:rsidRPr="00B92333">
              <w:rPr>
                <w:rFonts w:cs="Arial"/>
                <w:b/>
                <w:bCs/>
                <w:sz w:val="20"/>
                <w:szCs w:val="20"/>
              </w:rPr>
              <w:t>Option Awards</w:t>
            </w:r>
            <w:r>
              <w:rPr>
                <w:rFonts w:cs="Arial"/>
                <w:b/>
                <w:bCs/>
                <w:sz w:val="20"/>
                <w:szCs w:val="20"/>
                <w:vertAlign w:val="superscript"/>
              </w:rPr>
              <w:t>(4)</w:t>
            </w:r>
          </w:p>
        </w:tc>
        <w:tc>
          <w:tcPr>
            <w:tcW w:w="1620" w:type="dxa"/>
            <w:shd w:val="clear" w:color="auto" w:fill="A5CD7E"/>
            <w:vAlign w:val="center"/>
            <w:hideMark/>
          </w:tcPr>
          <w:p w:rsidR="00AC40FC" w:rsidRPr="00617E32" w:rsidRDefault="00AC40FC" w:rsidP="00521E7D">
            <w:pPr>
              <w:spacing w:before="120"/>
              <w:jc w:val="center"/>
              <w:rPr>
                <w:rFonts w:cs="Arial"/>
                <w:b/>
                <w:bCs/>
                <w:sz w:val="20"/>
                <w:szCs w:val="20"/>
                <w:vertAlign w:val="superscript"/>
              </w:rPr>
            </w:pPr>
            <w:r w:rsidRPr="00B92333">
              <w:rPr>
                <w:rFonts w:cs="Arial"/>
                <w:b/>
                <w:bCs/>
                <w:sz w:val="20"/>
                <w:szCs w:val="20"/>
              </w:rPr>
              <w:t>N</w:t>
            </w:r>
            <w:r>
              <w:rPr>
                <w:rFonts w:cs="Arial"/>
                <w:b/>
                <w:bCs/>
                <w:sz w:val="20"/>
                <w:szCs w:val="20"/>
              </w:rPr>
              <w:t>on-Equity Incentive Plan Compen</w:t>
            </w:r>
            <w:r w:rsidRPr="00B92333">
              <w:rPr>
                <w:rFonts w:cs="Arial"/>
                <w:b/>
                <w:bCs/>
                <w:sz w:val="20"/>
                <w:szCs w:val="20"/>
              </w:rPr>
              <w:t>sation</w:t>
            </w:r>
            <w:r>
              <w:rPr>
                <w:rFonts w:cs="Arial"/>
                <w:b/>
                <w:bCs/>
                <w:sz w:val="20"/>
                <w:szCs w:val="20"/>
              </w:rPr>
              <w:t xml:space="preserve"> </w:t>
            </w:r>
            <w:r>
              <w:rPr>
                <w:rFonts w:cs="Arial"/>
                <w:b/>
                <w:bCs/>
                <w:sz w:val="20"/>
                <w:szCs w:val="20"/>
                <w:vertAlign w:val="superscript"/>
              </w:rPr>
              <w:t>(5)</w:t>
            </w:r>
          </w:p>
        </w:tc>
        <w:tc>
          <w:tcPr>
            <w:tcW w:w="1890" w:type="dxa"/>
            <w:shd w:val="clear" w:color="auto" w:fill="A5CD7E"/>
            <w:vAlign w:val="center"/>
            <w:hideMark/>
          </w:tcPr>
          <w:p w:rsidR="00AC40FC" w:rsidRPr="00617E32" w:rsidRDefault="00AC40FC" w:rsidP="00521E7D">
            <w:pPr>
              <w:spacing w:before="120"/>
              <w:jc w:val="center"/>
              <w:rPr>
                <w:rFonts w:cs="Arial"/>
                <w:b/>
                <w:bCs/>
                <w:sz w:val="20"/>
                <w:szCs w:val="20"/>
                <w:vertAlign w:val="superscript"/>
              </w:rPr>
            </w:pPr>
            <w:r w:rsidRPr="00B92333">
              <w:rPr>
                <w:rFonts w:cs="Arial"/>
                <w:b/>
                <w:bCs/>
                <w:sz w:val="20"/>
                <w:szCs w:val="20"/>
              </w:rPr>
              <w:t>Changes in Pension Value and</w:t>
            </w:r>
            <w:r>
              <w:rPr>
                <w:rFonts w:cs="Arial"/>
                <w:b/>
                <w:bCs/>
                <w:sz w:val="20"/>
                <w:szCs w:val="20"/>
              </w:rPr>
              <w:t xml:space="preserve"> Non-qualified Deferred Compen</w:t>
            </w:r>
            <w:r w:rsidRPr="00B92333">
              <w:rPr>
                <w:rFonts w:cs="Arial"/>
                <w:b/>
                <w:bCs/>
                <w:sz w:val="20"/>
                <w:szCs w:val="20"/>
              </w:rPr>
              <w:t>sation Earnings</w:t>
            </w:r>
            <w:r>
              <w:rPr>
                <w:rFonts w:cs="Arial"/>
                <w:b/>
                <w:bCs/>
                <w:sz w:val="20"/>
                <w:szCs w:val="20"/>
                <w:vertAlign w:val="superscript"/>
              </w:rPr>
              <w:t>(6)</w:t>
            </w:r>
          </w:p>
        </w:tc>
        <w:tc>
          <w:tcPr>
            <w:tcW w:w="1080" w:type="dxa"/>
            <w:shd w:val="clear" w:color="auto" w:fill="A5CD7E"/>
            <w:vAlign w:val="center"/>
            <w:hideMark/>
          </w:tcPr>
          <w:p w:rsidR="00AC40FC" w:rsidRPr="00B92333" w:rsidRDefault="00AC40FC" w:rsidP="00521E7D">
            <w:pPr>
              <w:spacing w:before="120"/>
              <w:jc w:val="center"/>
              <w:rPr>
                <w:rFonts w:cs="Arial"/>
                <w:b/>
                <w:bCs/>
                <w:sz w:val="20"/>
                <w:szCs w:val="20"/>
              </w:rPr>
            </w:pPr>
            <w:r>
              <w:rPr>
                <w:rFonts w:cs="Arial"/>
                <w:b/>
                <w:bCs/>
                <w:sz w:val="20"/>
                <w:szCs w:val="20"/>
              </w:rPr>
              <w:t>All Other Compen-sation</w:t>
            </w:r>
            <w:r>
              <w:rPr>
                <w:rFonts w:cs="Arial"/>
                <w:b/>
                <w:bCs/>
                <w:sz w:val="20"/>
                <w:szCs w:val="20"/>
                <w:vertAlign w:val="superscript"/>
              </w:rPr>
              <w:t>(7)</w:t>
            </w:r>
            <w:r>
              <w:rPr>
                <w:rFonts w:cs="Arial"/>
                <w:b/>
                <w:bCs/>
                <w:sz w:val="20"/>
                <w:szCs w:val="20"/>
              </w:rPr>
              <w:t xml:space="preserve"> </w:t>
            </w:r>
          </w:p>
        </w:tc>
        <w:tc>
          <w:tcPr>
            <w:tcW w:w="1506" w:type="dxa"/>
            <w:shd w:val="clear" w:color="auto" w:fill="A5CD7E"/>
            <w:vAlign w:val="center"/>
            <w:hideMark/>
          </w:tcPr>
          <w:p w:rsidR="00AC40FC" w:rsidRPr="00B92333" w:rsidRDefault="00AC40FC" w:rsidP="00BB665B">
            <w:pPr>
              <w:spacing w:before="120"/>
              <w:jc w:val="center"/>
              <w:rPr>
                <w:rFonts w:cs="Arial"/>
                <w:b/>
                <w:bCs/>
                <w:sz w:val="20"/>
                <w:szCs w:val="20"/>
              </w:rPr>
            </w:pPr>
            <w:r w:rsidRPr="00B92333">
              <w:rPr>
                <w:rFonts w:cs="Arial"/>
                <w:b/>
                <w:bCs/>
                <w:sz w:val="20"/>
                <w:szCs w:val="20"/>
              </w:rPr>
              <w:t xml:space="preserve">Total </w:t>
            </w:r>
          </w:p>
        </w:tc>
      </w:tr>
      <w:tr w:rsidR="00AC40FC" w:rsidRPr="00BA4BFA" w:rsidTr="00E32117">
        <w:trPr>
          <w:cantSplit/>
          <w:trHeight w:val="315"/>
          <w:jc w:val="center"/>
        </w:trPr>
        <w:tc>
          <w:tcPr>
            <w:tcW w:w="1687" w:type="dxa"/>
            <w:vMerge w:val="restart"/>
            <w:vAlign w:val="center"/>
          </w:tcPr>
          <w:p w:rsidR="00AC40FC" w:rsidRPr="00B92333" w:rsidRDefault="00AC40FC" w:rsidP="00C73199">
            <w:pPr>
              <w:spacing w:after="0"/>
              <w:jc w:val="center"/>
              <w:rPr>
                <w:rFonts w:cs="Arial"/>
                <w:sz w:val="20"/>
                <w:szCs w:val="20"/>
              </w:rPr>
            </w:pPr>
            <w:r w:rsidRPr="00B92333">
              <w:rPr>
                <w:rFonts w:cs="Arial"/>
                <w:sz w:val="20"/>
                <w:szCs w:val="20"/>
              </w:rPr>
              <w:t>William H. Spence</w:t>
            </w:r>
          </w:p>
          <w:p w:rsidR="00AC40FC" w:rsidRPr="00B92333" w:rsidRDefault="00AC40FC" w:rsidP="00C73199">
            <w:pPr>
              <w:spacing w:after="0"/>
              <w:jc w:val="center"/>
              <w:rPr>
                <w:rFonts w:cs="Arial"/>
                <w:sz w:val="20"/>
                <w:szCs w:val="20"/>
              </w:rPr>
            </w:pPr>
            <w:r w:rsidRPr="00B92333">
              <w:rPr>
                <w:rFonts w:cs="Arial"/>
                <w:sz w:val="20"/>
                <w:szCs w:val="20"/>
              </w:rPr>
              <w:t>Chairman, President and Chief Executive Officer</w:t>
            </w:r>
          </w:p>
        </w:tc>
        <w:tc>
          <w:tcPr>
            <w:tcW w:w="630" w:type="dxa"/>
            <w:noWrap/>
            <w:vAlign w:val="center"/>
          </w:tcPr>
          <w:p w:rsidR="00AC40FC" w:rsidRPr="00B92333" w:rsidRDefault="00AC40FC" w:rsidP="00C73199">
            <w:pPr>
              <w:spacing w:after="0"/>
              <w:jc w:val="center"/>
              <w:rPr>
                <w:rFonts w:cs="Arial"/>
                <w:sz w:val="20"/>
                <w:szCs w:val="20"/>
              </w:rPr>
            </w:pPr>
            <w:r>
              <w:rPr>
                <w:rFonts w:cs="Arial"/>
                <w:sz w:val="20"/>
                <w:szCs w:val="20"/>
              </w:rPr>
              <w:t>2015</w:t>
            </w:r>
          </w:p>
        </w:tc>
        <w:tc>
          <w:tcPr>
            <w:tcW w:w="1170" w:type="dxa"/>
            <w:noWrap/>
            <w:vAlign w:val="center"/>
          </w:tcPr>
          <w:p w:rsidR="00AC40FC" w:rsidRPr="00B92333" w:rsidRDefault="00AC40FC">
            <w:pPr>
              <w:spacing w:after="0"/>
              <w:jc w:val="right"/>
              <w:rPr>
                <w:rFonts w:cs="Arial"/>
                <w:sz w:val="20"/>
                <w:szCs w:val="20"/>
              </w:rPr>
            </w:pPr>
            <w:r>
              <w:rPr>
                <w:rFonts w:cs="Arial"/>
                <w:sz w:val="20"/>
                <w:szCs w:val="20"/>
              </w:rPr>
              <w:t>$1,127,500</w:t>
            </w:r>
          </w:p>
        </w:tc>
        <w:tc>
          <w:tcPr>
            <w:tcW w:w="990" w:type="dxa"/>
            <w:noWrap/>
            <w:vAlign w:val="center"/>
          </w:tcPr>
          <w:p w:rsidR="00AC40FC" w:rsidRPr="00B92333" w:rsidRDefault="00AC40FC">
            <w:pPr>
              <w:spacing w:after="0"/>
              <w:jc w:val="right"/>
              <w:rPr>
                <w:rFonts w:cs="Arial"/>
                <w:sz w:val="20"/>
                <w:szCs w:val="20"/>
              </w:rPr>
            </w:pPr>
            <w:r>
              <w:rPr>
                <w:rFonts w:cs="Arial"/>
                <w:sz w:val="20"/>
                <w:szCs w:val="20"/>
              </w:rPr>
              <w:t>-</w:t>
            </w:r>
          </w:p>
        </w:tc>
        <w:tc>
          <w:tcPr>
            <w:tcW w:w="1170" w:type="dxa"/>
            <w:noWrap/>
            <w:vAlign w:val="center"/>
          </w:tcPr>
          <w:p w:rsidR="00AC40FC" w:rsidRPr="00B92333" w:rsidRDefault="00AC40FC">
            <w:pPr>
              <w:spacing w:after="0"/>
              <w:jc w:val="right"/>
              <w:rPr>
                <w:rFonts w:cs="Arial"/>
                <w:sz w:val="20"/>
                <w:szCs w:val="20"/>
              </w:rPr>
            </w:pPr>
            <w:r>
              <w:rPr>
                <w:rFonts w:cs="Arial"/>
                <w:sz w:val="20"/>
                <w:szCs w:val="20"/>
              </w:rPr>
              <w:t>$6,237,307</w:t>
            </w:r>
          </w:p>
        </w:tc>
        <w:tc>
          <w:tcPr>
            <w:tcW w:w="1170" w:type="dxa"/>
            <w:noWrap/>
            <w:vAlign w:val="center"/>
          </w:tcPr>
          <w:p w:rsidR="00AC40FC" w:rsidRPr="00B92333" w:rsidRDefault="00AC40FC" w:rsidP="00C73199">
            <w:pPr>
              <w:spacing w:after="0"/>
              <w:jc w:val="right"/>
              <w:rPr>
                <w:rFonts w:cs="Arial"/>
                <w:sz w:val="20"/>
                <w:szCs w:val="20"/>
              </w:rPr>
            </w:pPr>
            <w:r>
              <w:rPr>
                <w:rFonts w:cs="Arial"/>
                <w:sz w:val="20"/>
                <w:szCs w:val="20"/>
              </w:rPr>
              <w:t>$727,355</w:t>
            </w:r>
          </w:p>
        </w:tc>
        <w:tc>
          <w:tcPr>
            <w:tcW w:w="1620" w:type="dxa"/>
            <w:noWrap/>
            <w:vAlign w:val="center"/>
          </w:tcPr>
          <w:p w:rsidR="00AC40FC" w:rsidRPr="00B92333" w:rsidRDefault="00AC40FC">
            <w:pPr>
              <w:spacing w:after="0"/>
              <w:jc w:val="right"/>
              <w:rPr>
                <w:rFonts w:cs="Arial"/>
                <w:sz w:val="20"/>
                <w:szCs w:val="20"/>
              </w:rPr>
            </w:pPr>
            <w:r>
              <w:rPr>
                <w:rFonts w:cs="Arial"/>
                <w:sz w:val="20"/>
                <w:szCs w:val="20"/>
              </w:rPr>
              <w:t>$1,838,953</w:t>
            </w:r>
          </w:p>
        </w:tc>
        <w:tc>
          <w:tcPr>
            <w:tcW w:w="1890" w:type="dxa"/>
            <w:noWrap/>
            <w:vAlign w:val="center"/>
          </w:tcPr>
          <w:p w:rsidR="00AC40FC" w:rsidRPr="00B92333" w:rsidRDefault="00AC40FC">
            <w:pPr>
              <w:spacing w:after="0"/>
              <w:jc w:val="right"/>
              <w:rPr>
                <w:rFonts w:cs="Arial"/>
                <w:sz w:val="20"/>
                <w:szCs w:val="20"/>
              </w:rPr>
            </w:pPr>
            <w:r>
              <w:rPr>
                <w:rFonts w:cs="Arial"/>
                <w:sz w:val="20"/>
                <w:szCs w:val="20"/>
              </w:rPr>
              <w:t>$2,994,822</w:t>
            </w:r>
          </w:p>
        </w:tc>
        <w:tc>
          <w:tcPr>
            <w:tcW w:w="1080" w:type="dxa"/>
            <w:noWrap/>
            <w:vAlign w:val="center"/>
          </w:tcPr>
          <w:p w:rsidR="00AC40FC" w:rsidRPr="00B92333" w:rsidRDefault="00AC40FC">
            <w:pPr>
              <w:spacing w:after="0"/>
              <w:jc w:val="right"/>
              <w:rPr>
                <w:rFonts w:cs="Arial"/>
                <w:sz w:val="20"/>
                <w:szCs w:val="20"/>
              </w:rPr>
            </w:pPr>
            <w:r>
              <w:rPr>
                <w:rFonts w:cs="Arial"/>
                <w:sz w:val="20"/>
                <w:szCs w:val="20"/>
              </w:rPr>
              <w:t>$54,075</w:t>
            </w:r>
          </w:p>
        </w:tc>
        <w:tc>
          <w:tcPr>
            <w:tcW w:w="1506" w:type="dxa"/>
            <w:noWrap/>
            <w:vAlign w:val="center"/>
          </w:tcPr>
          <w:p w:rsidR="00AC40FC" w:rsidRPr="00B92333" w:rsidRDefault="00AC40FC">
            <w:pPr>
              <w:spacing w:after="0"/>
              <w:jc w:val="right"/>
              <w:rPr>
                <w:rFonts w:cs="Arial"/>
                <w:sz w:val="20"/>
                <w:szCs w:val="20"/>
              </w:rPr>
            </w:pPr>
            <w:r>
              <w:rPr>
                <w:rFonts w:cs="Arial"/>
                <w:sz w:val="20"/>
                <w:szCs w:val="20"/>
              </w:rPr>
              <w:t>$12,980,012</w:t>
            </w:r>
          </w:p>
        </w:tc>
      </w:tr>
      <w:tr w:rsidR="00AC40FC" w:rsidRPr="00BA4BFA" w:rsidTr="00E32117">
        <w:trPr>
          <w:cantSplit/>
          <w:trHeight w:val="315"/>
          <w:jc w:val="center"/>
        </w:trPr>
        <w:tc>
          <w:tcPr>
            <w:tcW w:w="1687" w:type="dxa"/>
            <w:vMerge/>
            <w:vAlign w:val="center"/>
            <w:hideMark/>
          </w:tcPr>
          <w:p w:rsidR="00AC40FC" w:rsidRPr="00B92333" w:rsidRDefault="00AC40FC" w:rsidP="00C73199">
            <w:pPr>
              <w:spacing w:after="0"/>
              <w:jc w:val="center"/>
              <w:rPr>
                <w:rFonts w:cs="Arial"/>
                <w:sz w:val="20"/>
                <w:szCs w:val="20"/>
              </w:rPr>
            </w:pPr>
          </w:p>
        </w:tc>
        <w:tc>
          <w:tcPr>
            <w:tcW w:w="630" w:type="dxa"/>
            <w:noWrap/>
            <w:vAlign w:val="center"/>
            <w:hideMark/>
          </w:tcPr>
          <w:p w:rsidR="00AC40FC" w:rsidRPr="00B92333" w:rsidRDefault="00AC40FC" w:rsidP="00C73199">
            <w:pPr>
              <w:spacing w:after="0"/>
              <w:jc w:val="center"/>
              <w:rPr>
                <w:rFonts w:cs="Arial"/>
                <w:sz w:val="20"/>
                <w:szCs w:val="20"/>
              </w:rPr>
            </w:pPr>
            <w:r w:rsidRPr="00B92333">
              <w:rPr>
                <w:rFonts w:cs="Arial"/>
                <w:sz w:val="20"/>
                <w:szCs w:val="20"/>
              </w:rPr>
              <w:t>2014</w:t>
            </w:r>
          </w:p>
        </w:tc>
        <w:tc>
          <w:tcPr>
            <w:tcW w:w="1170" w:type="dxa"/>
            <w:noWrap/>
            <w:vAlign w:val="center"/>
            <w:hideMark/>
          </w:tcPr>
          <w:p w:rsidR="00AC40FC" w:rsidRDefault="00AC40FC">
            <w:pPr>
              <w:spacing w:after="0"/>
              <w:jc w:val="right"/>
              <w:rPr>
                <w:rFonts w:cs="Arial"/>
                <w:sz w:val="20"/>
                <w:szCs w:val="20"/>
              </w:rPr>
            </w:pPr>
            <w:r>
              <w:rPr>
                <w:rFonts w:cs="Arial"/>
                <w:sz w:val="20"/>
                <w:szCs w:val="20"/>
              </w:rPr>
              <w:t>$</w:t>
            </w:r>
            <w:r w:rsidRPr="00B92333">
              <w:rPr>
                <w:rFonts w:cs="Arial"/>
                <w:sz w:val="20"/>
                <w:szCs w:val="20"/>
              </w:rPr>
              <w:t>1,126,760</w:t>
            </w:r>
          </w:p>
        </w:tc>
        <w:tc>
          <w:tcPr>
            <w:tcW w:w="990" w:type="dxa"/>
            <w:noWrap/>
            <w:vAlign w:val="center"/>
            <w:hideMark/>
          </w:tcPr>
          <w:p w:rsidR="00AC40FC" w:rsidRDefault="00AC40FC">
            <w:pPr>
              <w:spacing w:after="0"/>
              <w:jc w:val="right"/>
              <w:rPr>
                <w:rFonts w:cs="Arial"/>
                <w:sz w:val="20"/>
                <w:szCs w:val="20"/>
              </w:rPr>
            </w:pPr>
            <w:r w:rsidRPr="00B92333">
              <w:rPr>
                <w:rFonts w:cs="Arial"/>
                <w:sz w:val="20"/>
                <w:szCs w:val="20"/>
              </w:rPr>
              <w:t>-</w:t>
            </w:r>
          </w:p>
        </w:tc>
        <w:tc>
          <w:tcPr>
            <w:tcW w:w="1170" w:type="dxa"/>
            <w:noWrap/>
            <w:vAlign w:val="center"/>
            <w:hideMark/>
          </w:tcPr>
          <w:p w:rsidR="00AC40FC" w:rsidRDefault="00AC40FC">
            <w:pPr>
              <w:spacing w:after="0"/>
              <w:jc w:val="right"/>
              <w:rPr>
                <w:rFonts w:cs="Arial"/>
                <w:sz w:val="20"/>
                <w:szCs w:val="20"/>
              </w:rPr>
            </w:pPr>
            <w:r>
              <w:rPr>
                <w:rFonts w:cs="Arial"/>
                <w:sz w:val="20"/>
                <w:szCs w:val="20"/>
              </w:rPr>
              <w:t>$</w:t>
            </w:r>
            <w:r w:rsidRPr="00B92333">
              <w:rPr>
                <w:rFonts w:cs="Arial"/>
                <w:sz w:val="20"/>
                <w:szCs w:val="20"/>
              </w:rPr>
              <w:t>6,292,601</w:t>
            </w:r>
          </w:p>
        </w:tc>
        <w:tc>
          <w:tcPr>
            <w:tcW w:w="1170" w:type="dxa"/>
            <w:noWrap/>
            <w:vAlign w:val="center"/>
            <w:hideMark/>
          </w:tcPr>
          <w:p w:rsidR="00AC40FC" w:rsidRDefault="00AC40FC">
            <w:pPr>
              <w:spacing w:after="0"/>
              <w:jc w:val="right"/>
              <w:rPr>
                <w:rFonts w:cs="Arial"/>
                <w:sz w:val="20"/>
                <w:szCs w:val="20"/>
              </w:rPr>
            </w:pPr>
            <w:r w:rsidRPr="00B92333">
              <w:rPr>
                <w:rFonts w:cs="Arial"/>
                <w:sz w:val="20"/>
                <w:szCs w:val="20"/>
              </w:rPr>
              <w:t>-</w:t>
            </w:r>
          </w:p>
        </w:tc>
        <w:tc>
          <w:tcPr>
            <w:tcW w:w="1620" w:type="dxa"/>
            <w:noWrap/>
            <w:vAlign w:val="center"/>
            <w:hideMark/>
          </w:tcPr>
          <w:p w:rsidR="00AC40FC" w:rsidRDefault="00AC40FC">
            <w:pPr>
              <w:spacing w:after="0"/>
              <w:jc w:val="right"/>
              <w:rPr>
                <w:rFonts w:cs="Arial"/>
                <w:sz w:val="20"/>
                <w:szCs w:val="20"/>
              </w:rPr>
            </w:pPr>
            <w:r>
              <w:rPr>
                <w:rFonts w:cs="Arial"/>
                <w:sz w:val="20"/>
                <w:szCs w:val="20"/>
              </w:rPr>
              <w:t>$</w:t>
            </w:r>
            <w:r w:rsidRPr="00B92333">
              <w:rPr>
                <w:rFonts w:cs="Arial"/>
                <w:sz w:val="20"/>
                <w:szCs w:val="20"/>
              </w:rPr>
              <w:t>2,134,132</w:t>
            </w:r>
          </w:p>
        </w:tc>
        <w:tc>
          <w:tcPr>
            <w:tcW w:w="1890" w:type="dxa"/>
            <w:noWrap/>
            <w:vAlign w:val="center"/>
            <w:hideMark/>
          </w:tcPr>
          <w:p w:rsidR="00AC40FC" w:rsidRDefault="00AC40FC">
            <w:pPr>
              <w:spacing w:after="0"/>
              <w:jc w:val="right"/>
              <w:rPr>
                <w:rFonts w:cs="Arial"/>
                <w:sz w:val="20"/>
                <w:szCs w:val="20"/>
              </w:rPr>
            </w:pPr>
            <w:r>
              <w:rPr>
                <w:rFonts w:cs="Arial"/>
                <w:sz w:val="20"/>
                <w:szCs w:val="20"/>
              </w:rPr>
              <w:t>$</w:t>
            </w:r>
            <w:r w:rsidRPr="00B92333">
              <w:rPr>
                <w:rFonts w:cs="Arial"/>
                <w:sz w:val="20"/>
                <w:szCs w:val="20"/>
              </w:rPr>
              <w:t>3,808,318</w:t>
            </w:r>
          </w:p>
        </w:tc>
        <w:tc>
          <w:tcPr>
            <w:tcW w:w="1080" w:type="dxa"/>
            <w:noWrap/>
            <w:vAlign w:val="center"/>
            <w:hideMark/>
          </w:tcPr>
          <w:p w:rsidR="00AC40FC" w:rsidRDefault="00AC40FC">
            <w:pPr>
              <w:spacing w:after="0"/>
              <w:jc w:val="right"/>
              <w:rPr>
                <w:rFonts w:cs="Arial"/>
                <w:sz w:val="20"/>
                <w:szCs w:val="20"/>
              </w:rPr>
            </w:pPr>
            <w:r>
              <w:rPr>
                <w:rFonts w:cs="Arial"/>
                <w:sz w:val="20"/>
                <w:szCs w:val="20"/>
              </w:rPr>
              <w:t>$</w:t>
            </w:r>
            <w:r w:rsidRPr="00B92333">
              <w:rPr>
                <w:rFonts w:cs="Arial"/>
                <w:sz w:val="20"/>
                <w:szCs w:val="20"/>
              </w:rPr>
              <w:t>27,445</w:t>
            </w:r>
          </w:p>
        </w:tc>
        <w:tc>
          <w:tcPr>
            <w:tcW w:w="1506" w:type="dxa"/>
            <w:noWrap/>
            <w:vAlign w:val="center"/>
            <w:hideMark/>
          </w:tcPr>
          <w:p w:rsidR="00AC40FC" w:rsidRDefault="00AC40FC">
            <w:pPr>
              <w:spacing w:after="0"/>
              <w:jc w:val="right"/>
              <w:rPr>
                <w:rFonts w:cs="Arial"/>
                <w:sz w:val="20"/>
                <w:szCs w:val="20"/>
              </w:rPr>
            </w:pPr>
            <w:r>
              <w:rPr>
                <w:rFonts w:cs="Arial"/>
                <w:sz w:val="20"/>
                <w:szCs w:val="20"/>
              </w:rPr>
              <w:t>$</w:t>
            </w:r>
            <w:r w:rsidRPr="00B92333">
              <w:rPr>
                <w:rFonts w:cs="Arial"/>
                <w:sz w:val="20"/>
                <w:szCs w:val="20"/>
              </w:rPr>
              <w:t>13,389,256</w:t>
            </w:r>
          </w:p>
        </w:tc>
      </w:tr>
      <w:tr w:rsidR="00AC40FC" w:rsidRPr="00BA4BFA" w:rsidTr="00E32117">
        <w:trPr>
          <w:cantSplit/>
          <w:trHeight w:val="300"/>
          <w:jc w:val="center"/>
        </w:trPr>
        <w:tc>
          <w:tcPr>
            <w:tcW w:w="1687" w:type="dxa"/>
            <w:vMerge/>
            <w:vAlign w:val="center"/>
            <w:hideMark/>
          </w:tcPr>
          <w:p w:rsidR="00AC40FC" w:rsidRPr="00B92333" w:rsidRDefault="00AC40FC" w:rsidP="00C73199">
            <w:pPr>
              <w:spacing w:after="0"/>
              <w:jc w:val="center"/>
              <w:rPr>
                <w:rFonts w:cs="Arial"/>
                <w:sz w:val="20"/>
                <w:szCs w:val="20"/>
              </w:rPr>
            </w:pPr>
          </w:p>
        </w:tc>
        <w:tc>
          <w:tcPr>
            <w:tcW w:w="630" w:type="dxa"/>
            <w:noWrap/>
            <w:vAlign w:val="center"/>
            <w:hideMark/>
          </w:tcPr>
          <w:p w:rsidR="00AC40FC" w:rsidRPr="00B92333" w:rsidRDefault="00AC40FC" w:rsidP="00C73199">
            <w:pPr>
              <w:spacing w:after="0"/>
              <w:jc w:val="center"/>
              <w:rPr>
                <w:rFonts w:cs="Arial"/>
                <w:sz w:val="20"/>
                <w:szCs w:val="20"/>
              </w:rPr>
            </w:pPr>
            <w:r w:rsidRPr="00B92333">
              <w:rPr>
                <w:rFonts w:cs="Arial"/>
                <w:sz w:val="20"/>
                <w:szCs w:val="20"/>
              </w:rPr>
              <w:t>2013</w:t>
            </w:r>
          </w:p>
        </w:tc>
        <w:tc>
          <w:tcPr>
            <w:tcW w:w="1170" w:type="dxa"/>
            <w:noWrap/>
            <w:vAlign w:val="center"/>
            <w:hideMark/>
          </w:tcPr>
          <w:p w:rsidR="00AC40FC" w:rsidRDefault="00AC40FC">
            <w:pPr>
              <w:spacing w:after="0"/>
              <w:jc w:val="right"/>
              <w:rPr>
                <w:rFonts w:cs="Arial"/>
                <w:sz w:val="20"/>
                <w:szCs w:val="20"/>
              </w:rPr>
            </w:pPr>
            <w:r>
              <w:rPr>
                <w:rFonts w:cs="Arial"/>
                <w:sz w:val="20"/>
                <w:szCs w:val="20"/>
              </w:rPr>
              <w:t>$</w:t>
            </w:r>
            <w:r w:rsidRPr="00B92333">
              <w:rPr>
                <w:rFonts w:cs="Arial"/>
                <w:sz w:val="20"/>
                <w:szCs w:val="20"/>
              </w:rPr>
              <w:t>1,098,846</w:t>
            </w:r>
          </w:p>
        </w:tc>
        <w:tc>
          <w:tcPr>
            <w:tcW w:w="990" w:type="dxa"/>
            <w:noWrap/>
            <w:vAlign w:val="center"/>
            <w:hideMark/>
          </w:tcPr>
          <w:p w:rsidR="00AC40FC" w:rsidRDefault="00AC40FC">
            <w:pPr>
              <w:spacing w:after="0"/>
              <w:jc w:val="right"/>
              <w:rPr>
                <w:rFonts w:cs="Arial"/>
                <w:sz w:val="20"/>
                <w:szCs w:val="20"/>
              </w:rPr>
            </w:pPr>
            <w:r w:rsidRPr="00B92333">
              <w:rPr>
                <w:rFonts w:cs="Arial"/>
                <w:sz w:val="20"/>
                <w:szCs w:val="20"/>
              </w:rPr>
              <w:t>-</w:t>
            </w:r>
          </w:p>
        </w:tc>
        <w:tc>
          <w:tcPr>
            <w:tcW w:w="1170" w:type="dxa"/>
            <w:noWrap/>
            <w:vAlign w:val="center"/>
            <w:hideMark/>
          </w:tcPr>
          <w:p w:rsidR="00AC40FC" w:rsidRDefault="00AC40FC">
            <w:pPr>
              <w:spacing w:after="0"/>
              <w:jc w:val="right"/>
              <w:rPr>
                <w:rFonts w:cs="Arial"/>
                <w:sz w:val="20"/>
                <w:szCs w:val="20"/>
              </w:rPr>
            </w:pPr>
            <w:r>
              <w:rPr>
                <w:rFonts w:cs="Arial"/>
                <w:sz w:val="20"/>
                <w:szCs w:val="20"/>
              </w:rPr>
              <w:t>$</w:t>
            </w:r>
            <w:r w:rsidRPr="00B92333">
              <w:rPr>
                <w:rFonts w:cs="Arial"/>
                <w:sz w:val="20"/>
                <w:szCs w:val="20"/>
              </w:rPr>
              <w:t>4,768,559</w:t>
            </w:r>
          </w:p>
        </w:tc>
        <w:tc>
          <w:tcPr>
            <w:tcW w:w="1170" w:type="dxa"/>
            <w:noWrap/>
            <w:vAlign w:val="center"/>
            <w:hideMark/>
          </w:tcPr>
          <w:p w:rsidR="00AC40FC" w:rsidRDefault="00AC40FC">
            <w:pPr>
              <w:spacing w:after="0"/>
              <w:jc w:val="right"/>
              <w:rPr>
                <w:rFonts w:cs="Arial"/>
                <w:sz w:val="20"/>
                <w:szCs w:val="20"/>
              </w:rPr>
            </w:pPr>
            <w:r>
              <w:rPr>
                <w:rFonts w:cs="Arial"/>
                <w:sz w:val="20"/>
                <w:szCs w:val="20"/>
              </w:rPr>
              <w:t>$</w:t>
            </w:r>
            <w:r w:rsidRPr="00B92333">
              <w:rPr>
                <w:rFonts w:cs="Arial"/>
                <w:sz w:val="20"/>
                <w:szCs w:val="20"/>
              </w:rPr>
              <w:t>1,526,000</w:t>
            </w:r>
          </w:p>
        </w:tc>
        <w:tc>
          <w:tcPr>
            <w:tcW w:w="1620" w:type="dxa"/>
            <w:noWrap/>
            <w:vAlign w:val="center"/>
            <w:hideMark/>
          </w:tcPr>
          <w:p w:rsidR="00AC40FC" w:rsidRDefault="00AC40FC">
            <w:pPr>
              <w:spacing w:after="0"/>
              <w:jc w:val="right"/>
              <w:rPr>
                <w:rFonts w:cs="Arial"/>
                <w:sz w:val="20"/>
                <w:szCs w:val="20"/>
              </w:rPr>
            </w:pPr>
            <w:r>
              <w:rPr>
                <w:rFonts w:cs="Arial"/>
                <w:sz w:val="20"/>
                <w:szCs w:val="20"/>
              </w:rPr>
              <w:t>$</w:t>
            </w:r>
            <w:r w:rsidRPr="00B92333">
              <w:rPr>
                <w:rFonts w:cs="Arial"/>
                <w:sz w:val="20"/>
                <w:szCs w:val="20"/>
              </w:rPr>
              <w:t>2,519,440</w:t>
            </w:r>
          </w:p>
        </w:tc>
        <w:tc>
          <w:tcPr>
            <w:tcW w:w="1890" w:type="dxa"/>
            <w:noWrap/>
            <w:vAlign w:val="center"/>
            <w:hideMark/>
          </w:tcPr>
          <w:p w:rsidR="00AC40FC" w:rsidRDefault="00AC40FC">
            <w:pPr>
              <w:spacing w:after="0"/>
              <w:jc w:val="right"/>
              <w:rPr>
                <w:rFonts w:cs="Arial"/>
                <w:sz w:val="20"/>
                <w:szCs w:val="20"/>
              </w:rPr>
            </w:pPr>
            <w:r>
              <w:rPr>
                <w:rFonts w:cs="Arial"/>
                <w:sz w:val="20"/>
                <w:szCs w:val="20"/>
              </w:rPr>
              <w:t>$</w:t>
            </w:r>
            <w:r w:rsidRPr="00B92333">
              <w:rPr>
                <w:rFonts w:cs="Arial"/>
                <w:sz w:val="20"/>
                <w:szCs w:val="20"/>
              </w:rPr>
              <w:t>2,144,007</w:t>
            </w:r>
          </w:p>
        </w:tc>
        <w:tc>
          <w:tcPr>
            <w:tcW w:w="1080" w:type="dxa"/>
            <w:noWrap/>
            <w:vAlign w:val="center"/>
            <w:hideMark/>
          </w:tcPr>
          <w:p w:rsidR="00AC40FC" w:rsidRDefault="00AC40FC">
            <w:pPr>
              <w:spacing w:after="0"/>
              <w:jc w:val="right"/>
              <w:rPr>
                <w:rFonts w:cs="Arial"/>
                <w:sz w:val="20"/>
                <w:szCs w:val="20"/>
              </w:rPr>
            </w:pPr>
            <w:r>
              <w:rPr>
                <w:rFonts w:cs="Arial"/>
                <w:sz w:val="20"/>
                <w:szCs w:val="20"/>
              </w:rPr>
              <w:t>$</w:t>
            </w:r>
            <w:r w:rsidRPr="00B92333">
              <w:rPr>
                <w:rFonts w:cs="Arial"/>
                <w:sz w:val="20"/>
                <w:szCs w:val="20"/>
              </w:rPr>
              <w:t>52,868</w:t>
            </w:r>
          </w:p>
        </w:tc>
        <w:tc>
          <w:tcPr>
            <w:tcW w:w="1506" w:type="dxa"/>
            <w:noWrap/>
            <w:vAlign w:val="center"/>
            <w:hideMark/>
          </w:tcPr>
          <w:p w:rsidR="00AC40FC" w:rsidRDefault="00AC40FC">
            <w:pPr>
              <w:spacing w:after="0"/>
              <w:jc w:val="right"/>
              <w:rPr>
                <w:rFonts w:cs="Arial"/>
                <w:sz w:val="20"/>
                <w:szCs w:val="20"/>
              </w:rPr>
            </w:pPr>
            <w:r>
              <w:rPr>
                <w:rFonts w:cs="Arial"/>
                <w:sz w:val="20"/>
                <w:szCs w:val="20"/>
              </w:rPr>
              <w:t>$</w:t>
            </w:r>
            <w:r w:rsidRPr="00B92333">
              <w:rPr>
                <w:rFonts w:cs="Arial"/>
                <w:sz w:val="20"/>
                <w:szCs w:val="20"/>
              </w:rPr>
              <w:t>12,109,720</w:t>
            </w:r>
          </w:p>
        </w:tc>
      </w:tr>
      <w:tr w:rsidR="00AC40FC" w:rsidRPr="00BA4BFA" w:rsidTr="00E32117">
        <w:trPr>
          <w:cantSplit/>
          <w:trHeight w:val="540"/>
          <w:jc w:val="center"/>
        </w:trPr>
        <w:tc>
          <w:tcPr>
            <w:tcW w:w="1687" w:type="dxa"/>
            <w:vMerge w:val="restart"/>
            <w:vAlign w:val="center"/>
          </w:tcPr>
          <w:p w:rsidR="00AC40FC" w:rsidRPr="00B92333" w:rsidRDefault="00AC40FC" w:rsidP="00C73199">
            <w:pPr>
              <w:spacing w:after="0"/>
              <w:jc w:val="center"/>
              <w:rPr>
                <w:rFonts w:cs="Arial"/>
                <w:sz w:val="20"/>
                <w:szCs w:val="20"/>
              </w:rPr>
            </w:pPr>
            <w:r w:rsidRPr="00B92333">
              <w:rPr>
                <w:rFonts w:cs="Arial"/>
                <w:sz w:val="20"/>
                <w:szCs w:val="20"/>
              </w:rPr>
              <w:t>Vincent Sorgi</w:t>
            </w:r>
            <w:r w:rsidRPr="00B92333">
              <w:rPr>
                <w:rFonts w:cs="Arial"/>
                <w:sz w:val="20"/>
                <w:szCs w:val="20"/>
              </w:rPr>
              <w:br/>
              <w:t>Senior Vice President and Chief Financial Officer</w:t>
            </w:r>
          </w:p>
        </w:tc>
        <w:tc>
          <w:tcPr>
            <w:tcW w:w="630" w:type="dxa"/>
            <w:noWrap/>
            <w:vAlign w:val="center"/>
          </w:tcPr>
          <w:p w:rsidR="00AC40FC" w:rsidRPr="00B92333" w:rsidRDefault="00AC40FC" w:rsidP="00C73199">
            <w:pPr>
              <w:spacing w:after="0"/>
              <w:jc w:val="center"/>
              <w:rPr>
                <w:rFonts w:cs="Arial"/>
                <w:sz w:val="20"/>
                <w:szCs w:val="20"/>
              </w:rPr>
            </w:pPr>
            <w:r>
              <w:rPr>
                <w:rFonts w:cs="Arial"/>
                <w:sz w:val="20"/>
                <w:szCs w:val="20"/>
              </w:rPr>
              <w:t>2015</w:t>
            </w:r>
          </w:p>
        </w:tc>
        <w:tc>
          <w:tcPr>
            <w:tcW w:w="1170" w:type="dxa"/>
            <w:noWrap/>
            <w:vAlign w:val="center"/>
          </w:tcPr>
          <w:p w:rsidR="00AC40FC" w:rsidRPr="00B92333" w:rsidRDefault="00AC40FC">
            <w:pPr>
              <w:spacing w:after="0"/>
              <w:jc w:val="right"/>
              <w:rPr>
                <w:rFonts w:cs="Arial"/>
                <w:sz w:val="20"/>
                <w:szCs w:val="20"/>
              </w:rPr>
            </w:pPr>
            <w:r>
              <w:rPr>
                <w:rFonts w:cs="Arial"/>
                <w:sz w:val="20"/>
                <w:szCs w:val="20"/>
              </w:rPr>
              <w:t>$498,462</w:t>
            </w:r>
          </w:p>
        </w:tc>
        <w:tc>
          <w:tcPr>
            <w:tcW w:w="990" w:type="dxa"/>
            <w:noWrap/>
            <w:vAlign w:val="center"/>
          </w:tcPr>
          <w:p w:rsidR="00AC40FC" w:rsidRPr="00B92333" w:rsidRDefault="00AC40FC">
            <w:pPr>
              <w:spacing w:after="0"/>
              <w:jc w:val="right"/>
              <w:rPr>
                <w:rFonts w:cs="Arial"/>
                <w:sz w:val="20"/>
                <w:szCs w:val="20"/>
              </w:rPr>
            </w:pPr>
            <w:r>
              <w:rPr>
                <w:rFonts w:cs="Arial"/>
                <w:sz w:val="20"/>
                <w:szCs w:val="20"/>
              </w:rPr>
              <w:t>-</w:t>
            </w:r>
          </w:p>
        </w:tc>
        <w:tc>
          <w:tcPr>
            <w:tcW w:w="1170" w:type="dxa"/>
            <w:noWrap/>
            <w:vAlign w:val="center"/>
          </w:tcPr>
          <w:p w:rsidR="00AC40FC" w:rsidRPr="00B92333" w:rsidRDefault="00AC40FC">
            <w:pPr>
              <w:spacing w:after="0"/>
              <w:jc w:val="right"/>
              <w:rPr>
                <w:rFonts w:cs="Arial"/>
                <w:sz w:val="20"/>
                <w:szCs w:val="20"/>
              </w:rPr>
            </w:pPr>
            <w:r>
              <w:rPr>
                <w:rFonts w:cs="Arial"/>
                <w:sz w:val="20"/>
                <w:szCs w:val="20"/>
              </w:rPr>
              <w:t>$994,921</w:t>
            </w:r>
          </w:p>
        </w:tc>
        <w:tc>
          <w:tcPr>
            <w:tcW w:w="1170" w:type="dxa"/>
            <w:noWrap/>
            <w:vAlign w:val="center"/>
          </w:tcPr>
          <w:p w:rsidR="00AC40FC" w:rsidRPr="00B92333" w:rsidRDefault="00AC40FC">
            <w:pPr>
              <w:spacing w:after="0"/>
              <w:jc w:val="right"/>
              <w:rPr>
                <w:rFonts w:cs="Arial"/>
                <w:sz w:val="20"/>
                <w:szCs w:val="20"/>
              </w:rPr>
            </w:pPr>
            <w:r>
              <w:rPr>
                <w:rFonts w:cs="Arial"/>
                <w:sz w:val="20"/>
                <w:szCs w:val="20"/>
              </w:rPr>
              <w:t>$70,635</w:t>
            </w:r>
          </w:p>
        </w:tc>
        <w:tc>
          <w:tcPr>
            <w:tcW w:w="1620" w:type="dxa"/>
            <w:noWrap/>
            <w:vAlign w:val="center"/>
          </w:tcPr>
          <w:p w:rsidR="00AC40FC" w:rsidRPr="00B92333" w:rsidRDefault="00AC40FC">
            <w:pPr>
              <w:spacing w:after="0"/>
              <w:jc w:val="right"/>
              <w:rPr>
                <w:rFonts w:cs="Arial"/>
                <w:sz w:val="20"/>
                <w:szCs w:val="20"/>
              </w:rPr>
            </w:pPr>
            <w:r>
              <w:rPr>
                <w:rFonts w:cs="Arial"/>
                <w:sz w:val="20"/>
                <w:szCs w:val="20"/>
              </w:rPr>
              <w:t>$407,750</w:t>
            </w:r>
          </w:p>
        </w:tc>
        <w:tc>
          <w:tcPr>
            <w:tcW w:w="1890" w:type="dxa"/>
            <w:noWrap/>
            <w:vAlign w:val="center"/>
          </w:tcPr>
          <w:p w:rsidR="00AC40FC" w:rsidRPr="00B92333" w:rsidRDefault="00AC40FC">
            <w:pPr>
              <w:spacing w:after="0"/>
              <w:jc w:val="right"/>
              <w:rPr>
                <w:rFonts w:cs="Arial"/>
                <w:sz w:val="20"/>
                <w:szCs w:val="20"/>
              </w:rPr>
            </w:pPr>
            <w:r>
              <w:rPr>
                <w:rFonts w:cs="Arial"/>
                <w:sz w:val="20"/>
                <w:szCs w:val="20"/>
              </w:rPr>
              <w:t>$153,159</w:t>
            </w:r>
          </w:p>
        </w:tc>
        <w:tc>
          <w:tcPr>
            <w:tcW w:w="1080" w:type="dxa"/>
            <w:noWrap/>
            <w:vAlign w:val="center"/>
          </w:tcPr>
          <w:p w:rsidR="00AC40FC" w:rsidRPr="00B92333" w:rsidRDefault="00AC40FC">
            <w:pPr>
              <w:spacing w:after="0"/>
              <w:jc w:val="right"/>
              <w:rPr>
                <w:rFonts w:cs="Arial"/>
                <w:sz w:val="20"/>
                <w:szCs w:val="20"/>
              </w:rPr>
            </w:pPr>
            <w:r>
              <w:rPr>
                <w:rFonts w:cs="Arial"/>
                <w:sz w:val="20"/>
                <w:szCs w:val="20"/>
              </w:rPr>
              <w:t>$32,318</w:t>
            </w:r>
          </w:p>
        </w:tc>
        <w:tc>
          <w:tcPr>
            <w:tcW w:w="1506" w:type="dxa"/>
            <w:noWrap/>
            <w:vAlign w:val="center"/>
          </w:tcPr>
          <w:p w:rsidR="00AC40FC" w:rsidRPr="00B92333" w:rsidRDefault="00AC40FC">
            <w:pPr>
              <w:spacing w:after="0"/>
              <w:jc w:val="right"/>
              <w:rPr>
                <w:rFonts w:cs="Arial"/>
                <w:sz w:val="20"/>
                <w:szCs w:val="20"/>
              </w:rPr>
            </w:pPr>
            <w:r>
              <w:rPr>
                <w:rFonts w:cs="Arial"/>
                <w:sz w:val="20"/>
                <w:szCs w:val="20"/>
              </w:rPr>
              <w:t>$2,157,245</w:t>
            </w:r>
          </w:p>
        </w:tc>
      </w:tr>
      <w:tr w:rsidR="00AC40FC" w:rsidRPr="00BA4BFA" w:rsidTr="00E32117">
        <w:trPr>
          <w:cantSplit/>
          <w:trHeight w:val="540"/>
          <w:jc w:val="center"/>
        </w:trPr>
        <w:tc>
          <w:tcPr>
            <w:tcW w:w="1687" w:type="dxa"/>
            <w:vMerge/>
            <w:vAlign w:val="center"/>
            <w:hideMark/>
          </w:tcPr>
          <w:p w:rsidR="00AC40FC" w:rsidRPr="00B92333" w:rsidRDefault="00AC40FC" w:rsidP="00C73199">
            <w:pPr>
              <w:spacing w:after="0"/>
              <w:jc w:val="center"/>
              <w:rPr>
                <w:rFonts w:cs="Arial"/>
                <w:sz w:val="20"/>
                <w:szCs w:val="20"/>
              </w:rPr>
            </w:pPr>
          </w:p>
        </w:tc>
        <w:tc>
          <w:tcPr>
            <w:tcW w:w="630" w:type="dxa"/>
            <w:noWrap/>
            <w:vAlign w:val="center"/>
            <w:hideMark/>
          </w:tcPr>
          <w:p w:rsidR="00AC40FC" w:rsidRPr="00B92333" w:rsidRDefault="00AC40FC" w:rsidP="00C73199">
            <w:pPr>
              <w:spacing w:after="0"/>
              <w:jc w:val="center"/>
              <w:rPr>
                <w:rFonts w:cs="Arial"/>
                <w:sz w:val="20"/>
                <w:szCs w:val="20"/>
              </w:rPr>
            </w:pPr>
            <w:r w:rsidRPr="00B92333">
              <w:rPr>
                <w:rFonts w:cs="Arial"/>
                <w:sz w:val="20"/>
                <w:szCs w:val="20"/>
              </w:rPr>
              <w:t>2014</w:t>
            </w:r>
          </w:p>
        </w:tc>
        <w:tc>
          <w:tcPr>
            <w:tcW w:w="1170" w:type="dxa"/>
            <w:noWrap/>
            <w:vAlign w:val="center"/>
            <w:hideMark/>
          </w:tcPr>
          <w:p w:rsidR="00AC40FC" w:rsidRDefault="00AC40FC">
            <w:pPr>
              <w:spacing w:after="0"/>
              <w:jc w:val="right"/>
              <w:rPr>
                <w:rFonts w:cs="Arial"/>
                <w:sz w:val="20"/>
                <w:szCs w:val="20"/>
              </w:rPr>
            </w:pPr>
            <w:r>
              <w:rPr>
                <w:rFonts w:cs="Arial"/>
                <w:sz w:val="20"/>
                <w:szCs w:val="20"/>
              </w:rPr>
              <w:t>$</w:t>
            </w:r>
            <w:r w:rsidRPr="00B92333">
              <w:rPr>
                <w:rFonts w:cs="Arial"/>
                <w:sz w:val="20"/>
                <w:szCs w:val="20"/>
              </w:rPr>
              <w:t>398,404</w:t>
            </w:r>
          </w:p>
        </w:tc>
        <w:tc>
          <w:tcPr>
            <w:tcW w:w="990" w:type="dxa"/>
            <w:noWrap/>
            <w:vAlign w:val="center"/>
            <w:hideMark/>
          </w:tcPr>
          <w:p w:rsidR="00AC40FC" w:rsidRDefault="00AC40FC">
            <w:pPr>
              <w:spacing w:after="0"/>
              <w:jc w:val="right"/>
              <w:rPr>
                <w:rFonts w:cs="Arial"/>
                <w:sz w:val="20"/>
                <w:szCs w:val="20"/>
              </w:rPr>
            </w:pPr>
            <w:r w:rsidRPr="00B92333">
              <w:rPr>
                <w:rFonts w:cs="Arial"/>
                <w:sz w:val="20"/>
                <w:szCs w:val="20"/>
              </w:rPr>
              <w:t>-</w:t>
            </w:r>
          </w:p>
        </w:tc>
        <w:tc>
          <w:tcPr>
            <w:tcW w:w="1170" w:type="dxa"/>
            <w:noWrap/>
            <w:vAlign w:val="center"/>
            <w:hideMark/>
          </w:tcPr>
          <w:p w:rsidR="00AC40FC" w:rsidRDefault="00AC40FC">
            <w:pPr>
              <w:spacing w:after="0"/>
              <w:jc w:val="right"/>
              <w:rPr>
                <w:rFonts w:cs="Arial"/>
                <w:sz w:val="20"/>
                <w:szCs w:val="20"/>
              </w:rPr>
            </w:pPr>
            <w:r>
              <w:rPr>
                <w:rFonts w:cs="Arial"/>
                <w:sz w:val="20"/>
                <w:szCs w:val="20"/>
              </w:rPr>
              <w:t>$</w:t>
            </w:r>
            <w:r w:rsidRPr="00B92333">
              <w:rPr>
                <w:rFonts w:cs="Arial"/>
                <w:sz w:val="20"/>
                <w:szCs w:val="20"/>
              </w:rPr>
              <w:t>613,624</w:t>
            </w:r>
          </w:p>
        </w:tc>
        <w:tc>
          <w:tcPr>
            <w:tcW w:w="1170" w:type="dxa"/>
            <w:noWrap/>
            <w:vAlign w:val="center"/>
            <w:hideMark/>
          </w:tcPr>
          <w:p w:rsidR="00AC40FC" w:rsidRDefault="00AC40FC">
            <w:pPr>
              <w:spacing w:after="0"/>
              <w:jc w:val="right"/>
              <w:rPr>
                <w:rFonts w:cs="Arial"/>
                <w:sz w:val="20"/>
                <w:szCs w:val="20"/>
              </w:rPr>
            </w:pPr>
            <w:r w:rsidRPr="00B92333">
              <w:rPr>
                <w:rFonts w:cs="Arial"/>
                <w:sz w:val="20"/>
                <w:szCs w:val="20"/>
              </w:rPr>
              <w:t>-</w:t>
            </w:r>
          </w:p>
        </w:tc>
        <w:tc>
          <w:tcPr>
            <w:tcW w:w="1620" w:type="dxa"/>
            <w:noWrap/>
            <w:vAlign w:val="center"/>
            <w:hideMark/>
          </w:tcPr>
          <w:p w:rsidR="00AC40FC" w:rsidRDefault="00AC40FC">
            <w:pPr>
              <w:spacing w:after="0"/>
              <w:jc w:val="right"/>
              <w:rPr>
                <w:rFonts w:cs="Arial"/>
                <w:sz w:val="20"/>
                <w:szCs w:val="20"/>
              </w:rPr>
            </w:pPr>
            <w:r>
              <w:rPr>
                <w:rFonts w:cs="Arial"/>
                <w:sz w:val="20"/>
                <w:szCs w:val="20"/>
              </w:rPr>
              <w:t>$</w:t>
            </w:r>
            <w:r w:rsidRPr="00B92333">
              <w:rPr>
                <w:rFonts w:cs="Arial"/>
                <w:sz w:val="20"/>
                <w:szCs w:val="20"/>
              </w:rPr>
              <w:t>344,924</w:t>
            </w:r>
          </w:p>
        </w:tc>
        <w:tc>
          <w:tcPr>
            <w:tcW w:w="1890" w:type="dxa"/>
            <w:noWrap/>
            <w:vAlign w:val="center"/>
            <w:hideMark/>
          </w:tcPr>
          <w:p w:rsidR="00AC40FC" w:rsidRDefault="00AC40FC">
            <w:pPr>
              <w:spacing w:after="0"/>
              <w:jc w:val="right"/>
              <w:rPr>
                <w:rFonts w:cs="Arial"/>
                <w:sz w:val="20"/>
                <w:szCs w:val="20"/>
              </w:rPr>
            </w:pPr>
            <w:r>
              <w:rPr>
                <w:rFonts w:cs="Arial"/>
                <w:sz w:val="20"/>
                <w:szCs w:val="20"/>
              </w:rPr>
              <w:t>$</w:t>
            </w:r>
            <w:r w:rsidRPr="00B92333">
              <w:rPr>
                <w:rFonts w:cs="Arial"/>
                <w:sz w:val="20"/>
                <w:szCs w:val="20"/>
              </w:rPr>
              <w:t>318,067</w:t>
            </w:r>
          </w:p>
        </w:tc>
        <w:tc>
          <w:tcPr>
            <w:tcW w:w="1080" w:type="dxa"/>
            <w:noWrap/>
            <w:vAlign w:val="center"/>
            <w:hideMark/>
          </w:tcPr>
          <w:p w:rsidR="00AC40FC" w:rsidRDefault="00AC40FC">
            <w:pPr>
              <w:spacing w:after="0"/>
              <w:jc w:val="right"/>
              <w:rPr>
                <w:rFonts w:cs="Arial"/>
                <w:sz w:val="20"/>
                <w:szCs w:val="20"/>
              </w:rPr>
            </w:pPr>
            <w:r>
              <w:rPr>
                <w:rFonts w:cs="Arial"/>
                <w:sz w:val="20"/>
                <w:szCs w:val="20"/>
              </w:rPr>
              <w:t>$</w:t>
            </w:r>
            <w:r w:rsidRPr="00B92333">
              <w:rPr>
                <w:rFonts w:cs="Arial"/>
                <w:sz w:val="20"/>
                <w:szCs w:val="20"/>
              </w:rPr>
              <w:t>27,602</w:t>
            </w:r>
          </w:p>
        </w:tc>
        <w:tc>
          <w:tcPr>
            <w:tcW w:w="1506" w:type="dxa"/>
            <w:noWrap/>
            <w:vAlign w:val="center"/>
            <w:hideMark/>
          </w:tcPr>
          <w:p w:rsidR="00AC40FC" w:rsidRDefault="00AC40FC">
            <w:pPr>
              <w:spacing w:after="0"/>
              <w:jc w:val="right"/>
              <w:rPr>
                <w:rFonts w:cs="Arial"/>
                <w:sz w:val="20"/>
                <w:szCs w:val="20"/>
              </w:rPr>
            </w:pPr>
            <w:r>
              <w:rPr>
                <w:rFonts w:cs="Arial"/>
                <w:sz w:val="20"/>
                <w:szCs w:val="20"/>
              </w:rPr>
              <w:t>$</w:t>
            </w:r>
            <w:r w:rsidRPr="00B92333">
              <w:rPr>
                <w:rFonts w:cs="Arial"/>
                <w:sz w:val="20"/>
                <w:szCs w:val="20"/>
              </w:rPr>
              <w:t>1,702,621</w:t>
            </w:r>
          </w:p>
        </w:tc>
      </w:tr>
      <w:tr w:rsidR="00AC40FC" w:rsidRPr="00BA4BFA" w:rsidTr="00E32117">
        <w:trPr>
          <w:cantSplit/>
          <w:trHeight w:val="255"/>
          <w:jc w:val="center"/>
        </w:trPr>
        <w:tc>
          <w:tcPr>
            <w:tcW w:w="1687" w:type="dxa"/>
            <w:vMerge w:val="restart"/>
            <w:vAlign w:val="center"/>
          </w:tcPr>
          <w:p w:rsidR="00AC40FC" w:rsidRPr="00B92333" w:rsidRDefault="00AC40FC" w:rsidP="00BB665B">
            <w:pPr>
              <w:spacing w:after="0"/>
              <w:jc w:val="center"/>
              <w:rPr>
                <w:rFonts w:cs="Arial"/>
                <w:sz w:val="20"/>
                <w:szCs w:val="20"/>
              </w:rPr>
            </w:pPr>
            <w:r w:rsidRPr="00B92333">
              <w:rPr>
                <w:rFonts w:cs="Arial"/>
                <w:sz w:val="20"/>
                <w:szCs w:val="20"/>
              </w:rPr>
              <w:t>Robert J. Grey</w:t>
            </w:r>
          </w:p>
          <w:p w:rsidR="00AC40FC" w:rsidRPr="00B92333" w:rsidRDefault="00AC40FC" w:rsidP="00BB665B">
            <w:pPr>
              <w:spacing w:after="0"/>
              <w:jc w:val="center"/>
              <w:rPr>
                <w:rFonts w:cs="Arial"/>
                <w:sz w:val="20"/>
                <w:szCs w:val="20"/>
              </w:rPr>
            </w:pPr>
            <w:r w:rsidRPr="00B92333">
              <w:rPr>
                <w:rFonts w:cs="Arial"/>
                <w:sz w:val="20"/>
                <w:szCs w:val="20"/>
              </w:rPr>
              <w:t>Executive Vice President</w:t>
            </w:r>
            <w:r>
              <w:rPr>
                <w:rFonts w:cs="Arial"/>
                <w:sz w:val="20"/>
                <w:szCs w:val="20"/>
              </w:rPr>
              <w:t xml:space="preserve"> and Chief Legal Officer</w:t>
            </w:r>
          </w:p>
        </w:tc>
        <w:tc>
          <w:tcPr>
            <w:tcW w:w="630" w:type="dxa"/>
            <w:noWrap/>
            <w:vAlign w:val="center"/>
          </w:tcPr>
          <w:p w:rsidR="00AC40FC" w:rsidRDefault="00AC40FC" w:rsidP="00BB665B">
            <w:pPr>
              <w:spacing w:after="0"/>
              <w:jc w:val="center"/>
              <w:rPr>
                <w:rFonts w:cs="Arial"/>
                <w:sz w:val="20"/>
                <w:szCs w:val="20"/>
              </w:rPr>
            </w:pPr>
            <w:r>
              <w:rPr>
                <w:rFonts w:cs="Arial"/>
                <w:sz w:val="20"/>
                <w:szCs w:val="20"/>
              </w:rPr>
              <w:t>2015</w:t>
            </w:r>
          </w:p>
        </w:tc>
        <w:tc>
          <w:tcPr>
            <w:tcW w:w="1170" w:type="dxa"/>
            <w:noWrap/>
            <w:vAlign w:val="center"/>
          </w:tcPr>
          <w:p w:rsidR="00AC40FC" w:rsidRDefault="00AC40FC" w:rsidP="00BB665B">
            <w:pPr>
              <w:spacing w:after="0"/>
              <w:jc w:val="right"/>
              <w:rPr>
                <w:rFonts w:cs="Arial"/>
                <w:sz w:val="20"/>
                <w:szCs w:val="20"/>
              </w:rPr>
            </w:pPr>
            <w:r>
              <w:rPr>
                <w:rFonts w:cs="Arial"/>
                <w:sz w:val="20"/>
                <w:szCs w:val="20"/>
              </w:rPr>
              <w:t>$579,539</w:t>
            </w:r>
          </w:p>
        </w:tc>
        <w:tc>
          <w:tcPr>
            <w:tcW w:w="990" w:type="dxa"/>
            <w:noWrap/>
            <w:vAlign w:val="center"/>
          </w:tcPr>
          <w:p w:rsidR="00AC40FC" w:rsidRDefault="00AC40FC" w:rsidP="00BB665B">
            <w:pPr>
              <w:spacing w:after="0"/>
              <w:jc w:val="right"/>
              <w:rPr>
                <w:rFonts w:cs="Arial"/>
                <w:sz w:val="20"/>
                <w:szCs w:val="20"/>
              </w:rPr>
            </w:pPr>
            <w:r>
              <w:rPr>
                <w:rFonts w:cs="Arial"/>
                <w:sz w:val="20"/>
                <w:szCs w:val="20"/>
              </w:rPr>
              <w:t>-</w:t>
            </w:r>
          </w:p>
        </w:tc>
        <w:tc>
          <w:tcPr>
            <w:tcW w:w="1170" w:type="dxa"/>
            <w:noWrap/>
            <w:vAlign w:val="center"/>
          </w:tcPr>
          <w:p w:rsidR="00AC40FC" w:rsidRDefault="00AC40FC" w:rsidP="00BB665B">
            <w:pPr>
              <w:spacing w:after="0"/>
              <w:jc w:val="right"/>
              <w:rPr>
                <w:rFonts w:cs="Arial"/>
                <w:sz w:val="20"/>
                <w:szCs w:val="20"/>
              </w:rPr>
            </w:pPr>
            <w:r>
              <w:rPr>
                <w:rFonts w:cs="Arial"/>
                <w:sz w:val="20"/>
                <w:szCs w:val="20"/>
              </w:rPr>
              <w:t>$1,146,332</w:t>
            </w:r>
          </w:p>
        </w:tc>
        <w:tc>
          <w:tcPr>
            <w:tcW w:w="1170" w:type="dxa"/>
            <w:noWrap/>
            <w:vAlign w:val="center"/>
          </w:tcPr>
          <w:p w:rsidR="00AC40FC" w:rsidRDefault="00AC40FC" w:rsidP="00BB665B">
            <w:pPr>
              <w:spacing w:after="0"/>
              <w:jc w:val="right"/>
              <w:rPr>
                <w:rFonts w:cs="Arial"/>
                <w:sz w:val="20"/>
                <w:szCs w:val="20"/>
              </w:rPr>
            </w:pPr>
            <w:r>
              <w:rPr>
                <w:rFonts w:cs="Arial"/>
                <w:sz w:val="20"/>
                <w:szCs w:val="20"/>
              </w:rPr>
              <w:t>$235,660</w:t>
            </w:r>
          </w:p>
        </w:tc>
        <w:tc>
          <w:tcPr>
            <w:tcW w:w="1620" w:type="dxa"/>
            <w:noWrap/>
            <w:vAlign w:val="center"/>
          </w:tcPr>
          <w:p w:rsidR="00AC40FC" w:rsidRDefault="00AC40FC" w:rsidP="00BB665B">
            <w:pPr>
              <w:spacing w:after="0"/>
              <w:jc w:val="right"/>
              <w:rPr>
                <w:rFonts w:cs="Arial"/>
                <w:sz w:val="20"/>
                <w:szCs w:val="20"/>
              </w:rPr>
            </w:pPr>
            <w:r>
              <w:rPr>
                <w:rFonts w:cs="Arial"/>
                <w:sz w:val="20"/>
                <w:szCs w:val="20"/>
              </w:rPr>
              <w:t>$506,775</w:t>
            </w:r>
          </w:p>
        </w:tc>
        <w:tc>
          <w:tcPr>
            <w:tcW w:w="1890" w:type="dxa"/>
            <w:noWrap/>
            <w:vAlign w:val="center"/>
          </w:tcPr>
          <w:p w:rsidR="00AC40FC" w:rsidRDefault="00AC40FC" w:rsidP="00BB665B">
            <w:pPr>
              <w:spacing w:after="0"/>
              <w:jc w:val="right"/>
              <w:rPr>
                <w:rFonts w:cs="Arial"/>
                <w:sz w:val="20"/>
                <w:szCs w:val="20"/>
              </w:rPr>
            </w:pPr>
            <w:r>
              <w:rPr>
                <w:rFonts w:cs="Arial"/>
                <w:sz w:val="20"/>
                <w:szCs w:val="20"/>
              </w:rPr>
              <w:t>-</w:t>
            </w:r>
          </w:p>
        </w:tc>
        <w:tc>
          <w:tcPr>
            <w:tcW w:w="1080" w:type="dxa"/>
            <w:noWrap/>
            <w:vAlign w:val="center"/>
          </w:tcPr>
          <w:p w:rsidR="00AC40FC" w:rsidRDefault="00AC40FC" w:rsidP="00BB665B">
            <w:pPr>
              <w:spacing w:after="0"/>
              <w:jc w:val="right"/>
              <w:rPr>
                <w:rFonts w:cs="Arial"/>
                <w:sz w:val="20"/>
                <w:szCs w:val="20"/>
              </w:rPr>
            </w:pPr>
            <w:r>
              <w:rPr>
                <w:rFonts w:cs="Arial"/>
                <w:sz w:val="20"/>
                <w:szCs w:val="20"/>
              </w:rPr>
              <w:t>$56,927</w:t>
            </w:r>
          </w:p>
        </w:tc>
        <w:tc>
          <w:tcPr>
            <w:tcW w:w="1506" w:type="dxa"/>
            <w:noWrap/>
            <w:vAlign w:val="center"/>
          </w:tcPr>
          <w:p w:rsidR="00AC40FC" w:rsidRDefault="00AC40FC" w:rsidP="00BB665B">
            <w:pPr>
              <w:spacing w:after="0"/>
              <w:jc w:val="right"/>
              <w:rPr>
                <w:rFonts w:cs="Arial"/>
                <w:sz w:val="20"/>
                <w:szCs w:val="20"/>
              </w:rPr>
            </w:pPr>
            <w:r>
              <w:rPr>
                <w:rFonts w:cs="Arial"/>
                <w:sz w:val="20"/>
                <w:szCs w:val="20"/>
              </w:rPr>
              <w:t>$2,525,233</w:t>
            </w:r>
          </w:p>
        </w:tc>
      </w:tr>
      <w:tr w:rsidR="00AC40FC" w:rsidRPr="00BA4BFA" w:rsidTr="00E32117">
        <w:trPr>
          <w:cantSplit/>
          <w:trHeight w:val="255"/>
          <w:jc w:val="center"/>
        </w:trPr>
        <w:tc>
          <w:tcPr>
            <w:tcW w:w="1687" w:type="dxa"/>
            <w:vMerge/>
            <w:vAlign w:val="center"/>
          </w:tcPr>
          <w:p w:rsidR="00AC40FC" w:rsidRPr="00B92333" w:rsidRDefault="00AC40FC" w:rsidP="00BB665B">
            <w:pPr>
              <w:spacing w:after="0"/>
              <w:jc w:val="center"/>
              <w:rPr>
                <w:rFonts w:cs="Arial"/>
                <w:sz w:val="20"/>
                <w:szCs w:val="20"/>
              </w:rPr>
            </w:pPr>
          </w:p>
        </w:tc>
        <w:tc>
          <w:tcPr>
            <w:tcW w:w="630" w:type="dxa"/>
            <w:noWrap/>
            <w:vAlign w:val="center"/>
          </w:tcPr>
          <w:p w:rsidR="00AC40FC" w:rsidRDefault="00AC40FC" w:rsidP="00BB665B">
            <w:pPr>
              <w:spacing w:after="0"/>
              <w:jc w:val="center"/>
              <w:rPr>
                <w:rFonts w:cs="Arial"/>
                <w:sz w:val="20"/>
                <w:szCs w:val="20"/>
              </w:rPr>
            </w:pPr>
            <w:r w:rsidRPr="00B92333">
              <w:rPr>
                <w:rFonts w:cs="Arial"/>
                <w:sz w:val="20"/>
                <w:szCs w:val="20"/>
              </w:rPr>
              <w:t>2014</w:t>
            </w:r>
          </w:p>
        </w:tc>
        <w:tc>
          <w:tcPr>
            <w:tcW w:w="1170" w:type="dxa"/>
            <w:noWrap/>
            <w:vAlign w:val="center"/>
          </w:tcPr>
          <w:p w:rsidR="00AC40FC" w:rsidRDefault="00AC40FC" w:rsidP="00BB665B">
            <w:pPr>
              <w:spacing w:after="0"/>
              <w:jc w:val="right"/>
              <w:rPr>
                <w:rFonts w:cs="Arial"/>
                <w:sz w:val="20"/>
                <w:szCs w:val="20"/>
              </w:rPr>
            </w:pPr>
            <w:r>
              <w:rPr>
                <w:rFonts w:cs="Arial"/>
                <w:sz w:val="20"/>
                <w:szCs w:val="20"/>
              </w:rPr>
              <w:t>$</w:t>
            </w:r>
            <w:r w:rsidRPr="00B92333">
              <w:rPr>
                <w:rFonts w:cs="Arial"/>
                <w:sz w:val="20"/>
                <w:szCs w:val="20"/>
              </w:rPr>
              <w:t>563,253</w:t>
            </w:r>
          </w:p>
        </w:tc>
        <w:tc>
          <w:tcPr>
            <w:tcW w:w="990" w:type="dxa"/>
            <w:noWrap/>
            <w:vAlign w:val="center"/>
          </w:tcPr>
          <w:p w:rsidR="00AC40FC" w:rsidRDefault="00AC40FC" w:rsidP="00BB665B">
            <w:pPr>
              <w:spacing w:after="0"/>
              <w:jc w:val="right"/>
              <w:rPr>
                <w:rFonts w:cs="Arial"/>
                <w:sz w:val="20"/>
                <w:szCs w:val="20"/>
              </w:rPr>
            </w:pPr>
            <w:r w:rsidRPr="00B92333">
              <w:rPr>
                <w:rFonts w:cs="Arial"/>
                <w:sz w:val="20"/>
                <w:szCs w:val="20"/>
              </w:rPr>
              <w:t>-</w:t>
            </w:r>
          </w:p>
        </w:tc>
        <w:tc>
          <w:tcPr>
            <w:tcW w:w="1170" w:type="dxa"/>
            <w:noWrap/>
            <w:vAlign w:val="center"/>
          </w:tcPr>
          <w:p w:rsidR="00AC40FC" w:rsidRDefault="00AC40FC" w:rsidP="00BB665B">
            <w:pPr>
              <w:spacing w:after="0"/>
              <w:jc w:val="right"/>
              <w:rPr>
                <w:rFonts w:cs="Arial"/>
                <w:sz w:val="20"/>
                <w:szCs w:val="20"/>
              </w:rPr>
            </w:pPr>
            <w:r>
              <w:rPr>
                <w:rFonts w:cs="Arial"/>
                <w:sz w:val="20"/>
                <w:szCs w:val="20"/>
              </w:rPr>
              <w:t>$</w:t>
            </w:r>
            <w:r w:rsidRPr="00B92333">
              <w:rPr>
                <w:rFonts w:cs="Arial"/>
                <w:sz w:val="20"/>
                <w:szCs w:val="20"/>
              </w:rPr>
              <w:t>1,056,292</w:t>
            </w:r>
          </w:p>
        </w:tc>
        <w:tc>
          <w:tcPr>
            <w:tcW w:w="1170" w:type="dxa"/>
            <w:noWrap/>
            <w:vAlign w:val="center"/>
          </w:tcPr>
          <w:p w:rsidR="00AC40FC" w:rsidRDefault="00AC40FC" w:rsidP="00BB665B">
            <w:pPr>
              <w:spacing w:after="0"/>
              <w:jc w:val="right"/>
              <w:rPr>
                <w:rFonts w:cs="Arial"/>
                <w:sz w:val="20"/>
                <w:szCs w:val="20"/>
              </w:rPr>
            </w:pPr>
            <w:r w:rsidRPr="00B92333">
              <w:rPr>
                <w:rFonts w:cs="Arial"/>
                <w:sz w:val="20"/>
                <w:szCs w:val="20"/>
              </w:rPr>
              <w:t>-</w:t>
            </w:r>
          </w:p>
        </w:tc>
        <w:tc>
          <w:tcPr>
            <w:tcW w:w="1620" w:type="dxa"/>
            <w:noWrap/>
            <w:vAlign w:val="center"/>
          </w:tcPr>
          <w:p w:rsidR="00AC40FC" w:rsidRDefault="00AC40FC" w:rsidP="00BB665B">
            <w:pPr>
              <w:spacing w:after="0"/>
              <w:jc w:val="right"/>
              <w:rPr>
                <w:rFonts w:cs="Arial"/>
                <w:sz w:val="20"/>
                <w:szCs w:val="20"/>
              </w:rPr>
            </w:pPr>
            <w:r>
              <w:rPr>
                <w:rFonts w:cs="Arial"/>
                <w:sz w:val="20"/>
                <w:szCs w:val="20"/>
              </w:rPr>
              <w:t>$</w:t>
            </w:r>
            <w:r w:rsidRPr="00B92333">
              <w:rPr>
                <w:rFonts w:cs="Arial"/>
                <w:sz w:val="20"/>
                <w:szCs w:val="20"/>
              </w:rPr>
              <w:t>572,910</w:t>
            </w:r>
          </w:p>
        </w:tc>
        <w:tc>
          <w:tcPr>
            <w:tcW w:w="1890" w:type="dxa"/>
            <w:noWrap/>
            <w:vAlign w:val="center"/>
          </w:tcPr>
          <w:p w:rsidR="00AC40FC" w:rsidRDefault="00AC40FC" w:rsidP="00BB665B">
            <w:pPr>
              <w:spacing w:after="0"/>
              <w:jc w:val="right"/>
              <w:rPr>
                <w:rFonts w:cs="Arial"/>
                <w:sz w:val="20"/>
                <w:szCs w:val="20"/>
              </w:rPr>
            </w:pPr>
            <w:r>
              <w:rPr>
                <w:rFonts w:cs="Arial"/>
                <w:sz w:val="20"/>
                <w:szCs w:val="20"/>
              </w:rPr>
              <w:t>$</w:t>
            </w:r>
            <w:r w:rsidRPr="00B92333">
              <w:rPr>
                <w:rFonts w:cs="Arial"/>
                <w:sz w:val="20"/>
                <w:szCs w:val="20"/>
              </w:rPr>
              <w:t>591,769</w:t>
            </w:r>
          </w:p>
        </w:tc>
        <w:tc>
          <w:tcPr>
            <w:tcW w:w="1080" w:type="dxa"/>
            <w:noWrap/>
            <w:vAlign w:val="center"/>
          </w:tcPr>
          <w:p w:rsidR="00AC40FC" w:rsidRDefault="00AC40FC" w:rsidP="00BB665B">
            <w:pPr>
              <w:spacing w:after="0"/>
              <w:jc w:val="right"/>
              <w:rPr>
                <w:rFonts w:cs="Arial"/>
                <w:sz w:val="20"/>
                <w:szCs w:val="20"/>
              </w:rPr>
            </w:pPr>
            <w:r>
              <w:rPr>
                <w:rFonts w:cs="Arial"/>
                <w:sz w:val="20"/>
                <w:szCs w:val="20"/>
              </w:rPr>
              <w:t>$</w:t>
            </w:r>
            <w:r w:rsidRPr="00B92333">
              <w:rPr>
                <w:rFonts w:cs="Arial"/>
                <w:sz w:val="20"/>
                <w:szCs w:val="20"/>
              </w:rPr>
              <w:t>33,185</w:t>
            </w:r>
          </w:p>
        </w:tc>
        <w:tc>
          <w:tcPr>
            <w:tcW w:w="1506" w:type="dxa"/>
            <w:noWrap/>
            <w:vAlign w:val="center"/>
          </w:tcPr>
          <w:p w:rsidR="00AC40FC" w:rsidRDefault="00AC40FC" w:rsidP="00BB665B">
            <w:pPr>
              <w:spacing w:after="0"/>
              <w:jc w:val="right"/>
              <w:rPr>
                <w:rFonts w:cs="Arial"/>
                <w:sz w:val="20"/>
                <w:szCs w:val="20"/>
              </w:rPr>
            </w:pPr>
            <w:r>
              <w:rPr>
                <w:rFonts w:cs="Arial"/>
                <w:sz w:val="20"/>
                <w:szCs w:val="20"/>
              </w:rPr>
              <w:t>$</w:t>
            </w:r>
            <w:r w:rsidRPr="00B92333">
              <w:rPr>
                <w:rFonts w:cs="Arial"/>
                <w:sz w:val="20"/>
                <w:szCs w:val="20"/>
              </w:rPr>
              <w:t>2,817,409</w:t>
            </w:r>
          </w:p>
        </w:tc>
      </w:tr>
      <w:tr w:rsidR="00AC40FC" w:rsidRPr="00BA4BFA" w:rsidTr="00E32117">
        <w:trPr>
          <w:cantSplit/>
          <w:trHeight w:val="255"/>
          <w:jc w:val="center"/>
        </w:trPr>
        <w:tc>
          <w:tcPr>
            <w:tcW w:w="1687" w:type="dxa"/>
            <w:vMerge/>
            <w:vAlign w:val="center"/>
          </w:tcPr>
          <w:p w:rsidR="00AC40FC" w:rsidRPr="00B92333" w:rsidRDefault="00AC40FC" w:rsidP="00BB665B">
            <w:pPr>
              <w:spacing w:after="0"/>
              <w:jc w:val="center"/>
              <w:rPr>
                <w:rFonts w:cs="Arial"/>
                <w:sz w:val="20"/>
                <w:szCs w:val="20"/>
              </w:rPr>
            </w:pPr>
          </w:p>
        </w:tc>
        <w:tc>
          <w:tcPr>
            <w:tcW w:w="630" w:type="dxa"/>
            <w:noWrap/>
            <w:vAlign w:val="center"/>
          </w:tcPr>
          <w:p w:rsidR="00AC40FC" w:rsidRDefault="00AC40FC" w:rsidP="00BB665B">
            <w:pPr>
              <w:spacing w:after="0"/>
              <w:jc w:val="center"/>
              <w:rPr>
                <w:rFonts w:cs="Arial"/>
                <w:sz w:val="20"/>
                <w:szCs w:val="20"/>
              </w:rPr>
            </w:pPr>
            <w:r w:rsidRPr="00B92333">
              <w:rPr>
                <w:rFonts w:cs="Arial"/>
                <w:sz w:val="20"/>
                <w:szCs w:val="20"/>
              </w:rPr>
              <w:t>2013</w:t>
            </w:r>
          </w:p>
        </w:tc>
        <w:tc>
          <w:tcPr>
            <w:tcW w:w="1170" w:type="dxa"/>
            <w:noWrap/>
            <w:vAlign w:val="center"/>
          </w:tcPr>
          <w:p w:rsidR="00AC40FC" w:rsidRDefault="00AC40FC" w:rsidP="00BB665B">
            <w:pPr>
              <w:spacing w:after="0"/>
              <w:jc w:val="right"/>
              <w:rPr>
                <w:rFonts w:cs="Arial"/>
                <w:sz w:val="20"/>
                <w:szCs w:val="20"/>
              </w:rPr>
            </w:pPr>
            <w:r>
              <w:rPr>
                <w:rFonts w:cs="Arial"/>
                <w:sz w:val="20"/>
                <w:szCs w:val="20"/>
              </w:rPr>
              <w:t>$</w:t>
            </w:r>
            <w:r w:rsidRPr="00B92333">
              <w:rPr>
                <w:rFonts w:cs="Arial"/>
                <w:sz w:val="20"/>
                <w:szCs w:val="20"/>
              </w:rPr>
              <w:t>499,292</w:t>
            </w:r>
          </w:p>
        </w:tc>
        <w:tc>
          <w:tcPr>
            <w:tcW w:w="990" w:type="dxa"/>
            <w:noWrap/>
            <w:vAlign w:val="center"/>
          </w:tcPr>
          <w:p w:rsidR="00AC40FC" w:rsidRDefault="00AC40FC" w:rsidP="00BB665B">
            <w:pPr>
              <w:spacing w:after="0"/>
              <w:jc w:val="right"/>
              <w:rPr>
                <w:rFonts w:cs="Arial"/>
                <w:sz w:val="20"/>
                <w:szCs w:val="20"/>
              </w:rPr>
            </w:pPr>
            <w:r w:rsidRPr="00B92333">
              <w:rPr>
                <w:rFonts w:cs="Arial"/>
                <w:sz w:val="20"/>
                <w:szCs w:val="20"/>
              </w:rPr>
              <w:t>-</w:t>
            </w:r>
          </w:p>
        </w:tc>
        <w:tc>
          <w:tcPr>
            <w:tcW w:w="1170" w:type="dxa"/>
            <w:noWrap/>
            <w:vAlign w:val="center"/>
          </w:tcPr>
          <w:p w:rsidR="00AC40FC" w:rsidRDefault="00AC40FC" w:rsidP="00BB665B">
            <w:pPr>
              <w:spacing w:after="0"/>
              <w:jc w:val="right"/>
              <w:rPr>
                <w:rFonts w:cs="Arial"/>
                <w:sz w:val="20"/>
                <w:szCs w:val="20"/>
              </w:rPr>
            </w:pPr>
            <w:r>
              <w:rPr>
                <w:rFonts w:cs="Arial"/>
                <w:sz w:val="20"/>
                <w:szCs w:val="20"/>
              </w:rPr>
              <w:t>$</w:t>
            </w:r>
            <w:r w:rsidRPr="00B92333">
              <w:rPr>
                <w:rFonts w:cs="Arial"/>
                <w:sz w:val="20"/>
                <w:szCs w:val="20"/>
              </w:rPr>
              <w:t>837,779</w:t>
            </w:r>
          </w:p>
        </w:tc>
        <w:tc>
          <w:tcPr>
            <w:tcW w:w="1170" w:type="dxa"/>
            <w:noWrap/>
            <w:vAlign w:val="center"/>
          </w:tcPr>
          <w:p w:rsidR="00AC40FC" w:rsidRDefault="00AC40FC" w:rsidP="00BB665B">
            <w:pPr>
              <w:spacing w:after="0"/>
              <w:jc w:val="right"/>
              <w:rPr>
                <w:rFonts w:cs="Arial"/>
                <w:sz w:val="20"/>
                <w:szCs w:val="20"/>
              </w:rPr>
            </w:pPr>
            <w:r>
              <w:rPr>
                <w:rFonts w:cs="Arial"/>
                <w:sz w:val="20"/>
                <w:szCs w:val="20"/>
              </w:rPr>
              <w:t>$</w:t>
            </w:r>
            <w:r w:rsidRPr="00B92333">
              <w:rPr>
                <w:rFonts w:cs="Arial"/>
                <w:sz w:val="20"/>
                <w:szCs w:val="20"/>
              </w:rPr>
              <w:t>251,463</w:t>
            </w:r>
          </w:p>
        </w:tc>
        <w:tc>
          <w:tcPr>
            <w:tcW w:w="1620" w:type="dxa"/>
            <w:noWrap/>
            <w:vAlign w:val="center"/>
          </w:tcPr>
          <w:p w:rsidR="00AC40FC" w:rsidRDefault="00AC40FC" w:rsidP="00BB665B">
            <w:pPr>
              <w:spacing w:after="0"/>
              <w:jc w:val="right"/>
              <w:rPr>
                <w:rFonts w:cs="Arial"/>
                <w:sz w:val="20"/>
                <w:szCs w:val="20"/>
              </w:rPr>
            </w:pPr>
            <w:r>
              <w:rPr>
                <w:rFonts w:cs="Arial"/>
                <w:sz w:val="20"/>
                <w:szCs w:val="20"/>
              </w:rPr>
              <w:t>$</w:t>
            </w:r>
            <w:r w:rsidRPr="00B92333">
              <w:rPr>
                <w:rFonts w:cs="Arial"/>
                <w:sz w:val="20"/>
                <w:szCs w:val="20"/>
              </w:rPr>
              <w:t>531,806</w:t>
            </w:r>
          </w:p>
        </w:tc>
        <w:tc>
          <w:tcPr>
            <w:tcW w:w="1890" w:type="dxa"/>
            <w:noWrap/>
            <w:vAlign w:val="center"/>
          </w:tcPr>
          <w:p w:rsidR="00AC40FC" w:rsidRDefault="00AC40FC" w:rsidP="00BB665B">
            <w:pPr>
              <w:spacing w:after="0"/>
              <w:jc w:val="right"/>
              <w:rPr>
                <w:rFonts w:cs="Arial"/>
                <w:sz w:val="20"/>
                <w:szCs w:val="20"/>
              </w:rPr>
            </w:pPr>
            <w:r w:rsidRPr="00B92333">
              <w:rPr>
                <w:rFonts w:cs="Arial"/>
                <w:sz w:val="20"/>
                <w:szCs w:val="20"/>
              </w:rPr>
              <w:t>-</w:t>
            </w:r>
          </w:p>
        </w:tc>
        <w:tc>
          <w:tcPr>
            <w:tcW w:w="1080" w:type="dxa"/>
            <w:noWrap/>
            <w:vAlign w:val="center"/>
          </w:tcPr>
          <w:p w:rsidR="00AC40FC" w:rsidRDefault="00AC40FC" w:rsidP="00BB665B">
            <w:pPr>
              <w:spacing w:after="0"/>
              <w:jc w:val="right"/>
              <w:rPr>
                <w:rFonts w:cs="Arial"/>
                <w:sz w:val="20"/>
                <w:szCs w:val="20"/>
              </w:rPr>
            </w:pPr>
            <w:r>
              <w:rPr>
                <w:rFonts w:cs="Arial"/>
                <w:sz w:val="20"/>
                <w:szCs w:val="20"/>
              </w:rPr>
              <w:t>$</w:t>
            </w:r>
            <w:r w:rsidRPr="00B92333">
              <w:rPr>
                <w:rFonts w:cs="Arial"/>
                <w:sz w:val="20"/>
                <w:szCs w:val="20"/>
              </w:rPr>
              <w:t>30,729</w:t>
            </w:r>
          </w:p>
        </w:tc>
        <w:tc>
          <w:tcPr>
            <w:tcW w:w="1506" w:type="dxa"/>
            <w:noWrap/>
            <w:vAlign w:val="center"/>
          </w:tcPr>
          <w:p w:rsidR="00AC40FC" w:rsidRDefault="00AC40FC" w:rsidP="00BB665B">
            <w:pPr>
              <w:spacing w:after="0"/>
              <w:jc w:val="right"/>
              <w:rPr>
                <w:rFonts w:cs="Arial"/>
                <w:sz w:val="20"/>
                <w:szCs w:val="20"/>
              </w:rPr>
            </w:pPr>
            <w:r>
              <w:rPr>
                <w:rFonts w:cs="Arial"/>
                <w:sz w:val="20"/>
                <w:szCs w:val="20"/>
              </w:rPr>
              <w:t>$</w:t>
            </w:r>
            <w:r w:rsidRPr="00B92333">
              <w:rPr>
                <w:rFonts w:cs="Arial"/>
                <w:sz w:val="20"/>
                <w:szCs w:val="20"/>
              </w:rPr>
              <w:t>2,151,069</w:t>
            </w:r>
          </w:p>
        </w:tc>
      </w:tr>
      <w:tr w:rsidR="00AC40FC" w:rsidRPr="00BA4BFA" w:rsidTr="00E32117">
        <w:trPr>
          <w:cantSplit/>
          <w:trHeight w:val="255"/>
          <w:jc w:val="center"/>
        </w:trPr>
        <w:tc>
          <w:tcPr>
            <w:tcW w:w="1687" w:type="dxa"/>
            <w:vMerge w:val="restart"/>
            <w:vAlign w:val="center"/>
          </w:tcPr>
          <w:p w:rsidR="00AC40FC" w:rsidRPr="00B92333" w:rsidRDefault="00AC40FC" w:rsidP="00BB665B">
            <w:pPr>
              <w:spacing w:after="0"/>
              <w:jc w:val="center"/>
              <w:rPr>
                <w:rFonts w:cs="Arial"/>
                <w:sz w:val="20"/>
                <w:szCs w:val="20"/>
              </w:rPr>
            </w:pPr>
            <w:r w:rsidRPr="00B92333">
              <w:rPr>
                <w:rFonts w:cs="Arial"/>
                <w:sz w:val="20"/>
                <w:szCs w:val="20"/>
              </w:rPr>
              <w:t>Paul A. Farr</w:t>
            </w:r>
          </w:p>
          <w:p w:rsidR="00AC40FC" w:rsidRPr="00B92333" w:rsidRDefault="00AC40FC" w:rsidP="00BB665B">
            <w:pPr>
              <w:spacing w:after="0"/>
              <w:jc w:val="center"/>
              <w:rPr>
                <w:rFonts w:cs="Arial"/>
                <w:sz w:val="20"/>
                <w:szCs w:val="20"/>
              </w:rPr>
            </w:pPr>
            <w:r w:rsidRPr="00390CF3">
              <w:rPr>
                <w:rFonts w:cs="Arial"/>
                <w:sz w:val="20"/>
                <w:szCs w:val="20"/>
              </w:rPr>
              <w:t xml:space="preserve">Former </w:t>
            </w:r>
            <w:r>
              <w:rPr>
                <w:rFonts w:cs="Arial"/>
                <w:sz w:val="20"/>
                <w:szCs w:val="20"/>
              </w:rPr>
              <w:t xml:space="preserve">President of PPL Energy Supply, LLC/Former </w:t>
            </w:r>
            <w:r w:rsidRPr="00390CF3">
              <w:rPr>
                <w:rFonts w:cs="Arial"/>
                <w:sz w:val="20"/>
                <w:szCs w:val="20"/>
              </w:rPr>
              <w:t>Executive Vice</w:t>
            </w:r>
            <w:r w:rsidRPr="00B92333">
              <w:rPr>
                <w:rFonts w:cs="Arial"/>
                <w:sz w:val="20"/>
                <w:szCs w:val="20"/>
              </w:rPr>
              <w:t xml:space="preserve"> President and Chief Financial Officer</w:t>
            </w:r>
          </w:p>
        </w:tc>
        <w:tc>
          <w:tcPr>
            <w:tcW w:w="630" w:type="dxa"/>
            <w:noWrap/>
            <w:vAlign w:val="center"/>
          </w:tcPr>
          <w:p w:rsidR="00AC40FC" w:rsidRPr="00B92333" w:rsidRDefault="00AC40FC" w:rsidP="00BB665B">
            <w:pPr>
              <w:spacing w:after="0"/>
              <w:jc w:val="center"/>
              <w:rPr>
                <w:rFonts w:cs="Arial"/>
                <w:sz w:val="20"/>
                <w:szCs w:val="20"/>
              </w:rPr>
            </w:pPr>
            <w:r>
              <w:rPr>
                <w:rFonts w:cs="Arial"/>
                <w:sz w:val="20"/>
                <w:szCs w:val="20"/>
              </w:rPr>
              <w:t>2015</w:t>
            </w:r>
          </w:p>
        </w:tc>
        <w:tc>
          <w:tcPr>
            <w:tcW w:w="1170" w:type="dxa"/>
            <w:noWrap/>
            <w:vAlign w:val="center"/>
          </w:tcPr>
          <w:p w:rsidR="00AC40FC" w:rsidRPr="00B92333" w:rsidRDefault="00AC40FC" w:rsidP="00BB665B">
            <w:pPr>
              <w:spacing w:after="0"/>
              <w:jc w:val="right"/>
              <w:rPr>
                <w:rFonts w:cs="Arial"/>
                <w:sz w:val="20"/>
                <w:szCs w:val="20"/>
              </w:rPr>
            </w:pPr>
            <w:r>
              <w:rPr>
                <w:rFonts w:cs="Arial"/>
                <w:sz w:val="20"/>
                <w:szCs w:val="20"/>
              </w:rPr>
              <w:t>$341,192</w:t>
            </w:r>
          </w:p>
        </w:tc>
        <w:tc>
          <w:tcPr>
            <w:tcW w:w="990" w:type="dxa"/>
            <w:noWrap/>
            <w:vAlign w:val="center"/>
          </w:tcPr>
          <w:p w:rsidR="00AC40FC" w:rsidRPr="00B92333" w:rsidRDefault="00AC40FC" w:rsidP="00BB665B">
            <w:pPr>
              <w:spacing w:after="0"/>
              <w:jc w:val="right"/>
              <w:rPr>
                <w:rFonts w:cs="Arial"/>
                <w:sz w:val="20"/>
                <w:szCs w:val="20"/>
              </w:rPr>
            </w:pPr>
            <w:r>
              <w:rPr>
                <w:rFonts w:cs="Arial"/>
                <w:sz w:val="20"/>
                <w:szCs w:val="20"/>
              </w:rPr>
              <w:t>-</w:t>
            </w:r>
          </w:p>
        </w:tc>
        <w:tc>
          <w:tcPr>
            <w:tcW w:w="1170" w:type="dxa"/>
            <w:noWrap/>
            <w:vAlign w:val="center"/>
          </w:tcPr>
          <w:p w:rsidR="00AC40FC" w:rsidRPr="00B92333" w:rsidRDefault="00AC40FC" w:rsidP="00BB665B">
            <w:pPr>
              <w:spacing w:after="0"/>
              <w:jc w:val="right"/>
              <w:rPr>
                <w:rFonts w:cs="Arial"/>
                <w:sz w:val="20"/>
                <w:szCs w:val="20"/>
              </w:rPr>
            </w:pPr>
            <w:r>
              <w:rPr>
                <w:rFonts w:cs="Arial"/>
                <w:sz w:val="20"/>
                <w:szCs w:val="20"/>
              </w:rPr>
              <w:t>$2,446,781</w:t>
            </w:r>
          </w:p>
        </w:tc>
        <w:tc>
          <w:tcPr>
            <w:tcW w:w="1170" w:type="dxa"/>
            <w:noWrap/>
            <w:vAlign w:val="center"/>
          </w:tcPr>
          <w:p w:rsidR="00AC40FC" w:rsidRPr="00B92333" w:rsidRDefault="00AC40FC" w:rsidP="00BB665B">
            <w:pPr>
              <w:spacing w:after="0"/>
              <w:jc w:val="right"/>
              <w:rPr>
                <w:rFonts w:cs="Arial"/>
                <w:sz w:val="20"/>
                <w:szCs w:val="20"/>
              </w:rPr>
            </w:pPr>
            <w:r>
              <w:rPr>
                <w:rFonts w:cs="Arial"/>
                <w:sz w:val="20"/>
                <w:szCs w:val="20"/>
              </w:rPr>
              <w:t>$494,821</w:t>
            </w:r>
          </w:p>
        </w:tc>
        <w:tc>
          <w:tcPr>
            <w:tcW w:w="1620" w:type="dxa"/>
            <w:noWrap/>
            <w:vAlign w:val="center"/>
          </w:tcPr>
          <w:p w:rsidR="00AC40FC" w:rsidRPr="00B92333" w:rsidRDefault="00AC40FC" w:rsidP="00BB665B">
            <w:pPr>
              <w:spacing w:after="0"/>
              <w:jc w:val="right"/>
              <w:rPr>
                <w:rFonts w:cs="Arial"/>
                <w:sz w:val="20"/>
                <w:szCs w:val="20"/>
              </w:rPr>
            </w:pPr>
            <w:r>
              <w:rPr>
                <w:rFonts w:cs="Arial"/>
                <w:sz w:val="20"/>
                <w:szCs w:val="20"/>
              </w:rPr>
              <w:t>$322,481</w:t>
            </w:r>
          </w:p>
        </w:tc>
        <w:tc>
          <w:tcPr>
            <w:tcW w:w="1890" w:type="dxa"/>
            <w:noWrap/>
            <w:vAlign w:val="center"/>
          </w:tcPr>
          <w:p w:rsidR="00AC40FC" w:rsidRPr="00B92333" w:rsidRDefault="00AC40FC" w:rsidP="00BB665B">
            <w:pPr>
              <w:spacing w:after="0"/>
              <w:jc w:val="right"/>
              <w:rPr>
                <w:rFonts w:cs="Arial"/>
                <w:sz w:val="20"/>
                <w:szCs w:val="20"/>
              </w:rPr>
            </w:pPr>
            <w:r>
              <w:rPr>
                <w:rFonts w:cs="Arial"/>
                <w:sz w:val="20"/>
                <w:szCs w:val="20"/>
              </w:rPr>
              <w:t>$203,878</w:t>
            </w:r>
          </w:p>
        </w:tc>
        <w:tc>
          <w:tcPr>
            <w:tcW w:w="1080" w:type="dxa"/>
            <w:noWrap/>
            <w:vAlign w:val="center"/>
          </w:tcPr>
          <w:p w:rsidR="00AC40FC" w:rsidRPr="00B92333" w:rsidRDefault="00AC40FC" w:rsidP="00BB665B">
            <w:pPr>
              <w:spacing w:after="0"/>
              <w:jc w:val="right"/>
              <w:rPr>
                <w:rFonts w:cs="Arial"/>
                <w:sz w:val="20"/>
                <w:szCs w:val="20"/>
              </w:rPr>
            </w:pPr>
            <w:r>
              <w:rPr>
                <w:rFonts w:cs="Arial"/>
                <w:sz w:val="20"/>
                <w:szCs w:val="20"/>
              </w:rPr>
              <w:t>$36,538</w:t>
            </w:r>
          </w:p>
        </w:tc>
        <w:tc>
          <w:tcPr>
            <w:tcW w:w="1506" w:type="dxa"/>
            <w:noWrap/>
            <w:vAlign w:val="center"/>
          </w:tcPr>
          <w:p w:rsidR="00AC40FC" w:rsidRPr="00B92333" w:rsidRDefault="00AC40FC" w:rsidP="00BB665B">
            <w:pPr>
              <w:spacing w:after="0"/>
              <w:jc w:val="right"/>
              <w:rPr>
                <w:rFonts w:cs="Arial"/>
                <w:sz w:val="20"/>
                <w:szCs w:val="20"/>
              </w:rPr>
            </w:pPr>
            <w:r>
              <w:rPr>
                <w:rFonts w:cs="Arial"/>
                <w:sz w:val="20"/>
                <w:szCs w:val="20"/>
              </w:rPr>
              <w:t>$3,845,692</w:t>
            </w:r>
          </w:p>
        </w:tc>
      </w:tr>
      <w:tr w:rsidR="00AC40FC" w:rsidRPr="00BA4BFA" w:rsidTr="00E32117">
        <w:trPr>
          <w:cantSplit/>
          <w:trHeight w:val="255"/>
          <w:jc w:val="center"/>
        </w:trPr>
        <w:tc>
          <w:tcPr>
            <w:tcW w:w="1687" w:type="dxa"/>
            <w:vMerge/>
            <w:vAlign w:val="center"/>
            <w:hideMark/>
          </w:tcPr>
          <w:p w:rsidR="00AC40FC" w:rsidRPr="00B92333" w:rsidRDefault="00AC40FC" w:rsidP="00BB665B">
            <w:pPr>
              <w:spacing w:after="0"/>
              <w:jc w:val="center"/>
              <w:rPr>
                <w:rFonts w:cs="Arial"/>
                <w:sz w:val="20"/>
                <w:szCs w:val="20"/>
              </w:rPr>
            </w:pPr>
          </w:p>
        </w:tc>
        <w:tc>
          <w:tcPr>
            <w:tcW w:w="630" w:type="dxa"/>
            <w:noWrap/>
            <w:vAlign w:val="center"/>
            <w:hideMark/>
          </w:tcPr>
          <w:p w:rsidR="00AC40FC" w:rsidRPr="00B92333" w:rsidRDefault="00AC40FC" w:rsidP="00BB665B">
            <w:pPr>
              <w:spacing w:after="0"/>
              <w:jc w:val="center"/>
              <w:rPr>
                <w:rFonts w:cs="Arial"/>
                <w:sz w:val="20"/>
                <w:szCs w:val="20"/>
              </w:rPr>
            </w:pPr>
            <w:r w:rsidRPr="00B92333">
              <w:rPr>
                <w:rFonts w:cs="Arial"/>
                <w:sz w:val="20"/>
                <w:szCs w:val="20"/>
              </w:rPr>
              <w:t>2014</w:t>
            </w:r>
          </w:p>
        </w:tc>
        <w:tc>
          <w:tcPr>
            <w:tcW w:w="1170" w:type="dxa"/>
            <w:noWrap/>
            <w:vAlign w:val="center"/>
            <w:hideMark/>
          </w:tcPr>
          <w:p w:rsidR="00AC40FC" w:rsidRDefault="00AC40FC" w:rsidP="00BB665B">
            <w:pPr>
              <w:spacing w:after="0"/>
              <w:jc w:val="right"/>
              <w:rPr>
                <w:rFonts w:cs="Arial"/>
                <w:sz w:val="20"/>
                <w:szCs w:val="20"/>
              </w:rPr>
            </w:pPr>
            <w:r>
              <w:rPr>
                <w:rFonts w:cs="Arial"/>
                <w:sz w:val="20"/>
                <w:szCs w:val="20"/>
              </w:rPr>
              <w:t>$</w:t>
            </w:r>
            <w:r w:rsidRPr="00B92333">
              <w:rPr>
                <w:rFonts w:cs="Arial"/>
                <w:sz w:val="20"/>
                <w:szCs w:val="20"/>
              </w:rPr>
              <w:t>736,155</w:t>
            </w:r>
          </w:p>
        </w:tc>
        <w:tc>
          <w:tcPr>
            <w:tcW w:w="990" w:type="dxa"/>
            <w:noWrap/>
            <w:vAlign w:val="center"/>
            <w:hideMark/>
          </w:tcPr>
          <w:p w:rsidR="00AC40FC" w:rsidRDefault="00AC40FC" w:rsidP="00BB665B">
            <w:pPr>
              <w:spacing w:after="0"/>
              <w:jc w:val="right"/>
              <w:rPr>
                <w:rFonts w:cs="Arial"/>
                <w:sz w:val="20"/>
                <w:szCs w:val="20"/>
              </w:rPr>
            </w:pPr>
            <w:r w:rsidRPr="00B92333">
              <w:rPr>
                <w:rFonts w:cs="Arial"/>
                <w:sz w:val="20"/>
                <w:szCs w:val="20"/>
              </w:rPr>
              <w:t>-</w:t>
            </w:r>
          </w:p>
        </w:tc>
        <w:tc>
          <w:tcPr>
            <w:tcW w:w="1170" w:type="dxa"/>
            <w:noWrap/>
            <w:vAlign w:val="center"/>
            <w:hideMark/>
          </w:tcPr>
          <w:p w:rsidR="00AC40FC" w:rsidRDefault="00AC40FC" w:rsidP="00BB665B">
            <w:pPr>
              <w:spacing w:after="0"/>
              <w:jc w:val="right"/>
              <w:rPr>
                <w:rFonts w:cs="Arial"/>
                <w:sz w:val="20"/>
                <w:szCs w:val="20"/>
              </w:rPr>
            </w:pPr>
            <w:r>
              <w:rPr>
                <w:rFonts w:cs="Arial"/>
                <w:sz w:val="20"/>
                <w:szCs w:val="20"/>
              </w:rPr>
              <w:t>$</w:t>
            </w:r>
            <w:r w:rsidRPr="00B92333">
              <w:rPr>
                <w:rFonts w:cs="Arial"/>
                <w:sz w:val="20"/>
                <w:szCs w:val="20"/>
              </w:rPr>
              <w:t>2,418,196</w:t>
            </w:r>
          </w:p>
        </w:tc>
        <w:tc>
          <w:tcPr>
            <w:tcW w:w="1170" w:type="dxa"/>
            <w:noWrap/>
            <w:vAlign w:val="center"/>
            <w:hideMark/>
          </w:tcPr>
          <w:p w:rsidR="00AC40FC" w:rsidRDefault="00AC40FC" w:rsidP="00BB665B">
            <w:pPr>
              <w:spacing w:after="0"/>
              <w:jc w:val="right"/>
              <w:rPr>
                <w:rFonts w:cs="Arial"/>
                <w:sz w:val="20"/>
                <w:szCs w:val="20"/>
              </w:rPr>
            </w:pPr>
            <w:r w:rsidRPr="00B92333">
              <w:rPr>
                <w:rFonts w:cs="Arial"/>
                <w:sz w:val="20"/>
                <w:szCs w:val="20"/>
              </w:rPr>
              <w:t>-</w:t>
            </w:r>
          </w:p>
        </w:tc>
        <w:tc>
          <w:tcPr>
            <w:tcW w:w="1620" w:type="dxa"/>
            <w:noWrap/>
            <w:vAlign w:val="center"/>
            <w:hideMark/>
          </w:tcPr>
          <w:p w:rsidR="00AC40FC" w:rsidRDefault="00AC40FC" w:rsidP="00BB665B">
            <w:pPr>
              <w:spacing w:after="0"/>
              <w:jc w:val="right"/>
              <w:rPr>
                <w:rFonts w:cs="Arial"/>
                <w:sz w:val="20"/>
                <w:szCs w:val="20"/>
              </w:rPr>
            </w:pPr>
            <w:r>
              <w:rPr>
                <w:rFonts w:cs="Arial"/>
                <w:sz w:val="20"/>
                <w:szCs w:val="20"/>
              </w:rPr>
              <w:t>$</w:t>
            </w:r>
            <w:r w:rsidRPr="00B92333">
              <w:rPr>
                <w:rFonts w:cs="Arial"/>
                <w:sz w:val="20"/>
                <w:szCs w:val="20"/>
              </w:rPr>
              <w:t>883,025</w:t>
            </w:r>
          </w:p>
        </w:tc>
        <w:tc>
          <w:tcPr>
            <w:tcW w:w="1890" w:type="dxa"/>
            <w:noWrap/>
            <w:vAlign w:val="center"/>
            <w:hideMark/>
          </w:tcPr>
          <w:p w:rsidR="00AC40FC" w:rsidRDefault="00AC40FC" w:rsidP="00BB665B">
            <w:pPr>
              <w:spacing w:after="0"/>
              <w:jc w:val="right"/>
              <w:rPr>
                <w:rFonts w:cs="Arial"/>
                <w:sz w:val="20"/>
                <w:szCs w:val="20"/>
              </w:rPr>
            </w:pPr>
            <w:r>
              <w:rPr>
                <w:rFonts w:cs="Arial"/>
                <w:sz w:val="20"/>
                <w:szCs w:val="20"/>
              </w:rPr>
              <w:t>$</w:t>
            </w:r>
            <w:r w:rsidRPr="00B92333">
              <w:rPr>
                <w:rFonts w:cs="Arial"/>
                <w:sz w:val="20"/>
                <w:szCs w:val="20"/>
              </w:rPr>
              <w:t>1,122,169</w:t>
            </w:r>
          </w:p>
        </w:tc>
        <w:tc>
          <w:tcPr>
            <w:tcW w:w="1080" w:type="dxa"/>
            <w:noWrap/>
            <w:vAlign w:val="center"/>
            <w:hideMark/>
          </w:tcPr>
          <w:p w:rsidR="00AC40FC" w:rsidRDefault="00AC40FC" w:rsidP="00BB665B">
            <w:pPr>
              <w:spacing w:after="0"/>
              <w:jc w:val="right"/>
              <w:rPr>
                <w:rFonts w:cs="Arial"/>
                <w:sz w:val="20"/>
                <w:szCs w:val="20"/>
              </w:rPr>
            </w:pPr>
            <w:r>
              <w:rPr>
                <w:rFonts w:cs="Arial"/>
                <w:sz w:val="20"/>
                <w:szCs w:val="20"/>
              </w:rPr>
              <w:t>$</w:t>
            </w:r>
            <w:r w:rsidRPr="00B92333">
              <w:rPr>
                <w:rFonts w:cs="Arial"/>
                <w:sz w:val="20"/>
                <w:szCs w:val="20"/>
              </w:rPr>
              <w:t>56,599</w:t>
            </w:r>
          </w:p>
        </w:tc>
        <w:tc>
          <w:tcPr>
            <w:tcW w:w="1506" w:type="dxa"/>
            <w:noWrap/>
            <w:vAlign w:val="center"/>
            <w:hideMark/>
          </w:tcPr>
          <w:p w:rsidR="00AC40FC" w:rsidRDefault="00AC40FC" w:rsidP="00BB665B">
            <w:pPr>
              <w:spacing w:after="0"/>
              <w:jc w:val="right"/>
              <w:rPr>
                <w:rFonts w:cs="Arial"/>
                <w:sz w:val="20"/>
                <w:szCs w:val="20"/>
              </w:rPr>
            </w:pPr>
            <w:r>
              <w:rPr>
                <w:rFonts w:cs="Arial"/>
                <w:sz w:val="20"/>
                <w:szCs w:val="20"/>
              </w:rPr>
              <w:t>$</w:t>
            </w:r>
            <w:r w:rsidRPr="00B92333">
              <w:rPr>
                <w:rFonts w:cs="Arial"/>
                <w:sz w:val="20"/>
                <w:szCs w:val="20"/>
              </w:rPr>
              <w:t>5,216,144</w:t>
            </w:r>
          </w:p>
        </w:tc>
      </w:tr>
      <w:tr w:rsidR="00AC40FC" w:rsidRPr="00BA4BFA" w:rsidTr="00E32117">
        <w:trPr>
          <w:cantSplit/>
          <w:trHeight w:val="255"/>
          <w:jc w:val="center"/>
        </w:trPr>
        <w:tc>
          <w:tcPr>
            <w:tcW w:w="1687" w:type="dxa"/>
            <w:vMerge/>
            <w:vAlign w:val="center"/>
            <w:hideMark/>
          </w:tcPr>
          <w:p w:rsidR="00AC40FC" w:rsidRPr="00B92333" w:rsidRDefault="00AC40FC" w:rsidP="00BB665B">
            <w:pPr>
              <w:spacing w:after="0"/>
              <w:jc w:val="center"/>
              <w:rPr>
                <w:rFonts w:cs="Arial"/>
                <w:sz w:val="20"/>
                <w:szCs w:val="20"/>
              </w:rPr>
            </w:pPr>
          </w:p>
        </w:tc>
        <w:tc>
          <w:tcPr>
            <w:tcW w:w="630" w:type="dxa"/>
            <w:noWrap/>
            <w:vAlign w:val="center"/>
            <w:hideMark/>
          </w:tcPr>
          <w:p w:rsidR="00AC40FC" w:rsidRPr="00B92333" w:rsidRDefault="00AC40FC" w:rsidP="00BB665B">
            <w:pPr>
              <w:spacing w:after="0"/>
              <w:jc w:val="center"/>
              <w:rPr>
                <w:rFonts w:cs="Arial"/>
                <w:sz w:val="20"/>
                <w:szCs w:val="20"/>
              </w:rPr>
            </w:pPr>
            <w:r w:rsidRPr="00B92333">
              <w:rPr>
                <w:rFonts w:cs="Arial"/>
                <w:sz w:val="20"/>
                <w:szCs w:val="20"/>
              </w:rPr>
              <w:t>2013</w:t>
            </w:r>
          </w:p>
        </w:tc>
        <w:tc>
          <w:tcPr>
            <w:tcW w:w="1170" w:type="dxa"/>
            <w:noWrap/>
            <w:vAlign w:val="center"/>
            <w:hideMark/>
          </w:tcPr>
          <w:p w:rsidR="00AC40FC" w:rsidRDefault="00AC40FC" w:rsidP="00BB665B">
            <w:pPr>
              <w:spacing w:after="0"/>
              <w:jc w:val="right"/>
              <w:rPr>
                <w:rFonts w:cs="Arial"/>
                <w:sz w:val="20"/>
                <w:szCs w:val="20"/>
              </w:rPr>
            </w:pPr>
            <w:r>
              <w:rPr>
                <w:rFonts w:cs="Arial"/>
                <w:sz w:val="20"/>
                <w:szCs w:val="20"/>
              </w:rPr>
              <w:t>$</w:t>
            </w:r>
            <w:r w:rsidRPr="00B92333">
              <w:rPr>
                <w:rFonts w:cs="Arial"/>
                <w:sz w:val="20"/>
                <w:szCs w:val="20"/>
              </w:rPr>
              <w:t>701,377</w:t>
            </w:r>
          </w:p>
        </w:tc>
        <w:tc>
          <w:tcPr>
            <w:tcW w:w="990" w:type="dxa"/>
            <w:noWrap/>
            <w:vAlign w:val="center"/>
            <w:hideMark/>
          </w:tcPr>
          <w:p w:rsidR="00AC40FC" w:rsidRDefault="00AC40FC" w:rsidP="00BB665B">
            <w:pPr>
              <w:spacing w:after="0"/>
              <w:jc w:val="right"/>
              <w:rPr>
                <w:rFonts w:cs="Arial"/>
                <w:sz w:val="20"/>
                <w:szCs w:val="20"/>
              </w:rPr>
            </w:pPr>
            <w:r w:rsidRPr="00B92333">
              <w:rPr>
                <w:rFonts w:cs="Arial"/>
                <w:sz w:val="20"/>
                <w:szCs w:val="20"/>
              </w:rPr>
              <w:t>-</w:t>
            </w:r>
          </w:p>
        </w:tc>
        <w:tc>
          <w:tcPr>
            <w:tcW w:w="1170" w:type="dxa"/>
            <w:noWrap/>
            <w:vAlign w:val="center"/>
            <w:hideMark/>
          </w:tcPr>
          <w:p w:rsidR="00AC40FC" w:rsidRDefault="00AC40FC" w:rsidP="00BB665B">
            <w:pPr>
              <w:spacing w:after="0"/>
              <w:jc w:val="right"/>
              <w:rPr>
                <w:rFonts w:cs="Arial"/>
                <w:sz w:val="20"/>
                <w:szCs w:val="20"/>
              </w:rPr>
            </w:pPr>
            <w:r>
              <w:rPr>
                <w:rFonts w:cs="Arial"/>
                <w:sz w:val="20"/>
                <w:szCs w:val="20"/>
              </w:rPr>
              <w:t>$</w:t>
            </w:r>
            <w:r w:rsidRPr="00B92333">
              <w:rPr>
                <w:rFonts w:cs="Arial"/>
                <w:sz w:val="20"/>
                <w:szCs w:val="20"/>
              </w:rPr>
              <w:t>1,796,407</w:t>
            </w:r>
          </w:p>
        </w:tc>
        <w:tc>
          <w:tcPr>
            <w:tcW w:w="1170" w:type="dxa"/>
            <w:noWrap/>
            <w:vAlign w:val="center"/>
            <w:hideMark/>
          </w:tcPr>
          <w:p w:rsidR="00AC40FC" w:rsidRDefault="00AC40FC" w:rsidP="00BB665B">
            <w:pPr>
              <w:spacing w:after="0"/>
              <w:jc w:val="right"/>
              <w:rPr>
                <w:rFonts w:cs="Arial"/>
                <w:sz w:val="20"/>
                <w:szCs w:val="20"/>
              </w:rPr>
            </w:pPr>
            <w:r>
              <w:rPr>
                <w:rFonts w:cs="Arial"/>
                <w:sz w:val="20"/>
                <w:szCs w:val="20"/>
              </w:rPr>
              <w:t>$</w:t>
            </w:r>
            <w:r w:rsidRPr="00B92333">
              <w:rPr>
                <w:rFonts w:cs="Arial"/>
                <w:sz w:val="20"/>
                <w:szCs w:val="20"/>
              </w:rPr>
              <w:t>593,156</w:t>
            </w:r>
          </w:p>
        </w:tc>
        <w:tc>
          <w:tcPr>
            <w:tcW w:w="1620" w:type="dxa"/>
            <w:noWrap/>
            <w:vAlign w:val="center"/>
            <w:hideMark/>
          </w:tcPr>
          <w:p w:rsidR="00AC40FC" w:rsidRDefault="00AC40FC" w:rsidP="00BB665B">
            <w:pPr>
              <w:spacing w:after="0"/>
              <w:jc w:val="right"/>
              <w:rPr>
                <w:rFonts w:cs="Arial"/>
                <w:sz w:val="20"/>
                <w:szCs w:val="20"/>
              </w:rPr>
            </w:pPr>
            <w:r>
              <w:rPr>
                <w:rFonts w:cs="Arial"/>
                <w:sz w:val="20"/>
                <w:szCs w:val="20"/>
              </w:rPr>
              <w:t>$</w:t>
            </w:r>
            <w:r w:rsidRPr="00B92333">
              <w:rPr>
                <w:rFonts w:cs="Arial"/>
                <w:sz w:val="20"/>
                <w:szCs w:val="20"/>
              </w:rPr>
              <w:t>861,354</w:t>
            </w:r>
          </w:p>
        </w:tc>
        <w:tc>
          <w:tcPr>
            <w:tcW w:w="1890" w:type="dxa"/>
            <w:noWrap/>
            <w:vAlign w:val="center"/>
            <w:hideMark/>
          </w:tcPr>
          <w:p w:rsidR="00AC40FC" w:rsidRDefault="00AC40FC" w:rsidP="00BB665B">
            <w:pPr>
              <w:spacing w:after="0"/>
              <w:jc w:val="right"/>
              <w:rPr>
                <w:rFonts w:cs="Arial"/>
                <w:sz w:val="20"/>
                <w:szCs w:val="20"/>
              </w:rPr>
            </w:pPr>
            <w:r>
              <w:rPr>
                <w:rFonts w:cs="Arial"/>
                <w:sz w:val="20"/>
                <w:szCs w:val="20"/>
              </w:rPr>
              <w:t>$</w:t>
            </w:r>
            <w:r w:rsidRPr="00B92333">
              <w:rPr>
                <w:rFonts w:cs="Arial"/>
                <w:sz w:val="20"/>
                <w:szCs w:val="20"/>
              </w:rPr>
              <w:t>28,870</w:t>
            </w:r>
          </w:p>
        </w:tc>
        <w:tc>
          <w:tcPr>
            <w:tcW w:w="1080" w:type="dxa"/>
            <w:noWrap/>
            <w:vAlign w:val="center"/>
            <w:hideMark/>
          </w:tcPr>
          <w:p w:rsidR="00AC40FC" w:rsidRDefault="00AC40FC" w:rsidP="00BB665B">
            <w:pPr>
              <w:spacing w:after="0"/>
              <w:jc w:val="right"/>
              <w:rPr>
                <w:rFonts w:cs="Arial"/>
                <w:sz w:val="20"/>
                <w:szCs w:val="20"/>
              </w:rPr>
            </w:pPr>
            <w:r>
              <w:rPr>
                <w:rFonts w:cs="Arial"/>
                <w:sz w:val="20"/>
                <w:szCs w:val="20"/>
              </w:rPr>
              <w:t>$</w:t>
            </w:r>
            <w:r w:rsidRPr="00B92333">
              <w:rPr>
                <w:rFonts w:cs="Arial"/>
                <w:sz w:val="20"/>
                <w:szCs w:val="20"/>
              </w:rPr>
              <w:t>40,582</w:t>
            </w:r>
          </w:p>
        </w:tc>
        <w:tc>
          <w:tcPr>
            <w:tcW w:w="1506" w:type="dxa"/>
            <w:noWrap/>
            <w:vAlign w:val="center"/>
            <w:hideMark/>
          </w:tcPr>
          <w:p w:rsidR="00AC40FC" w:rsidRDefault="00AC40FC" w:rsidP="00BB665B">
            <w:pPr>
              <w:spacing w:after="0"/>
              <w:jc w:val="right"/>
              <w:rPr>
                <w:rFonts w:cs="Arial"/>
                <w:sz w:val="20"/>
                <w:szCs w:val="20"/>
              </w:rPr>
            </w:pPr>
            <w:r>
              <w:rPr>
                <w:rFonts w:cs="Arial"/>
                <w:sz w:val="20"/>
                <w:szCs w:val="20"/>
              </w:rPr>
              <w:t>$</w:t>
            </w:r>
            <w:r w:rsidRPr="00B92333">
              <w:rPr>
                <w:rFonts w:cs="Arial"/>
                <w:sz w:val="20"/>
                <w:szCs w:val="20"/>
              </w:rPr>
              <w:t>4,021,746</w:t>
            </w:r>
          </w:p>
        </w:tc>
      </w:tr>
      <w:tr w:rsidR="00AC40FC" w:rsidRPr="00BA4BFA" w:rsidTr="00E32117">
        <w:trPr>
          <w:cantSplit/>
          <w:trHeight w:val="255"/>
          <w:jc w:val="center"/>
        </w:trPr>
        <w:tc>
          <w:tcPr>
            <w:tcW w:w="1687" w:type="dxa"/>
            <w:vMerge w:val="restart"/>
            <w:vAlign w:val="center"/>
          </w:tcPr>
          <w:p w:rsidR="00AC40FC" w:rsidRPr="00B019A6" w:rsidRDefault="00AC40FC" w:rsidP="00BB665B">
            <w:pPr>
              <w:pageBreakBefore/>
              <w:spacing w:after="0"/>
              <w:jc w:val="center"/>
              <w:rPr>
                <w:rFonts w:cs="Arial"/>
                <w:sz w:val="20"/>
                <w:szCs w:val="20"/>
              </w:rPr>
            </w:pPr>
            <w:r w:rsidRPr="00B019A6">
              <w:rPr>
                <w:rFonts w:cs="Arial"/>
                <w:sz w:val="20"/>
                <w:szCs w:val="20"/>
              </w:rPr>
              <w:lastRenderedPageBreak/>
              <w:t>Victor A. Staffieri</w:t>
            </w:r>
          </w:p>
          <w:p w:rsidR="00AC40FC" w:rsidRPr="00B019A6" w:rsidRDefault="00AC40FC" w:rsidP="00BB665B">
            <w:pPr>
              <w:pageBreakBefore/>
              <w:spacing w:after="0"/>
              <w:jc w:val="center"/>
              <w:rPr>
                <w:rFonts w:cs="Arial"/>
                <w:sz w:val="20"/>
                <w:szCs w:val="20"/>
              </w:rPr>
            </w:pPr>
            <w:r w:rsidRPr="00B019A6">
              <w:rPr>
                <w:rFonts w:cs="Arial"/>
                <w:sz w:val="20"/>
                <w:szCs w:val="20"/>
              </w:rPr>
              <w:t>Chairman of the Board, Chief Executive Officer and President – LG&amp;E and KU Energy LLC</w:t>
            </w:r>
          </w:p>
        </w:tc>
        <w:tc>
          <w:tcPr>
            <w:tcW w:w="630" w:type="dxa"/>
            <w:noWrap/>
            <w:vAlign w:val="center"/>
          </w:tcPr>
          <w:p w:rsidR="00AC40FC" w:rsidRPr="00B92333" w:rsidRDefault="00AC40FC" w:rsidP="00BB665B">
            <w:pPr>
              <w:pageBreakBefore/>
              <w:spacing w:after="0"/>
              <w:jc w:val="center"/>
              <w:rPr>
                <w:rFonts w:cs="Arial"/>
                <w:sz w:val="20"/>
                <w:szCs w:val="20"/>
              </w:rPr>
            </w:pPr>
            <w:r>
              <w:rPr>
                <w:rFonts w:cs="Arial"/>
                <w:sz w:val="20"/>
                <w:szCs w:val="20"/>
              </w:rPr>
              <w:t>2015</w:t>
            </w:r>
          </w:p>
        </w:tc>
        <w:tc>
          <w:tcPr>
            <w:tcW w:w="1170" w:type="dxa"/>
            <w:noWrap/>
            <w:vAlign w:val="center"/>
          </w:tcPr>
          <w:p w:rsidR="00AC40FC" w:rsidRPr="00B92333" w:rsidRDefault="00AC40FC" w:rsidP="00BB665B">
            <w:pPr>
              <w:pageBreakBefore/>
              <w:spacing w:after="0"/>
              <w:jc w:val="right"/>
              <w:rPr>
                <w:rFonts w:cs="Arial"/>
                <w:sz w:val="20"/>
                <w:szCs w:val="20"/>
              </w:rPr>
            </w:pPr>
            <w:r>
              <w:rPr>
                <w:rFonts w:cs="Arial"/>
                <w:sz w:val="20"/>
                <w:szCs w:val="20"/>
              </w:rPr>
              <w:t>$811,220</w:t>
            </w:r>
          </w:p>
        </w:tc>
        <w:tc>
          <w:tcPr>
            <w:tcW w:w="990" w:type="dxa"/>
            <w:noWrap/>
            <w:vAlign w:val="center"/>
          </w:tcPr>
          <w:p w:rsidR="00AC40FC" w:rsidRPr="00B92333" w:rsidRDefault="00AC40FC" w:rsidP="00BB665B">
            <w:pPr>
              <w:pageBreakBefore/>
              <w:spacing w:after="0"/>
              <w:jc w:val="right"/>
              <w:rPr>
                <w:rFonts w:cs="Arial"/>
                <w:sz w:val="20"/>
                <w:szCs w:val="20"/>
              </w:rPr>
            </w:pPr>
            <w:r>
              <w:rPr>
                <w:rFonts w:cs="Arial"/>
                <w:sz w:val="20"/>
                <w:szCs w:val="20"/>
              </w:rPr>
              <w:t>-</w:t>
            </w:r>
          </w:p>
        </w:tc>
        <w:tc>
          <w:tcPr>
            <w:tcW w:w="1170" w:type="dxa"/>
            <w:noWrap/>
            <w:vAlign w:val="center"/>
          </w:tcPr>
          <w:p w:rsidR="00AC40FC" w:rsidRPr="00B92333" w:rsidRDefault="00AC40FC" w:rsidP="00BB665B">
            <w:pPr>
              <w:pageBreakBefore/>
              <w:spacing w:after="0"/>
              <w:jc w:val="right"/>
              <w:rPr>
                <w:rFonts w:cs="Arial"/>
                <w:sz w:val="20"/>
                <w:szCs w:val="20"/>
              </w:rPr>
            </w:pPr>
            <w:r>
              <w:rPr>
                <w:rFonts w:cs="Arial"/>
                <w:sz w:val="20"/>
                <w:szCs w:val="20"/>
              </w:rPr>
              <w:t>$1,745,339</w:t>
            </w:r>
          </w:p>
        </w:tc>
        <w:tc>
          <w:tcPr>
            <w:tcW w:w="1170" w:type="dxa"/>
            <w:noWrap/>
            <w:vAlign w:val="center"/>
          </w:tcPr>
          <w:p w:rsidR="00AC40FC" w:rsidRPr="00B92333" w:rsidRDefault="00AC40FC" w:rsidP="00BB665B">
            <w:pPr>
              <w:pageBreakBefore/>
              <w:spacing w:after="0"/>
              <w:jc w:val="right"/>
              <w:rPr>
                <w:rFonts w:cs="Arial"/>
                <w:sz w:val="20"/>
                <w:szCs w:val="20"/>
              </w:rPr>
            </w:pPr>
            <w:r>
              <w:rPr>
                <w:rFonts w:cs="Arial"/>
                <w:sz w:val="20"/>
                <w:szCs w:val="20"/>
              </w:rPr>
              <w:t>$39,745</w:t>
            </w:r>
          </w:p>
        </w:tc>
        <w:tc>
          <w:tcPr>
            <w:tcW w:w="1620" w:type="dxa"/>
            <w:noWrap/>
            <w:vAlign w:val="center"/>
          </w:tcPr>
          <w:p w:rsidR="00AC40FC" w:rsidRPr="00B92333" w:rsidRDefault="00AC40FC" w:rsidP="00BB665B">
            <w:pPr>
              <w:pageBreakBefore/>
              <w:spacing w:after="0"/>
              <w:jc w:val="right"/>
              <w:rPr>
                <w:rFonts w:cs="Arial"/>
                <w:sz w:val="20"/>
                <w:szCs w:val="20"/>
              </w:rPr>
            </w:pPr>
            <w:r>
              <w:rPr>
                <w:rFonts w:cs="Arial"/>
                <w:sz w:val="20"/>
                <w:szCs w:val="20"/>
              </w:rPr>
              <w:t>$898,629</w:t>
            </w:r>
          </w:p>
        </w:tc>
        <w:tc>
          <w:tcPr>
            <w:tcW w:w="1890" w:type="dxa"/>
            <w:noWrap/>
            <w:vAlign w:val="center"/>
          </w:tcPr>
          <w:p w:rsidR="00AC40FC" w:rsidRPr="00B92333" w:rsidRDefault="00AC40FC" w:rsidP="00BB665B">
            <w:pPr>
              <w:pageBreakBefore/>
              <w:spacing w:after="0"/>
              <w:jc w:val="right"/>
              <w:rPr>
                <w:rFonts w:cs="Arial"/>
                <w:sz w:val="20"/>
                <w:szCs w:val="20"/>
              </w:rPr>
            </w:pPr>
            <w:r>
              <w:rPr>
                <w:rFonts w:cs="Arial"/>
                <w:sz w:val="20"/>
                <w:szCs w:val="20"/>
              </w:rPr>
              <w:t>$60,305</w:t>
            </w:r>
          </w:p>
        </w:tc>
        <w:tc>
          <w:tcPr>
            <w:tcW w:w="1080" w:type="dxa"/>
            <w:noWrap/>
            <w:vAlign w:val="center"/>
          </w:tcPr>
          <w:p w:rsidR="00AC40FC" w:rsidRPr="00B92333" w:rsidRDefault="00AC40FC" w:rsidP="00BB665B">
            <w:pPr>
              <w:pageBreakBefore/>
              <w:spacing w:after="0"/>
              <w:jc w:val="right"/>
              <w:rPr>
                <w:rFonts w:cs="Arial"/>
                <w:sz w:val="20"/>
                <w:szCs w:val="20"/>
              </w:rPr>
            </w:pPr>
            <w:r>
              <w:rPr>
                <w:rFonts w:cs="Arial"/>
                <w:sz w:val="20"/>
                <w:szCs w:val="20"/>
              </w:rPr>
              <w:t>$76,630</w:t>
            </w:r>
          </w:p>
        </w:tc>
        <w:tc>
          <w:tcPr>
            <w:tcW w:w="1506" w:type="dxa"/>
            <w:noWrap/>
            <w:vAlign w:val="center"/>
          </w:tcPr>
          <w:p w:rsidR="00AC40FC" w:rsidRPr="00B92333" w:rsidRDefault="00AC40FC" w:rsidP="00BB665B">
            <w:pPr>
              <w:pageBreakBefore/>
              <w:spacing w:after="0"/>
              <w:jc w:val="right"/>
              <w:rPr>
                <w:rFonts w:cs="Arial"/>
                <w:sz w:val="20"/>
                <w:szCs w:val="20"/>
              </w:rPr>
            </w:pPr>
            <w:r>
              <w:rPr>
                <w:rFonts w:cs="Arial"/>
                <w:sz w:val="20"/>
                <w:szCs w:val="20"/>
              </w:rPr>
              <w:t>$3,631,868</w:t>
            </w:r>
          </w:p>
        </w:tc>
      </w:tr>
      <w:tr w:rsidR="00AC40FC" w:rsidRPr="00BA4BFA" w:rsidTr="00E32117">
        <w:trPr>
          <w:cantSplit/>
          <w:trHeight w:val="255"/>
          <w:jc w:val="center"/>
        </w:trPr>
        <w:tc>
          <w:tcPr>
            <w:tcW w:w="1687" w:type="dxa"/>
            <w:vMerge/>
            <w:vAlign w:val="center"/>
            <w:hideMark/>
          </w:tcPr>
          <w:p w:rsidR="00AC40FC" w:rsidRPr="00B92333" w:rsidRDefault="00AC40FC" w:rsidP="00BB665B">
            <w:pPr>
              <w:spacing w:after="0"/>
              <w:jc w:val="center"/>
              <w:rPr>
                <w:rFonts w:cs="Arial"/>
                <w:sz w:val="20"/>
                <w:szCs w:val="20"/>
              </w:rPr>
            </w:pPr>
          </w:p>
        </w:tc>
        <w:tc>
          <w:tcPr>
            <w:tcW w:w="630" w:type="dxa"/>
            <w:noWrap/>
            <w:vAlign w:val="center"/>
            <w:hideMark/>
          </w:tcPr>
          <w:p w:rsidR="00AC40FC" w:rsidRPr="00B92333" w:rsidRDefault="00AC40FC" w:rsidP="00BB665B">
            <w:pPr>
              <w:spacing w:after="0"/>
              <w:jc w:val="center"/>
              <w:rPr>
                <w:rFonts w:cs="Arial"/>
                <w:sz w:val="20"/>
                <w:szCs w:val="20"/>
              </w:rPr>
            </w:pPr>
            <w:r w:rsidRPr="00B92333">
              <w:rPr>
                <w:rFonts w:cs="Arial"/>
                <w:sz w:val="20"/>
                <w:szCs w:val="20"/>
              </w:rPr>
              <w:t>2014</w:t>
            </w:r>
          </w:p>
        </w:tc>
        <w:tc>
          <w:tcPr>
            <w:tcW w:w="1170" w:type="dxa"/>
            <w:noWrap/>
            <w:vAlign w:val="center"/>
            <w:hideMark/>
          </w:tcPr>
          <w:p w:rsidR="00AC40FC" w:rsidRPr="00B92333" w:rsidRDefault="00AC40FC" w:rsidP="00BB665B">
            <w:pPr>
              <w:spacing w:after="0"/>
              <w:jc w:val="right"/>
              <w:rPr>
                <w:rFonts w:cs="Arial"/>
                <w:sz w:val="20"/>
                <w:szCs w:val="20"/>
              </w:rPr>
            </w:pPr>
            <w:r>
              <w:rPr>
                <w:rFonts w:cs="Arial"/>
                <w:sz w:val="20"/>
                <w:szCs w:val="20"/>
              </w:rPr>
              <w:t>$</w:t>
            </w:r>
            <w:r w:rsidRPr="00B92333">
              <w:rPr>
                <w:rFonts w:cs="Arial"/>
                <w:sz w:val="20"/>
                <w:szCs w:val="20"/>
              </w:rPr>
              <w:t>811,220</w:t>
            </w:r>
          </w:p>
        </w:tc>
        <w:tc>
          <w:tcPr>
            <w:tcW w:w="990" w:type="dxa"/>
            <w:noWrap/>
            <w:vAlign w:val="center"/>
            <w:hideMark/>
          </w:tcPr>
          <w:p w:rsidR="00AC40FC" w:rsidRPr="00B92333" w:rsidRDefault="00AC40FC" w:rsidP="00BB665B">
            <w:pPr>
              <w:spacing w:after="0"/>
              <w:jc w:val="right"/>
              <w:rPr>
                <w:rFonts w:cs="Arial"/>
                <w:sz w:val="20"/>
                <w:szCs w:val="20"/>
              </w:rPr>
            </w:pPr>
            <w:r w:rsidRPr="00B92333">
              <w:rPr>
                <w:rFonts w:cs="Arial"/>
                <w:sz w:val="20"/>
                <w:szCs w:val="20"/>
              </w:rPr>
              <w:t>-</w:t>
            </w:r>
          </w:p>
        </w:tc>
        <w:tc>
          <w:tcPr>
            <w:tcW w:w="1170" w:type="dxa"/>
            <w:noWrap/>
            <w:vAlign w:val="center"/>
            <w:hideMark/>
          </w:tcPr>
          <w:p w:rsidR="00AC40FC" w:rsidRPr="00B92333" w:rsidRDefault="00AC40FC" w:rsidP="00BB665B">
            <w:pPr>
              <w:spacing w:after="0"/>
              <w:jc w:val="right"/>
              <w:rPr>
                <w:rFonts w:cs="Arial"/>
                <w:sz w:val="20"/>
                <w:szCs w:val="20"/>
              </w:rPr>
            </w:pPr>
            <w:r>
              <w:rPr>
                <w:rFonts w:cs="Arial"/>
                <w:sz w:val="20"/>
                <w:szCs w:val="20"/>
              </w:rPr>
              <w:t>$</w:t>
            </w:r>
            <w:r w:rsidRPr="00B92333">
              <w:rPr>
                <w:rFonts w:cs="Arial"/>
                <w:sz w:val="20"/>
                <w:szCs w:val="20"/>
              </w:rPr>
              <w:t>1,843,401</w:t>
            </w:r>
          </w:p>
        </w:tc>
        <w:tc>
          <w:tcPr>
            <w:tcW w:w="1170" w:type="dxa"/>
            <w:noWrap/>
            <w:vAlign w:val="center"/>
            <w:hideMark/>
          </w:tcPr>
          <w:p w:rsidR="00AC40FC" w:rsidRPr="00B92333" w:rsidRDefault="00AC40FC" w:rsidP="00BB665B">
            <w:pPr>
              <w:spacing w:after="0"/>
              <w:jc w:val="right"/>
              <w:rPr>
                <w:rFonts w:cs="Arial"/>
                <w:sz w:val="20"/>
                <w:szCs w:val="20"/>
              </w:rPr>
            </w:pPr>
            <w:r w:rsidRPr="00B92333">
              <w:rPr>
                <w:rFonts w:cs="Arial"/>
                <w:sz w:val="20"/>
                <w:szCs w:val="20"/>
              </w:rPr>
              <w:t>-</w:t>
            </w:r>
          </w:p>
        </w:tc>
        <w:tc>
          <w:tcPr>
            <w:tcW w:w="1620" w:type="dxa"/>
            <w:noWrap/>
            <w:vAlign w:val="center"/>
            <w:hideMark/>
          </w:tcPr>
          <w:p w:rsidR="00AC40FC" w:rsidRPr="00B92333" w:rsidRDefault="00AC40FC" w:rsidP="00BB665B">
            <w:pPr>
              <w:spacing w:after="0"/>
              <w:jc w:val="right"/>
              <w:rPr>
                <w:rFonts w:cs="Arial"/>
                <w:sz w:val="20"/>
                <w:szCs w:val="20"/>
              </w:rPr>
            </w:pPr>
            <w:r>
              <w:rPr>
                <w:rFonts w:cs="Arial"/>
                <w:sz w:val="20"/>
                <w:szCs w:val="20"/>
              </w:rPr>
              <w:t>$</w:t>
            </w:r>
            <w:r w:rsidRPr="00B92333">
              <w:rPr>
                <w:rFonts w:cs="Arial"/>
                <w:sz w:val="20"/>
                <w:szCs w:val="20"/>
              </w:rPr>
              <w:t>751,393</w:t>
            </w:r>
          </w:p>
        </w:tc>
        <w:tc>
          <w:tcPr>
            <w:tcW w:w="1890" w:type="dxa"/>
            <w:noWrap/>
            <w:vAlign w:val="center"/>
            <w:hideMark/>
          </w:tcPr>
          <w:p w:rsidR="00AC40FC" w:rsidRPr="00B92333" w:rsidRDefault="006D76FB" w:rsidP="00BB665B">
            <w:pPr>
              <w:spacing w:after="0"/>
              <w:jc w:val="right"/>
              <w:rPr>
                <w:rFonts w:cs="Arial"/>
                <w:sz w:val="20"/>
                <w:szCs w:val="20"/>
              </w:rPr>
            </w:pPr>
            <w:r>
              <w:rPr>
                <w:rFonts w:cs="Arial"/>
                <w:sz w:val="20"/>
                <w:szCs w:val="20"/>
              </w:rPr>
              <w:t>$</w:t>
            </w:r>
            <w:r w:rsidR="00AC40FC" w:rsidRPr="00B92333">
              <w:rPr>
                <w:rFonts w:cs="Arial"/>
                <w:sz w:val="20"/>
                <w:szCs w:val="20"/>
              </w:rPr>
              <w:t>3,173,983</w:t>
            </w:r>
          </w:p>
        </w:tc>
        <w:tc>
          <w:tcPr>
            <w:tcW w:w="1080" w:type="dxa"/>
            <w:noWrap/>
            <w:vAlign w:val="center"/>
            <w:hideMark/>
          </w:tcPr>
          <w:p w:rsidR="00AC40FC" w:rsidRPr="00B92333" w:rsidRDefault="00AC40FC" w:rsidP="00BB665B">
            <w:pPr>
              <w:spacing w:after="0"/>
              <w:jc w:val="right"/>
              <w:rPr>
                <w:rFonts w:cs="Arial"/>
                <w:sz w:val="20"/>
                <w:szCs w:val="20"/>
              </w:rPr>
            </w:pPr>
            <w:r>
              <w:rPr>
                <w:rFonts w:cs="Arial"/>
                <w:sz w:val="20"/>
                <w:szCs w:val="20"/>
              </w:rPr>
              <w:t>$</w:t>
            </w:r>
            <w:r w:rsidRPr="00B92333">
              <w:rPr>
                <w:rFonts w:cs="Arial"/>
                <w:sz w:val="20"/>
                <w:szCs w:val="20"/>
              </w:rPr>
              <w:t>88,862</w:t>
            </w:r>
          </w:p>
        </w:tc>
        <w:tc>
          <w:tcPr>
            <w:tcW w:w="1506" w:type="dxa"/>
            <w:noWrap/>
            <w:vAlign w:val="center"/>
            <w:hideMark/>
          </w:tcPr>
          <w:p w:rsidR="00AC40FC" w:rsidRPr="00B92333" w:rsidRDefault="00AC40FC" w:rsidP="00BB665B">
            <w:pPr>
              <w:spacing w:after="0"/>
              <w:jc w:val="right"/>
              <w:rPr>
                <w:rFonts w:cs="Arial"/>
                <w:sz w:val="20"/>
                <w:szCs w:val="20"/>
              </w:rPr>
            </w:pPr>
            <w:r>
              <w:rPr>
                <w:rFonts w:cs="Arial"/>
                <w:sz w:val="20"/>
                <w:szCs w:val="20"/>
              </w:rPr>
              <w:t>$</w:t>
            </w:r>
            <w:r w:rsidRPr="00B92333">
              <w:rPr>
                <w:rFonts w:cs="Arial"/>
                <w:sz w:val="20"/>
                <w:szCs w:val="20"/>
              </w:rPr>
              <w:t>6,668,859</w:t>
            </w:r>
          </w:p>
        </w:tc>
      </w:tr>
      <w:tr w:rsidR="00AC40FC" w:rsidRPr="00BA4BFA" w:rsidTr="00E32117">
        <w:trPr>
          <w:cantSplit/>
          <w:trHeight w:val="255"/>
          <w:jc w:val="center"/>
        </w:trPr>
        <w:tc>
          <w:tcPr>
            <w:tcW w:w="1687" w:type="dxa"/>
            <w:vMerge/>
            <w:vAlign w:val="center"/>
            <w:hideMark/>
          </w:tcPr>
          <w:p w:rsidR="00AC40FC" w:rsidRPr="00B92333" w:rsidRDefault="00AC40FC" w:rsidP="00BB665B">
            <w:pPr>
              <w:spacing w:after="0"/>
              <w:jc w:val="center"/>
              <w:rPr>
                <w:rFonts w:cs="Arial"/>
                <w:sz w:val="20"/>
                <w:szCs w:val="20"/>
              </w:rPr>
            </w:pPr>
          </w:p>
        </w:tc>
        <w:tc>
          <w:tcPr>
            <w:tcW w:w="630" w:type="dxa"/>
            <w:noWrap/>
            <w:vAlign w:val="center"/>
            <w:hideMark/>
          </w:tcPr>
          <w:p w:rsidR="00AC40FC" w:rsidRPr="00B92333" w:rsidRDefault="00AC40FC" w:rsidP="00BB665B">
            <w:pPr>
              <w:spacing w:after="0"/>
              <w:jc w:val="center"/>
              <w:rPr>
                <w:rFonts w:cs="Arial"/>
                <w:sz w:val="20"/>
                <w:szCs w:val="20"/>
              </w:rPr>
            </w:pPr>
            <w:r w:rsidRPr="00B92333">
              <w:rPr>
                <w:rFonts w:cs="Arial"/>
                <w:sz w:val="20"/>
                <w:szCs w:val="20"/>
              </w:rPr>
              <w:t>2013</w:t>
            </w:r>
          </w:p>
        </w:tc>
        <w:tc>
          <w:tcPr>
            <w:tcW w:w="1170" w:type="dxa"/>
            <w:noWrap/>
            <w:vAlign w:val="center"/>
            <w:hideMark/>
          </w:tcPr>
          <w:p w:rsidR="00AC40FC" w:rsidRPr="00B92333" w:rsidRDefault="00AC40FC" w:rsidP="00BB665B">
            <w:pPr>
              <w:spacing w:after="0"/>
              <w:jc w:val="right"/>
              <w:rPr>
                <w:rFonts w:cs="Arial"/>
                <w:sz w:val="20"/>
                <w:szCs w:val="20"/>
              </w:rPr>
            </w:pPr>
            <w:r>
              <w:rPr>
                <w:rFonts w:cs="Arial"/>
                <w:sz w:val="20"/>
                <w:szCs w:val="20"/>
              </w:rPr>
              <w:t>$</w:t>
            </w:r>
            <w:r w:rsidRPr="00B92333">
              <w:rPr>
                <w:rFonts w:cs="Arial"/>
                <w:sz w:val="20"/>
                <w:szCs w:val="20"/>
              </w:rPr>
              <w:t>811,220</w:t>
            </w:r>
          </w:p>
        </w:tc>
        <w:tc>
          <w:tcPr>
            <w:tcW w:w="990" w:type="dxa"/>
            <w:noWrap/>
            <w:vAlign w:val="center"/>
            <w:hideMark/>
          </w:tcPr>
          <w:p w:rsidR="00AC40FC" w:rsidRPr="00B92333" w:rsidRDefault="00AC40FC" w:rsidP="00BB665B">
            <w:pPr>
              <w:spacing w:after="0"/>
              <w:jc w:val="right"/>
              <w:rPr>
                <w:rFonts w:cs="Arial"/>
                <w:sz w:val="20"/>
                <w:szCs w:val="20"/>
              </w:rPr>
            </w:pPr>
            <w:r>
              <w:rPr>
                <w:rFonts w:cs="Arial"/>
                <w:sz w:val="20"/>
                <w:szCs w:val="20"/>
              </w:rPr>
              <w:t>$</w:t>
            </w:r>
            <w:r w:rsidRPr="00B92333">
              <w:rPr>
                <w:rFonts w:cs="Arial"/>
                <w:sz w:val="20"/>
                <w:szCs w:val="20"/>
              </w:rPr>
              <w:t>20,000</w:t>
            </w:r>
          </w:p>
        </w:tc>
        <w:tc>
          <w:tcPr>
            <w:tcW w:w="1170" w:type="dxa"/>
            <w:noWrap/>
            <w:vAlign w:val="center"/>
            <w:hideMark/>
          </w:tcPr>
          <w:p w:rsidR="00AC40FC" w:rsidRPr="00B92333" w:rsidRDefault="00AC40FC" w:rsidP="00BB665B">
            <w:pPr>
              <w:spacing w:after="0"/>
              <w:jc w:val="right"/>
              <w:rPr>
                <w:rFonts w:cs="Arial"/>
                <w:sz w:val="20"/>
                <w:szCs w:val="20"/>
              </w:rPr>
            </w:pPr>
            <w:r>
              <w:rPr>
                <w:rFonts w:cs="Arial"/>
                <w:sz w:val="20"/>
                <w:szCs w:val="20"/>
              </w:rPr>
              <w:t>$</w:t>
            </w:r>
            <w:r w:rsidRPr="00B92333">
              <w:rPr>
                <w:rFonts w:cs="Arial"/>
                <w:sz w:val="20"/>
                <w:szCs w:val="20"/>
              </w:rPr>
              <w:t>1,597,735</w:t>
            </w:r>
          </w:p>
        </w:tc>
        <w:tc>
          <w:tcPr>
            <w:tcW w:w="1170" w:type="dxa"/>
            <w:noWrap/>
            <w:vAlign w:val="center"/>
            <w:hideMark/>
          </w:tcPr>
          <w:p w:rsidR="00AC40FC" w:rsidRPr="00B92333" w:rsidRDefault="00AC40FC" w:rsidP="00BB665B">
            <w:pPr>
              <w:spacing w:after="0"/>
              <w:jc w:val="right"/>
              <w:rPr>
                <w:rFonts w:cs="Arial"/>
                <w:sz w:val="20"/>
                <w:szCs w:val="20"/>
              </w:rPr>
            </w:pPr>
            <w:r>
              <w:rPr>
                <w:rFonts w:cs="Arial"/>
                <w:sz w:val="20"/>
                <w:szCs w:val="20"/>
              </w:rPr>
              <w:t>$</w:t>
            </w:r>
            <w:r w:rsidRPr="00B92333">
              <w:rPr>
                <w:rFonts w:cs="Arial"/>
                <w:sz w:val="20"/>
                <w:szCs w:val="20"/>
              </w:rPr>
              <w:t>479,774</w:t>
            </w:r>
          </w:p>
        </w:tc>
        <w:tc>
          <w:tcPr>
            <w:tcW w:w="1620" w:type="dxa"/>
            <w:noWrap/>
            <w:vAlign w:val="center"/>
            <w:hideMark/>
          </w:tcPr>
          <w:p w:rsidR="00AC40FC" w:rsidRPr="00B92333" w:rsidRDefault="00AC40FC" w:rsidP="00BB665B">
            <w:pPr>
              <w:spacing w:after="0"/>
              <w:jc w:val="right"/>
              <w:rPr>
                <w:rFonts w:cs="Arial"/>
                <w:sz w:val="20"/>
                <w:szCs w:val="20"/>
              </w:rPr>
            </w:pPr>
            <w:r>
              <w:rPr>
                <w:rFonts w:cs="Arial"/>
                <w:sz w:val="20"/>
                <w:szCs w:val="20"/>
              </w:rPr>
              <w:t>$</w:t>
            </w:r>
            <w:r w:rsidRPr="00B92333">
              <w:rPr>
                <w:rFonts w:cs="Arial"/>
                <w:sz w:val="20"/>
                <w:szCs w:val="20"/>
              </w:rPr>
              <w:t>923,574</w:t>
            </w:r>
          </w:p>
        </w:tc>
        <w:tc>
          <w:tcPr>
            <w:tcW w:w="1890" w:type="dxa"/>
            <w:noWrap/>
            <w:vAlign w:val="center"/>
            <w:hideMark/>
          </w:tcPr>
          <w:p w:rsidR="00AC40FC" w:rsidRPr="00B92333" w:rsidRDefault="00AC40FC" w:rsidP="00BB665B">
            <w:pPr>
              <w:spacing w:after="0"/>
              <w:jc w:val="right"/>
              <w:rPr>
                <w:rFonts w:cs="Arial"/>
                <w:sz w:val="20"/>
                <w:szCs w:val="20"/>
              </w:rPr>
            </w:pPr>
            <w:r w:rsidRPr="00B92333">
              <w:rPr>
                <w:rFonts w:cs="Arial"/>
                <w:sz w:val="20"/>
                <w:szCs w:val="20"/>
              </w:rPr>
              <w:t>-</w:t>
            </w:r>
          </w:p>
        </w:tc>
        <w:tc>
          <w:tcPr>
            <w:tcW w:w="1080" w:type="dxa"/>
            <w:noWrap/>
            <w:vAlign w:val="center"/>
            <w:hideMark/>
          </w:tcPr>
          <w:p w:rsidR="00AC40FC" w:rsidRPr="00B92333" w:rsidRDefault="00AC40FC" w:rsidP="00BB665B">
            <w:pPr>
              <w:spacing w:after="0"/>
              <w:jc w:val="right"/>
              <w:rPr>
                <w:rFonts w:cs="Arial"/>
                <w:sz w:val="20"/>
                <w:szCs w:val="20"/>
              </w:rPr>
            </w:pPr>
            <w:r>
              <w:rPr>
                <w:rFonts w:cs="Arial"/>
                <w:sz w:val="20"/>
                <w:szCs w:val="20"/>
              </w:rPr>
              <w:t>$</w:t>
            </w:r>
            <w:r w:rsidRPr="00B92333">
              <w:rPr>
                <w:rFonts w:cs="Arial"/>
                <w:sz w:val="20"/>
                <w:szCs w:val="20"/>
              </w:rPr>
              <w:t>134,265</w:t>
            </w:r>
          </w:p>
        </w:tc>
        <w:tc>
          <w:tcPr>
            <w:tcW w:w="1506" w:type="dxa"/>
            <w:noWrap/>
            <w:vAlign w:val="center"/>
            <w:hideMark/>
          </w:tcPr>
          <w:p w:rsidR="00AC40FC" w:rsidRPr="00B92333" w:rsidRDefault="00AC40FC" w:rsidP="00BB665B">
            <w:pPr>
              <w:spacing w:after="0"/>
              <w:jc w:val="right"/>
              <w:rPr>
                <w:rFonts w:cs="Arial"/>
                <w:sz w:val="20"/>
                <w:szCs w:val="20"/>
              </w:rPr>
            </w:pPr>
            <w:r>
              <w:rPr>
                <w:rFonts w:cs="Arial"/>
                <w:sz w:val="20"/>
                <w:szCs w:val="20"/>
              </w:rPr>
              <w:t>$</w:t>
            </w:r>
            <w:r w:rsidRPr="00B92333">
              <w:rPr>
                <w:rFonts w:cs="Arial"/>
                <w:sz w:val="20"/>
                <w:szCs w:val="20"/>
              </w:rPr>
              <w:t>3,966,568</w:t>
            </w:r>
          </w:p>
        </w:tc>
      </w:tr>
      <w:tr w:rsidR="00AC40FC" w:rsidRPr="00BA4BFA" w:rsidTr="00E32117">
        <w:trPr>
          <w:cantSplit/>
          <w:trHeight w:val="360"/>
          <w:jc w:val="center"/>
        </w:trPr>
        <w:tc>
          <w:tcPr>
            <w:tcW w:w="1687" w:type="dxa"/>
            <w:vMerge w:val="restart"/>
            <w:vAlign w:val="center"/>
          </w:tcPr>
          <w:p w:rsidR="00AC40FC" w:rsidRPr="00B92333" w:rsidRDefault="00AC40FC" w:rsidP="00BB665B">
            <w:pPr>
              <w:spacing w:after="0"/>
              <w:jc w:val="center"/>
              <w:rPr>
                <w:rFonts w:cs="Arial"/>
                <w:sz w:val="20"/>
                <w:szCs w:val="20"/>
              </w:rPr>
            </w:pPr>
            <w:r w:rsidRPr="00B92333">
              <w:rPr>
                <w:rFonts w:cs="Arial"/>
                <w:sz w:val="20"/>
                <w:szCs w:val="20"/>
              </w:rPr>
              <w:t xml:space="preserve">Robert  A. Symons </w:t>
            </w:r>
            <w:r w:rsidRPr="00B92333">
              <w:rPr>
                <w:rFonts w:cs="Arial"/>
                <w:sz w:val="20"/>
                <w:szCs w:val="20"/>
              </w:rPr>
              <w:br/>
              <w:t xml:space="preserve">Chief Executive </w:t>
            </w:r>
            <w:r>
              <w:rPr>
                <w:rFonts w:cs="Arial"/>
                <w:sz w:val="20"/>
                <w:szCs w:val="20"/>
              </w:rPr>
              <w:t>–</w:t>
            </w:r>
            <w:r w:rsidRPr="00B92333">
              <w:rPr>
                <w:rFonts w:cs="Arial"/>
                <w:sz w:val="20"/>
                <w:szCs w:val="20"/>
              </w:rPr>
              <w:t xml:space="preserve"> </w:t>
            </w:r>
            <w:r>
              <w:rPr>
                <w:rFonts w:cs="Arial"/>
                <w:sz w:val="20"/>
                <w:szCs w:val="20"/>
              </w:rPr>
              <w:t>WPD Midlands</w:t>
            </w:r>
          </w:p>
        </w:tc>
        <w:tc>
          <w:tcPr>
            <w:tcW w:w="630" w:type="dxa"/>
            <w:noWrap/>
            <w:vAlign w:val="center"/>
          </w:tcPr>
          <w:p w:rsidR="00AC40FC" w:rsidRPr="00B92333" w:rsidRDefault="00AC40FC" w:rsidP="00BB665B">
            <w:pPr>
              <w:spacing w:after="0"/>
              <w:jc w:val="center"/>
              <w:rPr>
                <w:rFonts w:cs="Arial"/>
                <w:sz w:val="20"/>
                <w:szCs w:val="20"/>
              </w:rPr>
            </w:pPr>
            <w:r>
              <w:rPr>
                <w:rFonts w:cs="Arial"/>
                <w:sz w:val="20"/>
                <w:szCs w:val="20"/>
              </w:rPr>
              <w:t>2015</w:t>
            </w:r>
          </w:p>
        </w:tc>
        <w:tc>
          <w:tcPr>
            <w:tcW w:w="1170" w:type="dxa"/>
            <w:noWrap/>
            <w:vAlign w:val="center"/>
          </w:tcPr>
          <w:p w:rsidR="00AC40FC" w:rsidRPr="00B92333" w:rsidRDefault="00AC40FC" w:rsidP="00BB665B">
            <w:pPr>
              <w:spacing w:after="0"/>
              <w:jc w:val="right"/>
              <w:rPr>
                <w:rFonts w:cs="Arial"/>
                <w:sz w:val="20"/>
                <w:szCs w:val="20"/>
              </w:rPr>
            </w:pPr>
            <w:r>
              <w:rPr>
                <w:rFonts w:cs="Arial"/>
                <w:sz w:val="20"/>
                <w:szCs w:val="20"/>
              </w:rPr>
              <w:t>$836,038</w:t>
            </w:r>
          </w:p>
        </w:tc>
        <w:tc>
          <w:tcPr>
            <w:tcW w:w="990" w:type="dxa"/>
            <w:noWrap/>
            <w:vAlign w:val="center"/>
          </w:tcPr>
          <w:p w:rsidR="00AC40FC" w:rsidRPr="00B92333" w:rsidRDefault="00AC40FC" w:rsidP="00BB665B">
            <w:pPr>
              <w:spacing w:after="0"/>
              <w:jc w:val="right"/>
              <w:rPr>
                <w:rFonts w:cs="Arial"/>
                <w:sz w:val="20"/>
                <w:szCs w:val="20"/>
              </w:rPr>
            </w:pPr>
            <w:r>
              <w:rPr>
                <w:rFonts w:cs="Arial"/>
                <w:sz w:val="20"/>
                <w:szCs w:val="20"/>
              </w:rPr>
              <w:t>-</w:t>
            </w:r>
          </w:p>
        </w:tc>
        <w:tc>
          <w:tcPr>
            <w:tcW w:w="1170" w:type="dxa"/>
            <w:noWrap/>
            <w:vAlign w:val="center"/>
          </w:tcPr>
          <w:p w:rsidR="00AC40FC" w:rsidRPr="00B92333" w:rsidRDefault="00AC40FC" w:rsidP="00BB665B">
            <w:pPr>
              <w:spacing w:after="0"/>
              <w:jc w:val="right"/>
              <w:rPr>
                <w:rFonts w:cs="Arial"/>
                <w:sz w:val="20"/>
                <w:szCs w:val="20"/>
              </w:rPr>
            </w:pPr>
            <w:r>
              <w:rPr>
                <w:rFonts w:cs="Arial"/>
                <w:sz w:val="20"/>
                <w:szCs w:val="20"/>
              </w:rPr>
              <w:t>$691,919</w:t>
            </w:r>
          </w:p>
        </w:tc>
        <w:tc>
          <w:tcPr>
            <w:tcW w:w="1170" w:type="dxa"/>
            <w:noWrap/>
            <w:vAlign w:val="center"/>
          </w:tcPr>
          <w:p w:rsidR="00AC40FC" w:rsidRPr="00B92333" w:rsidRDefault="00AC40FC" w:rsidP="00BB665B">
            <w:pPr>
              <w:spacing w:after="0"/>
              <w:jc w:val="right"/>
              <w:rPr>
                <w:rFonts w:cs="Arial"/>
                <w:sz w:val="20"/>
                <w:szCs w:val="20"/>
              </w:rPr>
            </w:pPr>
            <w:r>
              <w:rPr>
                <w:rFonts w:cs="Arial"/>
                <w:sz w:val="20"/>
                <w:szCs w:val="20"/>
              </w:rPr>
              <w:t>$6,569</w:t>
            </w:r>
          </w:p>
        </w:tc>
        <w:tc>
          <w:tcPr>
            <w:tcW w:w="1620" w:type="dxa"/>
            <w:noWrap/>
            <w:vAlign w:val="center"/>
          </w:tcPr>
          <w:p w:rsidR="00AC40FC" w:rsidRPr="00B92333" w:rsidRDefault="00AC40FC" w:rsidP="00BB665B">
            <w:pPr>
              <w:spacing w:after="0"/>
              <w:jc w:val="right"/>
              <w:rPr>
                <w:rFonts w:cs="Arial"/>
                <w:sz w:val="20"/>
                <w:szCs w:val="20"/>
              </w:rPr>
            </w:pPr>
            <w:r>
              <w:rPr>
                <w:rFonts w:cs="Arial"/>
                <w:sz w:val="20"/>
                <w:szCs w:val="20"/>
              </w:rPr>
              <w:t>$690,156</w:t>
            </w:r>
          </w:p>
        </w:tc>
        <w:tc>
          <w:tcPr>
            <w:tcW w:w="1890" w:type="dxa"/>
            <w:noWrap/>
            <w:vAlign w:val="center"/>
          </w:tcPr>
          <w:p w:rsidR="00AC40FC" w:rsidRPr="00B92333" w:rsidRDefault="00AC40FC" w:rsidP="00BB665B">
            <w:pPr>
              <w:spacing w:after="0"/>
              <w:jc w:val="right"/>
              <w:rPr>
                <w:rFonts w:cs="Arial"/>
                <w:sz w:val="20"/>
                <w:szCs w:val="20"/>
              </w:rPr>
            </w:pPr>
            <w:r>
              <w:rPr>
                <w:rFonts w:cs="Arial"/>
                <w:sz w:val="20"/>
                <w:szCs w:val="20"/>
              </w:rPr>
              <w:t>$369,842</w:t>
            </w:r>
          </w:p>
        </w:tc>
        <w:tc>
          <w:tcPr>
            <w:tcW w:w="1080" w:type="dxa"/>
            <w:noWrap/>
            <w:vAlign w:val="center"/>
          </w:tcPr>
          <w:p w:rsidR="00AC40FC" w:rsidRPr="00B92333" w:rsidRDefault="00AC40FC" w:rsidP="00BB665B">
            <w:pPr>
              <w:spacing w:after="0"/>
              <w:jc w:val="right"/>
              <w:rPr>
                <w:rFonts w:cs="Arial"/>
                <w:sz w:val="20"/>
                <w:szCs w:val="20"/>
              </w:rPr>
            </w:pPr>
            <w:r>
              <w:rPr>
                <w:rFonts w:cs="Arial"/>
                <w:sz w:val="20"/>
                <w:szCs w:val="20"/>
              </w:rPr>
              <w:t>$20,288</w:t>
            </w:r>
          </w:p>
        </w:tc>
        <w:tc>
          <w:tcPr>
            <w:tcW w:w="1506" w:type="dxa"/>
            <w:noWrap/>
            <w:vAlign w:val="center"/>
          </w:tcPr>
          <w:p w:rsidR="00AC40FC" w:rsidRPr="00B92333" w:rsidRDefault="00AC40FC" w:rsidP="00BB665B">
            <w:pPr>
              <w:spacing w:after="0"/>
              <w:jc w:val="right"/>
              <w:rPr>
                <w:rFonts w:cs="Arial"/>
                <w:sz w:val="20"/>
                <w:szCs w:val="20"/>
              </w:rPr>
            </w:pPr>
            <w:r>
              <w:rPr>
                <w:rFonts w:cs="Arial"/>
                <w:sz w:val="20"/>
                <w:szCs w:val="20"/>
              </w:rPr>
              <w:t>$2,614,812</w:t>
            </w:r>
          </w:p>
        </w:tc>
      </w:tr>
      <w:tr w:rsidR="00AC40FC" w:rsidRPr="00BA4BFA" w:rsidTr="00E32117">
        <w:trPr>
          <w:cantSplit/>
          <w:trHeight w:val="360"/>
          <w:jc w:val="center"/>
        </w:trPr>
        <w:tc>
          <w:tcPr>
            <w:tcW w:w="1687" w:type="dxa"/>
            <w:vMerge/>
            <w:vAlign w:val="center"/>
            <w:hideMark/>
          </w:tcPr>
          <w:p w:rsidR="00AC40FC" w:rsidRPr="00B92333" w:rsidRDefault="00AC40FC" w:rsidP="00BB665B">
            <w:pPr>
              <w:spacing w:after="0"/>
              <w:jc w:val="center"/>
              <w:rPr>
                <w:rFonts w:cs="Arial"/>
                <w:sz w:val="20"/>
                <w:szCs w:val="20"/>
              </w:rPr>
            </w:pPr>
          </w:p>
        </w:tc>
        <w:tc>
          <w:tcPr>
            <w:tcW w:w="630" w:type="dxa"/>
            <w:noWrap/>
            <w:vAlign w:val="center"/>
            <w:hideMark/>
          </w:tcPr>
          <w:p w:rsidR="00AC40FC" w:rsidRPr="00B92333" w:rsidRDefault="00AC40FC" w:rsidP="00BB665B">
            <w:pPr>
              <w:spacing w:after="0"/>
              <w:jc w:val="center"/>
              <w:rPr>
                <w:rFonts w:cs="Arial"/>
                <w:sz w:val="20"/>
                <w:szCs w:val="20"/>
              </w:rPr>
            </w:pPr>
            <w:r w:rsidRPr="00B92333">
              <w:rPr>
                <w:rFonts w:cs="Arial"/>
                <w:sz w:val="20"/>
                <w:szCs w:val="20"/>
              </w:rPr>
              <w:t>2014</w:t>
            </w:r>
          </w:p>
        </w:tc>
        <w:tc>
          <w:tcPr>
            <w:tcW w:w="1170" w:type="dxa"/>
            <w:noWrap/>
            <w:vAlign w:val="center"/>
            <w:hideMark/>
          </w:tcPr>
          <w:p w:rsidR="00AC40FC" w:rsidRPr="00B92333" w:rsidRDefault="00AC40FC" w:rsidP="00BB665B">
            <w:pPr>
              <w:spacing w:after="0"/>
              <w:jc w:val="right"/>
              <w:rPr>
                <w:rFonts w:cs="Arial"/>
                <w:sz w:val="20"/>
                <w:szCs w:val="20"/>
              </w:rPr>
            </w:pPr>
            <w:r>
              <w:rPr>
                <w:rFonts w:cs="Arial"/>
                <w:sz w:val="20"/>
                <w:szCs w:val="20"/>
              </w:rPr>
              <w:t>$</w:t>
            </w:r>
            <w:r w:rsidRPr="00B92333">
              <w:rPr>
                <w:rFonts w:cs="Arial"/>
                <w:sz w:val="20"/>
                <w:szCs w:val="20"/>
              </w:rPr>
              <w:t>872,710</w:t>
            </w:r>
          </w:p>
        </w:tc>
        <w:tc>
          <w:tcPr>
            <w:tcW w:w="990" w:type="dxa"/>
            <w:noWrap/>
            <w:vAlign w:val="center"/>
            <w:hideMark/>
          </w:tcPr>
          <w:p w:rsidR="00AC40FC" w:rsidRPr="00B92333" w:rsidRDefault="00AC40FC" w:rsidP="00BB665B">
            <w:pPr>
              <w:spacing w:after="0"/>
              <w:jc w:val="right"/>
              <w:rPr>
                <w:rFonts w:cs="Arial"/>
                <w:sz w:val="20"/>
                <w:szCs w:val="20"/>
              </w:rPr>
            </w:pPr>
            <w:r w:rsidRPr="00B92333">
              <w:rPr>
                <w:rFonts w:cs="Arial"/>
                <w:sz w:val="20"/>
                <w:szCs w:val="20"/>
              </w:rPr>
              <w:t>-</w:t>
            </w:r>
          </w:p>
        </w:tc>
        <w:tc>
          <w:tcPr>
            <w:tcW w:w="1170" w:type="dxa"/>
            <w:noWrap/>
            <w:vAlign w:val="center"/>
            <w:hideMark/>
          </w:tcPr>
          <w:p w:rsidR="00AC40FC" w:rsidRPr="00B92333" w:rsidRDefault="00AC40FC" w:rsidP="00BB665B">
            <w:pPr>
              <w:spacing w:after="0"/>
              <w:jc w:val="right"/>
              <w:rPr>
                <w:rFonts w:cs="Arial"/>
                <w:sz w:val="20"/>
                <w:szCs w:val="20"/>
              </w:rPr>
            </w:pPr>
            <w:r>
              <w:rPr>
                <w:rFonts w:cs="Arial"/>
                <w:sz w:val="20"/>
                <w:szCs w:val="20"/>
              </w:rPr>
              <w:t>$</w:t>
            </w:r>
            <w:r w:rsidRPr="00B92333">
              <w:rPr>
                <w:rFonts w:cs="Arial"/>
                <w:sz w:val="20"/>
                <w:szCs w:val="20"/>
              </w:rPr>
              <w:t>775,944</w:t>
            </w:r>
          </w:p>
        </w:tc>
        <w:tc>
          <w:tcPr>
            <w:tcW w:w="1170" w:type="dxa"/>
            <w:noWrap/>
            <w:vAlign w:val="center"/>
            <w:hideMark/>
          </w:tcPr>
          <w:p w:rsidR="00AC40FC" w:rsidRPr="00B92333" w:rsidRDefault="00AC40FC" w:rsidP="00BB665B">
            <w:pPr>
              <w:spacing w:after="0"/>
              <w:jc w:val="right"/>
              <w:rPr>
                <w:rFonts w:cs="Arial"/>
                <w:sz w:val="20"/>
                <w:szCs w:val="20"/>
              </w:rPr>
            </w:pPr>
            <w:r w:rsidRPr="00B92333">
              <w:rPr>
                <w:rFonts w:cs="Arial"/>
                <w:sz w:val="20"/>
                <w:szCs w:val="20"/>
              </w:rPr>
              <w:t>-</w:t>
            </w:r>
          </w:p>
        </w:tc>
        <w:tc>
          <w:tcPr>
            <w:tcW w:w="1620" w:type="dxa"/>
            <w:noWrap/>
            <w:vAlign w:val="center"/>
            <w:hideMark/>
          </w:tcPr>
          <w:p w:rsidR="00AC40FC" w:rsidRPr="00B92333" w:rsidRDefault="00AC40FC" w:rsidP="00BB665B">
            <w:pPr>
              <w:spacing w:after="0"/>
              <w:jc w:val="right"/>
              <w:rPr>
                <w:rFonts w:cs="Arial"/>
                <w:sz w:val="20"/>
                <w:szCs w:val="20"/>
              </w:rPr>
            </w:pPr>
            <w:r>
              <w:rPr>
                <w:rFonts w:cs="Arial"/>
                <w:sz w:val="20"/>
                <w:szCs w:val="20"/>
              </w:rPr>
              <w:t>$</w:t>
            </w:r>
            <w:r w:rsidRPr="00B92333">
              <w:rPr>
                <w:rFonts w:cs="Arial"/>
                <w:sz w:val="20"/>
                <w:szCs w:val="20"/>
              </w:rPr>
              <w:t>609,305</w:t>
            </w:r>
          </w:p>
        </w:tc>
        <w:tc>
          <w:tcPr>
            <w:tcW w:w="1890" w:type="dxa"/>
            <w:noWrap/>
            <w:vAlign w:val="center"/>
            <w:hideMark/>
          </w:tcPr>
          <w:p w:rsidR="00AC40FC" w:rsidRPr="00B92333" w:rsidRDefault="00AC40FC" w:rsidP="00BB665B">
            <w:pPr>
              <w:spacing w:after="0"/>
              <w:jc w:val="right"/>
              <w:rPr>
                <w:rFonts w:cs="Arial"/>
                <w:sz w:val="20"/>
                <w:szCs w:val="20"/>
              </w:rPr>
            </w:pPr>
            <w:r>
              <w:rPr>
                <w:rFonts w:cs="Arial"/>
                <w:sz w:val="20"/>
                <w:szCs w:val="20"/>
              </w:rPr>
              <w:t>$</w:t>
            </w:r>
            <w:r w:rsidRPr="00B92333">
              <w:rPr>
                <w:rFonts w:cs="Arial"/>
                <w:sz w:val="20"/>
                <w:szCs w:val="20"/>
              </w:rPr>
              <w:t>1,520,212</w:t>
            </w:r>
          </w:p>
        </w:tc>
        <w:tc>
          <w:tcPr>
            <w:tcW w:w="1080" w:type="dxa"/>
            <w:noWrap/>
            <w:vAlign w:val="center"/>
            <w:hideMark/>
          </w:tcPr>
          <w:p w:rsidR="00AC40FC" w:rsidRPr="00B92333" w:rsidRDefault="00AC40FC" w:rsidP="00BB665B">
            <w:pPr>
              <w:spacing w:after="0"/>
              <w:jc w:val="right"/>
              <w:rPr>
                <w:rFonts w:cs="Arial"/>
                <w:sz w:val="20"/>
                <w:szCs w:val="20"/>
              </w:rPr>
            </w:pPr>
            <w:r>
              <w:rPr>
                <w:rFonts w:cs="Arial"/>
                <w:sz w:val="20"/>
                <w:szCs w:val="20"/>
              </w:rPr>
              <w:t>$</w:t>
            </w:r>
            <w:r w:rsidRPr="00B92333">
              <w:rPr>
                <w:rFonts w:cs="Arial"/>
                <w:sz w:val="20"/>
                <w:szCs w:val="20"/>
              </w:rPr>
              <w:t>27,115</w:t>
            </w:r>
          </w:p>
        </w:tc>
        <w:tc>
          <w:tcPr>
            <w:tcW w:w="1506" w:type="dxa"/>
            <w:noWrap/>
            <w:vAlign w:val="center"/>
            <w:hideMark/>
          </w:tcPr>
          <w:p w:rsidR="00AC40FC" w:rsidRPr="00B92333" w:rsidRDefault="00AC40FC" w:rsidP="00BB665B">
            <w:pPr>
              <w:spacing w:after="0"/>
              <w:jc w:val="right"/>
              <w:rPr>
                <w:rFonts w:cs="Arial"/>
                <w:sz w:val="20"/>
                <w:szCs w:val="20"/>
              </w:rPr>
            </w:pPr>
            <w:r>
              <w:rPr>
                <w:rFonts w:cs="Arial"/>
                <w:sz w:val="20"/>
                <w:szCs w:val="20"/>
              </w:rPr>
              <w:t>$</w:t>
            </w:r>
            <w:r w:rsidRPr="00B92333">
              <w:rPr>
                <w:rFonts w:cs="Arial"/>
                <w:sz w:val="20"/>
                <w:szCs w:val="20"/>
              </w:rPr>
              <w:t>3,805,286</w:t>
            </w:r>
          </w:p>
        </w:tc>
      </w:tr>
      <w:tr w:rsidR="00AC40FC" w:rsidRPr="00BA4BFA" w:rsidTr="00521E7D">
        <w:trPr>
          <w:cantSplit/>
          <w:trHeight w:val="300"/>
          <w:jc w:val="center"/>
        </w:trPr>
        <w:tc>
          <w:tcPr>
            <w:tcW w:w="12913" w:type="dxa"/>
            <w:gridSpan w:val="10"/>
            <w:vAlign w:val="center"/>
            <w:hideMark/>
          </w:tcPr>
          <w:p w:rsidR="00AC40FC" w:rsidRPr="00B92333" w:rsidRDefault="00AC40FC" w:rsidP="00BB665B">
            <w:pPr>
              <w:spacing w:after="0"/>
              <w:jc w:val="left"/>
              <w:rPr>
                <w:rFonts w:cs="Arial"/>
                <w:sz w:val="20"/>
                <w:szCs w:val="20"/>
              </w:rPr>
            </w:pPr>
            <w:r w:rsidRPr="00B92333">
              <w:rPr>
                <w:rFonts w:cs="Arial"/>
                <w:sz w:val="20"/>
                <w:szCs w:val="20"/>
              </w:rPr>
              <w:t>Source: PPL Corporation Proxy S</w:t>
            </w:r>
            <w:r>
              <w:rPr>
                <w:rFonts w:cs="Arial"/>
                <w:sz w:val="20"/>
                <w:szCs w:val="20"/>
              </w:rPr>
              <w:t>tatement</w:t>
            </w:r>
            <w:r w:rsidRPr="00B92333">
              <w:rPr>
                <w:rFonts w:cs="Arial"/>
                <w:sz w:val="20"/>
                <w:szCs w:val="20"/>
              </w:rPr>
              <w:t xml:space="preserve"> 201</w:t>
            </w:r>
            <w:r>
              <w:rPr>
                <w:rFonts w:cs="Arial"/>
                <w:sz w:val="20"/>
                <w:szCs w:val="20"/>
              </w:rPr>
              <w:t>6</w:t>
            </w:r>
          </w:p>
        </w:tc>
      </w:tr>
      <w:tr w:rsidR="00AC40FC" w:rsidRPr="00BA4BFA" w:rsidTr="00521E7D">
        <w:trPr>
          <w:cantSplit/>
          <w:trHeight w:val="300"/>
          <w:jc w:val="center"/>
        </w:trPr>
        <w:tc>
          <w:tcPr>
            <w:tcW w:w="12913" w:type="dxa"/>
            <w:gridSpan w:val="10"/>
            <w:vAlign w:val="center"/>
            <w:hideMark/>
          </w:tcPr>
          <w:p w:rsidR="00AC40FC" w:rsidRPr="00B92333" w:rsidRDefault="00AC40FC" w:rsidP="00BB665B">
            <w:pPr>
              <w:spacing w:after="0"/>
              <w:jc w:val="left"/>
              <w:rPr>
                <w:rFonts w:cs="Arial"/>
                <w:sz w:val="20"/>
                <w:szCs w:val="20"/>
              </w:rPr>
            </w:pPr>
            <w:r>
              <w:rPr>
                <w:rFonts w:cs="Arial"/>
                <w:sz w:val="20"/>
                <w:szCs w:val="20"/>
              </w:rPr>
              <w:t xml:space="preserve">Note: </w:t>
            </w:r>
            <w:r w:rsidRPr="00300809">
              <w:rPr>
                <w:rFonts w:cs="Arial"/>
                <w:sz w:val="20"/>
                <w:szCs w:val="20"/>
              </w:rPr>
              <w:t>PPL NEO Total Executive Compensation</w:t>
            </w:r>
            <w:r>
              <w:rPr>
                <w:rFonts w:cs="Arial"/>
                <w:sz w:val="20"/>
                <w:szCs w:val="20"/>
              </w:rPr>
              <w:t xml:space="preserve"> Summary Comparisons for 2011 and 2012 are included in the </w:t>
            </w:r>
            <w:r w:rsidRPr="00300809">
              <w:rPr>
                <w:rFonts w:cs="Arial"/>
                <w:sz w:val="20"/>
                <w:szCs w:val="20"/>
              </w:rPr>
              <w:t>PPL Corporation Proxy Statement 201</w:t>
            </w:r>
            <w:r>
              <w:rPr>
                <w:rFonts w:cs="Arial"/>
                <w:sz w:val="20"/>
                <w:szCs w:val="20"/>
              </w:rPr>
              <w:t>3 on p. 52.</w:t>
            </w:r>
          </w:p>
        </w:tc>
      </w:tr>
    </w:tbl>
    <w:p w:rsidR="00AC40FC" w:rsidRDefault="00AC40FC" w:rsidP="00B019A6">
      <w:pPr>
        <w:pStyle w:val="Normal-aftertable"/>
        <w:spacing w:after="60"/>
        <w:rPr>
          <w:sz w:val="20"/>
          <w:szCs w:val="20"/>
        </w:rPr>
      </w:pPr>
      <w:r w:rsidRPr="006A3089">
        <w:rPr>
          <w:sz w:val="20"/>
          <w:szCs w:val="20"/>
        </w:rPr>
        <w:t>(1</w:t>
      </w:r>
      <w:r>
        <w:rPr>
          <w:sz w:val="20"/>
          <w:szCs w:val="20"/>
        </w:rPr>
        <w:t xml:space="preserve">) </w:t>
      </w:r>
      <w:r w:rsidRPr="006A3089">
        <w:rPr>
          <w:sz w:val="20"/>
          <w:szCs w:val="20"/>
        </w:rPr>
        <w:t>Effective June 1, 2015, concurrent with the spinoff of PPL’s Energy Supply segment, Mr. Farr resigned from PPL.</w:t>
      </w:r>
      <w:r>
        <w:rPr>
          <w:sz w:val="20"/>
          <w:szCs w:val="20"/>
        </w:rPr>
        <w:t xml:space="preserve"> Mr. Symons is based in the </w:t>
      </w:r>
      <w:r w:rsidRPr="006A3089">
        <w:rPr>
          <w:sz w:val="20"/>
          <w:szCs w:val="20"/>
        </w:rPr>
        <w:t>United Kingdom and is compensated in Pounds Sterling. We converted his 2015 cash</w:t>
      </w:r>
      <w:r>
        <w:rPr>
          <w:sz w:val="20"/>
          <w:szCs w:val="20"/>
        </w:rPr>
        <w:t xml:space="preserve"> </w:t>
      </w:r>
      <w:r w:rsidRPr="006A3089">
        <w:rPr>
          <w:sz w:val="20"/>
          <w:szCs w:val="20"/>
        </w:rPr>
        <w:t>compensation, changes in pension value and personal benefits to U.S. dollars at an exchange rate of $1.5283, which is the</w:t>
      </w:r>
      <w:r>
        <w:rPr>
          <w:sz w:val="20"/>
          <w:szCs w:val="20"/>
        </w:rPr>
        <w:t xml:space="preserve"> </w:t>
      </w:r>
      <w:r w:rsidRPr="006A3089">
        <w:rPr>
          <w:sz w:val="20"/>
          <w:szCs w:val="20"/>
        </w:rPr>
        <w:t>average monthly translation rate for 2015,</w:t>
      </w:r>
      <w:r>
        <w:rPr>
          <w:sz w:val="20"/>
          <w:szCs w:val="20"/>
        </w:rPr>
        <w:t xml:space="preserve"> except with respect to the Non </w:t>
      </w:r>
      <w:r w:rsidRPr="006A3089">
        <w:rPr>
          <w:sz w:val="20"/>
          <w:szCs w:val="20"/>
        </w:rPr>
        <w:t>Equity Incentive Plan Compensation amount,</w:t>
      </w:r>
      <w:r>
        <w:rPr>
          <w:sz w:val="20"/>
          <w:szCs w:val="20"/>
        </w:rPr>
        <w:t xml:space="preserve"> </w:t>
      </w:r>
      <w:r w:rsidRPr="006A3089">
        <w:rPr>
          <w:sz w:val="20"/>
          <w:szCs w:val="20"/>
        </w:rPr>
        <w:t>which was converted to U.S. dollars at an exchange rate of $1.4376, wh</w:t>
      </w:r>
      <w:r>
        <w:rPr>
          <w:sz w:val="20"/>
          <w:szCs w:val="20"/>
        </w:rPr>
        <w:t xml:space="preserve">ich is the translation rate for </w:t>
      </w:r>
      <w:r w:rsidRPr="006A3089">
        <w:rPr>
          <w:sz w:val="20"/>
          <w:szCs w:val="20"/>
        </w:rPr>
        <w:t>February 2, 2016, the</w:t>
      </w:r>
      <w:r>
        <w:rPr>
          <w:sz w:val="20"/>
          <w:szCs w:val="20"/>
        </w:rPr>
        <w:t xml:space="preserve"> </w:t>
      </w:r>
      <w:r w:rsidRPr="006A3089">
        <w:rPr>
          <w:sz w:val="20"/>
          <w:szCs w:val="20"/>
        </w:rPr>
        <w:t>date the cash incentive award was paid to Mr. Symons.</w:t>
      </w:r>
    </w:p>
    <w:p w:rsidR="00AC40FC" w:rsidRDefault="00AC40FC" w:rsidP="00C73199">
      <w:pPr>
        <w:pStyle w:val="Normal-aftertable"/>
        <w:spacing w:before="0" w:after="60"/>
        <w:rPr>
          <w:sz w:val="20"/>
          <w:szCs w:val="20"/>
        </w:rPr>
      </w:pPr>
      <w:r w:rsidRPr="006A3089">
        <w:rPr>
          <w:sz w:val="20"/>
          <w:szCs w:val="20"/>
        </w:rPr>
        <w:t>(2) Salary includes cash compensation deferred to the PPL Executive Deferred Compensation Plan or, for Mr. Staffieri, to the</w:t>
      </w:r>
      <w:r>
        <w:rPr>
          <w:sz w:val="20"/>
          <w:szCs w:val="20"/>
        </w:rPr>
        <w:t xml:space="preserve"> </w:t>
      </w:r>
      <w:r w:rsidRPr="006A3089">
        <w:rPr>
          <w:sz w:val="20"/>
          <w:szCs w:val="20"/>
        </w:rPr>
        <w:t>LG&amp;E and</w:t>
      </w:r>
      <w:r>
        <w:rPr>
          <w:sz w:val="20"/>
          <w:szCs w:val="20"/>
        </w:rPr>
        <w:t xml:space="preserve"> KU </w:t>
      </w:r>
      <w:r w:rsidRPr="006A3089">
        <w:rPr>
          <w:sz w:val="20"/>
          <w:szCs w:val="20"/>
        </w:rPr>
        <w:t>Nonqualified Savings Plan. The following NEOs deferred salary in 2015 in the amounts indicated: Mr. Spence</w:t>
      </w:r>
      <w:r>
        <w:rPr>
          <w:sz w:val="20"/>
          <w:szCs w:val="20"/>
        </w:rPr>
        <w:t xml:space="preserve"> </w:t>
      </w:r>
      <w:r w:rsidRPr="006A3089">
        <w:rPr>
          <w:sz w:val="20"/>
          <w:szCs w:val="20"/>
        </w:rPr>
        <w:t>($33</w:t>
      </w:r>
      <w:r>
        <w:rPr>
          <w:sz w:val="20"/>
          <w:szCs w:val="20"/>
        </w:rPr>
        <w:t xml:space="preserve">,825); Mr. Sorgi ($14,953); Mr. </w:t>
      </w:r>
      <w:r w:rsidRPr="006A3089">
        <w:rPr>
          <w:sz w:val="20"/>
          <w:szCs w:val="20"/>
        </w:rPr>
        <w:t>Grey ($17,386); Mr. Farr ($119,417); and Mr. Staffieri ($44,929). These amounts are</w:t>
      </w:r>
      <w:r>
        <w:rPr>
          <w:sz w:val="20"/>
          <w:szCs w:val="20"/>
        </w:rPr>
        <w:t xml:space="preserve"> </w:t>
      </w:r>
      <w:r w:rsidRPr="006A3089">
        <w:rPr>
          <w:sz w:val="20"/>
          <w:szCs w:val="20"/>
        </w:rPr>
        <w:t>included in the “Nonqua</w:t>
      </w:r>
      <w:r>
        <w:rPr>
          <w:sz w:val="20"/>
          <w:szCs w:val="20"/>
        </w:rPr>
        <w:t xml:space="preserve">lified Deferred Compensation in </w:t>
      </w:r>
      <w:r w:rsidRPr="006A3089">
        <w:rPr>
          <w:sz w:val="20"/>
          <w:szCs w:val="20"/>
        </w:rPr>
        <w:t>2015” table on page 59 as executive contributions for the last fiscal</w:t>
      </w:r>
      <w:r>
        <w:rPr>
          <w:sz w:val="20"/>
          <w:szCs w:val="20"/>
        </w:rPr>
        <w:t xml:space="preserve"> </w:t>
      </w:r>
      <w:r w:rsidRPr="006A3089">
        <w:rPr>
          <w:sz w:val="20"/>
          <w:szCs w:val="20"/>
        </w:rPr>
        <w:t>year.</w:t>
      </w:r>
    </w:p>
    <w:p w:rsidR="00AC40FC" w:rsidRPr="006A3089" w:rsidRDefault="00AC40FC" w:rsidP="00C73199">
      <w:pPr>
        <w:pStyle w:val="Normal-aftertable"/>
        <w:spacing w:before="0" w:after="60"/>
        <w:rPr>
          <w:sz w:val="20"/>
          <w:szCs w:val="20"/>
        </w:rPr>
      </w:pPr>
      <w:r w:rsidRPr="006A3089">
        <w:rPr>
          <w:sz w:val="20"/>
          <w:szCs w:val="20"/>
        </w:rPr>
        <w:t>(3) This column represents the aggregate grant date fair value of restricted stock units and performance units as calculated</w:t>
      </w:r>
      <w:r>
        <w:rPr>
          <w:sz w:val="20"/>
          <w:szCs w:val="20"/>
        </w:rPr>
        <w:t xml:space="preserve"> </w:t>
      </w:r>
      <w:r w:rsidRPr="006A3089">
        <w:rPr>
          <w:sz w:val="20"/>
          <w:szCs w:val="20"/>
        </w:rPr>
        <w:t>under ASC Topic 718, without taking into account estimated forfeitures. The grant date fair values of restricted stock units</w:t>
      </w:r>
      <w:r>
        <w:rPr>
          <w:sz w:val="20"/>
          <w:szCs w:val="20"/>
        </w:rPr>
        <w:t xml:space="preserve"> </w:t>
      </w:r>
      <w:r w:rsidRPr="006A3089">
        <w:rPr>
          <w:sz w:val="20"/>
          <w:szCs w:val="20"/>
        </w:rPr>
        <w:t>are calculated using the closing price of PPL common stock on the NYSE on the date of grant. The grant date fair values of</w:t>
      </w:r>
      <w:r>
        <w:rPr>
          <w:sz w:val="20"/>
          <w:szCs w:val="20"/>
        </w:rPr>
        <w:t xml:space="preserve"> </w:t>
      </w:r>
      <w:r w:rsidRPr="006A3089">
        <w:rPr>
          <w:sz w:val="20"/>
          <w:szCs w:val="20"/>
        </w:rPr>
        <w:t>the performance units reflected in this column are the target payouts based on the probable outcome of the performance</w:t>
      </w:r>
      <w:r>
        <w:rPr>
          <w:sz w:val="20"/>
          <w:szCs w:val="20"/>
        </w:rPr>
        <w:t xml:space="preserve"> </w:t>
      </w:r>
      <w:r w:rsidRPr="006A3089">
        <w:rPr>
          <w:sz w:val="20"/>
          <w:szCs w:val="20"/>
        </w:rPr>
        <w:t>condition, determined as of the grant date, and are d</w:t>
      </w:r>
      <w:r>
        <w:rPr>
          <w:sz w:val="20"/>
          <w:szCs w:val="20"/>
        </w:rPr>
        <w:t xml:space="preserve">isclosed in the “Grants of Plan </w:t>
      </w:r>
      <w:r w:rsidRPr="006A3089">
        <w:rPr>
          <w:sz w:val="20"/>
          <w:szCs w:val="20"/>
        </w:rPr>
        <w:t>Based Awards During 2015” table on</w:t>
      </w:r>
      <w:r>
        <w:rPr>
          <w:sz w:val="20"/>
          <w:szCs w:val="20"/>
        </w:rPr>
        <w:t xml:space="preserve"> </w:t>
      </w:r>
      <w:r w:rsidRPr="006A3089">
        <w:rPr>
          <w:sz w:val="20"/>
          <w:szCs w:val="20"/>
        </w:rPr>
        <w:t>page 48. The maximum potential values as of the grant date of the pe</w:t>
      </w:r>
      <w:r>
        <w:rPr>
          <w:sz w:val="20"/>
          <w:szCs w:val="20"/>
        </w:rPr>
        <w:t xml:space="preserve">rformance units granted in 2015 </w:t>
      </w:r>
      <w:r w:rsidRPr="006A3089">
        <w:rPr>
          <w:sz w:val="20"/>
          <w:szCs w:val="20"/>
        </w:rPr>
        <w:t>assuming the highest</w:t>
      </w:r>
      <w:r>
        <w:rPr>
          <w:sz w:val="20"/>
          <w:szCs w:val="20"/>
        </w:rPr>
        <w:t xml:space="preserve"> </w:t>
      </w:r>
      <w:r w:rsidRPr="006A3089">
        <w:rPr>
          <w:sz w:val="20"/>
          <w:szCs w:val="20"/>
        </w:rPr>
        <w:t>level of performance are as follows: Mr. Spence—$6,430,355; Mr. Sorgi—$1,140,852; Mr. Grey—$1,181,592; Mr. Farr—</w:t>
      </w:r>
      <w:r>
        <w:rPr>
          <w:sz w:val="20"/>
          <w:szCs w:val="20"/>
        </w:rPr>
        <w:t xml:space="preserve"> </w:t>
      </w:r>
      <w:r w:rsidRPr="006A3089">
        <w:rPr>
          <w:sz w:val="20"/>
          <w:szCs w:val="20"/>
        </w:rPr>
        <w:t>$2,522,287; Mr. Staffieri—$1,799,139; and Mr. Symons—$713,331. For additional information on the assumptions made in</w:t>
      </w:r>
      <w:r>
        <w:rPr>
          <w:sz w:val="20"/>
          <w:szCs w:val="20"/>
        </w:rPr>
        <w:t xml:space="preserve"> the valuation of </w:t>
      </w:r>
      <w:r w:rsidRPr="006A3089">
        <w:rPr>
          <w:sz w:val="20"/>
          <w:szCs w:val="20"/>
        </w:rPr>
        <w:t>performance units, refer to Note 10 to the PPL financial statements in the Annual Report on Form 10-K for</w:t>
      </w:r>
      <w:r>
        <w:rPr>
          <w:sz w:val="20"/>
          <w:szCs w:val="20"/>
        </w:rPr>
        <w:t xml:space="preserve"> </w:t>
      </w:r>
      <w:r w:rsidRPr="006A3089">
        <w:rPr>
          <w:sz w:val="20"/>
          <w:szCs w:val="20"/>
        </w:rPr>
        <w:t>the</w:t>
      </w:r>
      <w:r>
        <w:rPr>
          <w:sz w:val="20"/>
          <w:szCs w:val="20"/>
        </w:rPr>
        <w:t xml:space="preserve"> fiscal year ended December 31, </w:t>
      </w:r>
      <w:r w:rsidRPr="006A3089">
        <w:rPr>
          <w:sz w:val="20"/>
          <w:szCs w:val="20"/>
        </w:rPr>
        <w:lastRenderedPageBreak/>
        <w:t>2015, as filed with the SEC. Further information regarding the 2015 awards is included</w:t>
      </w:r>
      <w:r>
        <w:rPr>
          <w:sz w:val="20"/>
          <w:szCs w:val="20"/>
        </w:rPr>
        <w:t xml:space="preserve"> </w:t>
      </w:r>
      <w:r w:rsidRPr="006A3089">
        <w:rPr>
          <w:sz w:val="20"/>
          <w:szCs w:val="20"/>
        </w:rPr>
        <w:t>in the “Grants of Pla</w:t>
      </w:r>
      <w:r>
        <w:rPr>
          <w:sz w:val="20"/>
          <w:szCs w:val="20"/>
        </w:rPr>
        <w:t xml:space="preserve">n-Based Awards During 2015” and </w:t>
      </w:r>
      <w:r w:rsidRPr="006A3089">
        <w:rPr>
          <w:sz w:val="20"/>
          <w:szCs w:val="20"/>
        </w:rPr>
        <w:t>“Outstanding Equity Awards at Fiscal Year-End 2015” tables</w:t>
      </w:r>
      <w:r>
        <w:rPr>
          <w:sz w:val="20"/>
          <w:szCs w:val="20"/>
        </w:rPr>
        <w:t xml:space="preserve"> </w:t>
      </w:r>
      <w:r w:rsidRPr="006A3089">
        <w:rPr>
          <w:sz w:val="20"/>
          <w:szCs w:val="20"/>
        </w:rPr>
        <w:t>elsewhere in this proxy statement.</w:t>
      </w:r>
    </w:p>
    <w:p w:rsidR="00AC40FC" w:rsidRPr="006A3089" w:rsidRDefault="00AC40FC" w:rsidP="00C73199">
      <w:pPr>
        <w:pStyle w:val="Normal-aftertable"/>
        <w:spacing w:before="0" w:after="60"/>
        <w:rPr>
          <w:sz w:val="20"/>
          <w:szCs w:val="20"/>
        </w:rPr>
      </w:pPr>
      <w:r w:rsidRPr="006A3089">
        <w:rPr>
          <w:sz w:val="20"/>
          <w:szCs w:val="20"/>
        </w:rPr>
        <w:t>(4) For 2015, amounts represent the incremental fair value under ASC Topic 718 of adjustments to prior year grants made to</w:t>
      </w:r>
      <w:r>
        <w:rPr>
          <w:sz w:val="20"/>
          <w:szCs w:val="20"/>
        </w:rPr>
        <w:t xml:space="preserve"> </w:t>
      </w:r>
      <w:r w:rsidRPr="006A3089">
        <w:rPr>
          <w:sz w:val="20"/>
          <w:szCs w:val="20"/>
        </w:rPr>
        <w:t>the NEOs under the anti-dilution provisions of PPL’s equity-based compensation plans as a result of the spinoff of PPL’s</w:t>
      </w:r>
      <w:r>
        <w:rPr>
          <w:sz w:val="20"/>
          <w:szCs w:val="20"/>
        </w:rPr>
        <w:t xml:space="preserve"> </w:t>
      </w:r>
      <w:r w:rsidRPr="006A3089">
        <w:rPr>
          <w:sz w:val="20"/>
          <w:szCs w:val="20"/>
        </w:rPr>
        <w:t>Energy Supply segment. No stock options were awarded in 2015. For additional information on the assumptions made in the</w:t>
      </w:r>
      <w:r>
        <w:rPr>
          <w:sz w:val="20"/>
          <w:szCs w:val="20"/>
        </w:rPr>
        <w:t xml:space="preserve"> </w:t>
      </w:r>
      <w:r w:rsidRPr="006A3089">
        <w:rPr>
          <w:sz w:val="20"/>
          <w:szCs w:val="20"/>
        </w:rPr>
        <w:t>46 PPL CORPORATION 2016 Proxy Statement</w:t>
      </w:r>
      <w:r>
        <w:rPr>
          <w:sz w:val="20"/>
          <w:szCs w:val="20"/>
        </w:rPr>
        <w:t xml:space="preserve"> </w:t>
      </w:r>
      <w:r w:rsidRPr="006A3089">
        <w:rPr>
          <w:sz w:val="20"/>
          <w:szCs w:val="20"/>
        </w:rPr>
        <w:t>EXECUTIVE COMPENSATION</w:t>
      </w:r>
      <w:r>
        <w:rPr>
          <w:sz w:val="20"/>
          <w:szCs w:val="20"/>
        </w:rPr>
        <w:t xml:space="preserve"> </w:t>
      </w:r>
      <w:r w:rsidRPr="006A3089">
        <w:rPr>
          <w:sz w:val="20"/>
          <w:szCs w:val="20"/>
        </w:rPr>
        <w:t>valuation of adjustments to outstanding stock options, refer to Note 10 to the PPL financial statements in the Annual Report</w:t>
      </w:r>
      <w:r>
        <w:rPr>
          <w:sz w:val="20"/>
          <w:szCs w:val="20"/>
        </w:rPr>
        <w:t xml:space="preserve"> </w:t>
      </w:r>
      <w:r w:rsidRPr="006A3089">
        <w:rPr>
          <w:sz w:val="20"/>
          <w:szCs w:val="20"/>
        </w:rPr>
        <w:t>on Form 10-K for the fiscal year ended December 31, 2015, as filed with the SEC. A description of the adjustments made in</w:t>
      </w:r>
      <w:r>
        <w:rPr>
          <w:sz w:val="20"/>
          <w:szCs w:val="20"/>
        </w:rPr>
        <w:t xml:space="preserve"> </w:t>
      </w:r>
      <w:r w:rsidRPr="006A3089">
        <w:rPr>
          <w:sz w:val="20"/>
          <w:szCs w:val="20"/>
        </w:rPr>
        <w:t>connection with the spinoff is included in the introduction to the “Outstanding Equity Awards at Fiscal Year-End 2015” at</w:t>
      </w:r>
      <w:r>
        <w:rPr>
          <w:sz w:val="20"/>
          <w:szCs w:val="20"/>
        </w:rPr>
        <w:t xml:space="preserve"> </w:t>
      </w:r>
      <w:r w:rsidRPr="006A3089">
        <w:rPr>
          <w:sz w:val="20"/>
          <w:szCs w:val="20"/>
        </w:rPr>
        <w:t>page 50.</w:t>
      </w:r>
    </w:p>
    <w:p w:rsidR="00AC40FC" w:rsidRDefault="00AC40FC" w:rsidP="00C73199">
      <w:pPr>
        <w:pStyle w:val="Normal-aftertable"/>
        <w:spacing w:before="0" w:after="60"/>
        <w:rPr>
          <w:sz w:val="20"/>
          <w:szCs w:val="20"/>
        </w:rPr>
      </w:pPr>
      <w:r w:rsidRPr="006A3089">
        <w:rPr>
          <w:sz w:val="20"/>
          <w:szCs w:val="20"/>
        </w:rPr>
        <w:t>(5) For 2015, amounts represent cash awards made in January 2016 for performance under the company’s annual cash</w:t>
      </w:r>
      <w:r>
        <w:rPr>
          <w:sz w:val="20"/>
          <w:szCs w:val="20"/>
        </w:rPr>
        <w:t xml:space="preserve"> incentive award program </w:t>
      </w:r>
      <w:r w:rsidRPr="006A3089">
        <w:rPr>
          <w:sz w:val="20"/>
          <w:szCs w:val="20"/>
        </w:rPr>
        <w:t>for 2015, which were made under PPL’s Short-term Incentive Plan for all NEOs. These amounts</w:t>
      </w:r>
      <w:r>
        <w:rPr>
          <w:sz w:val="20"/>
          <w:szCs w:val="20"/>
        </w:rPr>
        <w:t xml:space="preserve"> </w:t>
      </w:r>
      <w:r w:rsidRPr="006A3089">
        <w:rPr>
          <w:sz w:val="20"/>
          <w:szCs w:val="20"/>
        </w:rPr>
        <w:t>include amounts the NEOs have elected to</w:t>
      </w:r>
      <w:r>
        <w:rPr>
          <w:sz w:val="20"/>
          <w:szCs w:val="20"/>
        </w:rPr>
        <w:t xml:space="preserve"> defer </w:t>
      </w:r>
      <w:r w:rsidRPr="006A3089">
        <w:rPr>
          <w:sz w:val="20"/>
          <w:szCs w:val="20"/>
        </w:rPr>
        <w:t>to the PPL Executive Deferred Compensation Plan or, for Mr. Staffieri, to</w:t>
      </w:r>
      <w:r>
        <w:rPr>
          <w:sz w:val="20"/>
          <w:szCs w:val="20"/>
        </w:rPr>
        <w:t xml:space="preserve"> </w:t>
      </w:r>
      <w:r w:rsidRPr="006A3089">
        <w:rPr>
          <w:sz w:val="20"/>
          <w:szCs w:val="20"/>
        </w:rPr>
        <w:t>the LG&amp;E and KU Nonqualified S</w:t>
      </w:r>
      <w:r>
        <w:rPr>
          <w:sz w:val="20"/>
          <w:szCs w:val="20"/>
        </w:rPr>
        <w:t xml:space="preserve">avings Plan. The following NEOs </w:t>
      </w:r>
      <w:r w:rsidRPr="006A3089">
        <w:rPr>
          <w:sz w:val="20"/>
          <w:szCs w:val="20"/>
        </w:rPr>
        <w:t>deferred cash awards in the amounts indicated:</w:t>
      </w:r>
      <w:r>
        <w:rPr>
          <w:sz w:val="20"/>
          <w:szCs w:val="20"/>
        </w:rPr>
        <w:t xml:space="preserve"> </w:t>
      </w:r>
      <w:r w:rsidRPr="006A3089">
        <w:rPr>
          <w:sz w:val="20"/>
          <w:szCs w:val="20"/>
        </w:rPr>
        <w:t>Mr. Spence ($55,169); Mr. Sorgi ($122,325); and Mr. Staffieri ($53,918). These amounts will be included in the “Nonqualified</w:t>
      </w:r>
      <w:r>
        <w:rPr>
          <w:sz w:val="20"/>
          <w:szCs w:val="20"/>
        </w:rPr>
        <w:t xml:space="preserve"> </w:t>
      </w:r>
      <w:r w:rsidRPr="006A3089">
        <w:rPr>
          <w:sz w:val="20"/>
          <w:szCs w:val="20"/>
        </w:rPr>
        <w:t>Deferred Compensation in 2016” table as executive contributions in next year’s proxy statement.</w:t>
      </w:r>
    </w:p>
    <w:p w:rsidR="00AC40FC" w:rsidRPr="006A3089" w:rsidRDefault="00AC40FC" w:rsidP="00C73199">
      <w:pPr>
        <w:pStyle w:val="Normal-aftertable"/>
        <w:spacing w:before="0" w:after="60"/>
        <w:rPr>
          <w:sz w:val="20"/>
          <w:szCs w:val="20"/>
        </w:rPr>
      </w:pPr>
      <w:r w:rsidRPr="006A3089">
        <w:rPr>
          <w:sz w:val="20"/>
          <w:szCs w:val="20"/>
        </w:rPr>
        <w:t>(6) This column represents the sum of the changes in the actuarial present value of accumulated benefit in the PPL Retirement</w:t>
      </w:r>
      <w:r>
        <w:rPr>
          <w:sz w:val="20"/>
          <w:szCs w:val="20"/>
        </w:rPr>
        <w:t xml:space="preserve"> Plan and PPL </w:t>
      </w:r>
      <w:r w:rsidRPr="006A3089">
        <w:rPr>
          <w:sz w:val="20"/>
          <w:szCs w:val="20"/>
        </w:rPr>
        <w:t>Supplemental Executive Retirement Plan during 2015 for Messrs. Spence, Sorgi, Grey and Farr, the PPL</w:t>
      </w:r>
      <w:r>
        <w:rPr>
          <w:sz w:val="20"/>
          <w:szCs w:val="20"/>
        </w:rPr>
        <w:t xml:space="preserve"> </w:t>
      </w:r>
      <w:r w:rsidRPr="006A3089">
        <w:rPr>
          <w:sz w:val="20"/>
          <w:szCs w:val="20"/>
        </w:rPr>
        <w:t>Subsidiary Retir</w:t>
      </w:r>
      <w:r>
        <w:rPr>
          <w:sz w:val="20"/>
          <w:szCs w:val="20"/>
        </w:rPr>
        <w:t xml:space="preserve">ement Plan for Mr. Farr </w:t>
      </w:r>
      <w:r w:rsidRPr="006A3089">
        <w:rPr>
          <w:sz w:val="20"/>
          <w:szCs w:val="20"/>
        </w:rPr>
        <w:t>(as of May 31, 2015), the LG&amp;E and KU Retirement Plan and the LG&amp;E and KU</w:t>
      </w:r>
      <w:r>
        <w:rPr>
          <w:sz w:val="20"/>
          <w:szCs w:val="20"/>
        </w:rPr>
        <w:t xml:space="preserve"> </w:t>
      </w:r>
      <w:r w:rsidRPr="006A3089">
        <w:rPr>
          <w:sz w:val="20"/>
          <w:szCs w:val="20"/>
        </w:rPr>
        <w:t>Supplemental Executive Retirement</w:t>
      </w:r>
      <w:r>
        <w:rPr>
          <w:sz w:val="20"/>
          <w:szCs w:val="20"/>
        </w:rPr>
        <w:t xml:space="preserve"> Plan for Mr. Staffieri and the </w:t>
      </w:r>
      <w:r w:rsidRPr="006A3089">
        <w:rPr>
          <w:sz w:val="20"/>
          <w:szCs w:val="20"/>
        </w:rPr>
        <w:t>Electricity Supply Pension Scheme in the United Kingdom</w:t>
      </w:r>
      <w:r>
        <w:rPr>
          <w:sz w:val="20"/>
          <w:szCs w:val="20"/>
        </w:rPr>
        <w:t xml:space="preserve"> </w:t>
      </w:r>
      <w:r w:rsidRPr="006A3089">
        <w:rPr>
          <w:sz w:val="20"/>
          <w:szCs w:val="20"/>
        </w:rPr>
        <w:t>for Mr. Symons. See the “Pension Benefits in 2015”</w:t>
      </w:r>
      <w:r>
        <w:rPr>
          <w:sz w:val="20"/>
          <w:szCs w:val="20"/>
        </w:rPr>
        <w:t xml:space="preserve"> table beginning on page 56 for </w:t>
      </w:r>
      <w:r w:rsidRPr="006A3089">
        <w:rPr>
          <w:sz w:val="20"/>
          <w:szCs w:val="20"/>
        </w:rPr>
        <w:t>additional information. No amounts are</w:t>
      </w:r>
      <w:r>
        <w:rPr>
          <w:sz w:val="20"/>
          <w:szCs w:val="20"/>
        </w:rPr>
        <w:t xml:space="preserve"> </w:t>
      </w:r>
      <w:r w:rsidRPr="006A3089">
        <w:rPr>
          <w:sz w:val="20"/>
          <w:szCs w:val="20"/>
        </w:rPr>
        <w:t>shown for 2015 under this column for Mr. Grey as his change in pension value during 2015 was a negative amount.</w:t>
      </w:r>
      <w:r>
        <w:rPr>
          <w:sz w:val="20"/>
          <w:szCs w:val="20"/>
        </w:rPr>
        <w:t xml:space="preserve"> </w:t>
      </w:r>
      <w:r w:rsidRPr="006A3089">
        <w:rPr>
          <w:sz w:val="20"/>
          <w:szCs w:val="20"/>
        </w:rPr>
        <w:t>Mr. Grey’s net decrease in pension value for 2015 was ($146,175), composed of a decrease in the value of his accumulated</w:t>
      </w:r>
      <w:r>
        <w:rPr>
          <w:sz w:val="20"/>
          <w:szCs w:val="20"/>
        </w:rPr>
        <w:t xml:space="preserve"> benefit </w:t>
      </w:r>
      <w:r w:rsidRPr="006A3089">
        <w:rPr>
          <w:sz w:val="20"/>
          <w:szCs w:val="20"/>
        </w:rPr>
        <w:t>under the PPL SERP of ($203,751), offset by an increase in the value of his accumulated benefit under PPL</w:t>
      </w:r>
      <w:r>
        <w:rPr>
          <w:sz w:val="20"/>
          <w:szCs w:val="20"/>
        </w:rPr>
        <w:t xml:space="preserve"> Retirement Plan of $57,576. No </w:t>
      </w:r>
      <w:r w:rsidRPr="006A3089">
        <w:rPr>
          <w:sz w:val="20"/>
          <w:szCs w:val="20"/>
        </w:rPr>
        <w:t>above-market or preferential earnings under the PPL Executive Deferred Compensation Plan</w:t>
      </w:r>
      <w:r>
        <w:rPr>
          <w:sz w:val="20"/>
          <w:szCs w:val="20"/>
        </w:rPr>
        <w:t xml:space="preserve"> </w:t>
      </w:r>
      <w:r w:rsidRPr="006A3089">
        <w:rPr>
          <w:sz w:val="20"/>
          <w:szCs w:val="20"/>
        </w:rPr>
        <w:t>are reportable fo</w:t>
      </w:r>
      <w:r>
        <w:rPr>
          <w:sz w:val="20"/>
          <w:szCs w:val="20"/>
        </w:rPr>
        <w:t xml:space="preserve">r 2015. As to Mr. Staffieri, no </w:t>
      </w:r>
      <w:r w:rsidRPr="006A3089">
        <w:rPr>
          <w:sz w:val="20"/>
          <w:szCs w:val="20"/>
        </w:rPr>
        <w:t>above-market or preferential earnings under the LG&amp;E and KU Nonqualified</w:t>
      </w:r>
      <w:r>
        <w:rPr>
          <w:sz w:val="20"/>
          <w:szCs w:val="20"/>
        </w:rPr>
        <w:t xml:space="preserve"> </w:t>
      </w:r>
      <w:r w:rsidRPr="006A3089">
        <w:rPr>
          <w:sz w:val="20"/>
          <w:szCs w:val="20"/>
        </w:rPr>
        <w:t>Savings Plan and LG&amp;E Energy Corp. Nonqualified Savings Plan are reportable for 2015. See the “Nonqualified Deferred</w:t>
      </w:r>
      <w:r>
        <w:rPr>
          <w:sz w:val="20"/>
          <w:szCs w:val="20"/>
        </w:rPr>
        <w:t xml:space="preserve"> </w:t>
      </w:r>
      <w:r w:rsidRPr="006A3089">
        <w:rPr>
          <w:sz w:val="20"/>
          <w:szCs w:val="20"/>
        </w:rPr>
        <w:t>Compensation in 2015” table on page 59 for additional i</w:t>
      </w:r>
      <w:r>
        <w:rPr>
          <w:sz w:val="20"/>
          <w:szCs w:val="20"/>
        </w:rPr>
        <w:t xml:space="preserve">nformation. Mr. Symons does not </w:t>
      </w:r>
      <w:r w:rsidRPr="006A3089">
        <w:rPr>
          <w:sz w:val="20"/>
          <w:szCs w:val="20"/>
        </w:rPr>
        <w:t>participate in a deferred</w:t>
      </w:r>
      <w:r>
        <w:rPr>
          <w:sz w:val="20"/>
          <w:szCs w:val="20"/>
        </w:rPr>
        <w:t xml:space="preserve"> </w:t>
      </w:r>
      <w:r w:rsidRPr="006A3089">
        <w:rPr>
          <w:sz w:val="20"/>
          <w:szCs w:val="20"/>
        </w:rPr>
        <w:t>compensation plan in the United Kingdom.</w:t>
      </w:r>
    </w:p>
    <w:p w:rsidR="00AC40FC" w:rsidRDefault="00AC40FC" w:rsidP="00B019A6">
      <w:pPr>
        <w:pStyle w:val="Normal-aftertable"/>
        <w:spacing w:before="0"/>
        <w:rPr>
          <w:sz w:val="20"/>
          <w:szCs w:val="20"/>
        </w:rPr>
      </w:pPr>
      <w:r w:rsidRPr="006A3089">
        <w:rPr>
          <w:sz w:val="20"/>
          <w:szCs w:val="20"/>
        </w:rPr>
        <w:t>(7) The table below reflects the components of this column for 2015, which include the company’s matching contribution for</w:t>
      </w:r>
      <w:r>
        <w:rPr>
          <w:sz w:val="20"/>
          <w:szCs w:val="20"/>
        </w:rPr>
        <w:t xml:space="preserve"> each individual’s  </w:t>
      </w:r>
      <w:r w:rsidRPr="006A3089">
        <w:rPr>
          <w:sz w:val="20"/>
          <w:szCs w:val="20"/>
        </w:rPr>
        <w:t>planning and tax preparation services, company car, and other personal benefits as noted.</w:t>
      </w:r>
    </w:p>
    <w:p w:rsidR="00AC40FC" w:rsidRDefault="00AC40FC">
      <w:r>
        <w:br w:type="page"/>
      </w:r>
    </w:p>
    <w:tbl>
      <w:tblPr>
        <w:tblStyle w:val="TableGrid"/>
        <w:tblW w:w="0" w:type="auto"/>
        <w:jc w:val="center"/>
        <w:tblLook w:val="04A0"/>
      </w:tblPr>
      <w:tblGrid>
        <w:gridCol w:w="1584"/>
        <w:gridCol w:w="1440"/>
        <w:gridCol w:w="1584"/>
        <w:gridCol w:w="1728"/>
        <w:gridCol w:w="1584"/>
        <w:gridCol w:w="1296"/>
        <w:gridCol w:w="1340"/>
      </w:tblGrid>
      <w:tr w:rsidR="00AC40FC" w:rsidTr="00BB665B">
        <w:trPr>
          <w:trHeight w:val="440"/>
          <w:jc w:val="center"/>
        </w:trPr>
        <w:tc>
          <w:tcPr>
            <w:tcW w:w="1584" w:type="dxa"/>
            <w:shd w:val="clear" w:color="auto" w:fill="A5CD7E"/>
            <w:vAlign w:val="center"/>
          </w:tcPr>
          <w:p w:rsidR="00AC40FC" w:rsidRPr="00036487" w:rsidRDefault="00AC40FC" w:rsidP="00521E7D">
            <w:pPr>
              <w:pStyle w:val="Normal-aftertable"/>
              <w:jc w:val="center"/>
              <w:rPr>
                <w:b/>
                <w:sz w:val="20"/>
                <w:szCs w:val="20"/>
              </w:rPr>
            </w:pPr>
            <w:r>
              <w:rPr>
                <w:b/>
                <w:sz w:val="20"/>
                <w:szCs w:val="20"/>
              </w:rPr>
              <w:lastRenderedPageBreak/>
              <w:t>Name</w:t>
            </w:r>
          </w:p>
        </w:tc>
        <w:tc>
          <w:tcPr>
            <w:tcW w:w="1440" w:type="dxa"/>
            <w:shd w:val="clear" w:color="auto" w:fill="A5CD7E"/>
            <w:vAlign w:val="center"/>
          </w:tcPr>
          <w:p w:rsidR="00AC40FC" w:rsidRPr="00036487" w:rsidRDefault="00AC40FC" w:rsidP="00521E7D">
            <w:pPr>
              <w:pStyle w:val="Normal-aftertable"/>
              <w:jc w:val="center"/>
              <w:rPr>
                <w:b/>
                <w:sz w:val="20"/>
                <w:szCs w:val="20"/>
              </w:rPr>
            </w:pPr>
            <w:r>
              <w:rPr>
                <w:b/>
                <w:sz w:val="20"/>
                <w:szCs w:val="20"/>
              </w:rPr>
              <w:t>401(k) Match</w:t>
            </w:r>
          </w:p>
        </w:tc>
        <w:tc>
          <w:tcPr>
            <w:tcW w:w="1584" w:type="dxa"/>
            <w:shd w:val="clear" w:color="auto" w:fill="A5CD7E"/>
            <w:vAlign w:val="center"/>
          </w:tcPr>
          <w:p w:rsidR="00AC40FC" w:rsidRPr="00036487" w:rsidRDefault="00AC40FC" w:rsidP="00521E7D">
            <w:pPr>
              <w:pStyle w:val="Normal-aftertable"/>
              <w:jc w:val="center"/>
              <w:rPr>
                <w:b/>
                <w:sz w:val="20"/>
                <w:szCs w:val="20"/>
              </w:rPr>
            </w:pPr>
            <w:r>
              <w:rPr>
                <w:b/>
                <w:sz w:val="20"/>
                <w:szCs w:val="20"/>
              </w:rPr>
              <w:t>NQDC Employer Contributions</w:t>
            </w:r>
          </w:p>
        </w:tc>
        <w:tc>
          <w:tcPr>
            <w:tcW w:w="1728" w:type="dxa"/>
            <w:shd w:val="clear" w:color="auto" w:fill="A5CD7E"/>
            <w:vAlign w:val="center"/>
          </w:tcPr>
          <w:p w:rsidR="00AC40FC" w:rsidRPr="00036487" w:rsidRDefault="00AC40FC" w:rsidP="00521E7D">
            <w:pPr>
              <w:pStyle w:val="Normal-aftertable"/>
              <w:jc w:val="center"/>
              <w:rPr>
                <w:b/>
                <w:sz w:val="20"/>
                <w:szCs w:val="20"/>
              </w:rPr>
            </w:pPr>
            <w:r>
              <w:rPr>
                <w:b/>
                <w:sz w:val="20"/>
                <w:szCs w:val="20"/>
              </w:rPr>
              <w:t>Financial Planning and Tax Preparation</w:t>
            </w:r>
          </w:p>
        </w:tc>
        <w:tc>
          <w:tcPr>
            <w:tcW w:w="1584" w:type="dxa"/>
            <w:shd w:val="clear" w:color="auto" w:fill="A5CD7E"/>
            <w:vAlign w:val="center"/>
          </w:tcPr>
          <w:p w:rsidR="00AC40FC" w:rsidRPr="00036487" w:rsidRDefault="00AC40FC" w:rsidP="00521E7D">
            <w:pPr>
              <w:pStyle w:val="Normal-aftertable"/>
              <w:jc w:val="center"/>
              <w:rPr>
                <w:b/>
                <w:sz w:val="20"/>
                <w:szCs w:val="20"/>
                <w:vertAlign w:val="superscript"/>
              </w:rPr>
            </w:pPr>
            <w:r>
              <w:rPr>
                <w:b/>
                <w:sz w:val="20"/>
                <w:szCs w:val="20"/>
              </w:rPr>
              <w:t>Company Car</w:t>
            </w:r>
            <w:r>
              <w:rPr>
                <w:b/>
                <w:sz w:val="20"/>
                <w:szCs w:val="20"/>
                <w:vertAlign w:val="superscript"/>
              </w:rPr>
              <w:t>(a)</w:t>
            </w:r>
          </w:p>
        </w:tc>
        <w:tc>
          <w:tcPr>
            <w:tcW w:w="1296" w:type="dxa"/>
            <w:shd w:val="clear" w:color="auto" w:fill="A5CD7E"/>
            <w:vAlign w:val="center"/>
          </w:tcPr>
          <w:p w:rsidR="00AC40FC" w:rsidRPr="00036487" w:rsidRDefault="00AC40FC" w:rsidP="00521E7D">
            <w:pPr>
              <w:pStyle w:val="Normal-aftertable"/>
              <w:jc w:val="center"/>
              <w:rPr>
                <w:b/>
                <w:sz w:val="20"/>
                <w:szCs w:val="20"/>
              </w:rPr>
            </w:pPr>
            <w:r>
              <w:rPr>
                <w:b/>
                <w:sz w:val="20"/>
                <w:szCs w:val="20"/>
              </w:rPr>
              <w:t>Other</w:t>
            </w:r>
          </w:p>
        </w:tc>
        <w:tc>
          <w:tcPr>
            <w:tcW w:w="1340" w:type="dxa"/>
            <w:shd w:val="clear" w:color="auto" w:fill="A5CD7E"/>
            <w:vAlign w:val="center"/>
          </w:tcPr>
          <w:p w:rsidR="00AC40FC" w:rsidRPr="00036487" w:rsidRDefault="00AC40FC" w:rsidP="00521E7D">
            <w:pPr>
              <w:pStyle w:val="Normal-aftertable"/>
              <w:jc w:val="center"/>
              <w:rPr>
                <w:b/>
                <w:sz w:val="20"/>
                <w:szCs w:val="20"/>
              </w:rPr>
            </w:pPr>
            <w:r>
              <w:rPr>
                <w:b/>
                <w:sz w:val="20"/>
                <w:szCs w:val="20"/>
              </w:rPr>
              <w:t>Total</w:t>
            </w:r>
          </w:p>
        </w:tc>
      </w:tr>
      <w:tr w:rsidR="00AC40FC" w:rsidTr="00BB665B">
        <w:trPr>
          <w:jc w:val="center"/>
        </w:trPr>
        <w:tc>
          <w:tcPr>
            <w:tcW w:w="1584" w:type="dxa"/>
            <w:vAlign w:val="center"/>
          </w:tcPr>
          <w:p w:rsidR="00AC40FC" w:rsidRDefault="00AC40FC" w:rsidP="00C73199">
            <w:pPr>
              <w:pStyle w:val="Normal-aftertable"/>
              <w:spacing w:before="0" w:after="60"/>
              <w:jc w:val="left"/>
              <w:rPr>
                <w:sz w:val="20"/>
                <w:szCs w:val="20"/>
              </w:rPr>
            </w:pPr>
            <w:r>
              <w:rPr>
                <w:sz w:val="20"/>
                <w:szCs w:val="20"/>
              </w:rPr>
              <w:t>W. H. Spence</w:t>
            </w:r>
          </w:p>
        </w:tc>
        <w:tc>
          <w:tcPr>
            <w:tcW w:w="1440" w:type="dxa"/>
            <w:vAlign w:val="center"/>
          </w:tcPr>
          <w:p w:rsidR="00AC40FC" w:rsidRDefault="00AC40FC" w:rsidP="00C73199">
            <w:pPr>
              <w:pStyle w:val="Normal-aftertable"/>
              <w:spacing w:before="0" w:after="60"/>
              <w:jc w:val="center"/>
              <w:rPr>
                <w:sz w:val="20"/>
                <w:szCs w:val="20"/>
              </w:rPr>
            </w:pPr>
            <w:r>
              <w:rPr>
                <w:sz w:val="20"/>
                <w:szCs w:val="20"/>
              </w:rPr>
              <w:t>$7,950</w:t>
            </w:r>
          </w:p>
        </w:tc>
        <w:tc>
          <w:tcPr>
            <w:tcW w:w="1584" w:type="dxa"/>
            <w:vAlign w:val="center"/>
          </w:tcPr>
          <w:p w:rsidR="00AC40FC" w:rsidRDefault="00AC40FC" w:rsidP="00C73199">
            <w:pPr>
              <w:pStyle w:val="Normal-aftertable"/>
              <w:spacing w:before="0" w:after="60"/>
              <w:jc w:val="center"/>
              <w:rPr>
                <w:sz w:val="20"/>
                <w:szCs w:val="20"/>
              </w:rPr>
            </w:pPr>
            <w:r>
              <w:rPr>
                <w:sz w:val="20"/>
                <w:szCs w:val="20"/>
              </w:rPr>
              <w:t>$30,000</w:t>
            </w:r>
          </w:p>
        </w:tc>
        <w:tc>
          <w:tcPr>
            <w:tcW w:w="1728" w:type="dxa"/>
            <w:vAlign w:val="center"/>
          </w:tcPr>
          <w:p w:rsidR="00AC40FC" w:rsidRDefault="00AC40FC" w:rsidP="00C73199">
            <w:pPr>
              <w:pStyle w:val="Normal-aftertable"/>
              <w:spacing w:before="0" w:after="60"/>
              <w:jc w:val="center"/>
              <w:rPr>
                <w:sz w:val="20"/>
                <w:szCs w:val="20"/>
              </w:rPr>
            </w:pPr>
            <w:r>
              <w:rPr>
                <w:sz w:val="20"/>
                <w:szCs w:val="20"/>
              </w:rPr>
              <w:t>$11,000</w:t>
            </w:r>
          </w:p>
        </w:tc>
        <w:tc>
          <w:tcPr>
            <w:tcW w:w="1584" w:type="dxa"/>
            <w:vAlign w:val="center"/>
          </w:tcPr>
          <w:p w:rsidR="00AC40FC" w:rsidRDefault="00AC40FC" w:rsidP="00C73199">
            <w:pPr>
              <w:jc w:val="center"/>
            </w:pPr>
            <w:r w:rsidRPr="002B1BED">
              <w:rPr>
                <w:rFonts w:cs="Arial"/>
                <w:sz w:val="20"/>
                <w:szCs w:val="20"/>
              </w:rPr>
              <w:t>−</w:t>
            </w:r>
          </w:p>
        </w:tc>
        <w:tc>
          <w:tcPr>
            <w:tcW w:w="1296" w:type="dxa"/>
            <w:vAlign w:val="center"/>
          </w:tcPr>
          <w:p w:rsidR="00AC40FC" w:rsidRPr="00036487" w:rsidRDefault="00AC40FC" w:rsidP="00C73199">
            <w:pPr>
              <w:pStyle w:val="Normal-aftertable"/>
              <w:spacing w:before="0" w:after="60"/>
              <w:jc w:val="center"/>
              <w:rPr>
                <w:sz w:val="20"/>
                <w:szCs w:val="20"/>
                <w:vertAlign w:val="superscript"/>
              </w:rPr>
            </w:pPr>
            <w:r>
              <w:rPr>
                <w:sz w:val="20"/>
                <w:szCs w:val="20"/>
              </w:rPr>
              <w:t>$5,125</w:t>
            </w:r>
            <w:r>
              <w:rPr>
                <w:sz w:val="20"/>
                <w:szCs w:val="20"/>
                <w:vertAlign w:val="superscript"/>
              </w:rPr>
              <w:t>(b)</w:t>
            </w:r>
          </w:p>
        </w:tc>
        <w:tc>
          <w:tcPr>
            <w:tcW w:w="1340" w:type="dxa"/>
            <w:vAlign w:val="center"/>
          </w:tcPr>
          <w:p w:rsidR="00AC40FC" w:rsidRDefault="00AC40FC" w:rsidP="00C73199">
            <w:pPr>
              <w:pStyle w:val="Normal-aftertable"/>
              <w:spacing w:before="0" w:after="60"/>
              <w:jc w:val="center"/>
              <w:rPr>
                <w:sz w:val="20"/>
                <w:szCs w:val="20"/>
              </w:rPr>
            </w:pPr>
            <w:r>
              <w:rPr>
                <w:sz w:val="20"/>
                <w:szCs w:val="20"/>
              </w:rPr>
              <w:t>$54,075</w:t>
            </w:r>
          </w:p>
        </w:tc>
      </w:tr>
      <w:tr w:rsidR="00AC40FC" w:rsidTr="00BB665B">
        <w:trPr>
          <w:jc w:val="center"/>
        </w:trPr>
        <w:tc>
          <w:tcPr>
            <w:tcW w:w="1584" w:type="dxa"/>
            <w:vAlign w:val="center"/>
          </w:tcPr>
          <w:p w:rsidR="00AC40FC" w:rsidRDefault="00AC40FC" w:rsidP="00C73199">
            <w:pPr>
              <w:pStyle w:val="Normal-aftertable"/>
              <w:spacing w:before="0" w:after="60"/>
              <w:jc w:val="left"/>
              <w:rPr>
                <w:sz w:val="20"/>
                <w:szCs w:val="20"/>
              </w:rPr>
            </w:pPr>
            <w:r>
              <w:rPr>
                <w:sz w:val="20"/>
                <w:szCs w:val="20"/>
              </w:rPr>
              <w:t>V. Sorgi</w:t>
            </w:r>
          </w:p>
        </w:tc>
        <w:tc>
          <w:tcPr>
            <w:tcW w:w="1440" w:type="dxa"/>
            <w:vAlign w:val="center"/>
          </w:tcPr>
          <w:p w:rsidR="00AC40FC" w:rsidRDefault="00AC40FC" w:rsidP="00C73199">
            <w:pPr>
              <w:pStyle w:val="Normal-aftertable"/>
              <w:spacing w:before="0" w:after="60"/>
              <w:jc w:val="center"/>
              <w:rPr>
                <w:sz w:val="20"/>
                <w:szCs w:val="20"/>
              </w:rPr>
            </w:pPr>
            <w:r>
              <w:rPr>
                <w:rFonts w:cs="Arial"/>
                <w:sz w:val="20"/>
                <w:szCs w:val="20"/>
              </w:rPr>
              <w:t>$</w:t>
            </w:r>
            <w:r>
              <w:rPr>
                <w:sz w:val="20"/>
                <w:szCs w:val="20"/>
              </w:rPr>
              <w:t>7,950</w:t>
            </w:r>
          </w:p>
        </w:tc>
        <w:tc>
          <w:tcPr>
            <w:tcW w:w="1584" w:type="dxa"/>
            <w:vAlign w:val="center"/>
          </w:tcPr>
          <w:p w:rsidR="00AC40FC" w:rsidRDefault="00AC40FC" w:rsidP="00C73199">
            <w:pPr>
              <w:pStyle w:val="Normal-aftertable"/>
              <w:spacing w:before="0" w:after="60"/>
              <w:jc w:val="center"/>
              <w:rPr>
                <w:sz w:val="20"/>
                <w:szCs w:val="20"/>
              </w:rPr>
            </w:pPr>
            <w:r>
              <w:rPr>
                <w:rFonts w:cs="Arial"/>
                <w:sz w:val="20"/>
                <w:szCs w:val="20"/>
              </w:rPr>
              <w:t>$</w:t>
            </w:r>
            <w:r>
              <w:rPr>
                <w:sz w:val="20"/>
                <w:szCs w:val="20"/>
              </w:rPr>
              <w:t>13.313</w:t>
            </w:r>
          </w:p>
        </w:tc>
        <w:tc>
          <w:tcPr>
            <w:tcW w:w="1728" w:type="dxa"/>
            <w:vAlign w:val="center"/>
          </w:tcPr>
          <w:p w:rsidR="00AC40FC" w:rsidRDefault="00AC40FC" w:rsidP="00C73199">
            <w:pPr>
              <w:pStyle w:val="Normal-aftertable"/>
              <w:spacing w:before="0" w:after="60"/>
              <w:jc w:val="center"/>
              <w:rPr>
                <w:sz w:val="20"/>
                <w:szCs w:val="20"/>
              </w:rPr>
            </w:pPr>
            <w:r>
              <w:rPr>
                <w:sz w:val="20"/>
                <w:szCs w:val="20"/>
              </w:rPr>
              <w:t>$11,000</w:t>
            </w:r>
          </w:p>
        </w:tc>
        <w:tc>
          <w:tcPr>
            <w:tcW w:w="1584" w:type="dxa"/>
            <w:vAlign w:val="center"/>
          </w:tcPr>
          <w:p w:rsidR="00AC40FC" w:rsidRDefault="00AC40FC" w:rsidP="00C73199">
            <w:pPr>
              <w:jc w:val="center"/>
            </w:pPr>
            <w:r w:rsidRPr="002B1BED">
              <w:rPr>
                <w:rFonts w:cs="Arial"/>
                <w:sz w:val="20"/>
                <w:szCs w:val="20"/>
              </w:rPr>
              <w:t>−</w:t>
            </w:r>
          </w:p>
        </w:tc>
        <w:tc>
          <w:tcPr>
            <w:tcW w:w="1296" w:type="dxa"/>
            <w:vAlign w:val="center"/>
          </w:tcPr>
          <w:p w:rsidR="00AC40FC" w:rsidRPr="00036487" w:rsidRDefault="00AC40FC" w:rsidP="00C73199">
            <w:pPr>
              <w:pStyle w:val="Normal-aftertable"/>
              <w:spacing w:before="0" w:after="60"/>
              <w:jc w:val="center"/>
              <w:rPr>
                <w:sz w:val="20"/>
                <w:szCs w:val="20"/>
                <w:vertAlign w:val="superscript"/>
              </w:rPr>
            </w:pPr>
            <w:r>
              <w:rPr>
                <w:rFonts w:cs="Arial"/>
                <w:sz w:val="20"/>
                <w:szCs w:val="20"/>
              </w:rPr>
              <w:t>$</w:t>
            </w:r>
            <w:r>
              <w:rPr>
                <w:sz w:val="20"/>
                <w:szCs w:val="20"/>
              </w:rPr>
              <w:t>55</w:t>
            </w:r>
            <w:r>
              <w:rPr>
                <w:sz w:val="20"/>
                <w:szCs w:val="20"/>
                <w:vertAlign w:val="superscript"/>
              </w:rPr>
              <w:t>(c)</w:t>
            </w:r>
          </w:p>
        </w:tc>
        <w:tc>
          <w:tcPr>
            <w:tcW w:w="1340" w:type="dxa"/>
            <w:vAlign w:val="center"/>
          </w:tcPr>
          <w:p w:rsidR="00AC40FC" w:rsidRDefault="00AC40FC" w:rsidP="00C73199">
            <w:pPr>
              <w:pStyle w:val="Normal-aftertable"/>
              <w:spacing w:before="0" w:after="60"/>
              <w:jc w:val="center"/>
              <w:rPr>
                <w:sz w:val="20"/>
                <w:szCs w:val="20"/>
              </w:rPr>
            </w:pPr>
            <w:r>
              <w:rPr>
                <w:rFonts w:cs="Arial"/>
                <w:sz w:val="20"/>
                <w:szCs w:val="20"/>
              </w:rPr>
              <w:t>$</w:t>
            </w:r>
            <w:r>
              <w:rPr>
                <w:sz w:val="20"/>
                <w:szCs w:val="20"/>
              </w:rPr>
              <w:t>32,318</w:t>
            </w:r>
          </w:p>
        </w:tc>
      </w:tr>
      <w:tr w:rsidR="00AC40FC" w:rsidTr="00BB665B">
        <w:trPr>
          <w:jc w:val="center"/>
        </w:trPr>
        <w:tc>
          <w:tcPr>
            <w:tcW w:w="1584" w:type="dxa"/>
            <w:vAlign w:val="center"/>
          </w:tcPr>
          <w:p w:rsidR="00AC40FC" w:rsidRDefault="00AC40FC" w:rsidP="00C73199">
            <w:pPr>
              <w:pStyle w:val="Normal-aftertable"/>
              <w:spacing w:before="0" w:after="60"/>
              <w:jc w:val="left"/>
              <w:rPr>
                <w:sz w:val="20"/>
                <w:szCs w:val="20"/>
              </w:rPr>
            </w:pPr>
            <w:r>
              <w:rPr>
                <w:sz w:val="20"/>
                <w:szCs w:val="20"/>
              </w:rPr>
              <w:t>R. J. Grey</w:t>
            </w:r>
          </w:p>
        </w:tc>
        <w:tc>
          <w:tcPr>
            <w:tcW w:w="1440" w:type="dxa"/>
            <w:vAlign w:val="center"/>
          </w:tcPr>
          <w:p w:rsidR="00AC40FC" w:rsidRDefault="00AC40FC" w:rsidP="00C73199">
            <w:pPr>
              <w:pStyle w:val="Normal-aftertable"/>
              <w:spacing w:before="0" w:after="60"/>
              <w:jc w:val="center"/>
              <w:rPr>
                <w:sz w:val="20"/>
                <w:szCs w:val="20"/>
              </w:rPr>
            </w:pPr>
            <w:r>
              <w:rPr>
                <w:rFonts w:cs="Arial"/>
                <w:sz w:val="20"/>
                <w:szCs w:val="20"/>
              </w:rPr>
              <w:t>$</w:t>
            </w:r>
            <w:r>
              <w:rPr>
                <w:sz w:val="20"/>
                <w:szCs w:val="20"/>
              </w:rPr>
              <w:t>7,950</w:t>
            </w:r>
          </w:p>
        </w:tc>
        <w:tc>
          <w:tcPr>
            <w:tcW w:w="1584" w:type="dxa"/>
            <w:vAlign w:val="center"/>
          </w:tcPr>
          <w:p w:rsidR="00AC40FC" w:rsidRDefault="00AC40FC" w:rsidP="00C73199">
            <w:pPr>
              <w:pStyle w:val="Normal-aftertable"/>
              <w:spacing w:before="0" w:after="60"/>
              <w:jc w:val="center"/>
              <w:rPr>
                <w:sz w:val="20"/>
                <w:szCs w:val="20"/>
              </w:rPr>
            </w:pPr>
            <w:r>
              <w:rPr>
                <w:rFonts w:cs="Arial"/>
                <w:sz w:val="20"/>
                <w:szCs w:val="20"/>
              </w:rPr>
              <w:t>$</w:t>
            </w:r>
            <w:r>
              <w:rPr>
                <w:sz w:val="20"/>
                <w:szCs w:val="20"/>
              </w:rPr>
              <w:t>16,346</w:t>
            </w:r>
          </w:p>
        </w:tc>
        <w:tc>
          <w:tcPr>
            <w:tcW w:w="1728" w:type="dxa"/>
            <w:vAlign w:val="center"/>
          </w:tcPr>
          <w:p w:rsidR="00AC40FC" w:rsidRDefault="00AC40FC" w:rsidP="00C73199">
            <w:pPr>
              <w:pStyle w:val="Normal-aftertable"/>
              <w:spacing w:before="0" w:after="60"/>
              <w:jc w:val="center"/>
              <w:rPr>
                <w:sz w:val="20"/>
                <w:szCs w:val="20"/>
              </w:rPr>
            </w:pPr>
            <w:r>
              <w:rPr>
                <w:sz w:val="20"/>
                <w:szCs w:val="20"/>
              </w:rPr>
              <w:t>$9,000</w:t>
            </w:r>
          </w:p>
        </w:tc>
        <w:tc>
          <w:tcPr>
            <w:tcW w:w="1584" w:type="dxa"/>
            <w:vAlign w:val="center"/>
          </w:tcPr>
          <w:p w:rsidR="00AC40FC" w:rsidRDefault="00AC40FC" w:rsidP="00C73199">
            <w:pPr>
              <w:jc w:val="center"/>
            </w:pPr>
            <w:r w:rsidRPr="002B1BED">
              <w:rPr>
                <w:rFonts w:cs="Arial"/>
                <w:sz w:val="20"/>
                <w:szCs w:val="20"/>
              </w:rPr>
              <w:t>−</w:t>
            </w:r>
          </w:p>
        </w:tc>
        <w:tc>
          <w:tcPr>
            <w:tcW w:w="1296" w:type="dxa"/>
            <w:vAlign w:val="center"/>
          </w:tcPr>
          <w:p w:rsidR="00AC40FC" w:rsidRPr="00036487" w:rsidRDefault="00AC40FC" w:rsidP="00C73199">
            <w:pPr>
              <w:pStyle w:val="Normal-aftertable"/>
              <w:spacing w:before="0" w:after="60"/>
              <w:jc w:val="center"/>
              <w:rPr>
                <w:sz w:val="20"/>
                <w:szCs w:val="20"/>
                <w:vertAlign w:val="superscript"/>
              </w:rPr>
            </w:pPr>
            <w:r>
              <w:rPr>
                <w:rFonts w:cs="Arial"/>
                <w:sz w:val="20"/>
                <w:szCs w:val="20"/>
              </w:rPr>
              <w:t>$</w:t>
            </w:r>
            <w:r>
              <w:rPr>
                <w:sz w:val="20"/>
                <w:szCs w:val="20"/>
              </w:rPr>
              <w:t>23,631</w:t>
            </w:r>
            <w:r>
              <w:rPr>
                <w:sz w:val="20"/>
                <w:szCs w:val="20"/>
                <w:vertAlign w:val="superscript"/>
              </w:rPr>
              <w:t>(d)</w:t>
            </w:r>
          </w:p>
        </w:tc>
        <w:tc>
          <w:tcPr>
            <w:tcW w:w="1340" w:type="dxa"/>
            <w:vAlign w:val="center"/>
          </w:tcPr>
          <w:p w:rsidR="00AC40FC" w:rsidRDefault="00AC40FC" w:rsidP="00C73199">
            <w:pPr>
              <w:pStyle w:val="Normal-aftertable"/>
              <w:spacing w:before="0" w:after="60"/>
              <w:jc w:val="center"/>
              <w:rPr>
                <w:sz w:val="20"/>
                <w:szCs w:val="20"/>
              </w:rPr>
            </w:pPr>
            <w:r>
              <w:rPr>
                <w:rFonts w:cs="Arial"/>
                <w:sz w:val="20"/>
                <w:szCs w:val="20"/>
              </w:rPr>
              <w:t>$</w:t>
            </w:r>
            <w:r>
              <w:rPr>
                <w:sz w:val="20"/>
                <w:szCs w:val="20"/>
              </w:rPr>
              <w:t>56,927</w:t>
            </w:r>
          </w:p>
        </w:tc>
      </w:tr>
      <w:tr w:rsidR="00AC40FC" w:rsidTr="00BB665B">
        <w:trPr>
          <w:jc w:val="center"/>
        </w:trPr>
        <w:tc>
          <w:tcPr>
            <w:tcW w:w="1584" w:type="dxa"/>
            <w:vAlign w:val="center"/>
          </w:tcPr>
          <w:p w:rsidR="00AC40FC" w:rsidRDefault="00AC40FC" w:rsidP="00C73199">
            <w:pPr>
              <w:pStyle w:val="Normal-aftertable"/>
              <w:spacing w:before="0" w:after="60"/>
              <w:jc w:val="left"/>
              <w:rPr>
                <w:sz w:val="20"/>
                <w:szCs w:val="20"/>
              </w:rPr>
            </w:pPr>
            <w:r>
              <w:rPr>
                <w:sz w:val="20"/>
                <w:szCs w:val="20"/>
              </w:rPr>
              <w:t>P. A. Farr</w:t>
            </w:r>
          </w:p>
        </w:tc>
        <w:tc>
          <w:tcPr>
            <w:tcW w:w="1440" w:type="dxa"/>
            <w:vAlign w:val="center"/>
          </w:tcPr>
          <w:p w:rsidR="00AC40FC" w:rsidRDefault="00AC40FC" w:rsidP="00C73199">
            <w:pPr>
              <w:pStyle w:val="Normal-aftertable"/>
              <w:spacing w:before="0" w:after="60"/>
              <w:jc w:val="center"/>
              <w:rPr>
                <w:sz w:val="20"/>
                <w:szCs w:val="20"/>
              </w:rPr>
            </w:pPr>
            <w:r>
              <w:rPr>
                <w:rFonts w:cs="Arial"/>
                <w:sz w:val="20"/>
                <w:szCs w:val="20"/>
              </w:rPr>
              <w:t>$</w:t>
            </w:r>
            <w:r>
              <w:rPr>
                <w:sz w:val="20"/>
                <w:szCs w:val="20"/>
              </w:rPr>
              <w:t>7,950</w:t>
            </w:r>
          </w:p>
        </w:tc>
        <w:tc>
          <w:tcPr>
            <w:tcW w:w="1584" w:type="dxa"/>
            <w:vAlign w:val="center"/>
          </w:tcPr>
          <w:p w:rsidR="00AC40FC" w:rsidRDefault="00AC40FC" w:rsidP="00C73199">
            <w:pPr>
              <w:pStyle w:val="Normal-aftertable"/>
              <w:spacing w:before="0" w:after="60"/>
              <w:jc w:val="center"/>
              <w:rPr>
                <w:sz w:val="20"/>
                <w:szCs w:val="20"/>
              </w:rPr>
            </w:pPr>
            <w:r>
              <w:rPr>
                <w:rFonts w:cs="Arial"/>
                <w:sz w:val="20"/>
                <w:szCs w:val="20"/>
              </w:rPr>
              <w:t>$</w:t>
            </w:r>
            <w:r>
              <w:rPr>
                <w:sz w:val="20"/>
                <w:szCs w:val="20"/>
              </w:rPr>
              <w:t>28,588</w:t>
            </w:r>
          </w:p>
        </w:tc>
        <w:tc>
          <w:tcPr>
            <w:tcW w:w="1728" w:type="dxa"/>
            <w:vAlign w:val="center"/>
          </w:tcPr>
          <w:p w:rsidR="00AC40FC" w:rsidRDefault="00AC40FC" w:rsidP="00C73199">
            <w:pPr>
              <w:pStyle w:val="Normal-aftertable"/>
              <w:spacing w:before="0" w:after="60"/>
              <w:jc w:val="center"/>
              <w:rPr>
                <w:sz w:val="20"/>
                <w:szCs w:val="20"/>
              </w:rPr>
            </w:pPr>
            <w:r>
              <w:rPr>
                <w:rFonts w:cs="Arial"/>
                <w:sz w:val="20"/>
                <w:szCs w:val="20"/>
              </w:rPr>
              <w:t>−</w:t>
            </w:r>
          </w:p>
        </w:tc>
        <w:tc>
          <w:tcPr>
            <w:tcW w:w="1584" w:type="dxa"/>
            <w:vAlign w:val="center"/>
          </w:tcPr>
          <w:p w:rsidR="00AC40FC" w:rsidRDefault="00AC40FC" w:rsidP="00C73199">
            <w:pPr>
              <w:jc w:val="center"/>
            </w:pPr>
            <w:r w:rsidRPr="002B1BED">
              <w:rPr>
                <w:rFonts w:cs="Arial"/>
                <w:sz w:val="20"/>
                <w:szCs w:val="20"/>
              </w:rPr>
              <w:t>−</w:t>
            </w:r>
          </w:p>
        </w:tc>
        <w:tc>
          <w:tcPr>
            <w:tcW w:w="1296" w:type="dxa"/>
            <w:vAlign w:val="center"/>
          </w:tcPr>
          <w:p w:rsidR="00AC40FC" w:rsidRDefault="00AC40FC" w:rsidP="00C73199">
            <w:pPr>
              <w:pStyle w:val="Normal-aftertable"/>
              <w:spacing w:before="0" w:after="60"/>
              <w:jc w:val="center"/>
              <w:rPr>
                <w:sz w:val="20"/>
                <w:szCs w:val="20"/>
              </w:rPr>
            </w:pPr>
            <w:r w:rsidRPr="002B1BED">
              <w:rPr>
                <w:rFonts w:cs="Arial"/>
                <w:sz w:val="20"/>
                <w:szCs w:val="20"/>
              </w:rPr>
              <w:t>−</w:t>
            </w:r>
          </w:p>
        </w:tc>
        <w:tc>
          <w:tcPr>
            <w:tcW w:w="1340" w:type="dxa"/>
            <w:vAlign w:val="center"/>
          </w:tcPr>
          <w:p w:rsidR="00AC40FC" w:rsidRDefault="00AC40FC" w:rsidP="00C73199">
            <w:pPr>
              <w:pStyle w:val="Normal-aftertable"/>
              <w:spacing w:before="0" w:after="60"/>
              <w:jc w:val="center"/>
              <w:rPr>
                <w:sz w:val="20"/>
                <w:szCs w:val="20"/>
              </w:rPr>
            </w:pPr>
            <w:r>
              <w:rPr>
                <w:rFonts w:cs="Arial"/>
                <w:sz w:val="20"/>
                <w:szCs w:val="20"/>
              </w:rPr>
              <w:t>$</w:t>
            </w:r>
            <w:r>
              <w:rPr>
                <w:sz w:val="20"/>
                <w:szCs w:val="20"/>
              </w:rPr>
              <w:t>36,538</w:t>
            </w:r>
          </w:p>
        </w:tc>
      </w:tr>
      <w:tr w:rsidR="00AC40FC" w:rsidTr="00BB665B">
        <w:trPr>
          <w:jc w:val="center"/>
        </w:trPr>
        <w:tc>
          <w:tcPr>
            <w:tcW w:w="1584" w:type="dxa"/>
            <w:vAlign w:val="center"/>
          </w:tcPr>
          <w:p w:rsidR="00AC40FC" w:rsidRDefault="00AC40FC" w:rsidP="00C73199">
            <w:pPr>
              <w:pStyle w:val="Normal-aftertable"/>
              <w:spacing w:before="0" w:after="60"/>
              <w:jc w:val="left"/>
              <w:rPr>
                <w:sz w:val="20"/>
                <w:szCs w:val="20"/>
              </w:rPr>
            </w:pPr>
            <w:r>
              <w:rPr>
                <w:sz w:val="20"/>
                <w:szCs w:val="20"/>
              </w:rPr>
              <w:t>V. A. Staffieri</w:t>
            </w:r>
          </w:p>
        </w:tc>
        <w:tc>
          <w:tcPr>
            <w:tcW w:w="1440" w:type="dxa"/>
            <w:vAlign w:val="center"/>
          </w:tcPr>
          <w:p w:rsidR="00AC40FC" w:rsidRDefault="00AC40FC" w:rsidP="00C73199">
            <w:pPr>
              <w:pStyle w:val="Normal-aftertable"/>
              <w:spacing w:before="0" w:after="60"/>
              <w:jc w:val="center"/>
              <w:rPr>
                <w:sz w:val="20"/>
                <w:szCs w:val="20"/>
              </w:rPr>
            </w:pPr>
            <w:r>
              <w:rPr>
                <w:rFonts w:cs="Arial"/>
                <w:sz w:val="20"/>
                <w:szCs w:val="20"/>
              </w:rPr>
              <w:t>$</w:t>
            </w:r>
            <w:r>
              <w:rPr>
                <w:sz w:val="20"/>
                <w:szCs w:val="20"/>
              </w:rPr>
              <w:t>11,130</w:t>
            </w:r>
          </w:p>
        </w:tc>
        <w:tc>
          <w:tcPr>
            <w:tcW w:w="1584" w:type="dxa"/>
            <w:vAlign w:val="center"/>
          </w:tcPr>
          <w:p w:rsidR="00AC40FC" w:rsidRDefault="00AC40FC" w:rsidP="00C73199">
            <w:pPr>
              <w:pStyle w:val="Normal-aftertable"/>
              <w:spacing w:before="0" w:after="60"/>
              <w:jc w:val="center"/>
              <w:rPr>
                <w:sz w:val="20"/>
                <w:szCs w:val="20"/>
              </w:rPr>
            </w:pPr>
            <w:r>
              <w:rPr>
                <w:rFonts w:cs="Arial"/>
                <w:sz w:val="20"/>
                <w:szCs w:val="20"/>
              </w:rPr>
              <w:t>$</w:t>
            </w:r>
            <w:r>
              <w:rPr>
                <w:sz w:val="20"/>
                <w:szCs w:val="20"/>
              </w:rPr>
              <w:t>54,500</w:t>
            </w:r>
          </w:p>
        </w:tc>
        <w:tc>
          <w:tcPr>
            <w:tcW w:w="1728" w:type="dxa"/>
            <w:vAlign w:val="center"/>
          </w:tcPr>
          <w:p w:rsidR="00AC40FC" w:rsidRDefault="00AC40FC" w:rsidP="00C73199">
            <w:pPr>
              <w:pStyle w:val="Normal-aftertable"/>
              <w:spacing w:before="0" w:after="60"/>
              <w:jc w:val="center"/>
              <w:rPr>
                <w:sz w:val="20"/>
                <w:szCs w:val="20"/>
              </w:rPr>
            </w:pPr>
            <w:r>
              <w:rPr>
                <w:sz w:val="20"/>
                <w:szCs w:val="20"/>
              </w:rPr>
              <w:t>$11,000</w:t>
            </w:r>
          </w:p>
        </w:tc>
        <w:tc>
          <w:tcPr>
            <w:tcW w:w="1584" w:type="dxa"/>
            <w:vAlign w:val="center"/>
          </w:tcPr>
          <w:p w:rsidR="00AC40FC" w:rsidRDefault="00AC40FC" w:rsidP="00C73199">
            <w:pPr>
              <w:jc w:val="center"/>
            </w:pPr>
            <w:r w:rsidRPr="002B1BED">
              <w:rPr>
                <w:rFonts w:cs="Arial"/>
                <w:sz w:val="20"/>
                <w:szCs w:val="20"/>
              </w:rPr>
              <w:t>−</w:t>
            </w:r>
          </w:p>
        </w:tc>
        <w:tc>
          <w:tcPr>
            <w:tcW w:w="1296" w:type="dxa"/>
            <w:vAlign w:val="center"/>
          </w:tcPr>
          <w:p w:rsidR="00AC40FC" w:rsidRDefault="00AC40FC" w:rsidP="00C73199">
            <w:pPr>
              <w:pStyle w:val="Normal-aftertable"/>
              <w:spacing w:before="0" w:after="60"/>
              <w:jc w:val="center"/>
              <w:rPr>
                <w:sz w:val="20"/>
                <w:szCs w:val="20"/>
              </w:rPr>
            </w:pPr>
            <w:r w:rsidRPr="002B1BED">
              <w:rPr>
                <w:rFonts w:cs="Arial"/>
                <w:sz w:val="20"/>
                <w:szCs w:val="20"/>
              </w:rPr>
              <w:t>−</w:t>
            </w:r>
          </w:p>
        </w:tc>
        <w:tc>
          <w:tcPr>
            <w:tcW w:w="1340" w:type="dxa"/>
            <w:vAlign w:val="center"/>
          </w:tcPr>
          <w:p w:rsidR="00AC40FC" w:rsidRDefault="00AC40FC" w:rsidP="00C73199">
            <w:pPr>
              <w:pStyle w:val="Normal-aftertable"/>
              <w:spacing w:before="0" w:after="60"/>
              <w:jc w:val="center"/>
              <w:rPr>
                <w:sz w:val="20"/>
                <w:szCs w:val="20"/>
              </w:rPr>
            </w:pPr>
            <w:r>
              <w:rPr>
                <w:rFonts w:cs="Arial"/>
                <w:sz w:val="20"/>
                <w:szCs w:val="20"/>
              </w:rPr>
              <w:t>$</w:t>
            </w:r>
            <w:r>
              <w:rPr>
                <w:sz w:val="20"/>
                <w:szCs w:val="20"/>
              </w:rPr>
              <w:t>76,630</w:t>
            </w:r>
          </w:p>
        </w:tc>
      </w:tr>
      <w:tr w:rsidR="00AC40FC" w:rsidTr="00BB665B">
        <w:trPr>
          <w:jc w:val="center"/>
        </w:trPr>
        <w:tc>
          <w:tcPr>
            <w:tcW w:w="1584" w:type="dxa"/>
            <w:vAlign w:val="center"/>
          </w:tcPr>
          <w:p w:rsidR="00AC40FC" w:rsidRDefault="00AC40FC" w:rsidP="00C73199">
            <w:pPr>
              <w:pStyle w:val="Normal-aftertable"/>
              <w:spacing w:before="0" w:after="60"/>
              <w:jc w:val="left"/>
              <w:rPr>
                <w:sz w:val="20"/>
                <w:szCs w:val="20"/>
              </w:rPr>
            </w:pPr>
            <w:r>
              <w:rPr>
                <w:sz w:val="20"/>
                <w:szCs w:val="20"/>
              </w:rPr>
              <w:t>R. A. Symons</w:t>
            </w:r>
          </w:p>
        </w:tc>
        <w:tc>
          <w:tcPr>
            <w:tcW w:w="1440" w:type="dxa"/>
            <w:vAlign w:val="center"/>
          </w:tcPr>
          <w:p w:rsidR="00AC40FC" w:rsidRDefault="00AC40FC" w:rsidP="00C73199">
            <w:pPr>
              <w:pStyle w:val="Normal-aftertable"/>
              <w:spacing w:before="0" w:after="60"/>
              <w:jc w:val="center"/>
              <w:rPr>
                <w:sz w:val="20"/>
                <w:szCs w:val="20"/>
              </w:rPr>
            </w:pPr>
            <w:r>
              <w:rPr>
                <w:rFonts w:cs="Arial"/>
                <w:sz w:val="20"/>
                <w:szCs w:val="20"/>
              </w:rPr>
              <w:t>−</w:t>
            </w:r>
          </w:p>
        </w:tc>
        <w:tc>
          <w:tcPr>
            <w:tcW w:w="1584" w:type="dxa"/>
            <w:vAlign w:val="center"/>
          </w:tcPr>
          <w:p w:rsidR="00AC40FC" w:rsidRDefault="00AC40FC" w:rsidP="00C73199">
            <w:pPr>
              <w:pStyle w:val="Normal-aftertable"/>
              <w:spacing w:before="0" w:after="60"/>
              <w:jc w:val="center"/>
              <w:rPr>
                <w:sz w:val="20"/>
                <w:szCs w:val="20"/>
              </w:rPr>
            </w:pPr>
            <w:r>
              <w:rPr>
                <w:rFonts w:cs="Arial"/>
                <w:sz w:val="20"/>
                <w:szCs w:val="20"/>
              </w:rPr>
              <w:t>−</w:t>
            </w:r>
          </w:p>
        </w:tc>
        <w:tc>
          <w:tcPr>
            <w:tcW w:w="1728" w:type="dxa"/>
            <w:vAlign w:val="center"/>
          </w:tcPr>
          <w:p w:rsidR="00AC40FC" w:rsidRDefault="00AC40FC" w:rsidP="00C73199">
            <w:pPr>
              <w:pStyle w:val="Normal-aftertable"/>
              <w:spacing w:before="0" w:after="60"/>
              <w:jc w:val="center"/>
              <w:rPr>
                <w:sz w:val="20"/>
                <w:szCs w:val="20"/>
              </w:rPr>
            </w:pPr>
            <w:r>
              <w:rPr>
                <w:rFonts w:cs="Arial"/>
                <w:sz w:val="20"/>
                <w:szCs w:val="20"/>
              </w:rPr>
              <w:t>−</w:t>
            </w:r>
          </w:p>
        </w:tc>
        <w:tc>
          <w:tcPr>
            <w:tcW w:w="1584" w:type="dxa"/>
            <w:vAlign w:val="center"/>
          </w:tcPr>
          <w:p w:rsidR="00AC40FC" w:rsidRDefault="00AC40FC" w:rsidP="00C73199">
            <w:pPr>
              <w:pStyle w:val="Normal-aftertable"/>
              <w:spacing w:before="0" w:after="60"/>
              <w:jc w:val="center"/>
              <w:rPr>
                <w:sz w:val="20"/>
                <w:szCs w:val="20"/>
              </w:rPr>
            </w:pPr>
            <w:r>
              <w:rPr>
                <w:sz w:val="20"/>
                <w:szCs w:val="20"/>
              </w:rPr>
              <w:t>$17,993</w:t>
            </w:r>
          </w:p>
        </w:tc>
        <w:tc>
          <w:tcPr>
            <w:tcW w:w="1296" w:type="dxa"/>
            <w:vAlign w:val="center"/>
          </w:tcPr>
          <w:p w:rsidR="00AC40FC" w:rsidRPr="00036487" w:rsidRDefault="00AC40FC" w:rsidP="00C73199">
            <w:pPr>
              <w:pStyle w:val="Normal-aftertable"/>
              <w:spacing w:before="0" w:after="60"/>
              <w:jc w:val="center"/>
              <w:rPr>
                <w:sz w:val="20"/>
                <w:szCs w:val="20"/>
                <w:vertAlign w:val="superscript"/>
              </w:rPr>
            </w:pPr>
            <w:r>
              <w:rPr>
                <w:rFonts w:cs="Arial"/>
                <w:sz w:val="20"/>
                <w:szCs w:val="20"/>
              </w:rPr>
              <w:t>$</w:t>
            </w:r>
            <w:r>
              <w:rPr>
                <w:sz w:val="20"/>
                <w:szCs w:val="20"/>
              </w:rPr>
              <w:t>2,295</w:t>
            </w:r>
            <w:r>
              <w:rPr>
                <w:sz w:val="20"/>
                <w:szCs w:val="20"/>
                <w:vertAlign w:val="superscript"/>
              </w:rPr>
              <w:t>(e)</w:t>
            </w:r>
          </w:p>
        </w:tc>
        <w:tc>
          <w:tcPr>
            <w:tcW w:w="1340" w:type="dxa"/>
            <w:vAlign w:val="center"/>
          </w:tcPr>
          <w:p w:rsidR="00AC40FC" w:rsidRDefault="00AC40FC" w:rsidP="00C73199">
            <w:pPr>
              <w:pStyle w:val="Normal-aftertable"/>
              <w:spacing w:before="0" w:after="60"/>
              <w:jc w:val="center"/>
              <w:rPr>
                <w:sz w:val="20"/>
                <w:szCs w:val="20"/>
              </w:rPr>
            </w:pPr>
            <w:r>
              <w:rPr>
                <w:rFonts w:cs="Arial"/>
                <w:sz w:val="20"/>
                <w:szCs w:val="20"/>
              </w:rPr>
              <w:t>$</w:t>
            </w:r>
            <w:r>
              <w:rPr>
                <w:sz w:val="20"/>
                <w:szCs w:val="20"/>
              </w:rPr>
              <w:t>20,288</w:t>
            </w:r>
          </w:p>
        </w:tc>
      </w:tr>
    </w:tbl>
    <w:p w:rsidR="00AC40FC" w:rsidRPr="006A3089" w:rsidRDefault="00AC40FC" w:rsidP="00B019A6">
      <w:pPr>
        <w:pStyle w:val="Normal-aftertable"/>
        <w:spacing w:after="60"/>
        <w:rPr>
          <w:sz w:val="20"/>
          <w:szCs w:val="20"/>
        </w:rPr>
      </w:pPr>
      <w:r w:rsidRPr="006A3089">
        <w:rPr>
          <w:sz w:val="20"/>
          <w:szCs w:val="20"/>
        </w:rPr>
        <w:t>(a) Car benefits provided to Mr. Symons, including monthly car allowance and reimbursement for fuel. Benefit is capped at</w:t>
      </w:r>
      <w:r>
        <w:rPr>
          <w:sz w:val="20"/>
          <w:szCs w:val="20"/>
        </w:rPr>
        <w:t xml:space="preserve"> </w:t>
      </w:r>
      <w:r w:rsidRPr="006A3089">
        <w:rPr>
          <w:sz w:val="20"/>
          <w:szCs w:val="20"/>
        </w:rPr>
        <w:t>£20,000 per year.</w:t>
      </w:r>
    </w:p>
    <w:p w:rsidR="00AC40FC" w:rsidRPr="006A3089" w:rsidRDefault="00AC40FC" w:rsidP="00C73199">
      <w:pPr>
        <w:pStyle w:val="Normal-aftertable"/>
        <w:spacing w:before="0" w:after="60"/>
        <w:rPr>
          <w:sz w:val="20"/>
          <w:szCs w:val="20"/>
        </w:rPr>
      </w:pPr>
      <w:r w:rsidRPr="006A3089">
        <w:rPr>
          <w:sz w:val="20"/>
          <w:szCs w:val="20"/>
        </w:rPr>
        <w:t>(b) Includes $5,000 paid for executive physical and $125 value of a hospitality gift.</w:t>
      </w:r>
    </w:p>
    <w:p w:rsidR="00AC40FC" w:rsidRPr="006A3089" w:rsidRDefault="00AC40FC" w:rsidP="00C73199">
      <w:pPr>
        <w:pStyle w:val="Normal-aftertable"/>
        <w:spacing w:before="0" w:after="60"/>
        <w:rPr>
          <w:sz w:val="20"/>
          <w:szCs w:val="20"/>
        </w:rPr>
      </w:pPr>
      <w:r w:rsidRPr="006A3089">
        <w:rPr>
          <w:sz w:val="20"/>
          <w:szCs w:val="20"/>
        </w:rPr>
        <w:t>(c) Value of a hospitality gift.</w:t>
      </w:r>
    </w:p>
    <w:p w:rsidR="00AC40FC" w:rsidRDefault="00AC40FC" w:rsidP="00C73199">
      <w:pPr>
        <w:pStyle w:val="Normal-aftertable"/>
        <w:spacing w:before="0" w:after="60"/>
        <w:rPr>
          <w:sz w:val="20"/>
          <w:szCs w:val="20"/>
        </w:rPr>
      </w:pPr>
      <w:r w:rsidRPr="006A3089">
        <w:rPr>
          <w:sz w:val="20"/>
          <w:szCs w:val="20"/>
        </w:rPr>
        <w:t>(d) Includes $23,576 reimbursed to Mr. Grey for legal fees as set forth in his Retention A</w:t>
      </w:r>
      <w:r>
        <w:rPr>
          <w:sz w:val="20"/>
          <w:szCs w:val="20"/>
        </w:rPr>
        <w:t xml:space="preserve">greement described beginning on </w:t>
      </w:r>
      <w:r w:rsidRPr="006A3089">
        <w:rPr>
          <w:sz w:val="20"/>
          <w:szCs w:val="20"/>
        </w:rPr>
        <w:t>page 63 and $</w:t>
      </w:r>
      <w:r>
        <w:rPr>
          <w:sz w:val="20"/>
          <w:szCs w:val="20"/>
        </w:rPr>
        <w:t>55 value of a hospitality gift.</w:t>
      </w:r>
    </w:p>
    <w:p w:rsidR="00AC40FC" w:rsidRDefault="00AC40FC" w:rsidP="00C73199">
      <w:pPr>
        <w:pStyle w:val="Normal-aftertable"/>
        <w:spacing w:before="0" w:after="60"/>
        <w:rPr>
          <w:sz w:val="20"/>
          <w:szCs w:val="20"/>
        </w:rPr>
      </w:pPr>
      <w:r w:rsidRPr="006A3089">
        <w:rPr>
          <w:sz w:val="20"/>
          <w:szCs w:val="20"/>
        </w:rPr>
        <w:t>(e) Includes $2,240 for cost of private medical insurance plan in the United Kingdom for Mr. Symons, his wife and daughter</w:t>
      </w:r>
      <w:r>
        <w:rPr>
          <w:sz w:val="20"/>
          <w:szCs w:val="20"/>
        </w:rPr>
        <w:t xml:space="preserve"> </w:t>
      </w:r>
      <w:r w:rsidRPr="006A3089">
        <w:rPr>
          <w:sz w:val="20"/>
          <w:szCs w:val="20"/>
        </w:rPr>
        <w:t>and $55 value of a hospitality gift.</w:t>
      </w:r>
    </w:p>
    <w:p w:rsidR="00AC40FC" w:rsidRPr="006A3089" w:rsidRDefault="00AC40FC" w:rsidP="00C73199">
      <w:pPr>
        <w:pStyle w:val="Normal-aftertable"/>
        <w:rPr>
          <w:sz w:val="20"/>
          <w:szCs w:val="20"/>
        </w:rPr>
        <w:sectPr w:rsidR="00AC40FC" w:rsidRPr="006A3089" w:rsidSect="00C73199">
          <w:footerReference w:type="default" r:id="rId77"/>
          <w:pgSz w:w="15840" w:h="12240" w:orient="landscape"/>
          <w:pgMar w:top="1440" w:right="1440" w:bottom="1440" w:left="1440" w:header="720" w:footer="576" w:gutter="0"/>
          <w:cols w:space="720"/>
          <w:docGrid w:linePitch="360"/>
        </w:sectPr>
      </w:pPr>
    </w:p>
    <w:p w:rsidR="00AC40FC" w:rsidRDefault="00AC40FC" w:rsidP="00C73199">
      <w:pPr>
        <w:pStyle w:val="Normal-aftertable"/>
      </w:pPr>
      <w:r>
        <w:lastRenderedPageBreak/>
        <w:t xml:space="preserve">The Summary Compensation Table in the PPL Corporation Proxy Statement filed on April 12, 2016 (2016 Summary Compensation Table), provides the total compensation for the NEOs from 2013 through 2015.  The 2016 Summary Compensation Table separates NEO salary, short-term incentives, long-term incentives referred to as stock awards, discontinued stock options, pension, and other compensation to calculate total direct compensation as required by SEC disclosure rules. </w:t>
      </w:r>
    </w:p>
    <w:p w:rsidR="00AC40FC" w:rsidRDefault="00AC40FC" w:rsidP="00C73199">
      <w:r>
        <w:t xml:space="preserve">The steps taken by the CGNC related to the 2016 Summary Compensation Table are as follows: </w:t>
      </w:r>
    </w:p>
    <w:p w:rsidR="00AC40FC" w:rsidRDefault="00AC40FC" w:rsidP="00C73199">
      <w:pPr>
        <w:pStyle w:val="Bullet"/>
      </w:pPr>
      <w:r>
        <w:t>Review executive base salary, short-term incentive compensation, long-term incentive compensation, retirement, and other benefits annually for Section 16 officers</w:t>
      </w:r>
    </w:p>
    <w:p w:rsidR="00AC40FC" w:rsidRDefault="00AC40FC" w:rsidP="00C73199">
      <w:pPr>
        <w:pStyle w:val="Bullet"/>
      </w:pPr>
      <w:r>
        <w:t>Review the balanced allocation percentages of base salary and pay “at risk”</w:t>
      </w:r>
    </w:p>
    <w:p w:rsidR="00AC40FC" w:rsidRDefault="00AC40FC" w:rsidP="00C73199">
      <w:pPr>
        <w:pStyle w:val="Bullet"/>
      </w:pPr>
      <w:r>
        <w:t>Establish compensation targets for short-term and long-term incentives</w:t>
      </w:r>
    </w:p>
    <w:p w:rsidR="00AC40FC" w:rsidRDefault="00AC40FC" w:rsidP="00C73199">
      <w:pPr>
        <w:pStyle w:val="Bullet"/>
      </w:pPr>
      <w:r>
        <w:t>Review annual performance in January to make executive awards</w:t>
      </w:r>
    </w:p>
    <w:p w:rsidR="00AC40FC" w:rsidRDefault="00AC40FC" w:rsidP="00C73199">
      <w:pPr>
        <w:pStyle w:val="Bullet"/>
      </w:pPr>
      <w:r>
        <w:t>Review CEO performance and analyze and review executive compensation market data provided by the external executive compensation consultant to ensure compensation philosophy and objectives are met.</w:t>
      </w:r>
    </w:p>
    <w:p w:rsidR="00AC40FC" w:rsidRDefault="00AC40FC" w:rsidP="00C73199">
      <w:pPr>
        <w:pStyle w:val="Normal-aftertable"/>
      </w:pPr>
      <w:r>
        <w:t>From 2011 through 2015, PPL Corporation, PPL SC HR, and the CGNC established aligned executive rewards based on business criteria and funding formulas contained within the proxy statements.  For example, the CGNC approved a 2015 compensation allocation percentage of base pay, short-term incentives, and long-term equity as part of total direct compensation based on the market analysis performed by the external independent executive compensation consultant and PPL Corporation and its subsidiaries as shown in the following table.</w:t>
      </w:r>
    </w:p>
    <w:p w:rsidR="00AC40FC" w:rsidRDefault="00AC40FC" w:rsidP="002B3172">
      <w:pPr>
        <w:pStyle w:val="Caption"/>
      </w:pPr>
      <w:bookmarkStart w:id="250" w:name="_Toc462648459"/>
      <w:bookmarkStart w:id="251" w:name="_Toc464553081"/>
      <w:r>
        <w:t xml:space="preserve">Exhibit </w:t>
      </w:r>
      <w:fldSimple w:instr=" STYLEREF 1 \s ">
        <w:r w:rsidR="00A24205">
          <w:rPr>
            <w:noProof/>
          </w:rPr>
          <w:t>XIII</w:t>
        </w:r>
      </w:fldSimple>
      <w:r w:rsidR="00264A1B">
        <w:noBreakHyphen/>
      </w:r>
      <w:fldSimple w:instr=" SEQ Exhibit \* ARABIC \s 1 ">
        <w:r w:rsidR="00A24205">
          <w:rPr>
            <w:noProof/>
          </w:rPr>
          <w:t>6</w:t>
        </w:r>
      </w:fldSimple>
      <w:r>
        <w:br/>
        <w:t>Elements of Compensation as a Percentage of</w:t>
      </w:r>
      <w:r>
        <w:br/>
        <w:t>Targeted Total Direct Compensation – 2015</w:t>
      </w:r>
      <w:r w:rsidRPr="00B707FD">
        <w:rPr>
          <w:vertAlign w:val="superscript"/>
        </w:rPr>
        <w:t>(1)</w:t>
      </w:r>
      <w:bookmarkEnd w:id="250"/>
      <w:bookmarkEnd w:id="251"/>
    </w:p>
    <w:p w:rsidR="00AC40FC" w:rsidRDefault="00AC40FC" w:rsidP="00C73199">
      <w:pPr>
        <w:spacing w:after="0"/>
        <w:jc w:val="center"/>
        <w:rPr>
          <w:b/>
        </w:rPr>
      </w:pPr>
      <w:r w:rsidRPr="009570EA">
        <w:rPr>
          <w:noProof/>
        </w:rPr>
        <w:t xml:space="preserve"> </w:t>
      </w:r>
      <w:r>
        <w:rPr>
          <w:noProof/>
        </w:rPr>
        <w:drawing>
          <wp:inline distT="0" distB="0" distL="0" distR="0">
            <wp:extent cx="5753100" cy="2531118"/>
            <wp:effectExtent l="0" t="0" r="0" b="254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753100" cy="2531118"/>
                    </a:xfrm>
                    <a:prstGeom prst="rect">
                      <a:avLst/>
                    </a:prstGeom>
                  </pic:spPr>
                </pic:pic>
              </a:graphicData>
            </a:graphic>
          </wp:inline>
        </w:drawing>
      </w:r>
    </w:p>
    <w:p w:rsidR="00AC40FC" w:rsidRDefault="00AC40FC" w:rsidP="00C73199">
      <w:r>
        <w:t>Source: PPL Corporation Proxy Statement 2016</w:t>
      </w:r>
    </w:p>
    <w:p w:rsidR="00AC40FC" w:rsidRDefault="00AC40FC" w:rsidP="00C73199">
      <w:r>
        <w:lastRenderedPageBreak/>
        <w:t xml:space="preserve">The table represents the 2015 elements of compensation as a percentage of targeted total direct compensation. PPL Corporation’s philosophy is to allocate the majority of pay “at risk” for NEOs and other Tier I executives to ensure a balanced approach to achieving short and long-term goals.  The CEO has 85% of pay “at risk”, the CFO 73% “at risk”, and the other NEOs have 71% of pay “at risk”.  The allocation is intended to ensure Tier I and Tier II executives “increase their ownership interest with those of shareholders and encourages retention of high performing executives”.   In the PPL Corporation 2015 Proxy Statement, the executive team reported putting in place a business plan the intention of which was the achievement of “compound annual earnings growth of four to six percent through at least 2017.”  </w:t>
      </w:r>
    </w:p>
    <w:p w:rsidR="00AC40FC" w:rsidRPr="00F07F67" w:rsidRDefault="00AC40FC" w:rsidP="00C73199">
      <w:pPr>
        <w:jc w:val="left"/>
      </w:pPr>
      <w:r>
        <w:t xml:space="preserve">PPL NEO Executive Compensation has an impact on PPL EU expenses and utility costs for ratepayers and is allocated to PPL EU as shown in the table below. </w:t>
      </w:r>
    </w:p>
    <w:p w:rsidR="00AC40FC" w:rsidRPr="00683E78" w:rsidRDefault="00AC40FC" w:rsidP="002B3172">
      <w:pPr>
        <w:pStyle w:val="Caption"/>
      </w:pPr>
      <w:bookmarkStart w:id="252" w:name="_Toc462648460"/>
      <w:bookmarkStart w:id="253" w:name="_Toc464553082"/>
      <w:r>
        <w:t xml:space="preserve">Exhibit </w:t>
      </w:r>
      <w:fldSimple w:instr=" STYLEREF 1 \s ">
        <w:r w:rsidR="00A24205">
          <w:rPr>
            <w:noProof/>
          </w:rPr>
          <w:t>XIII</w:t>
        </w:r>
      </w:fldSimple>
      <w:r w:rsidR="00264A1B">
        <w:noBreakHyphen/>
      </w:r>
      <w:fldSimple w:instr=" SEQ Exhibit \* ARABIC \s 1 ">
        <w:r w:rsidR="00A24205">
          <w:rPr>
            <w:noProof/>
          </w:rPr>
          <w:t>7</w:t>
        </w:r>
      </w:fldSimple>
      <w:r>
        <w:br/>
      </w:r>
      <w:r w:rsidRPr="00683E78">
        <w:t>PPL</w:t>
      </w:r>
      <w:r>
        <w:t xml:space="preserve"> Corporation NEO Allocation to PPL EU</w:t>
      </w:r>
      <w:bookmarkEnd w:id="252"/>
      <w:bookmarkEnd w:id="253"/>
    </w:p>
    <w:tbl>
      <w:tblPr>
        <w:tblW w:w="9291" w:type="dxa"/>
        <w:jc w:val="center"/>
        <w:tblCellMar>
          <w:left w:w="72" w:type="dxa"/>
          <w:right w:w="72" w:type="dxa"/>
        </w:tblCellMar>
        <w:tblLook w:val="04A0"/>
      </w:tblPr>
      <w:tblGrid>
        <w:gridCol w:w="4521"/>
        <w:gridCol w:w="935"/>
        <w:gridCol w:w="3835"/>
      </w:tblGrid>
      <w:tr w:rsidR="00AC40FC" w:rsidRPr="007E2748" w:rsidTr="00C73199">
        <w:trPr>
          <w:cantSplit/>
          <w:trHeight w:val="368"/>
          <w:tblHeader/>
          <w:jc w:val="center"/>
        </w:trPr>
        <w:tc>
          <w:tcPr>
            <w:tcW w:w="4521" w:type="dxa"/>
            <w:tcBorders>
              <w:top w:val="single" w:sz="4" w:space="0" w:color="auto"/>
              <w:left w:val="single" w:sz="4" w:space="0" w:color="auto"/>
              <w:bottom w:val="single" w:sz="4" w:space="0" w:color="auto"/>
              <w:right w:val="single" w:sz="4" w:space="0" w:color="auto"/>
            </w:tcBorders>
            <w:shd w:val="clear" w:color="000000" w:fill="A5CD7E"/>
            <w:noWrap/>
            <w:vAlign w:val="center"/>
            <w:hideMark/>
          </w:tcPr>
          <w:p w:rsidR="00AC40FC" w:rsidRPr="007E2748" w:rsidRDefault="00AC40FC" w:rsidP="00521E7D">
            <w:pPr>
              <w:spacing w:before="120"/>
              <w:jc w:val="center"/>
              <w:rPr>
                <w:rFonts w:cs="Arial"/>
                <w:b/>
                <w:bCs/>
                <w:color w:val="000000"/>
                <w:sz w:val="22"/>
              </w:rPr>
            </w:pPr>
            <w:r w:rsidRPr="007E2748">
              <w:rPr>
                <w:rFonts w:cs="Arial"/>
                <w:b/>
                <w:bCs/>
                <w:color w:val="000000"/>
                <w:sz w:val="22"/>
              </w:rPr>
              <w:t>Name and Principal Position</w:t>
            </w:r>
          </w:p>
        </w:tc>
        <w:tc>
          <w:tcPr>
            <w:tcW w:w="935" w:type="dxa"/>
            <w:tcBorders>
              <w:top w:val="single" w:sz="4" w:space="0" w:color="auto"/>
              <w:left w:val="nil"/>
              <w:bottom w:val="single" w:sz="4" w:space="0" w:color="auto"/>
              <w:right w:val="single" w:sz="4" w:space="0" w:color="auto"/>
            </w:tcBorders>
            <w:shd w:val="clear" w:color="000000" w:fill="A5CD7E"/>
            <w:vAlign w:val="center"/>
            <w:hideMark/>
          </w:tcPr>
          <w:p w:rsidR="00AC40FC" w:rsidRPr="007E2748" w:rsidRDefault="00AC40FC" w:rsidP="00521E7D">
            <w:pPr>
              <w:spacing w:before="120"/>
              <w:jc w:val="center"/>
              <w:rPr>
                <w:rFonts w:cs="Arial"/>
                <w:b/>
                <w:bCs/>
                <w:color w:val="000000"/>
                <w:sz w:val="22"/>
              </w:rPr>
            </w:pPr>
            <w:r w:rsidRPr="007E2748">
              <w:rPr>
                <w:rFonts w:cs="Arial"/>
                <w:b/>
                <w:bCs/>
                <w:color w:val="000000"/>
                <w:sz w:val="22"/>
              </w:rPr>
              <w:t>Year</w:t>
            </w:r>
          </w:p>
        </w:tc>
        <w:tc>
          <w:tcPr>
            <w:tcW w:w="3835" w:type="dxa"/>
            <w:tcBorders>
              <w:top w:val="single" w:sz="4" w:space="0" w:color="auto"/>
              <w:left w:val="nil"/>
              <w:bottom w:val="single" w:sz="4" w:space="0" w:color="auto"/>
              <w:right w:val="single" w:sz="4" w:space="0" w:color="auto"/>
            </w:tcBorders>
            <w:shd w:val="clear" w:color="000000" w:fill="A5CD7E"/>
            <w:vAlign w:val="center"/>
          </w:tcPr>
          <w:p w:rsidR="00AC40FC" w:rsidRPr="007E2748" w:rsidRDefault="00AC40FC" w:rsidP="00521E7D">
            <w:pPr>
              <w:spacing w:before="120"/>
              <w:jc w:val="center"/>
              <w:rPr>
                <w:rFonts w:cs="Arial"/>
                <w:b/>
                <w:bCs/>
                <w:color w:val="000000"/>
                <w:sz w:val="22"/>
              </w:rPr>
            </w:pPr>
            <w:r>
              <w:rPr>
                <w:rFonts w:cs="Arial"/>
                <w:b/>
                <w:bCs/>
                <w:color w:val="000000"/>
                <w:sz w:val="22"/>
              </w:rPr>
              <w:t>Percent</w:t>
            </w:r>
            <w:r w:rsidRPr="007E2748">
              <w:rPr>
                <w:rFonts w:cs="Arial"/>
                <w:b/>
                <w:bCs/>
                <w:color w:val="000000"/>
                <w:sz w:val="22"/>
              </w:rPr>
              <w:t xml:space="preserve"> of Base Pay Allocated to PPL EU</w:t>
            </w:r>
          </w:p>
        </w:tc>
      </w:tr>
      <w:tr w:rsidR="00AC40FC" w:rsidRPr="007E2748" w:rsidTr="00C73199">
        <w:trPr>
          <w:cantSplit/>
          <w:trHeight w:val="315"/>
          <w:jc w:val="center"/>
        </w:trPr>
        <w:tc>
          <w:tcPr>
            <w:tcW w:w="45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C40FC" w:rsidRPr="007E2748" w:rsidRDefault="00AC40FC" w:rsidP="00C73199">
            <w:pPr>
              <w:spacing w:after="0"/>
              <w:jc w:val="center"/>
              <w:rPr>
                <w:rFonts w:cs="Arial"/>
                <w:color w:val="000000"/>
                <w:sz w:val="22"/>
              </w:rPr>
            </w:pPr>
            <w:r w:rsidRPr="007E2748">
              <w:rPr>
                <w:rFonts w:cs="Arial"/>
                <w:color w:val="000000"/>
                <w:sz w:val="22"/>
              </w:rPr>
              <w:t>William H. Spence</w:t>
            </w:r>
          </w:p>
          <w:p w:rsidR="00AC40FC" w:rsidRPr="007E2748" w:rsidRDefault="00AC40FC" w:rsidP="00C73199">
            <w:pPr>
              <w:spacing w:after="0"/>
              <w:ind w:firstLineChars="200" w:firstLine="440"/>
              <w:jc w:val="center"/>
              <w:rPr>
                <w:rFonts w:cs="Arial"/>
                <w:color w:val="000000"/>
                <w:sz w:val="22"/>
              </w:rPr>
            </w:pPr>
            <w:r w:rsidRPr="007E2748">
              <w:rPr>
                <w:rFonts w:cs="Arial"/>
                <w:color w:val="000000"/>
                <w:sz w:val="22"/>
              </w:rPr>
              <w:t>Chairman, President and Chief Executive Officer</w:t>
            </w:r>
          </w:p>
        </w:tc>
        <w:tc>
          <w:tcPr>
            <w:tcW w:w="935" w:type="dxa"/>
            <w:tcBorders>
              <w:top w:val="nil"/>
              <w:left w:val="nil"/>
              <w:bottom w:val="single" w:sz="4" w:space="0" w:color="auto"/>
              <w:right w:val="single" w:sz="4" w:space="0" w:color="auto"/>
            </w:tcBorders>
            <w:shd w:val="clear" w:color="auto" w:fill="auto"/>
            <w:noWrap/>
            <w:vAlign w:val="center"/>
          </w:tcPr>
          <w:p w:rsidR="00AC40FC" w:rsidRPr="007E2748" w:rsidRDefault="00AC40FC" w:rsidP="00C73199">
            <w:pPr>
              <w:spacing w:after="0"/>
              <w:jc w:val="center"/>
              <w:rPr>
                <w:rFonts w:cs="Arial"/>
                <w:color w:val="000000"/>
                <w:sz w:val="22"/>
              </w:rPr>
            </w:pPr>
            <w:r>
              <w:rPr>
                <w:rFonts w:cs="Arial"/>
                <w:color w:val="000000"/>
                <w:sz w:val="22"/>
              </w:rPr>
              <w:t>2015</w:t>
            </w:r>
          </w:p>
        </w:tc>
        <w:tc>
          <w:tcPr>
            <w:tcW w:w="3835" w:type="dxa"/>
            <w:tcBorders>
              <w:top w:val="nil"/>
              <w:left w:val="nil"/>
              <w:bottom w:val="single" w:sz="4" w:space="0" w:color="auto"/>
              <w:right w:val="single" w:sz="4" w:space="0" w:color="auto"/>
            </w:tcBorders>
            <w:vAlign w:val="center"/>
          </w:tcPr>
          <w:p w:rsidR="00AC40FC" w:rsidRPr="00B13995" w:rsidRDefault="00AC40FC" w:rsidP="00C73199">
            <w:pPr>
              <w:spacing w:after="0"/>
              <w:jc w:val="center"/>
              <w:rPr>
                <w:rFonts w:cs="Arial"/>
                <w:color w:val="000000"/>
                <w:sz w:val="22"/>
              </w:rPr>
            </w:pPr>
            <w:r w:rsidRPr="00B13995">
              <w:rPr>
                <w:rFonts w:cs="Arial"/>
                <w:color w:val="000000"/>
                <w:sz w:val="22"/>
              </w:rPr>
              <w:t>12% Jan-May, 15% Jun-Dec</w:t>
            </w:r>
          </w:p>
        </w:tc>
      </w:tr>
      <w:tr w:rsidR="00AC40FC" w:rsidRPr="007E2748" w:rsidTr="00C73199">
        <w:trPr>
          <w:cantSplit/>
          <w:trHeight w:val="315"/>
          <w:jc w:val="center"/>
        </w:trPr>
        <w:tc>
          <w:tcPr>
            <w:tcW w:w="4521" w:type="dxa"/>
            <w:vMerge/>
            <w:tcBorders>
              <w:left w:val="single" w:sz="4" w:space="0" w:color="auto"/>
              <w:bottom w:val="single" w:sz="4" w:space="0" w:color="auto"/>
              <w:right w:val="single" w:sz="4" w:space="0" w:color="auto"/>
            </w:tcBorders>
            <w:shd w:val="clear" w:color="auto" w:fill="auto"/>
            <w:vAlign w:val="center"/>
            <w:hideMark/>
          </w:tcPr>
          <w:p w:rsidR="00AC40FC" w:rsidRPr="007E2748" w:rsidRDefault="00AC40FC" w:rsidP="00C73199">
            <w:pPr>
              <w:spacing w:after="0"/>
              <w:ind w:firstLineChars="200" w:firstLine="440"/>
              <w:jc w:val="center"/>
              <w:rPr>
                <w:rFonts w:cs="Arial"/>
                <w:color w:val="000000"/>
                <w:sz w:val="22"/>
              </w:rPr>
            </w:pPr>
          </w:p>
        </w:tc>
        <w:tc>
          <w:tcPr>
            <w:tcW w:w="935" w:type="dxa"/>
            <w:tcBorders>
              <w:top w:val="nil"/>
              <w:left w:val="nil"/>
              <w:bottom w:val="single" w:sz="4" w:space="0" w:color="auto"/>
              <w:right w:val="single" w:sz="4" w:space="0" w:color="auto"/>
            </w:tcBorders>
            <w:shd w:val="clear" w:color="auto" w:fill="auto"/>
            <w:noWrap/>
            <w:vAlign w:val="center"/>
            <w:hideMark/>
          </w:tcPr>
          <w:p w:rsidR="00AC40FC" w:rsidRPr="007E2748" w:rsidRDefault="00AC40FC" w:rsidP="00C73199">
            <w:pPr>
              <w:spacing w:after="0"/>
              <w:jc w:val="center"/>
              <w:rPr>
                <w:rFonts w:cs="Arial"/>
                <w:color w:val="000000"/>
                <w:sz w:val="22"/>
              </w:rPr>
            </w:pPr>
            <w:r w:rsidRPr="007E2748">
              <w:rPr>
                <w:rFonts w:cs="Arial"/>
                <w:color w:val="000000"/>
                <w:sz w:val="22"/>
              </w:rPr>
              <w:t>2014</w:t>
            </w:r>
          </w:p>
        </w:tc>
        <w:tc>
          <w:tcPr>
            <w:tcW w:w="3835" w:type="dxa"/>
            <w:tcBorders>
              <w:top w:val="nil"/>
              <w:left w:val="nil"/>
              <w:bottom w:val="single" w:sz="4" w:space="0" w:color="auto"/>
              <w:right w:val="single" w:sz="4" w:space="0" w:color="auto"/>
            </w:tcBorders>
            <w:vAlign w:val="center"/>
          </w:tcPr>
          <w:p w:rsidR="00AC40FC" w:rsidRPr="007E2748" w:rsidRDefault="00AC40FC" w:rsidP="00C73199">
            <w:pPr>
              <w:spacing w:after="0"/>
              <w:jc w:val="center"/>
              <w:rPr>
                <w:rFonts w:cs="Arial"/>
                <w:color w:val="000000"/>
                <w:sz w:val="22"/>
              </w:rPr>
            </w:pPr>
            <w:r w:rsidRPr="007E2748">
              <w:rPr>
                <w:rFonts w:cs="Arial"/>
                <w:color w:val="000000"/>
                <w:sz w:val="22"/>
              </w:rPr>
              <w:t>17%</w:t>
            </w:r>
          </w:p>
        </w:tc>
      </w:tr>
      <w:tr w:rsidR="00AC40FC" w:rsidRPr="007E2748" w:rsidTr="00C73199">
        <w:trPr>
          <w:cantSplit/>
          <w:trHeight w:val="300"/>
          <w:jc w:val="center"/>
        </w:trPr>
        <w:tc>
          <w:tcPr>
            <w:tcW w:w="4521" w:type="dxa"/>
            <w:vMerge/>
            <w:tcBorders>
              <w:left w:val="single" w:sz="4" w:space="0" w:color="auto"/>
              <w:bottom w:val="single" w:sz="4" w:space="0" w:color="auto"/>
              <w:right w:val="single" w:sz="4" w:space="0" w:color="auto"/>
            </w:tcBorders>
            <w:shd w:val="clear" w:color="auto" w:fill="auto"/>
            <w:vAlign w:val="center"/>
            <w:hideMark/>
          </w:tcPr>
          <w:p w:rsidR="00AC40FC" w:rsidRPr="007E2748" w:rsidRDefault="00AC40FC" w:rsidP="00C73199">
            <w:pPr>
              <w:spacing w:after="0"/>
              <w:ind w:firstLineChars="200" w:firstLine="440"/>
              <w:jc w:val="center"/>
              <w:rPr>
                <w:rFonts w:cs="Arial"/>
                <w:color w:val="000000"/>
                <w:sz w:val="22"/>
              </w:rPr>
            </w:pPr>
          </w:p>
        </w:tc>
        <w:tc>
          <w:tcPr>
            <w:tcW w:w="935" w:type="dxa"/>
            <w:tcBorders>
              <w:top w:val="nil"/>
              <w:left w:val="nil"/>
              <w:bottom w:val="single" w:sz="4" w:space="0" w:color="auto"/>
              <w:right w:val="single" w:sz="4" w:space="0" w:color="auto"/>
            </w:tcBorders>
            <w:shd w:val="clear" w:color="auto" w:fill="auto"/>
            <w:noWrap/>
            <w:vAlign w:val="center"/>
            <w:hideMark/>
          </w:tcPr>
          <w:p w:rsidR="00AC40FC" w:rsidRPr="007E2748" w:rsidRDefault="00AC40FC" w:rsidP="00C73199">
            <w:pPr>
              <w:spacing w:after="0"/>
              <w:jc w:val="center"/>
              <w:rPr>
                <w:rFonts w:cs="Arial"/>
                <w:color w:val="000000"/>
                <w:sz w:val="22"/>
              </w:rPr>
            </w:pPr>
            <w:r w:rsidRPr="007E2748">
              <w:rPr>
                <w:rFonts w:cs="Arial"/>
                <w:color w:val="000000"/>
                <w:sz w:val="22"/>
              </w:rPr>
              <w:t>2013</w:t>
            </w:r>
          </w:p>
        </w:tc>
        <w:tc>
          <w:tcPr>
            <w:tcW w:w="3835" w:type="dxa"/>
            <w:tcBorders>
              <w:top w:val="nil"/>
              <w:left w:val="nil"/>
              <w:bottom w:val="single" w:sz="4" w:space="0" w:color="auto"/>
              <w:right w:val="single" w:sz="4" w:space="0" w:color="auto"/>
            </w:tcBorders>
            <w:vAlign w:val="center"/>
          </w:tcPr>
          <w:p w:rsidR="00AC40FC" w:rsidRPr="007E2748" w:rsidRDefault="00AC40FC" w:rsidP="00C73199">
            <w:pPr>
              <w:spacing w:after="0"/>
              <w:jc w:val="center"/>
              <w:rPr>
                <w:rFonts w:cs="Arial"/>
                <w:color w:val="000000"/>
                <w:sz w:val="22"/>
              </w:rPr>
            </w:pPr>
            <w:r w:rsidRPr="007E2748">
              <w:rPr>
                <w:rFonts w:cs="Arial"/>
                <w:color w:val="000000"/>
                <w:sz w:val="22"/>
              </w:rPr>
              <w:t>17%</w:t>
            </w:r>
          </w:p>
        </w:tc>
      </w:tr>
      <w:tr w:rsidR="00AC40FC" w:rsidRPr="007E2748" w:rsidTr="00C73199">
        <w:trPr>
          <w:cantSplit/>
          <w:trHeight w:val="317"/>
          <w:jc w:val="center"/>
        </w:trPr>
        <w:tc>
          <w:tcPr>
            <w:tcW w:w="4521" w:type="dxa"/>
            <w:vMerge/>
            <w:tcBorders>
              <w:left w:val="single" w:sz="4" w:space="0" w:color="auto"/>
              <w:bottom w:val="single" w:sz="4" w:space="0" w:color="auto"/>
              <w:right w:val="single" w:sz="4" w:space="0" w:color="auto"/>
            </w:tcBorders>
            <w:shd w:val="clear" w:color="auto" w:fill="auto"/>
            <w:vAlign w:val="center"/>
            <w:hideMark/>
          </w:tcPr>
          <w:p w:rsidR="00AC40FC" w:rsidRPr="007E2748" w:rsidRDefault="00AC40FC" w:rsidP="00C73199">
            <w:pPr>
              <w:spacing w:after="0"/>
              <w:ind w:firstLineChars="200" w:firstLine="440"/>
              <w:jc w:val="center"/>
              <w:rPr>
                <w:rFonts w:cs="Arial"/>
                <w:color w:val="000000"/>
                <w:sz w:val="22"/>
              </w:rPr>
            </w:pPr>
          </w:p>
        </w:tc>
        <w:tc>
          <w:tcPr>
            <w:tcW w:w="935" w:type="dxa"/>
            <w:tcBorders>
              <w:top w:val="nil"/>
              <w:left w:val="nil"/>
              <w:bottom w:val="single" w:sz="4" w:space="0" w:color="auto"/>
              <w:right w:val="single" w:sz="4" w:space="0" w:color="auto"/>
            </w:tcBorders>
            <w:shd w:val="clear" w:color="auto" w:fill="auto"/>
            <w:noWrap/>
            <w:vAlign w:val="center"/>
            <w:hideMark/>
          </w:tcPr>
          <w:p w:rsidR="00AC40FC" w:rsidRPr="007E2748" w:rsidRDefault="00AC40FC" w:rsidP="00C73199">
            <w:pPr>
              <w:spacing w:after="0"/>
              <w:jc w:val="center"/>
              <w:rPr>
                <w:rFonts w:cs="Arial"/>
                <w:color w:val="000000"/>
                <w:sz w:val="22"/>
              </w:rPr>
            </w:pPr>
            <w:r w:rsidRPr="007E2748">
              <w:rPr>
                <w:rFonts w:cs="Arial"/>
                <w:color w:val="000000"/>
                <w:sz w:val="22"/>
              </w:rPr>
              <w:t>2012</w:t>
            </w:r>
          </w:p>
        </w:tc>
        <w:tc>
          <w:tcPr>
            <w:tcW w:w="3835" w:type="dxa"/>
            <w:tcBorders>
              <w:top w:val="nil"/>
              <w:left w:val="nil"/>
              <w:bottom w:val="single" w:sz="4" w:space="0" w:color="auto"/>
              <w:right w:val="single" w:sz="4" w:space="0" w:color="auto"/>
            </w:tcBorders>
            <w:vAlign w:val="center"/>
          </w:tcPr>
          <w:p w:rsidR="00AC40FC" w:rsidRPr="007E2748" w:rsidRDefault="00AC40FC" w:rsidP="00C73199">
            <w:pPr>
              <w:spacing w:after="0"/>
              <w:jc w:val="center"/>
              <w:rPr>
                <w:rFonts w:cs="Arial"/>
                <w:color w:val="000000"/>
                <w:sz w:val="22"/>
              </w:rPr>
            </w:pPr>
            <w:r w:rsidRPr="007E2748">
              <w:rPr>
                <w:rFonts w:cs="Arial"/>
                <w:color w:val="000000"/>
                <w:sz w:val="22"/>
              </w:rPr>
              <w:t>19%</w:t>
            </w:r>
          </w:p>
        </w:tc>
      </w:tr>
      <w:tr w:rsidR="00AC40FC" w:rsidRPr="007E2748" w:rsidTr="00C73199">
        <w:trPr>
          <w:cantSplit/>
          <w:trHeight w:val="317"/>
          <w:jc w:val="center"/>
        </w:trPr>
        <w:tc>
          <w:tcPr>
            <w:tcW w:w="4521" w:type="dxa"/>
            <w:vMerge/>
            <w:tcBorders>
              <w:left w:val="single" w:sz="4" w:space="0" w:color="auto"/>
              <w:bottom w:val="single" w:sz="4" w:space="0" w:color="auto"/>
              <w:right w:val="single" w:sz="4" w:space="0" w:color="auto"/>
            </w:tcBorders>
            <w:shd w:val="clear" w:color="auto" w:fill="auto"/>
            <w:vAlign w:val="center"/>
            <w:hideMark/>
          </w:tcPr>
          <w:p w:rsidR="00AC40FC" w:rsidRPr="007E2748" w:rsidRDefault="00AC40FC" w:rsidP="00C73199">
            <w:pPr>
              <w:spacing w:after="0"/>
              <w:ind w:firstLineChars="200" w:firstLine="440"/>
              <w:jc w:val="center"/>
              <w:rPr>
                <w:rFonts w:cs="Arial"/>
                <w:color w:val="000000"/>
                <w:sz w:val="22"/>
              </w:rPr>
            </w:pP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rsidR="00AC40FC" w:rsidRPr="007E2748" w:rsidRDefault="00AC40FC" w:rsidP="00C73199">
            <w:pPr>
              <w:spacing w:after="0"/>
              <w:jc w:val="center"/>
              <w:rPr>
                <w:rFonts w:cs="Arial"/>
                <w:color w:val="000000"/>
                <w:sz w:val="22"/>
              </w:rPr>
            </w:pPr>
            <w:r w:rsidRPr="007E2748">
              <w:rPr>
                <w:rFonts w:cs="Arial"/>
                <w:color w:val="000000"/>
                <w:sz w:val="22"/>
              </w:rPr>
              <w:t>2011</w:t>
            </w:r>
          </w:p>
        </w:tc>
        <w:tc>
          <w:tcPr>
            <w:tcW w:w="3835" w:type="dxa"/>
            <w:tcBorders>
              <w:top w:val="single" w:sz="4" w:space="0" w:color="auto"/>
              <w:left w:val="nil"/>
              <w:bottom w:val="single" w:sz="4" w:space="0" w:color="auto"/>
              <w:right w:val="single" w:sz="4" w:space="0" w:color="auto"/>
            </w:tcBorders>
            <w:vAlign w:val="center"/>
          </w:tcPr>
          <w:p w:rsidR="00AC40FC" w:rsidRPr="007E2748" w:rsidRDefault="00AC40FC" w:rsidP="00C73199">
            <w:pPr>
              <w:spacing w:after="0"/>
              <w:jc w:val="center"/>
              <w:rPr>
                <w:rFonts w:cs="Arial"/>
                <w:color w:val="000000"/>
                <w:sz w:val="22"/>
              </w:rPr>
            </w:pPr>
            <w:r w:rsidRPr="007E2748">
              <w:rPr>
                <w:rFonts w:cs="Arial"/>
                <w:color w:val="000000"/>
                <w:sz w:val="22"/>
              </w:rPr>
              <w:t>16% Jan</w:t>
            </w:r>
            <w:r>
              <w:rPr>
                <w:rFonts w:cs="Arial"/>
                <w:color w:val="000000"/>
                <w:sz w:val="22"/>
              </w:rPr>
              <w:t>–</w:t>
            </w:r>
            <w:r w:rsidRPr="007E2748">
              <w:rPr>
                <w:rFonts w:cs="Arial"/>
                <w:color w:val="000000"/>
                <w:sz w:val="22"/>
              </w:rPr>
              <w:t>Apr, 12% May</w:t>
            </w:r>
            <w:r>
              <w:rPr>
                <w:rFonts w:cs="Arial"/>
                <w:color w:val="000000"/>
                <w:sz w:val="22"/>
              </w:rPr>
              <w:t>–</w:t>
            </w:r>
            <w:r w:rsidRPr="007E2748">
              <w:rPr>
                <w:rFonts w:cs="Arial"/>
                <w:color w:val="000000"/>
                <w:sz w:val="22"/>
              </w:rPr>
              <w:t>Dec</w:t>
            </w:r>
          </w:p>
        </w:tc>
      </w:tr>
      <w:tr w:rsidR="00AC40FC" w:rsidRPr="007E2748" w:rsidTr="00C73199">
        <w:trPr>
          <w:cantSplit/>
          <w:trHeight w:val="432"/>
          <w:jc w:val="center"/>
        </w:trPr>
        <w:tc>
          <w:tcPr>
            <w:tcW w:w="45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C40FC" w:rsidRPr="007E2748" w:rsidRDefault="00AC40FC" w:rsidP="00C73199">
            <w:pPr>
              <w:spacing w:after="0"/>
              <w:jc w:val="center"/>
              <w:rPr>
                <w:rFonts w:cs="Arial"/>
                <w:color w:val="000000"/>
                <w:sz w:val="22"/>
              </w:rPr>
            </w:pPr>
            <w:r w:rsidRPr="007E2748">
              <w:rPr>
                <w:rFonts w:cs="Arial"/>
                <w:color w:val="000000"/>
                <w:sz w:val="22"/>
              </w:rPr>
              <w:t>Vincent Sorgi</w:t>
            </w:r>
            <w:r w:rsidRPr="007E2748">
              <w:rPr>
                <w:rFonts w:cs="Arial"/>
                <w:color w:val="000000"/>
                <w:sz w:val="22"/>
              </w:rPr>
              <w:br/>
              <w:t xml:space="preserve">Senior Vice President and </w:t>
            </w:r>
            <w:r>
              <w:rPr>
                <w:rFonts w:cs="Arial"/>
                <w:color w:val="000000"/>
                <w:sz w:val="22"/>
              </w:rPr>
              <w:br/>
            </w:r>
            <w:r w:rsidRPr="007E2748">
              <w:rPr>
                <w:rFonts w:cs="Arial"/>
                <w:color w:val="000000"/>
                <w:sz w:val="22"/>
              </w:rPr>
              <w:t>Chief Financial Officer</w:t>
            </w:r>
          </w:p>
        </w:tc>
        <w:tc>
          <w:tcPr>
            <w:tcW w:w="935" w:type="dxa"/>
            <w:tcBorders>
              <w:top w:val="single" w:sz="4" w:space="0" w:color="auto"/>
              <w:left w:val="nil"/>
              <w:bottom w:val="single" w:sz="4" w:space="0" w:color="auto"/>
              <w:right w:val="single" w:sz="4" w:space="0" w:color="auto"/>
            </w:tcBorders>
            <w:shd w:val="clear" w:color="auto" w:fill="auto"/>
            <w:noWrap/>
            <w:vAlign w:val="center"/>
          </w:tcPr>
          <w:p w:rsidR="00AC40FC" w:rsidRPr="007E2748" w:rsidRDefault="00AC40FC" w:rsidP="00C73199">
            <w:pPr>
              <w:spacing w:after="0"/>
              <w:jc w:val="center"/>
              <w:rPr>
                <w:rFonts w:cs="Arial"/>
                <w:color w:val="000000"/>
                <w:sz w:val="22"/>
              </w:rPr>
            </w:pPr>
            <w:r>
              <w:rPr>
                <w:rFonts w:cs="Arial"/>
                <w:color w:val="000000"/>
                <w:sz w:val="22"/>
              </w:rPr>
              <w:t>2015</w:t>
            </w:r>
          </w:p>
        </w:tc>
        <w:tc>
          <w:tcPr>
            <w:tcW w:w="3835" w:type="dxa"/>
            <w:tcBorders>
              <w:top w:val="single" w:sz="4" w:space="0" w:color="auto"/>
              <w:left w:val="nil"/>
              <w:bottom w:val="single" w:sz="4" w:space="0" w:color="auto"/>
              <w:right w:val="single" w:sz="4" w:space="0" w:color="auto"/>
            </w:tcBorders>
            <w:vAlign w:val="center"/>
          </w:tcPr>
          <w:p w:rsidR="00AC40FC" w:rsidRPr="00FD25D3" w:rsidRDefault="00AC40FC" w:rsidP="00C73199">
            <w:pPr>
              <w:spacing w:after="0"/>
              <w:jc w:val="center"/>
              <w:rPr>
                <w:rFonts w:cs="Arial"/>
                <w:color w:val="000000"/>
                <w:sz w:val="22"/>
              </w:rPr>
            </w:pPr>
            <w:r w:rsidRPr="00FD25D3">
              <w:rPr>
                <w:rFonts w:cs="Arial"/>
                <w:color w:val="000000"/>
                <w:sz w:val="22"/>
              </w:rPr>
              <w:t>28% Jan-May, 52% Jun-Dec</w:t>
            </w:r>
          </w:p>
        </w:tc>
      </w:tr>
      <w:tr w:rsidR="00AC40FC" w:rsidRPr="007E2748" w:rsidTr="00C73199">
        <w:trPr>
          <w:cantSplit/>
          <w:trHeight w:val="432"/>
          <w:jc w:val="center"/>
        </w:trPr>
        <w:tc>
          <w:tcPr>
            <w:tcW w:w="4521" w:type="dxa"/>
            <w:vMerge/>
            <w:tcBorders>
              <w:left w:val="single" w:sz="4" w:space="0" w:color="auto"/>
              <w:bottom w:val="single" w:sz="4" w:space="0" w:color="auto"/>
              <w:right w:val="single" w:sz="4" w:space="0" w:color="auto"/>
            </w:tcBorders>
            <w:shd w:val="clear" w:color="auto" w:fill="auto"/>
            <w:vAlign w:val="center"/>
            <w:hideMark/>
          </w:tcPr>
          <w:p w:rsidR="00AC40FC" w:rsidRPr="007E2748" w:rsidRDefault="00AC40FC" w:rsidP="00C73199">
            <w:pPr>
              <w:spacing w:after="0"/>
              <w:jc w:val="center"/>
              <w:rPr>
                <w:rFonts w:cs="Arial"/>
                <w:color w:val="000000"/>
                <w:sz w:val="22"/>
              </w:rPr>
            </w:pPr>
          </w:p>
        </w:tc>
        <w:tc>
          <w:tcPr>
            <w:tcW w:w="935" w:type="dxa"/>
            <w:tcBorders>
              <w:top w:val="nil"/>
              <w:left w:val="nil"/>
              <w:bottom w:val="single" w:sz="4" w:space="0" w:color="auto"/>
              <w:right w:val="single" w:sz="4" w:space="0" w:color="auto"/>
            </w:tcBorders>
            <w:shd w:val="clear" w:color="auto" w:fill="auto"/>
            <w:noWrap/>
            <w:vAlign w:val="center"/>
            <w:hideMark/>
          </w:tcPr>
          <w:p w:rsidR="00AC40FC" w:rsidRPr="007E2748" w:rsidRDefault="00AC40FC" w:rsidP="00C73199">
            <w:pPr>
              <w:spacing w:after="0"/>
              <w:jc w:val="center"/>
              <w:rPr>
                <w:rFonts w:cs="Arial"/>
                <w:color w:val="000000"/>
                <w:sz w:val="22"/>
              </w:rPr>
            </w:pPr>
            <w:r w:rsidRPr="007E2748">
              <w:rPr>
                <w:rFonts w:cs="Arial"/>
                <w:color w:val="000000"/>
                <w:sz w:val="22"/>
              </w:rPr>
              <w:t>2014</w:t>
            </w:r>
          </w:p>
        </w:tc>
        <w:tc>
          <w:tcPr>
            <w:tcW w:w="3835" w:type="dxa"/>
            <w:tcBorders>
              <w:top w:val="nil"/>
              <w:left w:val="nil"/>
              <w:bottom w:val="single" w:sz="4" w:space="0" w:color="auto"/>
              <w:right w:val="single" w:sz="4" w:space="0" w:color="auto"/>
            </w:tcBorders>
            <w:vAlign w:val="center"/>
          </w:tcPr>
          <w:p w:rsidR="00AC40FC" w:rsidRPr="007E2748" w:rsidRDefault="00AC40FC" w:rsidP="00C73199">
            <w:pPr>
              <w:spacing w:after="0"/>
              <w:jc w:val="center"/>
              <w:rPr>
                <w:rFonts w:cs="Arial"/>
                <w:color w:val="000000"/>
                <w:sz w:val="22"/>
              </w:rPr>
            </w:pPr>
            <w:r w:rsidRPr="007E2748">
              <w:rPr>
                <w:rFonts w:cs="Arial"/>
                <w:color w:val="000000"/>
                <w:sz w:val="22"/>
              </w:rPr>
              <w:t>27%</w:t>
            </w:r>
          </w:p>
        </w:tc>
      </w:tr>
      <w:tr w:rsidR="00AC40FC" w:rsidRPr="007E2748" w:rsidTr="00BB665B">
        <w:trPr>
          <w:cantSplit/>
          <w:trHeight w:val="317"/>
          <w:jc w:val="center"/>
        </w:trPr>
        <w:tc>
          <w:tcPr>
            <w:tcW w:w="4521" w:type="dxa"/>
            <w:vMerge w:val="restart"/>
            <w:tcBorders>
              <w:top w:val="single" w:sz="4" w:space="0" w:color="auto"/>
              <w:left w:val="single" w:sz="4" w:space="0" w:color="auto"/>
              <w:right w:val="single" w:sz="4" w:space="0" w:color="auto"/>
            </w:tcBorders>
            <w:shd w:val="clear" w:color="auto" w:fill="auto"/>
            <w:vAlign w:val="center"/>
          </w:tcPr>
          <w:p w:rsidR="00AC40FC" w:rsidRPr="007E2748" w:rsidRDefault="00AC40FC" w:rsidP="00BB665B">
            <w:pPr>
              <w:spacing w:after="0"/>
              <w:jc w:val="center"/>
              <w:rPr>
                <w:rFonts w:cs="Arial"/>
                <w:color w:val="000000"/>
                <w:sz w:val="22"/>
              </w:rPr>
            </w:pPr>
            <w:r w:rsidRPr="007E2748">
              <w:rPr>
                <w:rFonts w:cs="Arial"/>
                <w:color w:val="000000"/>
                <w:sz w:val="22"/>
              </w:rPr>
              <w:t>Robert J. Grey</w:t>
            </w:r>
          </w:p>
          <w:p w:rsidR="00AC40FC" w:rsidRPr="007E2748" w:rsidRDefault="00AC40FC" w:rsidP="00BB665B">
            <w:pPr>
              <w:spacing w:after="0"/>
              <w:jc w:val="center"/>
              <w:rPr>
                <w:rFonts w:cs="Arial"/>
                <w:color w:val="000000"/>
                <w:sz w:val="22"/>
              </w:rPr>
            </w:pPr>
            <w:r w:rsidRPr="007E2748">
              <w:rPr>
                <w:rFonts w:cs="Arial"/>
                <w:color w:val="000000"/>
                <w:sz w:val="22"/>
              </w:rPr>
              <w:t>Executive Vice President</w:t>
            </w:r>
            <w:r>
              <w:rPr>
                <w:rFonts w:cs="Arial"/>
                <w:color w:val="000000"/>
                <w:sz w:val="22"/>
              </w:rPr>
              <w:t xml:space="preserve"> and Chief Legal Officer</w:t>
            </w:r>
          </w:p>
        </w:tc>
        <w:tc>
          <w:tcPr>
            <w:tcW w:w="935" w:type="dxa"/>
            <w:tcBorders>
              <w:top w:val="nil"/>
              <w:left w:val="nil"/>
              <w:bottom w:val="single" w:sz="4" w:space="0" w:color="auto"/>
              <w:right w:val="single" w:sz="4" w:space="0" w:color="auto"/>
            </w:tcBorders>
            <w:shd w:val="clear" w:color="auto" w:fill="auto"/>
            <w:noWrap/>
            <w:vAlign w:val="center"/>
          </w:tcPr>
          <w:p w:rsidR="00AC40FC" w:rsidRDefault="00AC40FC" w:rsidP="00BB665B">
            <w:pPr>
              <w:spacing w:after="0"/>
              <w:jc w:val="center"/>
              <w:rPr>
                <w:rFonts w:cs="Arial"/>
                <w:color w:val="000000"/>
                <w:sz w:val="22"/>
              </w:rPr>
            </w:pPr>
            <w:r>
              <w:rPr>
                <w:rFonts w:cs="Arial"/>
                <w:color w:val="000000"/>
                <w:sz w:val="22"/>
              </w:rPr>
              <w:t>2015</w:t>
            </w:r>
          </w:p>
        </w:tc>
        <w:tc>
          <w:tcPr>
            <w:tcW w:w="3835" w:type="dxa"/>
            <w:tcBorders>
              <w:top w:val="nil"/>
              <w:left w:val="nil"/>
              <w:bottom w:val="single" w:sz="4" w:space="0" w:color="auto"/>
              <w:right w:val="single" w:sz="4" w:space="0" w:color="auto"/>
            </w:tcBorders>
            <w:vAlign w:val="center"/>
          </w:tcPr>
          <w:p w:rsidR="00AC40FC" w:rsidRPr="00FD25D3" w:rsidRDefault="00AC40FC" w:rsidP="00BB665B">
            <w:pPr>
              <w:spacing w:after="0"/>
              <w:jc w:val="center"/>
              <w:rPr>
                <w:rFonts w:cs="Arial"/>
                <w:color w:val="000000"/>
                <w:sz w:val="22"/>
              </w:rPr>
            </w:pPr>
            <w:r w:rsidRPr="00FD25D3">
              <w:rPr>
                <w:rFonts w:cs="Arial"/>
                <w:color w:val="000000"/>
                <w:sz w:val="22"/>
              </w:rPr>
              <w:t>23% Jan-May</w:t>
            </w:r>
            <w:r>
              <w:rPr>
                <w:rFonts w:cs="Arial"/>
                <w:color w:val="000000"/>
                <w:sz w:val="22"/>
              </w:rPr>
              <w:t xml:space="preserve">, </w:t>
            </w:r>
            <w:r w:rsidRPr="00FD25D3">
              <w:rPr>
                <w:rFonts w:cs="Arial"/>
                <w:color w:val="000000"/>
                <w:sz w:val="22"/>
              </w:rPr>
              <w:t>40% Jun-Dec</w:t>
            </w:r>
          </w:p>
        </w:tc>
      </w:tr>
      <w:tr w:rsidR="00AC40FC" w:rsidRPr="007E2748" w:rsidTr="00BB665B">
        <w:trPr>
          <w:cantSplit/>
          <w:trHeight w:val="317"/>
          <w:jc w:val="center"/>
        </w:trPr>
        <w:tc>
          <w:tcPr>
            <w:tcW w:w="4521" w:type="dxa"/>
            <w:vMerge/>
            <w:tcBorders>
              <w:left w:val="single" w:sz="4" w:space="0" w:color="auto"/>
              <w:right w:val="single" w:sz="4" w:space="0" w:color="auto"/>
            </w:tcBorders>
            <w:shd w:val="clear" w:color="auto" w:fill="auto"/>
            <w:vAlign w:val="center"/>
          </w:tcPr>
          <w:p w:rsidR="00AC40FC" w:rsidRPr="007E2748" w:rsidRDefault="00AC40FC" w:rsidP="00BB665B">
            <w:pPr>
              <w:spacing w:after="0"/>
              <w:jc w:val="center"/>
              <w:rPr>
                <w:rFonts w:cs="Arial"/>
                <w:color w:val="000000"/>
                <w:sz w:val="22"/>
              </w:rPr>
            </w:pPr>
          </w:p>
        </w:tc>
        <w:tc>
          <w:tcPr>
            <w:tcW w:w="935" w:type="dxa"/>
            <w:tcBorders>
              <w:top w:val="nil"/>
              <w:left w:val="nil"/>
              <w:bottom w:val="single" w:sz="4" w:space="0" w:color="auto"/>
              <w:right w:val="single" w:sz="4" w:space="0" w:color="auto"/>
            </w:tcBorders>
            <w:shd w:val="clear" w:color="auto" w:fill="auto"/>
            <w:noWrap/>
            <w:vAlign w:val="center"/>
          </w:tcPr>
          <w:p w:rsidR="00AC40FC" w:rsidRDefault="00AC40FC" w:rsidP="00BB665B">
            <w:pPr>
              <w:spacing w:after="0"/>
              <w:jc w:val="center"/>
              <w:rPr>
                <w:rFonts w:cs="Arial"/>
                <w:color w:val="000000"/>
                <w:sz w:val="22"/>
              </w:rPr>
            </w:pPr>
            <w:r w:rsidRPr="007E2748">
              <w:rPr>
                <w:rFonts w:cs="Arial"/>
                <w:color w:val="000000"/>
                <w:sz w:val="22"/>
              </w:rPr>
              <w:t>2014</w:t>
            </w:r>
          </w:p>
        </w:tc>
        <w:tc>
          <w:tcPr>
            <w:tcW w:w="3835" w:type="dxa"/>
            <w:tcBorders>
              <w:top w:val="nil"/>
              <w:left w:val="nil"/>
              <w:bottom w:val="single" w:sz="4" w:space="0" w:color="auto"/>
              <w:right w:val="single" w:sz="4" w:space="0" w:color="auto"/>
            </w:tcBorders>
            <w:vAlign w:val="center"/>
          </w:tcPr>
          <w:p w:rsidR="00AC40FC" w:rsidRPr="00FD25D3" w:rsidRDefault="00AC40FC" w:rsidP="00BB665B">
            <w:pPr>
              <w:spacing w:after="0"/>
              <w:jc w:val="center"/>
              <w:rPr>
                <w:rFonts w:cs="Arial"/>
                <w:color w:val="000000"/>
                <w:sz w:val="22"/>
              </w:rPr>
            </w:pPr>
            <w:r w:rsidRPr="00FD25D3">
              <w:rPr>
                <w:rFonts w:cs="Arial"/>
                <w:color w:val="000000"/>
                <w:sz w:val="22"/>
              </w:rPr>
              <w:t>24%</w:t>
            </w:r>
          </w:p>
        </w:tc>
      </w:tr>
      <w:tr w:rsidR="00AC40FC" w:rsidRPr="007E2748" w:rsidTr="00BB665B">
        <w:trPr>
          <w:cantSplit/>
          <w:trHeight w:val="317"/>
          <w:jc w:val="center"/>
        </w:trPr>
        <w:tc>
          <w:tcPr>
            <w:tcW w:w="4521" w:type="dxa"/>
            <w:vMerge/>
            <w:tcBorders>
              <w:left w:val="single" w:sz="4" w:space="0" w:color="auto"/>
              <w:right w:val="single" w:sz="4" w:space="0" w:color="auto"/>
            </w:tcBorders>
            <w:shd w:val="clear" w:color="auto" w:fill="auto"/>
            <w:vAlign w:val="center"/>
          </w:tcPr>
          <w:p w:rsidR="00AC40FC" w:rsidRPr="007E2748" w:rsidRDefault="00AC40FC" w:rsidP="00BB665B">
            <w:pPr>
              <w:spacing w:after="0"/>
              <w:jc w:val="center"/>
              <w:rPr>
                <w:rFonts w:cs="Arial"/>
                <w:color w:val="000000"/>
                <w:sz w:val="22"/>
              </w:rPr>
            </w:pPr>
          </w:p>
        </w:tc>
        <w:tc>
          <w:tcPr>
            <w:tcW w:w="935" w:type="dxa"/>
            <w:tcBorders>
              <w:top w:val="nil"/>
              <w:left w:val="nil"/>
              <w:bottom w:val="single" w:sz="4" w:space="0" w:color="auto"/>
              <w:right w:val="single" w:sz="4" w:space="0" w:color="auto"/>
            </w:tcBorders>
            <w:shd w:val="clear" w:color="auto" w:fill="auto"/>
            <w:noWrap/>
            <w:vAlign w:val="center"/>
          </w:tcPr>
          <w:p w:rsidR="00AC40FC" w:rsidRDefault="00AC40FC" w:rsidP="00BB665B">
            <w:pPr>
              <w:spacing w:after="0"/>
              <w:jc w:val="center"/>
              <w:rPr>
                <w:rFonts w:cs="Arial"/>
                <w:color w:val="000000"/>
                <w:sz w:val="22"/>
              </w:rPr>
            </w:pPr>
            <w:r w:rsidRPr="007E2748">
              <w:rPr>
                <w:rFonts w:cs="Arial"/>
                <w:color w:val="000000"/>
                <w:sz w:val="22"/>
              </w:rPr>
              <w:t>2013</w:t>
            </w:r>
          </w:p>
        </w:tc>
        <w:tc>
          <w:tcPr>
            <w:tcW w:w="3835" w:type="dxa"/>
            <w:tcBorders>
              <w:top w:val="nil"/>
              <w:left w:val="nil"/>
              <w:bottom w:val="single" w:sz="4" w:space="0" w:color="auto"/>
              <w:right w:val="single" w:sz="4" w:space="0" w:color="auto"/>
            </w:tcBorders>
            <w:vAlign w:val="center"/>
          </w:tcPr>
          <w:p w:rsidR="00AC40FC" w:rsidRPr="00FD25D3" w:rsidRDefault="00AC40FC" w:rsidP="00BB665B">
            <w:pPr>
              <w:spacing w:after="0"/>
              <w:jc w:val="center"/>
              <w:rPr>
                <w:rFonts w:cs="Arial"/>
                <w:color w:val="000000"/>
                <w:sz w:val="22"/>
              </w:rPr>
            </w:pPr>
            <w:r w:rsidRPr="00FD25D3">
              <w:rPr>
                <w:rFonts w:cs="Arial"/>
                <w:color w:val="000000"/>
                <w:sz w:val="22"/>
              </w:rPr>
              <w:t>22%</w:t>
            </w:r>
          </w:p>
        </w:tc>
      </w:tr>
      <w:tr w:rsidR="00AC40FC" w:rsidRPr="007E2748" w:rsidTr="00BB665B">
        <w:trPr>
          <w:cantSplit/>
          <w:trHeight w:val="317"/>
          <w:jc w:val="center"/>
        </w:trPr>
        <w:tc>
          <w:tcPr>
            <w:tcW w:w="4521" w:type="dxa"/>
            <w:vMerge/>
            <w:tcBorders>
              <w:left w:val="single" w:sz="4" w:space="0" w:color="auto"/>
              <w:right w:val="single" w:sz="4" w:space="0" w:color="auto"/>
            </w:tcBorders>
            <w:shd w:val="clear" w:color="auto" w:fill="auto"/>
            <w:vAlign w:val="center"/>
          </w:tcPr>
          <w:p w:rsidR="00AC40FC" w:rsidRPr="007E2748" w:rsidRDefault="00AC40FC" w:rsidP="00BB665B">
            <w:pPr>
              <w:spacing w:after="0"/>
              <w:jc w:val="center"/>
              <w:rPr>
                <w:rFonts w:cs="Arial"/>
                <w:color w:val="000000"/>
                <w:sz w:val="22"/>
              </w:rPr>
            </w:pPr>
          </w:p>
        </w:tc>
        <w:tc>
          <w:tcPr>
            <w:tcW w:w="935" w:type="dxa"/>
            <w:tcBorders>
              <w:top w:val="nil"/>
              <w:left w:val="nil"/>
              <w:bottom w:val="single" w:sz="4" w:space="0" w:color="auto"/>
              <w:right w:val="single" w:sz="4" w:space="0" w:color="auto"/>
            </w:tcBorders>
            <w:shd w:val="clear" w:color="auto" w:fill="auto"/>
            <w:noWrap/>
            <w:vAlign w:val="center"/>
          </w:tcPr>
          <w:p w:rsidR="00AC40FC" w:rsidRDefault="00AC40FC" w:rsidP="00BB665B">
            <w:pPr>
              <w:spacing w:after="0"/>
              <w:jc w:val="center"/>
              <w:rPr>
                <w:rFonts w:cs="Arial"/>
                <w:color w:val="000000"/>
                <w:sz w:val="22"/>
              </w:rPr>
            </w:pPr>
            <w:r w:rsidRPr="007E2748">
              <w:rPr>
                <w:rFonts w:cs="Arial"/>
                <w:color w:val="000000"/>
                <w:sz w:val="22"/>
              </w:rPr>
              <w:t>2012</w:t>
            </w:r>
          </w:p>
        </w:tc>
        <w:tc>
          <w:tcPr>
            <w:tcW w:w="3835" w:type="dxa"/>
            <w:tcBorders>
              <w:top w:val="nil"/>
              <w:left w:val="nil"/>
              <w:bottom w:val="single" w:sz="4" w:space="0" w:color="auto"/>
              <w:right w:val="single" w:sz="4" w:space="0" w:color="auto"/>
            </w:tcBorders>
            <w:vAlign w:val="center"/>
          </w:tcPr>
          <w:p w:rsidR="00AC40FC" w:rsidRPr="00FD25D3" w:rsidRDefault="00AC40FC" w:rsidP="00BB665B">
            <w:pPr>
              <w:spacing w:after="0"/>
              <w:jc w:val="center"/>
              <w:rPr>
                <w:rFonts w:cs="Arial"/>
                <w:color w:val="000000"/>
                <w:sz w:val="22"/>
              </w:rPr>
            </w:pPr>
            <w:r w:rsidRPr="00FD25D3">
              <w:rPr>
                <w:rFonts w:cs="Arial"/>
                <w:color w:val="000000"/>
                <w:sz w:val="22"/>
              </w:rPr>
              <w:t>22%</w:t>
            </w:r>
          </w:p>
        </w:tc>
      </w:tr>
      <w:tr w:rsidR="00AC40FC" w:rsidRPr="007E2748" w:rsidTr="00BB665B">
        <w:trPr>
          <w:cantSplit/>
          <w:trHeight w:val="317"/>
          <w:jc w:val="center"/>
        </w:trPr>
        <w:tc>
          <w:tcPr>
            <w:tcW w:w="4521" w:type="dxa"/>
            <w:vMerge/>
            <w:tcBorders>
              <w:left w:val="single" w:sz="4" w:space="0" w:color="auto"/>
              <w:bottom w:val="single" w:sz="4" w:space="0" w:color="auto"/>
              <w:right w:val="single" w:sz="4" w:space="0" w:color="auto"/>
            </w:tcBorders>
            <w:shd w:val="clear" w:color="auto" w:fill="auto"/>
            <w:vAlign w:val="center"/>
          </w:tcPr>
          <w:p w:rsidR="00AC40FC" w:rsidRPr="007E2748" w:rsidRDefault="00AC40FC" w:rsidP="00BB665B">
            <w:pPr>
              <w:spacing w:after="0"/>
              <w:jc w:val="center"/>
              <w:rPr>
                <w:rFonts w:cs="Arial"/>
                <w:color w:val="000000"/>
                <w:sz w:val="22"/>
              </w:rPr>
            </w:pPr>
          </w:p>
        </w:tc>
        <w:tc>
          <w:tcPr>
            <w:tcW w:w="935" w:type="dxa"/>
            <w:tcBorders>
              <w:top w:val="nil"/>
              <w:left w:val="nil"/>
              <w:bottom w:val="single" w:sz="4" w:space="0" w:color="auto"/>
              <w:right w:val="single" w:sz="4" w:space="0" w:color="auto"/>
            </w:tcBorders>
            <w:shd w:val="clear" w:color="auto" w:fill="auto"/>
            <w:noWrap/>
            <w:vAlign w:val="center"/>
          </w:tcPr>
          <w:p w:rsidR="00AC40FC" w:rsidRDefault="00AC40FC" w:rsidP="00BB665B">
            <w:pPr>
              <w:spacing w:after="0"/>
              <w:jc w:val="center"/>
              <w:rPr>
                <w:rFonts w:cs="Arial"/>
                <w:color w:val="000000"/>
                <w:sz w:val="22"/>
              </w:rPr>
            </w:pPr>
            <w:r w:rsidRPr="007E2748">
              <w:rPr>
                <w:rFonts w:cs="Arial"/>
                <w:color w:val="000000"/>
                <w:sz w:val="22"/>
              </w:rPr>
              <w:t>2011</w:t>
            </w:r>
          </w:p>
        </w:tc>
        <w:tc>
          <w:tcPr>
            <w:tcW w:w="3835" w:type="dxa"/>
            <w:tcBorders>
              <w:top w:val="nil"/>
              <w:left w:val="nil"/>
              <w:bottom w:val="single" w:sz="4" w:space="0" w:color="auto"/>
              <w:right w:val="single" w:sz="4" w:space="0" w:color="auto"/>
            </w:tcBorders>
            <w:vAlign w:val="center"/>
          </w:tcPr>
          <w:p w:rsidR="00AC40FC" w:rsidRPr="00FD25D3" w:rsidRDefault="00AC40FC" w:rsidP="00BB665B">
            <w:pPr>
              <w:spacing w:after="0"/>
              <w:jc w:val="center"/>
              <w:rPr>
                <w:rFonts w:cs="Arial"/>
                <w:color w:val="000000"/>
                <w:sz w:val="22"/>
              </w:rPr>
            </w:pPr>
            <w:r w:rsidRPr="00FD25D3">
              <w:rPr>
                <w:rFonts w:cs="Arial"/>
                <w:color w:val="000000"/>
                <w:sz w:val="22"/>
              </w:rPr>
              <w:t>24% Jan–Apr, 21% May–Dec</w:t>
            </w:r>
          </w:p>
        </w:tc>
      </w:tr>
      <w:tr w:rsidR="00AC40FC" w:rsidRPr="007E2748" w:rsidTr="00C73199">
        <w:trPr>
          <w:cantSplit/>
          <w:trHeight w:val="317"/>
          <w:jc w:val="center"/>
        </w:trPr>
        <w:tc>
          <w:tcPr>
            <w:tcW w:w="45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C40FC" w:rsidRPr="007E2748" w:rsidRDefault="00AC40FC" w:rsidP="00BB665B">
            <w:pPr>
              <w:spacing w:after="0"/>
              <w:jc w:val="center"/>
              <w:rPr>
                <w:rFonts w:cs="Arial"/>
                <w:color w:val="000000"/>
                <w:sz w:val="22"/>
              </w:rPr>
            </w:pPr>
            <w:r w:rsidRPr="007E2748">
              <w:rPr>
                <w:rFonts w:cs="Arial"/>
                <w:color w:val="000000"/>
                <w:sz w:val="22"/>
              </w:rPr>
              <w:t>Paul A. Farr</w:t>
            </w:r>
          </w:p>
          <w:p w:rsidR="00AC40FC" w:rsidRPr="007E2748" w:rsidRDefault="00AC40FC" w:rsidP="00BB665B">
            <w:pPr>
              <w:spacing w:after="0"/>
              <w:ind w:firstLineChars="200" w:firstLine="440"/>
              <w:jc w:val="center"/>
              <w:rPr>
                <w:rFonts w:cs="Arial"/>
                <w:color w:val="000000"/>
                <w:sz w:val="22"/>
              </w:rPr>
            </w:pPr>
            <w:r w:rsidRPr="007E2748">
              <w:rPr>
                <w:rFonts w:cs="Arial"/>
                <w:color w:val="000000"/>
                <w:sz w:val="22"/>
              </w:rPr>
              <w:t xml:space="preserve">Former </w:t>
            </w:r>
            <w:r>
              <w:rPr>
                <w:rFonts w:cs="Arial"/>
                <w:color w:val="000000"/>
                <w:sz w:val="22"/>
              </w:rPr>
              <w:t xml:space="preserve">President of PPL Energy Supply, LLC/Former </w:t>
            </w:r>
            <w:r w:rsidRPr="007E2748">
              <w:rPr>
                <w:rFonts w:cs="Arial"/>
                <w:color w:val="000000"/>
                <w:sz w:val="22"/>
              </w:rPr>
              <w:t>Executive Vice President and</w:t>
            </w:r>
          </w:p>
          <w:p w:rsidR="00AC40FC" w:rsidRPr="007E2748" w:rsidRDefault="00AC40FC" w:rsidP="00BB665B">
            <w:pPr>
              <w:spacing w:after="0"/>
              <w:ind w:firstLineChars="200" w:firstLine="440"/>
              <w:jc w:val="center"/>
              <w:rPr>
                <w:rFonts w:cs="Arial"/>
                <w:color w:val="000000"/>
                <w:sz w:val="22"/>
              </w:rPr>
            </w:pPr>
            <w:r w:rsidRPr="007E2748">
              <w:rPr>
                <w:rFonts w:cs="Arial"/>
                <w:color w:val="000000"/>
                <w:sz w:val="22"/>
              </w:rPr>
              <w:t>Chief Financial Officer</w:t>
            </w:r>
          </w:p>
        </w:tc>
        <w:tc>
          <w:tcPr>
            <w:tcW w:w="935" w:type="dxa"/>
            <w:tcBorders>
              <w:top w:val="nil"/>
              <w:left w:val="nil"/>
              <w:bottom w:val="single" w:sz="4" w:space="0" w:color="auto"/>
              <w:right w:val="single" w:sz="4" w:space="0" w:color="auto"/>
            </w:tcBorders>
            <w:shd w:val="clear" w:color="auto" w:fill="auto"/>
            <w:noWrap/>
            <w:vAlign w:val="center"/>
          </w:tcPr>
          <w:p w:rsidR="00AC40FC" w:rsidRPr="007E2748" w:rsidRDefault="00AC40FC" w:rsidP="00BB665B">
            <w:pPr>
              <w:spacing w:after="0"/>
              <w:jc w:val="center"/>
              <w:rPr>
                <w:rFonts w:cs="Arial"/>
                <w:color w:val="000000"/>
                <w:sz w:val="22"/>
              </w:rPr>
            </w:pPr>
            <w:r>
              <w:rPr>
                <w:rFonts w:cs="Arial"/>
                <w:color w:val="000000"/>
                <w:sz w:val="22"/>
              </w:rPr>
              <w:t>2015</w:t>
            </w:r>
          </w:p>
        </w:tc>
        <w:tc>
          <w:tcPr>
            <w:tcW w:w="3835" w:type="dxa"/>
            <w:tcBorders>
              <w:top w:val="nil"/>
              <w:left w:val="nil"/>
              <w:bottom w:val="single" w:sz="4" w:space="0" w:color="auto"/>
              <w:right w:val="single" w:sz="4" w:space="0" w:color="auto"/>
            </w:tcBorders>
            <w:vAlign w:val="center"/>
          </w:tcPr>
          <w:p w:rsidR="00AC40FC" w:rsidRPr="00FD25D3" w:rsidRDefault="00AC40FC" w:rsidP="00BB665B">
            <w:pPr>
              <w:spacing w:after="0"/>
              <w:jc w:val="center"/>
              <w:rPr>
                <w:rFonts w:cs="Arial"/>
                <w:color w:val="000000"/>
                <w:sz w:val="22"/>
              </w:rPr>
            </w:pPr>
            <w:r w:rsidRPr="00FD25D3">
              <w:rPr>
                <w:rFonts w:cs="Arial"/>
                <w:color w:val="000000"/>
                <w:sz w:val="22"/>
              </w:rPr>
              <w:t>N/A</w:t>
            </w:r>
          </w:p>
        </w:tc>
      </w:tr>
      <w:tr w:rsidR="00AC40FC" w:rsidRPr="007E2748" w:rsidTr="00C73199">
        <w:trPr>
          <w:cantSplit/>
          <w:trHeight w:val="317"/>
          <w:jc w:val="center"/>
        </w:trPr>
        <w:tc>
          <w:tcPr>
            <w:tcW w:w="4521" w:type="dxa"/>
            <w:vMerge/>
            <w:tcBorders>
              <w:left w:val="single" w:sz="4" w:space="0" w:color="auto"/>
              <w:bottom w:val="single" w:sz="4" w:space="0" w:color="auto"/>
              <w:right w:val="single" w:sz="4" w:space="0" w:color="auto"/>
            </w:tcBorders>
            <w:shd w:val="clear" w:color="auto" w:fill="auto"/>
            <w:vAlign w:val="center"/>
            <w:hideMark/>
          </w:tcPr>
          <w:p w:rsidR="00AC40FC" w:rsidRPr="007E2748" w:rsidRDefault="00AC40FC" w:rsidP="00BB665B">
            <w:pPr>
              <w:spacing w:after="0"/>
              <w:ind w:firstLineChars="200" w:firstLine="440"/>
              <w:jc w:val="center"/>
              <w:rPr>
                <w:rFonts w:cs="Arial"/>
                <w:color w:val="000000"/>
                <w:sz w:val="22"/>
              </w:rPr>
            </w:pPr>
          </w:p>
        </w:tc>
        <w:tc>
          <w:tcPr>
            <w:tcW w:w="935" w:type="dxa"/>
            <w:tcBorders>
              <w:top w:val="nil"/>
              <w:left w:val="nil"/>
              <w:bottom w:val="single" w:sz="4" w:space="0" w:color="auto"/>
              <w:right w:val="single" w:sz="4" w:space="0" w:color="auto"/>
            </w:tcBorders>
            <w:shd w:val="clear" w:color="auto" w:fill="auto"/>
            <w:noWrap/>
            <w:vAlign w:val="center"/>
            <w:hideMark/>
          </w:tcPr>
          <w:p w:rsidR="00AC40FC" w:rsidRPr="007E2748" w:rsidRDefault="00AC40FC" w:rsidP="00BB665B">
            <w:pPr>
              <w:spacing w:after="0"/>
              <w:jc w:val="center"/>
              <w:rPr>
                <w:rFonts w:cs="Arial"/>
                <w:color w:val="000000"/>
                <w:sz w:val="22"/>
              </w:rPr>
            </w:pPr>
            <w:r w:rsidRPr="007E2748">
              <w:rPr>
                <w:rFonts w:cs="Arial"/>
                <w:color w:val="000000"/>
                <w:sz w:val="22"/>
              </w:rPr>
              <w:t>2014</w:t>
            </w:r>
          </w:p>
        </w:tc>
        <w:tc>
          <w:tcPr>
            <w:tcW w:w="3835" w:type="dxa"/>
            <w:tcBorders>
              <w:top w:val="nil"/>
              <w:left w:val="nil"/>
              <w:bottom w:val="single" w:sz="4" w:space="0" w:color="auto"/>
              <w:right w:val="single" w:sz="4" w:space="0" w:color="auto"/>
            </w:tcBorders>
            <w:vAlign w:val="center"/>
          </w:tcPr>
          <w:p w:rsidR="00AC40FC" w:rsidRPr="00FD25D3" w:rsidRDefault="00AC40FC" w:rsidP="00BB665B">
            <w:pPr>
              <w:spacing w:after="0"/>
              <w:jc w:val="center"/>
              <w:rPr>
                <w:rFonts w:cs="Arial"/>
                <w:color w:val="000000"/>
                <w:sz w:val="22"/>
              </w:rPr>
            </w:pPr>
            <w:r w:rsidRPr="00FD25D3">
              <w:rPr>
                <w:rFonts w:cs="Arial"/>
                <w:color w:val="000000"/>
                <w:sz w:val="22"/>
              </w:rPr>
              <w:t>27%</w:t>
            </w:r>
          </w:p>
        </w:tc>
      </w:tr>
      <w:tr w:rsidR="00AC40FC" w:rsidRPr="007E2748" w:rsidTr="00C73199">
        <w:trPr>
          <w:cantSplit/>
          <w:trHeight w:val="317"/>
          <w:jc w:val="center"/>
        </w:trPr>
        <w:tc>
          <w:tcPr>
            <w:tcW w:w="4521" w:type="dxa"/>
            <w:vMerge/>
            <w:tcBorders>
              <w:left w:val="single" w:sz="4" w:space="0" w:color="auto"/>
              <w:bottom w:val="single" w:sz="4" w:space="0" w:color="auto"/>
              <w:right w:val="single" w:sz="4" w:space="0" w:color="auto"/>
            </w:tcBorders>
            <w:shd w:val="clear" w:color="auto" w:fill="auto"/>
            <w:vAlign w:val="center"/>
            <w:hideMark/>
          </w:tcPr>
          <w:p w:rsidR="00AC40FC" w:rsidRPr="007E2748" w:rsidRDefault="00AC40FC" w:rsidP="00BB665B">
            <w:pPr>
              <w:spacing w:after="0"/>
              <w:ind w:firstLineChars="200" w:firstLine="440"/>
              <w:jc w:val="center"/>
              <w:rPr>
                <w:rFonts w:cs="Arial"/>
                <w:color w:val="000000"/>
                <w:sz w:val="22"/>
              </w:rPr>
            </w:pPr>
          </w:p>
        </w:tc>
        <w:tc>
          <w:tcPr>
            <w:tcW w:w="935" w:type="dxa"/>
            <w:tcBorders>
              <w:top w:val="nil"/>
              <w:left w:val="nil"/>
              <w:bottom w:val="single" w:sz="4" w:space="0" w:color="auto"/>
              <w:right w:val="single" w:sz="4" w:space="0" w:color="auto"/>
            </w:tcBorders>
            <w:shd w:val="clear" w:color="auto" w:fill="auto"/>
            <w:noWrap/>
            <w:vAlign w:val="center"/>
            <w:hideMark/>
          </w:tcPr>
          <w:p w:rsidR="00AC40FC" w:rsidRPr="007E2748" w:rsidRDefault="00AC40FC" w:rsidP="00BB665B">
            <w:pPr>
              <w:spacing w:after="0"/>
              <w:jc w:val="center"/>
              <w:rPr>
                <w:rFonts w:cs="Arial"/>
                <w:color w:val="000000"/>
                <w:sz w:val="22"/>
              </w:rPr>
            </w:pPr>
            <w:r w:rsidRPr="007E2748">
              <w:rPr>
                <w:rFonts w:cs="Arial"/>
                <w:color w:val="000000"/>
                <w:sz w:val="22"/>
              </w:rPr>
              <w:t>2013</w:t>
            </w:r>
          </w:p>
        </w:tc>
        <w:tc>
          <w:tcPr>
            <w:tcW w:w="3835" w:type="dxa"/>
            <w:tcBorders>
              <w:top w:val="nil"/>
              <w:left w:val="nil"/>
              <w:bottom w:val="single" w:sz="4" w:space="0" w:color="auto"/>
              <w:right w:val="single" w:sz="4" w:space="0" w:color="auto"/>
            </w:tcBorders>
            <w:vAlign w:val="center"/>
          </w:tcPr>
          <w:p w:rsidR="00AC40FC" w:rsidRPr="00FD25D3" w:rsidRDefault="00AC40FC" w:rsidP="00BB665B">
            <w:pPr>
              <w:spacing w:after="0"/>
              <w:jc w:val="center"/>
              <w:rPr>
                <w:rFonts w:cs="Arial"/>
                <w:color w:val="000000"/>
                <w:sz w:val="22"/>
              </w:rPr>
            </w:pPr>
            <w:r w:rsidRPr="00FD25D3">
              <w:rPr>
                <w:rFonts w:cs="Arial"/>
                <w:color w:val="000000"/>
                <w:sz w:val="22"/>
              </w:rPr>
              <w:t>27%</w:t>
            </w:r>
          </w:p>
        </w:tc>
      </w:tr>
      <w:tr w:rsidR="00AC40FC" w:rsidRPr="007E2748" w:rsidTr="00C73199">
        <w:trPr>
          <w:cantSplit/>
          <w:trHeight w:val="317"/>
          <w:jc w:val="center"/>
        </w:trPr>
        <w:tc>
          <w:tcPr>
            <w:tcW w:w="4521" w:type="dxa"/>
            <w:vMerge/>
            <w:tcBorders>
              <w:left w:val="single" w:sz="4" w:space="0" w:color="auto"/>
              <w:bottom w:val="single" w:sz="4" w:space="0" w:color="auto"/>
              <w:right w:val="single" w:sz="4" w:space="0" w:color="auto"/>
            </w:tcBorders>
            <w:shd w:val="clear" w:color="auto" w:fill="auto"/>
            <w:vAlign w:val="center"/>
            <w:hideMark/>
          </w:tcPr>
          <w:p w:rsidR="00AC40FC" w:rsidRPr="007E2748" w:rsidRDefault="00AC40FC" w:rsidP="00BB665B">
            <w:pPr>
              <w:spacing w:after="0"/>
              <w:ind w:firstLineChars="200" w:firstLine="440"/>
              <w:jc w:val="center"/>
              <w:rPr>
                <w:rFonts w:cs="Arial"/>
                <w:color w:val="000000"/>
                <w:sz w:val="22"/>
              </w:rPr>
            </w:pPr>
          </w:p>
        </w:tc>
        <w:tc>
          <w:tcPr>
            <w:tcW w:w="935" w:type="dxa"/>
            <w:tcBorders>
              <w:top w:val="nil"/>
              <w:left w:val="nil"/>
              <w:bottom w:val="single" w:sz="4" w:space="0" w:color="auto"/>
              <w:right w:val="single" w:sz="4" w:space="0" w:color="auto"/>
            </w:tcBorders>
            <w:shd w:val="clear" w:color="auto" w:fill="auto"/>
            <w:noWrap/>
            <w:vAlign w:val="center"/>
            <w:hideMark/>
          </w:tcPr>
          <w:p w:rsidR="00AC40FC" w:rsidRPr="007E2748" w:rsidRDefault="00AC40FC" w:rsidP="00BB665B">
            <w:pPr>
              <w:spacing w:after="0"/>
              <w:jc w:val="center"/>
              <w:rPr>
                <w:rFonts w:cs="Arial"/>
                <w:color w:val="000000"/>
                <w:sz w:val="22"/>
              </w:rPr>
            </w:pPr>
            <w:r w:rsidRPr="007E2748">
              <w:rPr>
                <w:rFonts w:cs="Arial"/>
                <w:color w:val="000000"/>
                <w:sz w:val="22"/>
              </w:rPr>
              <w:t>2012</w:t>
            </w:r>
          </w:p>
        </w:tc>
        <w:tc>
          <w:tcPr>
            <w:tcW w:w="3835" w:type="dxa"/>
            <w:tcBorders>
              <w:top w:val="nil"/>
              <w:left w:val="nil"/>
              <w:bottom w:val="single" w:sz="4" w:space="0" w:color="auto"/>
              <w:right w:val="single" w:sz="4" w:space="0" w:color="auto"/>
            </w:tcBorders>
            <w:vAlign w:val="center"/>
          </w:tcPr>
          <w:p w:rsidR="00AC40FC" w:rsidRPr="00FD25D3" w:rsidRDefault="00AC40FC" w:rsidP="00BB665B">
            <w:pPr>
              <w:spacing w:after="0"/>
              <w:jc w:val="center"/>
              <w:rPr>
                <w:rFonts w:cs="Arial"/>
                <w:color w:val="000000"/>
                <w:sz w:val="22"/>
              </w:rPr>
            </w:pPr>
            <w:r w:rsidRPr="00FD25D3">
              <w:rPr>
                <w:rFonts w:cs="Arial"/>
                <w:color w:val="000000"/>
                <w:sz w:val="22"/>
              </w:rPr>
              <w:t>29%</w:t>
            </w:r>
          </w:p>
        </w:tc>
      </w:tr>
      <w:tr w:rsidR="00AC40FC" w:rsidRPr="007E2748" w:rsidTr="00C73199">
        <w:trPr>
          <w:cantSplit/>
          <w:trHeight w:val="317"/>
          <w:jc w:val="center"/>
        </w:trPr>
        <w:tc>
          <w:tcPr>
            <w:tcW w:w="4521" w:type="dxa"/>
            <w:vMerge/>
            <w:tcBorders>
              <w:left w:val="single" w:sz="4" w:space="0" w:color="auto"/>
              <w:bottom w:val="single" w:sz="4" w:space="0" w:color="auto"/>
              <w:right w:val="single" w:sz="4" w:space="0" w:color="auto"/>
            </w:tcBorders>
            <w:shd w:val="clear" w:color="auto" w:fill="auto"/>
            <w:vAlign w:val="center"/>
            <w:hideMark/>
          </w:tcPr>
          <w:p w:rsidR="00AC40FC" w:rsidRPr="007E2748" w:rsidRDefault="00AC40FC" w:rsidP="00BB665B">
            <w:pPr>
              <w:spacing w:after="0"/>
              <w:ind w:firstLineChars="200" w:firstLine="440"/>
              <w:jc w:val="center"/>
              <w:rPr>
                <w:rFonts w:cs="Arial"/>
                <w:color w:val="000000"/>
                <w:sz w:val="22"/>
              </w:rPr>
            </w:pP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rsidR="00AC40FC" w:rsidRPr="007E2748" w:rsidRDefault="00AC40FC" w:rsidP="00BB665B">
            <w:pPr>
              <w:spacing w:after="0"/>
              <w:jc w:val="center"/>
              <w:rPr>
                <w:rFonts w:cs="Arial"/>
                <w:color w:val="000000"/>
                <w:sz w:val="22"/>
              </w:rPr>
            </w:pPr>
            <w:r w:rsidRPr="007E2748">
              <w:rPr>
                <w:rFonts w:cs="Arial"/>
                <w:color w:val="000000"/>
                <w:sz w:val="22"/>
              </w:rPr>
              <w:t>2011</w:t>
            </w:r>
          </w:p>
        </w:tc>
        <w:tc>
          <w:tcPr>
            <w:tcW w:w="3835" w:type="dxa"/>
            <w:tcBorders>
              <w:top w:val="single" w:sz="4" w:space="0" w:color="auto"/>
              <w:left w:val="nil"/>
              <w:bottom w:val="single" w:sz="4" w:space="0" w:color="auto"/>
              <w:right w:val="single" w:sz="4" w:space="0" w:color="auto"/>
            </w:tcBorders>
            <w:vAlign w:val="center"/>
          </w:tcPr>
          <w:p w:rsidR="00AC40FC" w:rsidRPr="00FD25D3" w:rsidRDefault="00AC40FC" w:rsidP="00BB665B">
            <w:pPr>
              <w:spacing w:after="0"/>
              <w:jc w:val="center"/>
              <w:rPr>
                <w:rFonts w:cs="Arial"/>
                <w:color w:val="000000"/>
                <w:sz w:val="22"/>
              </w:rPr>
            </w:pPr>
            <w:r w:rsidRPr="00FD25D3">
              <w:rPr>
                <w:rFonts w:cs="Arial"/>
                <w:color w:val="000000"/>
                <w:sz w:val="22"/>
              </w:rPr>
              <w:t>26% Jan–Apr, 21% May–Dec</w:t>
            </w:r>
          </w:p>
        </w:tc>
      </w:tr>
      <w:tr w:rsidR="00AC40FC" w:rsidRPr="007E2748" w:rsidTr="00C73199">
        <w:trPr>
          <w:cantSplit/>
          <w:trHeight w:val="197"/>
          <w:jc w:val="center"/>
        </w:trPr>
        <w:tc>
          <w:tcPr>
            <w:tcW w:w="9291" w:type="dxa"/>
            <w:gridSpan w:val="3"/>
            <w:tcBorders>
              <w:top w:val="nil"/>
              <w:left w:val="single" w:sz="4" w:space="0" w:color="auto"/>
              <w:bottom w:val="single" w:sz="4" w:space="0" w:color="auto"/>
              <w:right w:val="single" w:sz="4" w:space="0" w:color="auto"/>
            </w:tcBorders>
            <w:shd w:val="clear" w:color="auto" w:fill="auto"/>
            <w:vAlign w:val="center"/>
            <w:hideMark/>
          </w:tcPr>
          <w:p w:rsidR="00AC40FC" w:rsidRPr="007E2748" w:rsidRDefault="00AC40FC" w:rsidP="00BB665B">
            <w:pPr>
              <w:spacing w:after="0"/>
              <w:jc w:val="left"/>
              <w:rPr>
                <w:rFonts w:cs="Arial"/>
                <w:color w:val="000000"/>
                <w:sz w:val="22"/>
              </w:rPr>
            </w:pPr>
            <w:r w:rsidRPr="007E2748">
              <w:rPr>
                <w:sz w:val="22"/>
              </w:rPr>
              <w:t>Source: DN 15-152</w:t>
            </w:r>
          </w:p>
        </w:tc>
      </w:tr>
    </w:tbl>
    <w:p w:rsidR="00AC40FC" w:rsidRDefault="00AC40FC" w:rsidP="00C73199">
      <w:pPr>
        <w:pStyle w:val="Normal-aftertable"/>
      </w:pPr>
      <w:r>
        <w:t>The above table represents the percentages of PPL Corporation’s NEO base pay allocated to PPL EU.  Additional total direct executive compensation was allocated using the following rates for all individuals, with the exception of Victor A. Staffieri and Robert A. Symons, who have no part of their compensation allocated to PPL EU:</w:t>
      </w:r>
    </w:p>
    <w:p w:rsidR="00AC40FC" w:rsidRDefault="00AC40FC" w:rsidP="00AB3298">
      <w:pPr>
        <w:pStyle w:val="Bullet"/>
        <w:keepNext/>
      </w:pPr>
      <w:r>
        <w:lastRenderedPageBreak/>
        <w:t xml:space="preserve">2015 - 36% Jan-May, 74% Jun-Dec </w:t>
      </w:r>
    </w:p>
    <w:p w:rsidR="00AC40FC" w:rsidRDefault="00AC40FC" w:rsidP="00C73199">
      <w:pPr>
        <w:pStyle w:val="Bullet"/>
      </w:pPr>
      <w:r>
        <w:t>2014 – 32%</w:t>
      </w:r>
    </w:p>
    <w:p w:rsidR="00AC40FC" w:rsidRDefault="00AC40FC" w:rsidP="00C73199">
      <w:pPr>
        <w:pStyle w:val="Bullet"/>
      </w:pPr>
      <w:r>
        <w:t>2013 – 31%</w:t>
      </w:r>
    </w:p>
    <w:p w:rsidR="00AC40FC" w:rsidRDefault="00AC40FC" w:rsidP="00C73199">
      <w:pPr>
        <w:pStyle w:val="Bullet"/>
      </w:pPr>
      <w:r>
        <w:t>2012 – 34%</w:t>
      </w:r>
    </w:p>
    <w:p w:rsidR="00AC40FC" w:rsidRDefault="00AC40FC" w:rsidP="00C73199">
      <w:pPr>
        <w:pStyle w:val="Bullet"/>
      </w:pPr>
      <w:r>
        <w:t>2011 – 32% Jan-Apr, 31% May-Dec</w:t>
      </w:r>
    </w:p>
    <w:p w:rsidR="00AC40FC" w:rsidRDefault="00AC40FC" w:rsidP="00C73199">
      <w:pPr>
        <w:pStyle w:val="Normal-aftertable"/>
      </w:pPr>
      <w:r>
        <w:t xml:space="preserve">Considering the percentage of NEO total direct compensation costs allocated to PPL EU, a market analysis reflecting percentage of difference to the energy industry market median for 2015’s base pay, total cash compensation, and total direct compensation is reflected in the three tables below. </w:t>
      </w:r>
    </w:p>
    <w:p w:rsidR="00AC40FC" w:rsidRDefault="00AC40FC" w:rsidP="002B3172">
      <w:pPr>
        <w:pStyle w:val="Caption"/>
      </w:pPr>
      <w:bookmarkStart w:id="254" w:name="_Toc462648461"/>
      <w:bookmarkStart w:id="255" w:name="_Toc464553083"/>
      <w:r>
        <w:t xml:space="preserve">Exhibit </w:t>
      </w:r>
      <w:fldSimple w:instr=" STYLEREF 1 \s ">
        <w:r w:rsidR="00A24205">
          <w:rPr>
            <w:noProof/>
          </w:rPr>
          <w:t>XIII</w:t>
        </w:r>
      </w:fldSimple>
      <w:r w:rsidR="00264A1B">
        <w:noBreakHyphen/>
      </w:r>
      <w:fldSimple w:instr=" SEQ Exhibit \* ARABIC \s 1 ">
        <w:r w:rsidR="00A24205">
          <w:rPr>
            <w:noProof/>
          </w:rPr>
          <w:t>8</w:t>
        </w:r>
      </w:fldSimple>
      <w:r>
        <w:br/>
      </w:r>
      <w:r w:rsidRPr="00000989">
        <w:t xml:space="preserve">PPL </w:t>
      </w:r>
      <w:r>
        <w:t xml:space="preserve">NEO </w:t>
      </w:r>
      <w:r w:rsidRPr="00000989">
        <w:t>201</w:t>
      </w:r>
      <w:r>
        <w:t>5 Base Salary</w:t>
      </w:r>
      <w:bookmarkEnd w:id="254"/>
      <w:bookmarkEnd w:id="255"/>
    </w:p>
    <w:tbl>
      <w:tblPr>
        <w:tblStyle w:val="TableGrid"/>
        <w:tblW w:w="0" w:type="auto"/>
        <w:jc w:val="center"/>
        <w:tblCellMar>
          <w:top w:w="14" w:type="dxa"/>
          <w:left w:w="115" w:type="dxa"/>
          <w:bottom w:w="14" w:type="dxa"/>
          <w:right w:w="115" w:type="dxa"/>
        </w:tblCellMar>
        <w:tblLook w:val="04A0"/>
      </w:tblPr>
      <w:tblGrid>
        <w:gridCol w:w="4037"/>
        <w:gridCol w:w="720"/>
        <w:gridCol w:w="1460"/>
      </w:tblGrid>
      <w:tr w:rsidR="00AC40FC" w:rsidRPr="00DB41A5" w:rsidTr="00BB665B">
        <w:trPr>
          <w:cantSplit/>
          <w:trHeight w:val="318"/>
          <w:jc w:val="center"/>
        </w:trPr>
        <w:tc>
          <w:tcPr>
            <w:tcW w:w="4037" w:type="dxa"/>
            <w:shd w:val="clear" w:color="auto" w:fill="A5CD7E"/>
            <w:noWrap/>
            <w:vAlign w:val="center"/>
            <w:hideMark/>
          </w:tcPr>
          <w:p w:rsidR="00AC40FC" w:rsidRPr="00DB41A5" w:rsidRDefault="00AC40FC" w:rsidP="00521E7D">
            <w:pPr>
              <w:spacing w:before="120"/>
              <w:jc w:val="center"/>
              <w:rPr>
                <w:b/>
                <w:bCs/>
                <w:sz w:val="22"/>
              </w:rPr>
            </w:pPr>
            <w:r w:rsidRPr="00DB41A5">
              <w:rPr>
                <w:b/>
                <w:bCs/>
                <w:sz w:val="22"/>
              </w:rPr>
              <w:t>Name and Position</w:t>
            </w:r>
          </w:p>
        </w:tc>
        <w:tc>
          <w:tcPr>
            <w:tcW w:w="720" w:type="dxa"/>
            <w:shd w:val="clear" w:color="auto" w:fill="A5CD7E"/>
            <w:noWrap/>
            <w:vAlign w:val="center"/>
            <w:hideMark/>
          </w:tcPr>
          <w:p w:rsidR="00AC40FC" w:rsidRPr="00DB41A5" w:rsidRDefault="00AC40FC" w:rsidP="00521E7D">
            <w:pPr>
              <w:spacing w:before="120"/>
              <w:jc w:val="center"/>
              <w:rPr>
                <w:b/>
                <w:bCs/>
                <w:sz w:val="22"/>
              </w:rPr>
            </w:pPr>
            <w:r w:rsidRPr="00DB41A5">
              <w:rPr>
                <w:b/>
                <w:bCs/>
                <w:sz w:val="22"/>
              </w:rPr>
              <w:t>Year</w:t>
            </w:r>
          </w:p>
        </w:tc>
        <w:tc>
          <w:tcPr>
            <w:tcW w:w="1460" w:type="dxa"/>
            <w:shd w:val="clear" w:color="auto" w:fill="A5CD7E"/>
            <w:vAlign w:val="center"/>
            <w:hideMark/>
          </w:tcPr>
          <w:p w:rsidR="00AC40FC" w:rsidRPr="00DB41A5" w:rsidRDefault="00AC40FC" w:rsidP="00521E7D">
            <w:pPr>
              <w:spacing w:before="120"/>
              <w:jc w:val="center"/>
              <w:rPr>
                <w:b/>
                <w:bCs/>
                <w:sz w:val="22"/>
              </w:rPr>
            </w:pPr>
            <w:r w:rsidRPr="00DB41A5">
              <w:rPr>
                <w:b/>
                <w:bCs/>
                <w:sz w:val="22"/>
              </w:rPr>
              <w:t>Base Salary</w:t>
            </w:r>
          </w:p>
        </w:tc>
      </w:tr>
      <w:tr w:rsidR="00AC40FC" w:rsidRPr="00DB41A5" w:rsidTr="00BB665B">
        <w:trPr>
          <w:cantSplit/>
          <w:trHeight w:val="318"/>
          <w:jc w:val="center"/>
        </w:trPr>
        <w:tc>
          <w:tcPr>
            <w:tcW w:w="4037" w:type="dxa"/>
            <w:vAlign w:val="center"/>
            <w:hideMark/>
          </w:tcPr>
          <w:p w:rsidR="00AC40FC" w:rsidRPr="00DB41A5" w:rsidRDefault="00AC40FC" w:rsidP="00C73199">
            <w:pPr>
              <w:spacing w:after="0"/>
              <w:jc w:val="center"/>
              <w:rPr>
                <w:bCs/>
                <w:sz w:val="22"/>
              </w:rPr>
            </w:pPr>
            <w:r w:rsidRPr="00DB41A5">
              <w:rPr>
                <w:bCs/>
                <w:sz w:val="22"/>
              </w:rPr>
              <w:t>William H. Spence, Chairman, President and Chief Executive Officer</w:t>
            </w:r>
          </w:p>
        </w:tc>
        <w:tc>
          <w:tcPr>
            <w:tcW w:w="720" w:type="dxa"/>
            <w:noWrap/>
            <w:vAlign w:val="center"/>
            <w:hideMark/>
          </w:tcPr>
          <w:p w:rsidR="00AC40FC" w:rsidRPr="00DB41A5" w:rsidRDefault="00AC40FC" w:rsidP="00C73199">
            <w:pPr>
              <w:spacing w:after="0"/>
              <w:jc w:val="center"/>
              <w:rPr>
                <w:bCs/>
                <w:sz w:val="22"/>
              </w:rPr>
            </w:pPr>
            <w:r w:rsidRPr="00DB41A5">
              <w:rPr>
                <w:bCs/>
                <w:sz w:val="22"/>
              </w:rPr>
              <w:t>201</w:t>
            </w:r>
            <w:r>
              <w:rPr>
                <w:bCs/>
                <w:sz w:val="22"/>
              </w:rPr>
              <w:t>5</w:t>
            </w:r>
          </w:p>
        </w:tc>
        <w:tc>
          <w:tcPr>
            <w:tcW w:w="1460" w:type="dxa"/>
            <w:noWrap/>
            <w:vAlign w:val="center"/>
            <w:hideMark/>
          </w:tcPr>
          <w:p w:rsidR="00AC40FC" w:rsidRPr="00DB41A5" w:rsidRDefault="00AC40FC" w:rsidP="00C73199">
            <w:pPr>
              <w:spacing w:after="0"/>
              <w:jc w:val="center"/>
              <w:rPr>
                <w:sz w:val="22"/>
              </w:rPr>
            </w:pPr>
            <w:r>
              <w:rPr>
                <w:sz w:val="22"/>
              </w:rPr>
              <w:t>$1,127,500</w:t>
            </w:r>
          </w:p>
        </w:tc>
      </w:tr>
      <w:tr w:rsidR="00AC40FC" w:rsidRPr="00DB41A5" w:rsidTr="00BB665B">
        <w:trPr>
          <w:cantSplit/>
          <w:trHeight w:val="588"/>
          <w:jc w:val="center"/>
        </w:trPr>
        <w:tc>
          <w:tcPr>
            <w:tcW w:w="4037" w:type="dxa"/>
            <w:vAlign w:val="center"/>
            <w:hideMark/>
          </w:tcPr>
          <w:p w:rsidR="00AC40FC" w:rsidRPr="00DB41A5" w:rsidRDefault="00AC40FC" w:rsidP="00C73199">
            <w:pPr>
              <w:spacing w:after="0"/>
              <w:jc w:val="center"/>
              <w:rPr>
                <w:bCs/>
                <w:sz w:val="22"/>
              </w:rPr>
            </w:pPr>
            <w:r w:rsidRPr="00DB41A5">
              <w:rPr>
                <w:bCs/>
                <w:sz w:val="22"/>
              </w:rPr>
              <w:t>Vincent Sorgi,</w:t>
            </w:r>
            <w:r w:rsidRPr="00DB41A5">
              <w:rPr>
                <w:bCs/>
                <w:sz w:val="22"/>
              </w:rPr>
              <w:br/>
              <w:t xml:space="preserve">Senior Vice President and Chief Financial Officer </w:t>
            </w:r>
          </w:p>
        </w:tc>
        <w:tc>
          <w:tcPr>
            <w:tcW w:w="720" w:type="dxa"/>
            <w:noWrap/>
            <w:vAlign w:val="center"/>
            <w:hideMark/>
          </w:tcPr>
          <w:p w:rsidR="00AC40FC" w:rsidRPr="00DB41A5" w:rsidRDefault="00AC40FC" w:rsidP="00C73199">
            <w:pPr>
              <w:spacing w:after="0"/>
              <w:jc w:val="center"/>
              <w:rPr>
                <w:bCs/>
                <w:sz w:val="22"/>
              </w:rPr>
            </w:pPr>
            <w:r w:rsidRPr="00DB41A5">
              <w:rPr>
                <w:bCs/>
                <w:sz w:val="22"/>
              </w:rPr>
              <w:t>201</w:t>
            </w:r>
            <w:r>
              <w:rPr>
                <w:bCs/>
                <w:sz w:val="22"/>
              </w:rPr>
              <w:t>5</w:t>
            </w:r>
          </w:p>
        </w:tc>
        <w:tc>
          <w:tcPr>
            <w:tcW w:w="1460" w:type="dxa"/>
            <w:noWrap/>
            <w:vAlign w:val="center"/>
            <w:hideMark/>
          </w:tcPr>
          <w:p w:rsidR="00AC40FC" w:rsidRPr="00DB41A5" w:rsidRDefault="00AC40FC" w:rsidP="00C73199">
            <w:pPr>
              <w:spacing w:after="0"/>
              <w:jc w:val="center"/>
              <w:rPr>
                <w:sz w:val="22"/>
              </w:rPr>
            </w:pPr>
            <w:r>
              <w:rPr>
                <w:rFonts w:cs="Arial"/>
                <w:sz w:val="20"/>
                <w:szCs w:val="20"/>
              </w:rPr>
              <w:t>$</w:t>
            </w:r>
            <w:r>
              <w:rPr>
                <w:sz w:val="22"/>
              </w:rPr>
              <w:t>498,462</w:t>
            </w:r>
          </w:p>
        </w:tc>
      </w:tr>
      <w:tr w:rsidR="00AC40FC" w:rsidRPr="00DB41A5" w:rsidTr="00BB665B">
        <w:trPr>
          <w:cantSplit/>
          <w:trHeight w:val="336"/>
          <w:jc w:val="center"/>
        </w:trPr>
        <w:tc>
          <w:tcPr>
            <w:tcW w:w="4037" w:type="dxa"/>
            <w:vAlign w:val="center"/>
          </w:tcPr>
          <w:p w:rsidR="00AC40FC" w:rsidRPr="00DB41A5" w:rsidRDefault="00AC40FC" w:rsidP="00BB665B">
            <w:pPr>
              <w:spacing w:after="0"/>
              <w:jc w:val="center"/>
              <w:rPr>
                <w:bCs/>
                <w:sz w:val="22"/>
              </w:rPr>
            </w:pPr>
            <w:r w:rsidRPr="00DB41A5">
              <w:rPr>
                <w:bCs/>
                <w:sz w:val="22"/>
              </w:rPr>
              <w:t>Robert J. Grey, Executive Vice President</w:t>
            </w:r>
            <w:r>
              <w:rPr>
                <w:bCs/>
                <w:sz w:val="22"/>
              </w:rPr>
              <w:t xml:space="preserve"> and Chief Legal Officer</w:t>
            </w:r>
          </w:p>
        </w:tc>
        <w:tc>
          <w:tcPr>
            <w:tcW w:w="720" w:type="dxa"/>
            <w:noWrap/>
            <w:vAlign w:val="center"/>
          </w:tcPr>
          <w:p w:rsidR="00AC40FC" w:rsidRPr="00DB41A5" w:rsidRDefault="00AC40FC" w:rsidP="00BB665B">
            <w:pPr>
              <w:spacing w:after="0"/>
              <w:jc w:val="center"/>
              <w:rPr>
                <w:bCs/>
                <w:sz w:val="22"/>
              </w:rPr>
            </w:pPr>
            <w:r w:rsidRPr="00DB41A5">
              <w:rPr>
                <w:bCs/>
                <w:sz w:val="22"/>
              </w:rPr>
              <w:t>201</w:t>
            </w:r>
            <w:r>
              <w:rPr>
                <w:bCs/>
                <w:sz w:val="22"/>
              </w:rPr>
              <w:t>5</w:t>
            </w:r>
          </w:p>
        </w:tc>
        <w:tc>
          <w:tcPr>
            <w:tcW w:w="1460" w:type="dxa"/>
            <w:noWrap/>
            <w:vAlign w:val="center"/>
          </w:tcPr>
          <w:p w:rsidR="00AC40FC" w:rsidRDefault="00AC40FC" w:rsidP="00BB665B">
            <w:pPr>
              <w:spacing w:after="0"/>
              <w:jc w:val="center"/>
              <w:rPr>
                <w:rFonts w:cs="Arial"/>
                <w:sz w:val="20"/>
                <w:szCs w:val="20"/>
              </w:rPr>
            </w:pPr>
            <w:r>
              <w:rPr>
                <w:rFonts w:cs="Arial"/>
                <w:sz w:val="20"/>
                <w:szCs w:val="20"/>
              </w:rPr>
              <w:t>$</w:t>
            </w:r>
            <w:r>
              <w:rPr>
                <w:sz w:val="22"/>
              </w:rPr>
              <w:t>579,539</w:t>
            </w:r>
          </w:p>
        </w:tc>
      </w:tr>
      <w:tr w:rsidR="00AC40FC" w:rsidRPr="00DB41A5" w:rsidTr="00BB665B">
        <w:trPr>
          <w:cantSplit/>
          <w:trHeight w:val="336"/>
          <w:jc w:val="center"/>
        </w:trPr>
        <w:tc>
          <w:tcPr>
            <w:tcW w:w="4037" w:type="dxa"/>
            <w:vAlign w:val="center"/>
            <w:hideMark/>
          </w:tcPr>
          <w:p w:rsidR="00AC40FC" w:rsidRPr="00617E32" w:rsidRDefault="00AC40FC" w:rsidP="00BB665B">
            <w:pPr>
              <w:spacing w:after="0"/>
              <w:jc w:val="center"/>
              <w:rPr>
                <w:bCs/>
                <w:sz w:val="22"/>
                <w:vertAlign w:val="superscript"/>
              </w:rPr>
            </w:pPr>
            <w:r w:rsidRPr="00DB41A5">
              <w:rPr>
                <w:bCs/>
                <w:sz w:val="22"/>
              </w:rPr>
              <w:t xml:space="preserve">Paul A. Farr, Former </w:t>
            </w:r>
            <w:r>
              <w:rPr>
                <w:bCs/>
                <w:sz w:val="22"/>
              </w:rPr>
              <w:t>President of PPL Energy Supply, LLC</w:t>
            </w:r>
            <w:r>
              <w:rPr>
                <w:bCs/>
                <w:sz w:val="22"/>
                <w:vertAlign w:val="superscript"/>
              </w:rPr>
              <w:t>(</w:t>
            </w:r>
            <w:r w:rsidRPr="00DB41A5">
              <w:rPr>
                <w:bCs/>
                <w:sz w:val="22"/>
              </w:rPr>
              <w:t>¹</w:t>
            </w:r>
            <w:r>
              <w:rPr>
                <w:bCs/>
                <w:sz w:val="22"/>
                <w:vertAlign w:val="superscript"/>
              </w:rPr>
              <w:t>)</w:t>
            </w:r>
          </w:p>
        </w:tc>
        <w:tc>
          <w:tcPr>
            <w:tcW w:w="720" w:type="dxa"/>
            <w:noWrap/>
            <w:vAlign w:val="center"/>
            <w:hideMark/>
          </w:tcPr>
          <w:p w:rsidR="00AC40FC" w:rsidRPr="00DB41A5" w:rsidRDefault="00AC40FC" w:rsidP="00BB665B">
            <w:pPr>
              <w:spacing w:after="0"/>
              <w:jc w:val="center"/>
              <w:rPr>
                <w:bCs/>
                <w:sz w:val="22"/>
              </w:rPr>
            </w:pPr>
            <w:r w:rsidRPr="00DB41A5">
              <w:rPr>
                <w:bCs/>
                <w:sz w:val="22"/>
              </w:rPr>
              <w:t>201</w:t>
            </w:r>
            <w:r>
              <w:rPr>
                <w:bCs/>
                <w:sz w:val="22"/>
              </w:rPr>
              <w:t>5</w:t>
            </w:r>
          </w:p>
        </w:tc>
        <w:tc>
          <w:tcPr>
            <w:tcW w:w="1460" w:type="dxa"/>
            <w:noWrap/>
            <w:vAlign w:val="center"/>
            <w:hideMark/>
          </w:tcPr>
          <w:p w:rsidR="00AC40FC" w:rsidRPr="00DB41A5" w:rsidRDefault="00AC40FC" w:rsidP="00BB665B">
            <w:pPr>
              <w:spacing w:after="0"/>
              <w:jc w:val="center"/>
              <w:rPr>
                <w:sz w:val="22"/>
              </w:rPr>
            </w:pPr>
            <w:r>
              <w:rPr>
                <w:rFonts w:cs="Arial"/>
                <w:sz w:val="20"/>
                <w:szCs w:val="20"/>
              </w:rPr>
              <w:t>$</w:t>
            </w:r>
            <w:r>
              <w:rPr>
                <w:sz w:val="22"/>
              </w:rPr>
              <w:t>341,192</w:t>
            </w:r>
          </w:p>
        </w:tc>
      </w:tr>
      <w:tr w:rsidR="00AC40FC" w:rsidRPr="00DB41A5" w:rsidTr="00BB665B">
        <w:trPr>
          <w:cantSplit/>
          <w:trHeight w:val="498"/>
          <w:jc w:val="center"/>
        </w:trPr>
        <w:tc>
          <w:tcPr>
            <w:tcW w:w="4037" w:type="dxa"/>
            <w:vAlign w:val="center"/>
            <w:hideMark/>
          </w:tcPr>
          <w:p w:rsidR="00AC40FC" w:rsidRPr="00DB41A5" w:rsidRDefault="00AC40FC" w:rsidP="00BB665B">
            <w:pPr>
              <w:spacing w:after="0"/>
              <w:jc w:val="center"/>
              <w:rPr>
                <w:bCs/>
                <w:sz w:val="22"/>
              </w:rPr>
            </w:pPr>
            <w:r w:rsidRPr="00DB41A5">
              <w:rPr>
                <w:bCs/>
                <w:sz w:val="22"/>
              </w:rPr>
              <w:t xml:space="preserve">Victor A. Staffieri, Chairman of the Board, Chief Executive Officer and President </w:t>
            </w:r>
            <w:r>
              <w:rPr>
                <w:bCs/>
                <w:sz w:val="22"/>
              </w:rPr>
              <w:t>–</w:t>
            </w:r>
            <w:r w:rsidRPr="00DB41A5">
              <w:rPr>
                <w:bCs/>
                <w:sz w:val="22"/>
              </w:rPr>
              <w:t xml:space="preserve"> LG&amp;E and KU Energy LLC</w:t>
            </w:r>
          </w:p>
        </w:tc>
        <w:tc>
          <w:tcPr>
            <w:tcW w:w="720" w:type="dxa"/>
            <w:noWrap/>
            <w:vAlign w:val="center"/>
            <w:hideMark/>
          </w:tcPr>
          <w:p w:rsidR="00AC40FC" w:rsidRPr="00DB41A5" w:rsidRDefault="00AC40FC" w:rsidP="00BB665B">
            <w:pPr>
              <w:spacing w:after="0"/>
              <w:jc w:val="center"/>
              <w:rPr>
                <w:bCs/>
                <w:sz w:val="22"/>
              </w:rPr>
            </w:pPr>
            <w:r w:rsidRPr="00DB41A5">
              <w:rPr>
                <w:bCs/>
                <w:sz w:val="22"/>
              </w:rPr>
              <w:t>201</w:t>
            </w:r>
            <w:r>
              <w:rPr>
                <w:bCs/>
                <w:sz w:val="22"/>
              </w:rPr>
              <w:t>5</w:t>
            </w:r>
          </w:p>
        </w:tc>
        <w:tc>
          <w:tcPr>
            <w:tcW w:w="1460" w:type="dxa"/>
            <w:noWrap/>
            <w:vAlign w:val="center"/>
            <w:hideMark/>
          </w:tcPr>
          <w:p w:rsidR="00AC40FC" w:rsidRPr="00DB41A5" w:rsidRDefault="00AC40FC" w:rsidP="00BB665B">
            <w:pPr>
              <w:spacing w:after="0"/>
              <w:jc w:val="center"/>
              <w:rPr>
                <w:sz w:val="22"/>
              </w:rPr>
            </w:pPr>
            <w:r>
              <w:rPr>
                <w:rFonts w:cs="Arial"/>
                <w:sz w:val="20"/>
                <w:szCs w:val="20"/>
              </w:rPr>
              <w:t>$</w:t>
            </w:r>
            <w:r w:rsidRPr="00DB41A5">
              <w:rPr>
                <w:sz w:val="22"/>
              </w:rPr>
              <w:t>811,220</w:t>
            </w:r>
          </w:p>
        </w:tc>
      </w:tr>
      <w:tr w:rsidR="00AC40FC" w:rsidRPr="00DB41A5" w:rsidTr="00BB665B">
        <w:trPr>
          <w:cantSplit/>
          <w:trHeight w:val="246"/>
          <w:jc w:val="center"/>
        </w:trPr>
        <w:tc>
          <w:tcPr>
            <w:tcW w:w="4037" w:type="dxa"/>
            <w:vAlign w:val="center"/>
            <w:hideMark/>
          </w:tcPr>
          <w:p w:rsidR="00AC40FC" w:rsidRPr="00617E32" w:rsidRDefault="00AC40FC" w:rsidP="00BB665B">
            <w:pPr>
              <w:spacing w:after="0"/>
              <w:jc w:val="center"/>
              <w:rPr>
                <w:bCs/>
                <w:sz w:val="22"/>
                <w:vertAlign w:val="superscript"/>
              </w:rPr>
            </w:pPr>
            <w:r w:rsidRPr="00DB41A5">
              <w:rPr>
                <w:bCs/>
                <w:sz w:val="22"/>
              </w:rPr>
              <w:t xml:space="preserve">Robert A. Symons </w:t>
            </w:r>
            <w:r w:rsidRPr="00DB41A5">
              <w:rPr>
                <w:bCs/>
                <w:sz w:val="22"/>
              </w:rPr>
              <w:br/>
              <w:t xml:space="preserve">Chief Executive </w:t>
            </w:r>
            <w:r>
              <w:rPr>
                <w:bCs/>
                <w:sz w:val="22"/>
              </w:rPr>
              <w:t>–</w:t>
            </w:r>
            <w:r w:rsidRPr="00DB41A5">
              <w:rPr>
                <w:bCs/>
                <w:sz w:val="22"/>
              </w:rPr>
              <w:t xml:space="preserve"> </w:t>
            </w:r>
            <w:r>
              <w:rPr>
                <w:bCs/>
                <w:sz w:val="22"/>
              </w:rPr>
              <w:t>WPD Midlands</w:t>
            </w:r>
            <w:r w:rsidRPr="00DB41A5">
              <w:rPr>
                <w:bCs/>
                <w:sz w:val="22"/>
              </w:rPr>
              <w:t xml:space="preserve"> </w:t>
            </w:r>
            <w:r>
              <w:rPr>
                <w:bCs/>
                <w:sz w:val="22"/>
                <w:vertAlign w:val="superscript"/>
              </w:rPr>
              <w:t>(</w:t>
            </w:r>
            <w:r w:rsidRPr="00DB41A5">
              <w:rPr>
                <w:bCs/>
                <w:sz w:val="22"/>
              </w:rPr>
              <w:t>²</w:t>
            </w:r>
            <w:r>
              <w:rPr>
                <w:bCs/>
                <w:sz w:val="22"/>
                <w:vertAlign w:val="superscript"/>
              </w:rPr>
              <w:t>)</w:t>
            </w:r>
          </w:p>
        </w:tc>
        <w:tc>
          <w:tcPr>
            <w:tcW w:w="720" w:type="dxa"/>
            <w:noWrap/>
            <w:vAlign w:val="center"/>
            <w:hideMark/>
          </w:tcPr>
          <w:p w:rsidR="00AC40FC" w:rsidRPr="00DB41A5" w:rsidRDefault="00AC40FC" w:rsidP="00BB665B">
            <w:pPr>
              <w:spacing w:after="0"/>
              <w:jc w:val="center"/>
              <w:rPr>
                <w:bCs/>
                <w:sz w:val="22"/>
              </w:rPr>
            </w:pPr>
            <w:r w:rsidRPr="00DB41A5">
              <w:rPr>
                <w:bCs/>
                <w:sz w:val="22"/>
              </w:rPr>
              <w:t>201</w:t>
            </w:r>
            <w:r>
              <w:rPr>
                <w:bCs/>
                <w:sz w:val="22"/>
              </w:rPr>
              <w:t>5</w:t>
            </w:r>
          </w:p>
        </w:tc>
        <w:tc>
          <w:tcPr>
            <w:tcW w:w="1460" w:type="dxa"/>
            <w:noWrap/>
            <w:vAlign w:val="center"/>
            <w:hideMark/>
          </w:tcPr>
          <w:p w:rsidR="00AC40FC" w:rsidRPr="00DB41A5" w:rsidRDefault="00AC40FC" w:rsidP="00BB665B">
            <w:pPr>
              <w:spacing w:after="0"/>
              <w:jc w:val="center"/>
              <w:rPr>
                <w:sz w:val="22"/>
              </w:rPr>
            </w:pPr>
            <w:r>
              <w:rPr>
                <w:rFonts w:cs="Arial"/>
                <w:sz w:val="20"/>
                <w:szCs w:val="20"/>
              </w:rPr>
              <w:t>$</w:t>
            </w:r>
            <w:r>
              <w:rPr>
                <w:sz w:val="22"/>
              </w:rPr>
              <w:t>836,038</w:t>
            </w:r>
          </w:p>
        </w:tc>
      </w:tr>
      <w:tr w:rsidR="00AC40FC" w:rsidRPr="00DB41A5" w:rsidTr="00BB665B">
        <w:trPr>
          <w:cantSplit/>
          <w:trHeight w:val="1020"/>
          <w:jc w:val="center"/>
        </w:trPr>
        <w:tc>
          <w:tcPr>
            <w:tcW w:w="6217" w:type="dxa"/>
            <w:gridSpan w:val="3"/>
            <w:vAlign w:val="center"/>
            <w:hideMark/>
          </w:tcPr>
          <w:p w:rsidR="00AC40FC" w:rsidRPr="00A75BD4" w:rsidRDefault="00AC40FC" w:rsidP="00BB665B">
            <w:pPr>
              <w:spacing w:after="0"/>
              <w:rPr>
                <w:rFonts w:cs="Arial"/>
                <w:sz w:val="22"/>
              </w:rPr>
            </w:pPr>
            <w:r>
              <w:rPr>
                <w:rFonts w:cs="Arial"/>
                <w:sz w:val="22"/>
                <w:vertAlign w:val="superscript"/>
              </w:rPr>
              <w:t>(</w:t>
            </w:r>
            <w:r w:rsidRPr="00A75BD4">
              <w:rPr>
                <w:rFonts w:cs="Arial"/>
                <w:sz w:val="22"/>
              </w:rPr>
              <w:t>¹</w:t>
            </w:r>
            <w:r>
              <w:rPr>
                <w:rFonts w:cs="Arial"/>
                <w:sz w:val="22"/>
                <w:vertAlign w:val="superscript"/>
              </w:rPr>
              <w:t>)</w:t>
            </w:r>
            <w:r w:rsidRPr="00A75BD4">
              <w:rPr>
                <w:rFonts w:cs="Arial"/>
                <w:sz w:val="22"/>
              </w:rPr>
              <w:t xml:space="preserve"> Effective June 1, 2015, concurrent with the spinoff of PPL's Energy Supply segment, Mr. Farr resigned from PPL.</w:t>
            </w:r>
          </w:p>
          <w:p w:rsidR="00AC40FC" w:rsidRDefault="00AC40FC" w:rsidP="00BB665B">
            <w:pPr>
              <w:spacing w:after="0"/>
              <w:rPr>
                <w:sz w:val="22"/>
              </w:rPr>
            </w:pPr>
            <w:r>
              <w:rPr>
                <w:rFonts w:cs="Arial"/>
                <w:sz w:val="22"/>
                <w:vertAlign w:val="superscript"/>
              </w:rPr>
              <w:t>(</w:t>
            </w:r>
            <w:r w:rsidRPr="00A75BD4">
              <w:rPr>
                <w:rFonts w:cs="Arial"/>
                <w:sz w:val="22"/>
              </w:rPr>
              <w:t>²</w:t>
            </w:r>
            <w:r>
              <w:rPr>
                <w:rFonts w:cs="Arial"/>
                <w:sz w:val="22"/>
                <w:vertAlign w:val="superscript"/>
              </w:rPr>
              <w:t>)</w:t>
            </w:r>
            <w:r w:rsidRPr="00A75BD4">
              <w:rPr>
                <w:rFonts w:cs="Arial"/>
                <w:sz w:val="22"/>
              </w:rPr>
              <w:t xml:space="preserve"> Mr. Symons is based in the United Kingdom and is compensated in Pounds Sterling.  His 2015 cash compensation has been converted to U.S. dollars at an exchange rate of $1.5283, which is the average monthly translation rate for 2015.</w:t>
            </w:r>
          </w:p>
        </w:tc>
      </w:tr>
      <w:tr w:rsidR="00AC40FC" w:rsidRPr="00DB41A5" w:rsidTr="00BB665B">
        <w:trPr>
          <w:cantSplit/>
          <w:trHeight w:val="215"/>
          <w:jc w:val="center"/>
        </w:trPr>
        <w:tc>
          <w:tcPr>
            <w:tcW w:w="6217" w:type="dxa"/>
            <w:gridSpan w:val="3"/>
            <w:hideMark/>
          </w:tcPr>
          <w:p w:rsidR="00AC40FC" w:rsidRDefault="00AC40FC" w:rsidP="00BB665B">
            <w:pPr>
              <w:spacing w:after="0"/>
              <w:jc w:val="left"/>
              <w:rPr>
                <w:sz w:val="22"/>
              </w:rPr>
            </w:pPr>
            <w:r w:rsidRPr="00A75BD4">
              <w:rPr>
                <w:rFonts w:cs="Arial"/>
                <w:sz w:val="22"/>
              </w:rPr>
              <w:t>Source: DN 15-146; PPL Corporation Proxy Statement 2016</w:t>
            </w:r>
          </w:p>
        </w:tc>
      </w:tr>
    </w:tbl>
    <w:p w:rsidR="00AC40FC" w:rsidRPr="006C4752" w:rsidRDefault="00AC40FC" w:rsidP="00C73199">
      <w:pPr>
        <w:pStyle w:val="Normal-aftertable"/>
      </w:pPr>
      <w:r w:rsidRPr="006C4752">
        <w:t>The Chairman of the Board, Chief Executive Officer</w:t>
      </w:r>
      <w:r>
        <w:t>,</w:t>
      </w:r>
      <w:r w:rsidRPr="006C4752">
        <w:t xml:space="preserve"> and President </w:t>
      </w:r>
      <w:r>
        <w:t xml:space="preserve">of </w:t>
      </w:r>
      <w:r w:rsidRPr="006C4752">
        <w:t xml:space="preserve">LG&amp;E and KU Energy LLC and the Chief Executive </w:t>
      </w:r>
      <w:r>
        <w:t>of WPD Midlands</w:t>
      </w:r>
      <w:r w:rsidRPr="006C4752">
        <w:t xml:space="preserve"> base salaries are not allocated to PPL EU.</w:t>
      </w:r>
    </w:p>
    <w:p w:rsidR="00AC40FC" w:rsidRDefault="00AC40FC">
      <w:pPr>
        <w:spacing w:after="0"/>
        <w:jc w:val="left"/>
        <w:rPr>
          <w:b/>
          <w:bCs/>
          <w:szCs w:val="18"/>
        </w:rPr>
      </w:pPr>
      <w:r>
        <w:br w:type="page"/>
      </w:r>
    </w:p>
    <w:p w:rsidR="00AC40FC" w:rsidRDefault="00AC40FC" w:rsidP="002B3172">
      <w:pPr>
        <w:pStyle w:val="Caption"/>
      </w:pPr>
      <w:bookmarkStart w:id="256" w:name="_Toc462648462"/>
      <w:bookmarkStart w:id="257" w:name="_Toc464553084"/>
      <w:r>
        <w:lastRenderedPageBreak/>
        <w:t xml:space="preserve">Exhibit </w:t>
      </w:r>
      <w:fldSimple w:instr=" STYLEREF 1 \s ">
        <w:r w:rsidR="00A24205">
          <w:rPr>
            <w:noProof/>
          </w:rPr>
          <w:t>XIII</w:t>
        </w:r>
      </w:fldSimple>
      <w:r w:rsidR="00264A1B">
        <w:noBreakHyphen/>
      </w:r>
      <w:fldSimple w:instr=" SEQ Exhibit \* ARABIC \s 1 ">
        <w:r w:rsidR="00A24205">
          <w:rPr>
            <w:noProof/>
          </w:rPr>
          <w:t>9</w:t>
        </w:r>
      </w:fldSimple>
      <w:r>
        <w:br/>
      </w:r>
      <w:r w:rsidRPr="00000989">
        <w:t xml:space="preserve">PPL </w:t>
      </w:r>
      <w:r>
        <w:t xml:space="preserve">NEO </w:t>
      </w:r>
      <w:r w:rsidRPr="00000989">
        <w:t>201</w:t>
      </w:r>
      <w:r>
        <w:t>5 Total Cash Compensation</w:t>
      </w:r>
      <w:bookmarkEnd w:id="256"/>
      <w:bookmarkEnd w:id="257"/>
    </w:p>
    <w:tbl>
      <w:tblPr>
        <w:tblStyle w:val="TableGrid"/>
        <w:tblW w:w="7677" w:type="dxa"/>
        <w:jc w:val="center"/>
        <w:tblLayout w:type="fixed"/>
        <w:tblCellMar>
          <w:left w:w="43" w:type="dxa"/>
          <w:right w:w="43" w:type="dxa"/>
        </w:tblCellMar>
        <w:tblLook w:val="04A0"/>
      </w:tblPr>
      <w:tblGrid>
        <w:gridCol w:w="2745"/>
        <w:gridCol w:w="720"/>
        <w:gridCol w:w="1296"/>
        <w:gridCol w:w="1296"/>
        <w:gridCol w:w="1590"/>
        <w:gridCol w:w="30"/>
      </w:tblGrid>
      <w:tr w:rsidR="00AC40FC" w:rsidRPr="00DB41A5" w:rsidTr="000F6F5E">
        <w:trPr>
          <w:cantSplit/>
          <w:trHeight w:val="818"/>
          <w:tblHeader/>
          <w:jc w:val="center"/>
        </w:trPr>
        <w:tc>
          <w:tcPr>
            <w:tcW w:w="2745" w:type="dxa"/>
            <w:shd w:val="clear" w:color="auto" w:fill="A5CD7E"/>
            <w:noWrap/>
            <w:vAlign w:val="center"/>
            <w:hideMark/>
          </w:tcPr>
          <w:p w:rsidR="00AC40FC" w:rsidRPr="00DB41A5" w:rsidRDefault="00AC40FC" w:rsidP="000F6F5E">
            <w:pPr>
              <w:spacing w:before="120"/>
              <w:jc w:val="center"/>
              <w:rPr>
                <w:b/>
                <w:bCs/>
                <w:sz w:val="22"/>
              </w:rPr>
            </w:pPr>
            <w:r w:rsidRPr="00DB41A5">
              <w:rPr>
                <w:b/>
                <w:bCs/>
                <w:sz w:val="22"/>
              </w:rPr>
              <w:t>Name and Position</w:t>
            </w:r>
          </w:p>
        </w:tc>
        <w:tc>
          <w:tcPr>
            <w:tcW w:w="720" w:type="dxa"/>
            <w:shd w:val="clear" w:color="auto" w:fill="A5CD7E"/>
            <w:noWrap/>
            <w:vAlign w:val="center"/>
            <w:hideMark/>
          </w:tcPr>
          <w:p w:rsidR="00AC40FC" w:rsidRPr="00DB41A5" w:rsidRDefault="00AC40FC" w:rsidP="000F6F5E">
            <w:pPr>
              <w:spacing w:before="120"/>
              <w:jc w:val="center"/>
              <w:rPr>
                <w:b/>
                <w:bCs/>
                <w:sz w:val="22"/>
              </w:rPr>
            </w:pPr>
            <w:r w:rsidRPr="00DB41A5">
              <w:rPr>
                <w:b/>
                <w:bCs/>
                <w:sz w:val="22"/>
              </w:rPr>
              <w:t>Year</w:t>
            </w:r>
          </w:p>
        </w:tc>
        <w:tc>
          <w:tcPr>
            <w:tcW w:w="1296" w:type="dxa"/>
            <w:shd w:val="clear" w:color="auto" w:fill="A5CD7E"/>
            <w:vAlign w:val="center"/>
            <w:hideMark/>
          </w:tcPr>
          <w:p w:rsidR="00AC40FC" w:rsidRPr="00DB41A5" w:rsidRDefault="00AC40FC" w:rsidP="000F6F5E">
            <w:pPr>
              <w:spacing w:before="120"/>
              <w:jc w:val="center"/>
              <w:rPr>
                <w:b/>
                <w:bCs/>
                <w:sz w:val="22"/>
              </w:rPr>
            </w:pPr>
            <w:r w:rsidRPr="00DB41A5">
              <w:rPr>
                <w:b/>
                <w:bCs/>
                <w:sz w:val="22"/>
              </w:rPr>
              <w:t>Base Salary</w:t>
            </w:r>
          </w:p>
        </w:tc>
        <w:tc>
          <w:tcPr>
            <w:tcW w:w="1296" w:type="dxa"/>
            <w:shd w:val="clear" w:color="auto" w:fill="A5CD7E"/>
            <w:vAlign w:val="center"/>
            <w:hideMark/>
          </w:tcPr>
          <w:p w:rsidR="00AC40FC" w:rsidRPr="000F6F5E" w:rsidRDefault="000F6F5E" w:rsidP="00F7768F">
            <w:pPr>
              <w:pageBreakBefore/>
              <w:pBdr>
                <w:bottom w:val="single" w:sz="24" w:space="2" w:color="A5CD7E"/>
              </w:pBdr>
              <w:spacing w:before="120" w:after="20"/>
              <w:jc w:val="center"/>
              <w:outlineLvl w:val="0"/>
              <w:rPr>
                <w:b/>
                <w:bCs/>
                <w:sz w:val="22"/>
              </w:rPr>
            </w:pPr>
            <w:r>
              <w:rPr>
                <w:b/>
                <w:bCs/>
                <w:sz w:val="22"/>
              </w:rPr>
              <w:t xml:space="preserve">Short Term Incentive </w:t>
            </w:r>
            <w:r w:rsidRPr="00441F5D">
              <w:rPr>
                <w:rFonts w:ascii="Arial Bold" w:hAnsi="Arial Bold"/>
                <w:b/>
                <w:bCs/>
                <w:sz w:val="22"/>
                <w:vertAlign w:val="superscript"/>
              </w:rPr>
              <w:t>(3)</w:t>
            </w:r>
            <w:r>
              <w:rPr>
                <w:b/>
                <w:bCs/>
                <w:sz w:val="22"/>
              </w:rPr>
              <w:t xml:space="preserve"> </w:t>
            </w:r>
          </w:p>
        </w:tc>
        <w:tc>
          <w:tcPr>
            <w:tcW w:w="1620" w:type="dxa"/>
            <w:gridSpan w:val="2"/>
            <w:shd w:val="clear" w:color="auto" w:fill="A5CD7E"/>
            <w:vAlign w:val="center"/>
            <w:hideMark/>
          </w:tcPr>
          <w:p w:rsidR="00AC40FC" w:rsidRPr="00DB41A5" w:rsidRDefault="00AC40FC" w:rsidP="000F6F5E">
            <w:pPr>
              <w:spacing w:before="120"/>
              <w:jc w:val="center"/>
              <w:rPr>
                <w:b/>
                <w:bCs/>
                <w:sz w:val="22"/>
              </w:rPr>
            </w:pPr>
            <w:r w:rsidRPr="00DB41A5">
              <w:rPr>
                <w:b/>
                <w:bCs/>
                <w:sz w:val="22"/>
              </w:rPr>
              <w:t>Total Cash Compensation (TCC)</w:t>
            </w:r>
          </w:p>
        </w:tc>
      </w:tr>
      <w:tr w:rsidR="00AC40FC" w:rsidRPr="00DB41A5" w:rsidTr="00BB665B">
        <w:trPr>
          <w:trHeight w:val="765"/>
          <w:jc w:val="center"/>
        </w:trPr>
        <w:tc>
          <w:tcPr>
            <w:tcW w:w="2745" w:type="dxa"/>
            <w:vAlign w:val="center"/>
            <w:hideMark/>
          </w:tcPr>
          <w:p w:rsidR="00AC40FC" w:rsidRPr="00DB41A5" w:rsidRDefault="00AC40FC" w:rsidP="00C73199">
            <w:pPr>
              <w:spacing w:after="0"/>
              <w:jc w:val="center"/>
              <w:rPr>
                <w:bCs/>
                <w:sz w:val="22"/>
              </w:rPr>
            </w:pPr>
            <w:r w:rsidRPr="00DB41A5">
              <w:rPr>
                <w:bCs/>
                <w:sz w:val="22"/>
              </w:rPr>
              <w:t>William H. Spence, Chairman, President and Chief Executive Officer</w:t>
            </w:r>
          </w:p>
        </w:tc>
        <w:tc>
          <w:tcPr>
            <w:tcW w:w="720" w:type="dxa"/>
            <w:noWrap/>
            <w:vAlign w:val="center"/>
            <w:hideMark/>
          </w:tcPr>
          <w:p w:rsidR="00AC40FC" w:rsidRPr="00DB41A5" w:rsidRDefault="00AC40FC" w:rsidP="00C73199">
            <w:pPr>
              <w:spacing w:after="0"/>
              <w:jc w:val="center"/>
              <w:rPr>
                <w:bCs/>
                <w:sz w:val="22"/>
              </w:rPr>
            </w:pPr>
            <w:r>
              <w:rPr>
                <w:bCs/>
                <w:sz w:val="22"/>
              </w:rPr>
              <w:t>2015</w:t>
            </w:r>
          </w:p>
        </w:tc>
        <w:tc>
          <w:tcPr>
            <w:tcW w:w="1296" w:type="dxa"/>
            <w:noWrap/>
            <w:vAlign w:val="center"/>
            <w:hideMark/>
          </w:tcPr>
          <w:p w:rsidR="00AC40FC" w:rsidRPr="00DB41A5" w:rsidRDefault="00AC40FC" w:rsidP="00C73199">
            <w:pPr>
              <w:spacing w:after="0"/>
              <w:jc w:val="center"/>
              <w:rPr>
                <w:sz w:val="22"/>
              </w:rPr>
            </w:pPr>
            <w:r>
              <w:rPr>
                <w:sz w:val="22"/>
              </w:rPr>
              <w:t>$1,127,500</w:t>
            </w:r>
          </w:p>
        </w:tc>
        <w:tc>
          <w:tcPr>
            <w:tcW w:w="1296" w:type="dxa"/>
            <w:noWrap/>
            <w:vAlign w:val="center"/>
            <w:hideMark/>
          </w:tcPr>
          <w:p w:rsidR="00AC40FC" w:rsidRPr="00DB41A5" w:rsidRDefault="00AC40FC" w:rsidP="00BB665B">
            <w:pPr>
              <w:spacing w:after="0"/>
              <w:jc w:val="center"/>
              <w:rPr>
                <w:sz w:val="22"/>
              </w:rPr>
            </w:pPr>
            <w:r>
              <w:rPr>
                <w:sz w:val="22"/>
              </w:rPr>
              <w:t>$1,838,953</w:t>
            </w:r>
          </w:p>
        </w:tc>
        <w:tc>
          <w:tcPr>
            <w:tcW w:w="1620" w:type="dxa"/>
            <w:gridSpan w:val="2"/>
            <w:noWrap/>
            <w:vAlign w:val="center"/>
            <w:hideMark/>
          </w:tcPr>
          <w:p w:rsidR="00AC40FC" w:rsidRPr="00DB41A5" w:rsidRDefault="00AC40FC" w:rsidP="00BB665B">
            <w:pPr>
              <w:spacing w:after="0"/>
              <w:jc w:val="center"/>
              <w:rPr>
                <w:sz w:val="22"/>
              </w:rPr>
            </w:pPr>
            <w:r>
              <w:rPr>
                <w:sz w:val="22"/>
              </w:rPr>
              <w:t>$2,966,453</w:t>
            </w:r>
          </w:p>
        </w:tc>
      </w:tr>
      <w:tr w:rsidR="00AC40FC" w:rsidRPr="00DB41A5" w:rsidTr="00BB665B">
        <w:trPr>
          <w:trHeight w:val="765"/>
          <w:jc w:val="center"/>
        </w:trPr>
        <w:tc>
          <w:tcPr>
            <w:tcW w:w="2745" w:type="dxa"/>
            <w:vAlign w:val="center"/>
            <w:hideMark/>
          </w:tcPr>
          <w:p w:rsidR="00AC40FC" w:rsidRPr="00DB41A5" w:rsidRDefault="00AC40FC" w:rsidP="00C73199">
            <w:pPr>
              <w:spacing w:after="0"/>
              <w:jc w:val="center"/>
              <w:rPr>
                <w:bCs/>
                <w:sz w:val="22"/>
              </w:rPr>
            </w:pPr>
            <w:r w:rsidRPr="00DB41A5">
              <w:rPr>
                <w:bCs/>
                <w:sz w:val="22"/>
              </w:rPr>
              <w:t>Vincent Sorgi,</w:t>
            </w:r>
            <w:r w:rsidRPr="00DB41A5">
              <w:rPr>
                <w:bCs/>
                <w:sz w:val="22"/>
              </w:rPr>
              <w:br/>
              <w:t xml:space="preserve">Senior Vice President and Chief Financial Officer </w:t>
            </w:r>
          </w:p>
        </w:tc>
        <w:tc>
          <w:tcPr>
            <w:tcW w:w="720" w:type="dxa"/>
            <w:noWrap/>
            <w:vAlign w:val="center"/>
            <w:hideMark/>
          </w:tcPr>
          <w:p w:rsidR="00AC40FC" w:rsidRPr="00DB41A5" w:rsidRDefault="00AC40FC" w:rsidP="00C73199">
            <w:pPr>
              <w:spacing w:after="0"/>
              <w:jc w:val="center"/>
              <w:rPr>
                <w:bCs/>
                <w:sz w:val="22"/>
              </w:rPr>
            </w:pPr>
            <w:r>
              <w:rPr>
                <w:bCs/>
                <w:sz w:val="22"/>
              </w:rPr>
              <w:t>2015</w:t>
            </w:r>
          </w:p>
        </w:tc>
        <w:tc>
          <w:tcPr>
            <w:tcW w:w="1296" w:type="dxa"/>
            <w:noWrap/>
            <w:vAlign w:val="center"/>
            <w:hideMark/>
          </w:tcPr>
          <w:p w:rsidR="00AC40FC" w:rsidRPr="00DB41A5" w:rsidRDefault="00AC40FC" w:rsidP="00C73199">
            <w:pPr>
              <w:spacing w:after="0"/>
              <w:jc w:val="center"/>
              <w:rPr>
                <w:sz w:val="22"/>
              </w:rPr>
            </w:pPr>
            <w:r>
              <w:rPr>
                <w:sz w:val="22"/>
              </w:rPr>
              <w:t>$498,462</w:t>
            </w:r>
          </w:p>
        </w:tc>
        <w:tc>
          <w:tcPr>
            <w:tcW w:w="1296" w:type="dxa"/>
            <w:noWrap/>
            <w:vAlign w:val="center"/>
            <w:hideMark/>
          </w:tcPr>
          <w:p w:rsidR="00AC40FC" w:rsidRPr="00DB41A5" w:rsidRDefault="00AC40FC" w:rsidP="00BB665B">
            <w:pPr>
              <w:spacing w:after="0"/>
              <w:jc w:val="center"/>
              <w:rPr>
                <w:sz w:val="22"/>
              </w:rPr>
            </w:pPr>
            <w:r>
              <w:rPr>
                <w:sz w:val="22"/>
              </w:rPr>
              <w:t>$407,750</w:t>
            </w:r>
          </w:p>
        </w:tc>
        <w:tc>
          <w:tcPr>
            <w:tcW w:w="1620" w:type="dxa"/>
            <w:gridSpan w:val="2"/>
            <w:noWrap/>
            <w:vAlign w:val="center"/>
            <w:hideMark/>
          </w:tcPr>
          <w:p w:rsidR="00AC40FC" w:rsidRPr="00DB41A5" w:rsidRDefault="00AC40FC" w:rsidP="00BB665B">
            <w:pPr>
              <w:spacing w:after="0"/>
              <w:jc w:val="center"/>
              <w:rPr>
                <w:sz w:val="22"/>
              </w:rPr>
            </w:pPr>
            <w:r>
              <w:rPr>
                <w:sz w:val="22"/>
              </w:rPr>
              <w:t>$906,212</w:t>
            </w:r>
          </w:p>
        </w:tc>
      </w:tr>
      <w:tr w:rsidR="00AC40FC" w:rsidRPr="00DB41A5" w:rsidTr="00BB665B">
        <w:trPr>
          <w:trHeight w:val="765"/>
          <w:jc w:val="center"/>
        </w:trPr>
        <w:tc>
          <w:tcPr>
            <w:tcW w:w="2745" w:type="dxa"/>
            <w:vAlign w:val="center"/>
          </w:tcPr>
          <w:p w:rsidR="00AC40FC" w:rsidRPr="00DB41A5" w:rsidRDefault="00AC40FC" w:rsidP="00BB665B">
            <w:pPr>
              <w:spacing w:after="0"/>
              <w:jc w:val="center"/>
              <w:rPr>
                <w:bCs/>
                <w:sz w:val="22"/>
              </w:rPr>
            </w:pPr>
            <w:r w:rsidRPr="00DB41A5">
              <w:rPr>
                <w:bCs/>
                <w:sz w:val="22"/>
              </w:rPr>
              <w:t>Robert J. Grey, Executive Vice President</w:t>
            </w:r>
            <w:r>
              <w:rPr>
                <w:bCs/>
                <w:sz w:val="22"/>
              </w:rPr>
              <w:t xml:space="preserve"> and Chief Legal Officer</w:t>
            </w:r>
          </w:p>
        </w:tc>
        <w:tc>
          <w:tcPr>
            <w:tcW w:w="720" w:type="dxa"/>
            <w:noWrap/>
            <w:vAlign w:val="center"/>
          </w:tcPr>
          <w:p w:rsidR="00AC40FC" w:rsidRDefault="00AC40FC" w:rsidP="00BB665B">
            <w:pPr>
              <w:spacing w:after="0"/>
              <w:jc w:val="center"/>
              <w:rPr>
                <w:bCs/>
                <w:sz w:val="22"/>
              </w:rPr>
            </w:pPr>
            <w:r>
              <w:rPr>
                <w:bCs/>
                <w:sz w:val="22"/>
              </w:rPr>
              <w:t>2015</w:t>
            </w:r>
          </w:p>
        </w:tc>
        <w:tc>
          <w:tcPr>
            <w:tcW w:w="1296" w:type="dxa"/>
            <w:noWrap/>
            <w:vAlign w:val="center"/>
          </w:tcPr>
          <w:p w:rsidR="00AC40FC" w:rsidRDefault="00AC40FC" w:rsidP="00BB665B">
            <w:pPr>
              <w:spacing w:after="0"/>
              <w:jc w:val="center"/>
              <w:rPr>
                <w:sz w:val="22"/>
              </w:rPr>
            </w:pPr>
            <w:r>
              <w:rPr>
                <w:sz w:val="22"/>
              </w:rPr>
              <w:t>$579,539</w:t>
            </w:r>
          </w:p>
        </w:tc>
        <w:tc>
          <w:tcPr>
            <w:tcW w:w="1296" w:type="dxa"/>
            <w:noWrap/>
            <w:vAlign w:val="center"/>
          </w:tcPr>
          <w:p w:rsidR="00AC40FC" w:rsidRDefault="00AC40FC" w:rsidP="00BB665B">
            <w:pPr>
              <w:spacing w:after="0"/>
              <w:jc w:val="center"/>
              <w:rPr>
                <w:sz w:val="22"/>
              </w:rPr>
            </w:pPr>
            <w:r>
              <w:rPr>
                <w:sz w:val="22"/>
              </w:rPr>
              <w:t>$506,775</w:t>
            </w:r>
          </w:p>
        </w:tc>
        <w:tc>
          <w:tcPr>
            <w:tcW w:w="1620" w:type="dxa"/>
            <w:gridSpan w:val="2"/>
            <w:noWrap/>
            <w:vAlign w:val="center"/>
          </w:tcPr>
          <w:p w:rsidR="00AC40FC" w:rsidRDefault="00AC40FC" w:rsidP="00BB665B">
            <w:pPr>
              <w:spacing w:after="0"/>
              <w:jc w:val="center"/>
              <w:rPr>
                <w:sz w:val="22"/>
              </w:rPr>
            </w:pPr>
            <w:r>
              <w:rPr>
                <w:sz w:val="22"/>
              </w:rPr>
              <w:t>$1,086,314</w:t>
            </w:r>
          </w:p>
        </w:tc>
      </w:tr>
      <w:tr w:rsidR="00AC40FC" w:rsidRPr="00DB41A5" w:rsidTr="007B54B0">
        <w:trPr>
          <w:trHeight w:val="755"/>
          <w:jc w:val="center"/>
        </w:trPr>
        <w:tc>
          <w:tcPr>
            <w:tcW w:w="2745" w:type="dxa"/>
            <w:vAlign w:val="center"/>
            <w:hideMark/>
          </w:tcPr>
          <w:p w:rsidR="00AC40FC" w:rsidRPr="00617E32" w:rsidRDefault="00AC40FC" w:rsidP="007B54B0">
            <w:pPr>
              <w:spacing w:after="0"/>
              <w:jc w:val="center"/>
              <w:rPr>
                <w:vertAlign w:val="superscript"/>
              </w:rPr>
            </w:pPr>
            <w:r w:rsidRPr="007B54B0">
              <w:rPr>
                <w:bCs/>
                <w:sz w:val="22"/>
              </w:rPr>
              <w:t>Paul A. Farr, Former President of PPL Energy Supply, LLC</w:t>
            </w:r>
            <w:r>
              <w:rPr>
                <w:vertAlign w:val="superscript"/>
              </w:rPr>
              <w:t>(</w:t>
            </w:r>
            <w:r w:rsidRPr="00DB41A5">
              <w:t>¹</w:t>
            </w:r>
            <w:r>
              <w:rPr>
                <w:vertAlign w:val="superscript"/>
              </w:rPr>
              <w:t>)</w:t>
            </w:r>
          </w:p>
        </w:tc>
        <w:tc>
          <w:tcPr>
            <w:tcW w:w="720" w:type="dxa"/>
            <w:noWrap/>
            <w:vAlign w:val="center"/>
            <w:hideMark/>
          </w:tcPr>
          <w:p w:rsidR="00AC40FC" w:rsidRPr="00DB41A5" w:rsidRDefault="00AC40FC" w:rsidP="00BB665B">
            <w:pPr>
              <w:spacing w:after="0"/>
              <w:jc w:val="center"/>
              <w:rPr>
                <w:bCs/>
                <w:sz w:val="22"/>
              </w:rPr>
            </w:pPr>
            <w:r>
              <w:rPr>
                <w:bCs/>
                <w:sz w:val="22"/>
              </w:rPr>
              <w:t>2015</w:t>
            </w:r>
          </w:p>
        </w:tc>
        <w:tc>
          <w:tcPr>
            <w:tcW w:w="1296" w:type="dxa"/>
            <w:noWrap/>
            <w:vAlign w:val="center"/>
            <w:hideMark/>
          </w:tcPr>
          <w:p w:rsidR="00AC40FC" w:rsidRPr="00DB41A5" w:rsidRDefault="00AC40FC" w:rsidP="00BB665B">
            <w:pPr>
              <w:spacing w:after="0"/>
              <w:jc w:val="center"/>
              <w:rPr>
                <w:sz w:val="22"/>
              </w:rPr>
            </w:pPr>
            <w:r>
              <w:rPr>
                <w:sz w:val="22"/>
              </w:rPr>
              <w:t>$341,192</w:t>
            </w:r>
          </w:p>
        </w:tc>
        <w:tc>
          <w:tcPr>
            <w:tcW w:w="1296" w:type="dxa"/>
            <w:noWrap/>
            <w:vAlign w:val="center"/>
            <w:hideMark/>
          </w:tcPr>
          <w:p w:rsidR="00AC40FC" w:rsidRPr="00DB41A5" w:rsidRDefault="00AC40FC" w:rsidP="00BB665B">
            <w:pPr>
              <w:spacing w:after="0"/>
              <w:jc w:val="center"/>
              <w:rPr>
                <w:sz w:val="22"/>
              </w:rPr>
            </w:pPr>
            <w:r>
              <w:rPr>
                <w:sz w:val="22"/>
              </w:rPr>
              <w:t>$322,481</w:t>
            </w:r>
          </w:p>
        </w:tc>
        <w:tc>
          <w:tcPr>
            <w:tcW w:w="1620" w:type="dxa"/>
            <w:gridSpan w:val="2"/>
            <w:noWrap/>
            <w:vAlign w:val="center"/>
            <w:hideMark/>
          </w:tcPr>
          <w:p w:rsidR="00AC40FC" w:rsidRPr="00DB41A5" w:rsidRDefault="00AC40FC" w:rsidP="00BB665B">
            <w:pPr>
              <w:spacing w:after="0"/>
              <w:jc w:val="center"/>
              <w:rPr>
                <w:sz w:val="22"/>
              </w:rPr>
            </w:pPr>
            <w:r>
              <w:rPr>
                <w:sz w:val="22"/>
              </w:rPr>
              <w:t>$663,673</w:t>
            </w:r>
          </w:p>
        </w:tc>
      </w:tr>
      <w:tr w:rsidR="00AC40FC" w:rsidRPr="00DB41A5" w:rsidTr="00BB665B">
        <w:trPr>
          <w:trHeight w:val="1275"/>
          <w:jc w:val="center"/>
        </w:trPr>
        <w:tc>
          <w:tcPr>
            <w:tcW w:w="2745" w:type="dxa"/>
            <w:vAlign w:val="center"/>
            <w:hideMark/>
          </w:tcPr>
          <w:p w:rsidR="00AC40FC" w:rsidRPr="00DB41A5" w:rsidRDefault="00AC40FC" w:rsidP="00BB665B">
            <w:pPr>
              <w:spacing w:after="0"/>
              <w:jc w:val="center"/>
              <w:rPr>
                <w:bCs/>
                <w:sz w:val="22"/>
              </w:rPr>
            </w:pPr>
            <w:r w:rsidRPr="00DB41A5">
              <w:rPr>
                <w:bCs/>
                <w:sz w:val="22"/>
              </w:rPr>
              <w:t xml:space="preserve">Victor A. Staffieri, Chairman of the Board, Chief Executive Officer and President </w:t>
            </w:r>
            <w:r>
              <w:rPr>
                <w:bCs/>
                <w:sz w:val="22"/>
              </w:rPr>
              <w:t>–</w:t>
            </w:r>
            <w:r w:rsidRPr="00DB41A5">
              <w:rPr>
                <w:bCs/>
                <w:sz w:val="22"/>
              </w:rPr>
              <w:t xml:space="preserve"> LG&amp;E and KU Energy LLC</w:t>
            </w:r>
          </w:p>
        </w:tc>
        <w:tc>
          <w:tcPr>
            <w:tcW w:w="720" w:type="dxa"/>
            <w:noWrap/>
            <w:vAlign w:val="center"/>
            <w:hideMark/>
          </w:tcPr>
          <w:p w:rsidR="00AC40FC" w:rsidRPr="00DB41A5" w:rsidRDefault="00AC40FC" w:rsidP="00BB665B">
            <w:pPr>
              <w:spacing w:after="0"/>
              <w:jc w:val="center"/>
              <w:rPr>
                <w:bCs/>
                <w:sz w:val="22"/>
              </w:rPr>
            </w:pPr>
            <w:r>
              <w:rPr>
                <w:bCs/>
                <w:sz w:val="22"/>
              </w:rPr>
              <w:t>2015</w:t>
            </w:r>
          </w:p>
        </w:tc>
        <w:tc>
          <w:tcPr>
            <w:tcW w:w="1296" w:type="dxa"/>
            <w:noWrap/>
            <w:vAlign w:val="center"/>
            <w:hideMark/>
          </w:tcPr>
          <w:p w:rsidR="00AC40FC" w:rsidRPr="00DB41A5" w:rsidRDefault="00AC40FC" w:rsidP="00BB665B">
            <w:pPr>
              <w:spacing w:after="0"/>
              <w:jc w:val="center"/>
              <w:rPr>
                <w:sz w:val="22"/>
              </w:rPr>
            </w:pPr>
            <w:r>
              <w:rPr>
                <w:sz w:val="22"/>
              </w:rPr>
              <w:t>$</w:t>
            </w:r>
            <w:r w:rsidRPr="00DB41A5">
              <w:rPr>
                <w:sz w:val="22"/>
              </w:rPr>
              <w:t>811,220</w:t>
            </w:r>
          </w:p>
        </w:tc>
        <w:tc>
          <w:tcPr>
            <w:tcW w:w="1296" w:type="dxa"/>
            <w:noWrap/>
            <w:vAlign w:val="center"/>
            <w:hideMark/>
          </w:tcPr>
          <w:p w:rsidR="00AC40FC" w:rsidRPr="00DB41A5" w:rsidRDefault="00AC40FC" w:rsidP="00BB665B">
            <w:pPr>
              <w:spacing w:after="0"/>
              <w:jc w:val="center"/>
              <w:rPr>
                <w:sz w:val="22"/>
              </w:rPr>
            </w:pPr>
            <w:r>
              <w:rPr>
                <w:sz w:val="22"/>
              </w:rPr>
              <w:t>$898,629</w:t>
            </w:r>
          </w:p>
        </w:tc>
        <w:tc>
          <w:tcPr>
            <w:tcW w:w="1620" w:type="dxa"/>
            <w:gridSpan w:val="2"/>
            <w:noWrap/>
            <w:vAlign w:val="center"/>
            <w:hideMark/>
          </w:tcPr>
          <w:p w:rsidR="00AC40FC" w:rsidRPr="00DB41A5" w:rsidRDefault="00AC40FC" w:rsidP="00BB665B">
            <w:pPr>
              <w:spacing w:after="0"/>
              <w:jc w:val="center"/>
              <w:rPr>
                <w:sz w:val="22"/>
              </w:rPr>
            </w:pPr>
            <w:r>
              <w:rPr>
                <w:sz w:val="22"/>
              </w:rPr>
              <w:t>$1,709,849</w:t>
            </w:r>
          </w:p>
        </w:tc>
      </w:tr>
      <w:tr w:rsidR="00AC40FC" w:rsidRPr="00DB41A5" w:rsidTr="00BB665B">
        <w:trPr>
          <w:trHeight w:val="395"/>
          <w:jc w:val="center"/>
        </w:trPr>
        <w:tc>
          <w:tcPr>
            <w:tcW w:w="2745" w:type="dxa"/>
            <w:vAlign w:val="center"/>
            <w:hideMark/>
          </w:tcPr>
          <w:p w:rsidR="00AC40FC" w:rsidRPr="007B54B0" w:rsidRDefault="00AC40FC" w:rsidP="007B54B0">
            <w:pPr>
              <w:spacing w:after="0"/>
              <w:jc w:val="center"/>
              <w:rPr>
                <w:bCs/>
                <w:sz w:val="22"/>
                <w:vertAlign w:val="superscript"/>
              </w:rPr>
            </w:pPr>
            <w:r w:rsidRPr="007B54B0">
              <w:rPr>
                <w:sz w:val="22"/>
              </w:rPr>
              <w:t xml:space="preserve">Robert A. Symons </w:t>
            </w:r>
            <w:r w:rsidRPr="007B54B0">
              <w:rPr>
                <w:sz w:val="22"/>
              </w:rPr>
              <w:br/>
              <w:t>Chief Executive  – WPD Midlands</w:t>
            </w:r>
            <w:r w:rsidRPr="007B54B0">
              <w:rPr>
                <w:bCs/>
                <w:sz w:val="22"/>
              </w:rPr>
              <w:t xml:space="preserve"> </w:t>
            </w:r>
            <w:r w:rsidRPr="007B54B0">
              <w:rPr>
                <w:bCs/>
                <w:sz w:val="22"/>
                <w:vertAlign w:val="superscript"/>
              </w:rPr>
              <w:t>(</w:t>
            </w:r>
            <w:r w:rsidRPr="007B54B0">
              <w:rPr>
                <w:bCs/>
                <w:sz w:val="22"/>
              </w:rPr>
              <w:t>²</w:t>
            </w:r>
            <w:r w:rsidRPr="007B54B0">
              <w:rPr>
                <w:bCs/>
                <w:sz w:val="22"/>
                <w:vertAlign w:val="superscript"/>
              </w:rPr>
              <w:t>)</w:t>
            </w:r>
          </w:p>
        </w:tc>
        <w:tc>
          <w:tcPr>
            <w:tcW w:w="720" w:type="dxa"/>
            <w:noWrap/>
            <w:vAlign w:val="center"/>
            <w:hideMark/>
          </w:tcPr>
          <w:p w:rsidR="00AC40FC" w:rsidRPr="00DB41A5" w:rsidRDefault="00AC40FC" w:rsidP="00BB665B">
            <w:pPr>
              <w:spacing w:after="0"/>
              <w:jc w:val="center"/>
              <w:rPr>
                <w:bCs/>
                <w:sz w:val="22"/>
              </w:rPr>
            </w:pPr>
            <w:r>
              <w:rPr>
                <w:bCs/>
                <w:sz w:val="22"/>
              </w:rPr>
              <w:t>2015</w:t>
            </w:r>
          </w:p>
        </w:tc>
        <w:tc>
          <w:tcPr>
            <w:tcW w:w="1296" w:type="dxa"/>
            <w:noWrap/>
            <w:vAlign w:val="center"/>
            <w:hideMark/>
          </w:tcPr>
          <w:p w:rsidR="00AC40FC" w:rsidRPr="00DB41A5" w:rsidRDefault="00AC40FC" w:rsidP="00BB665B">
            <w:pPr>
              <w:spacing w:after="0"/>
              <w:jc w:val="center"/>
              <w:rPr>
                <w:sz w:val="22"/>
              </w:rPr>
            </w:pPr>
            <w:r>
              <w:rPr>
                <w:sz w:val="22"/>
              </w:rPr>
              <w:t>$836,038</w:t>
            </w:r>
          </w:p>
        </w:tc>
        <w:tc>
          <w:tcPr>
            <w:tcW w:w="1296" w:type="dxa"/>
            <w:noWrap/>
            <w:vAlign w:val="center"/>
            <w:hideMark/>
          </w:tcPr>
          <w:p w:rsidR="00AC40FC" w:rsidRPr="00DB41A5" w:rsidRDefault="00AC40FC" w:rsidP="00BB665B">
            <w:pPr>
              <w:spacing w:after="0"/>
              <w:jc w:val="center"/>
              <w:rPr>
                <w:sz w:val="22"/>
              </w:rPr>
            </w:pPr>
            <w:r>
              <w:rPr>
                <w:sz w:val="22"/>
              </w:rPr>
              <w:t>$690,156</w:t>
            </w:r>
          </w:p>
        </w:tc>
        <w:tc>
          <w:tcPr>
            <w:tcW w:w="1620" w:type="dxa"/>
            <w:gridSpan w:val="2"/>
            <w:noWrap/>
            <w:vAlign w:val="center"/>
            <w:hideMark/>
          </w:tcPr>
          <w:p w:rsidR="00AC40FC" w:rsidRPr="00DB41A5" w:rsidRDefault="00AC40FC" w:rsidP="00BB665B">
            <w:pPr>
              <w:spacing w:after="0"/>
              <w:jc w:val="center"/>
              <w:rPr>
                <w:sz w:val="22"/>
              </w:rPr>
            </w:pPr>
            <w:r>
              <w:rPr>
                <w:sz w:val="22"/>
              </w:rPr>
              <w:t>$1,526,194</w:t>
            </w:r>
          </w:p>
        </w:tc>
      </w:tr>
      <w:tr w:rsidR="00AC40FC" w:rsidRPr="00DB41A5" w:rsidTr="00BB665B">
        <w:trPr>
          <w:gridAfter w:val="1"/>
          <w:wAfter w:w="30" w:type="dxa"/>
          <w:trHeight w:val="1020"/>
          <w:jc w:val="center"/>
        </w:trPr>
        <w:tc>
          <w:tcPr>
            <w:tcW w:w="7647" w:type="dxa"/>
            <w:gridSpan w:val="5"/>
            <w:hideMark/>
          </w:tcPr>
          <w:p w:rsidR="00AC40FC" w:rsidRPr="00A75BD4" w:rsidRDefault="00AC40FC" w:rsidP="00BB665B">
            <w:pPr>
              <w:spacing w:before="120" w:after="60"/>
              <w:jc w:val="left"/>
              <w:rPr>
                <w:rFonts w:cs="Arial"/>
                <w:sz w:val="22"/>
              </w:rPr>
            </w:pPr>
            <w:r>
              <w:rPr>
                <w:rFonts w:cs="Arial"/>
                <w:sz w:val="22"/>
                <w:vertAlign w:val="superscript"/>
              </w:rPr>
              <w:t>(</w:t>
            </w:r>
            <w:r w:rsidRPr="00A75BD4">
              <w:rPr>
                <w:rFonts w:cs="Arial"/>
                <w:sz w:val="22"/>
              </w:rPr>
              <w:t>¹</w:t>
            </w:r>
            <w:r>
              <w:rPr>
                <w:rFonts w:cs="Arial"/>
                <w:sz w:val="22"/>
                <w:vertAlign w:val="superscript"/>
              </w:rPr>
              <w:t>)</w:t>
            </w:r>
            <w:r w:rsidRPr="00A75BD4">
              <w:rPr>
                <w:rFonts w:cs="Arial"/>
                <w:sz w:val="22"/>
              </w:rPr>
              <w:t xml:space="preserve"> Effective June 1, 2015, concurrent with the spinoff of PPL's Energy Supply segment, Mr. Farr resigned from PPL.</w:t>
            </w:r>
          </w:p>
          <w:p w:rsidR="00AC40FC" w:rsidRPr="00A75BD4" w:rsidRDefault="00AC40FC" w:rsidP="00BB665B">
            <w:pPr>
              <w:spacing w:after="60"/>
              <w:jc w:val="left"/>
              <w:rPr>
                <w:rFonts w:cs="Arial"/>
                <w:sz w:val="22"/>
              </w:rPr>
            </w:pPr>
            <w:r>
              <w:rPr>
                <w:rFonts w:cs="Arial"/>
                <w:sz w:val="22"/>
                <w:vertAlign w:val="superscript"/>
              </w:rPr>
              <w:t>(</w:t>
            </w:r>
            <w:r w:rsidRPr="00A75BD4">
              <w:rPr>
                <w:rFonts w:cs="Arial"/>
                <w:sz w:val="22"/>
              </w:rPr>
              <w:t>²</w:t>
            </w:r>
            <w:r>
              <w:rPr>
                <w:rFonts w:cs="Arial"/>
                <w:sz w:val="22"/>
                <w:vertAlign w:val="superscript"/>
              </w:rPr>
              <w:t>)</w:t>
            </w:r>
            <w:r w:rsidRPr="00A75BD4">
              <w:rPr>
                <w:rFonts w:cs="Arial"/>
                <w:sz w:val="22"/>
              </w:rPr>
              <w:t xml:space="preserve"> Mr. Symons is based in the United Kingdom and is compensated in Pounds Sterling.  His 2015 cash compensation has been converted to U.S. dollars at an exchange rate of $1.5283, which is the average monthly translation rate for 2015, except with respect to the short-term incentive amount, which was converted to U.S. dollars at an exchange rate of $1.4376, which is the translation rate for February 2, 2016, the date the cash incentive award was paid to Mr. Symons. </w:t>
            </w:r>
          </w:p>
          <w:p w:rsidR="00AC40FC" w:rsidRDefault="00AC40FC" w:rsidP="00BB665B">
            <w:pPr>
              <w:spacing w:after="60"/>
              <w:jc w:val="left"/>
              <w:rPr>
                <w:sz w:val="22"/>
              </w:rPr>
            </w:pPr>
            <w:r>
              <w:rPr>
                <w:rFonts w:cs="Arial"/>
                <w:sz w:val="22"/>
                <w:vertAlign w:val="superscript"/>
              </w:rPr>
              <w:t>(</w:t>
            </w:r>
            <w:r w:rsidRPr="00A75BD4">
              <w:rPr>
                <w:rFonts w:cs="Arial"/>
                <w:sz w:val="22"/>
              </w:rPr>
              <w:t>³</w:t>
            </w:r>
            <w:r>
              <w:rPr>
                <w:rFonts w:cs="Arial"/>
                <w:sz w:val="22"/>
                <w:vertAlign w:val="superscript"/>
              </w:rPr>
              <w:t>)</w:t>
            </w:r>
            <w:r w:rsidRPr="00A75BD4">
              <w:rPr>
                <w:rFonts w:cs="Arial"/>
                <w:sz w:val="22"/>
              </w:rPr>
              <w:t xml:space="preserve"> For 2015, amounts represent cash awards made in January 2016 for performance under the company’s annual cash incentive award program for 2015, which were made under PPL’s Short-term Incentive Plan for all NEOs. These amounts include amounts the NEOs have elected to defer to the PPL Executive Deferred Compensation Plan or, for Mr. Staffieri, to the LG&amp;E and KU Nonqualified Savings Plan. The following NEOs deferred cash awards in the amounts indicated: Mr. Spence ($55,169); Mr. Sorgi ($122,325); and Mr. Staffieri ($53,918). These amounts will be included in the “Nonqualified Deferred Compensation in 2016” table as executive contributions in the 2017 proxy statement.</w:t>
            </w:r>
          </w:p>
        </w:tc>
      </w:tr>
      <w:tr w:rsidR="00AC40FC" w:rsidRPr="00DB41A5" w:rsidTr="00BB665B">
        <w:trPr>
          <w:gridAfter w:val="1"/>
          <w:wAfter w:w="30" w:type="dxa"/>
          <w:trHeight w:val="288"/>
          <w:jc w:val="center"/>
        </w:trPr>
        <w:tc>
          <w:tcPr>
            <w:tcW w:w="7647" w:type="dxa"/>
            <w:gridSpan w:val="5"/>
            <w:hideMark/>
          </w:tcPr>
          <w:p w:rsidR="00AC40FC" w:rsidRPr="00A75BD4" w:rsidRDefault="00AC40FC" w:rsidP="00BB665B">
            <w:pPr>
              <w:spacing w:after="0"/>
              <w:jc w:val="left"/>
              <w:rPr>
                <w:rFonts w:cs="Arial"/>
                <w:sz w:val="22"/>
              </w:rPr>
            </w:pPr>
            <w:r w:rsidRPr="00A75BD4">
              <w:rPr>
                <w:rFonts w:cs="Arial"/>
                <w:sz w:val="22"/>
              </w:rPr>
              <w:t>Source:  DN 15-146; PPL Corporation Proxy Statement 2016</w:t>
            </w:r>
          </w:p>
        </w:tc>
      </w:tr>
    </w:tbl>
    <w:p w:rsidR="00AC40FC" w:rsidRDefault="00AC40FC" w:rsidP="00C73199">
      <w:pPr>
        <w:pStyle w:val="Normal-aftertable"/>
      </w:pPr>
      <w:r>
        <w:t xml:space="preserve">The total cash compensation represented in the table above includes short-term incentive pay which is considered pay “at risk” and therefore must be earned based </w:t>
      </w:r>
      <w:r>
        <w:lastRenderedPageBreak/>
        <w:t>upon pre-established targets established annually by the CGNC.  The established targets are based on the Strategic Goal Framework and align with PPL Corporation’s goals and values.  The purpose of the short-term incentive program is to “advance the interests of PPL Corporation and its shareholders by providing periodic cash awards to motivate executives to attain corporate goals articulated under the annual cash incentive program.”</w:t>
      </w:r>
    </w:p>
    <w:p w:rsidR="00AC40FC" w:rsidRPr="002403BC" w:rsidRDefault="00AC40FC" w:rsidP="002B3172">
      <w:pPr>
        <w:pStyle w:val="Caption"/>
      </w:pPr>
      <w:bookmarkStart w:id="258" w:name="_Toc462648463"/>
      <w:bookmarkStart w:id="259" w:name="_Toc464553085"/>
      <w:r>
        <w:t xml:space="preserve">Exhibit </w:t>
      </w:r>
      <w:fldSimple w:instr=" STYLEREF 1 \s ">
        <w:r w:rsidR="00A24205">
          <w:rPr>
            <w:noProof/>
          </w:rPr>
          <w:t>XIII</w:t>
        </w:r>
      </w:fldSimple>
      <w:r w:rsidR="00264A1B">
        <w:noBreakHyphen/>
      </w:r>
      <w:fldSimple w:instr=" SEQ Exhibit \* ARABIC \s 1 ">
        <w:r w:rsidR="00A24205">
          <w:rPr>
            <w:noProof/>
          </w:rPr>
          <w:t>10</w:t>
        </w:r>
      </w:fldSimple>
      <w:r>
        <w:br/>
      </w:r>
      <w:r w:rsidRPr="00000989">
        <w:t xml:space="preserve">PPL </w:t>
      </w:r>
      <w:r>
        <w:t xml:space="preserve">NEO </w:t>
      </w:r>
      <w:r w:rsidRPr="00000989">
        <w:t>201</w:t>
      </w:r>
      <w:r>
        <w:t>5 Total Direct Compensation</w:t>
      </w:r>
      <w:bookmarkEnd w:id="258"/>
      <w:bookmarkEnd w:id="259"/>
      <w:r>
        <w:t xml:space="preserve"> </w:t>
      </w:r>
    </w:p>
    <w:tbl>
      <w:tblPr>
        <w:tblStyle w:val="TableGrid"/>
        <w:tblW w:w="7610" w:type="dxa"/>
        <w:jc w:val="center"/>
        <w:tblLayout w:type="fixed"/>
        <w:tblCellMar>
          <w:left w:w="14" w:type="dxa"/>
          <w:right w:w="14" w:type="dxa"/>
        </w:tblCellMar>
        <w:tblLook w:val="04A0"/>
      </w:tblPr>
      <w:tblGrid>
        <w:gridCol w:w="2494"/>
        <w:gridCol w:w="540"/>
        <w:gridCol w:w="1152"/>
        <w:gridCol w:w="1080"/>
        <w:gridCol w:w="1080"/>
        <w:gridCol w:w="1264"/>
      </w:tblGrid>
      <w:tr w:rsidR="00AC40FC" w:rsidRPr="00DB41A5" w:rsidTr="003B1069">
        <w:trPr>
          <w:cantSplit/>
          <w:trHeight w:val="827"/>
          <w:jc w:val="center"/>
        </w:trPr>
        <w:tc>
          <w:tcPr>
            <w:tcW w:w="2494" w:type="dxa"/>
            <w:shd w:val="clear" w:color="auto" w:fill="A5CD7E"/>
            <w:noWrap/>
            <w:vAlign w:val="center"/>
            <w:hideMark/>
          </w:tcPr>
          <w:p w:rsidR="00AC40FC" w:rsidRPr="00DB41A5" w:rsidRDefault="00AC40FC" w:rsidP="00521E7D">
            <w:pPr>
              <w:spacing w:before="120"/>
              <w:jc w:val="center"/>
              <w:rPr>
                <w:b/>
                <w:bCs/>
                <w:sz w:val="20"/>
                <w:szCs w:val="20"/>
              </w:rPr>
            </w:pPr>
            <w:r w:rsidRPr="00DB41A5">
              <w:rPr>
                <w:b/>
                <w:bCs/>
                <w:sz w:val="20"/>
                <w:szCs w:val="20"/>
              </w:rPr>
              <w:t>Name and Position</w:t>
            </w:r>
          </w:p>
        </w:tc>
        <w:tc>
          <w:tcPr>
            <w:tcW w:w="540" w:type="dxa"/>
            <w:shd w:val="clear" w:color="auto" w:fill="A5CD7E"/>
            <w:noWrap/>
            <w:vAlign w:val="center"/>
            <w:hideMark/>
          </w:tcPr>
          <w:p w:rsidR="00AC40FC" w:rsidRPr="00DB41A5" w:rsidRDefault="00AC40FC" w:rsidP="00521E7D">
            <w:pPr>
              <w:spacing w:before="120"/>
              <w:jc w:val="center"/>
              <w:rPr>
                <w:b/>
                <w:bCs/>
                <w:sz w:val="20"/>
                <w:szCs w:val="20"/>
              </w:rPr>
            </w:pPr>
            <w:r w:rsidRPr="00DB41A5">
              <w:rPr>
                <w:b/>
                <w:bCs/>
                <w:sz w:val="20"/>
                <w:szCs w:val="20"/>
              </w:rPr>
              <w:t>Year</w:t>
            </w:r>
          </w:p>
        </w:tc>
        <w:tc>
          <w:tcPr>
            <w:tcW w:w="1152" w:type="dxa"/>
            <w:shd w:val="clear" w:color="auto" w:fill="A5CD7E"/>
            <w:vAlign w:val="center"/>
            <w:hideMark/>
          </w:tcPr>
          <w:p w:rsidR="00AC40FC" w:rsidRPr="00DB41A5" w:rsidRDefault="00AC40FC" w:rsidP="00521E7D">
            <w:pPr>
              <w:spacing w:before="120"/>
              <w:jc w:val="center"/>
              <w:rPr>
                <w:b/>
                <w:bCs/>
                <w:sz w:val="20"/>
                <w:szCs w:val="20"/>
              </w:rPr>
            </w:pPr>
            <w:r w:rsidRPr="00DB41A5">
              <w:rPr>
                <w:b/>
                <w:bCs/>
                <w:sz w:val="20"/>
                <w:szCs w:val="20"/>
              </w:rPr>
              <w:t>Base Salary</w:t>
            </w:r>
          </w:p>
        </w:tc>
        <w:tc>
          <w:tcPr>
            <w:tcW w:w="1080" w:type="dxa"/>
            <w:shd w:val="clear" w:color="auto" w:fill="A5CD7E"/>
            <w:vAlign w:val="center"/>
            <w:hideMark/>
          </w:tcPr>
          <w:p w:rsidR="00AC40FC" w:rsidRPr="00617E32" w:rsidRDefault="00AC40FC" w:rsidP="00F7768F">
            <w:pPr>
              <w:pageBreakBefore/>
              <w:pBdr>
                <w:bottom w:val="single" w:sz="24" w:space="2" w:color="A5CD7E"/>
              </w:pBdr>
              <w:spacing w:before="120" w:after="20"/>
              <w:outlineLvl w:val="0"/>
              <w:rPr>
                <w:b/>
                <w:bCs/>
                <w:sz w:val="19"/>
                <w:szCs w:val="19"/>
                <w:vertAlign w:val="superscript"/>
              </w:rPr>
            </w:pPr>
            <w:r w:rsidRPr="00DB41A5">
              <w:rPr>
                <w:b/>
                <w:bCs/>
                <w:sz w:val="19"/>
                <w:szCs w:val="19"/>
              </w:rPr>
              <w:t>Short Term Incen</w:t>
            </w:r>
            <w:r>
              <w:rPr>
                <w:b/>
                <w:bCs/>
                <w:sz w:val="19"/>
                <w:szCs w:val="19"/>
              </w:rPr>
              <w:t>tive</w:t>
            </w:r>
            <w:r>
              <w:rPr>
                <w:b/>
                <w:bCs/>
                <w:sz w:val="19"/>
                <w:szCs w:val="19"/>
                <w:vertAlign w:val="superscript"/>
              </w:rPr>
              <w:t>(</w:t>
            </w:r>
            <w:r w:rsidRPr="00DB41A5">
              <w:rPr>
                <w:b/>
                <w:bCs/>
                <w:sz w:val="19"/>
                <w:szCs w:val="19"/>
              </w:rPr>
              <w:t>³</w:t>
            </w:r>
            <w:r>
              <w:rPr>
                <w:b/>
                <w:bCs/>
                <w:sz w:val="19"/>
                <w:szCs w:val="19"/>
                <w:vertAlign w:val="superscript"/>
              </w:rPr>
              <w:t>)</w:t>
            </w:r>
          </w:p>
        </w:tc>
        <w:tc>
          <w:tcPr>
            <w:tcW w:w="1080" w:type="dxa"/>
            <w:shd w:val="clear" w:color="auto" w:fill="A5CD7E"/>
            <w:vAlign w:val="center"/>
            <w:hideMark/>
          </w:tcPr>
          <w:p w:rsidR="00AC40FC" w:rsidRPr="00617E32" w:rsidRDefault="00AC40FC" w:rsidP="00F7768F">
            <w:pPr>
              <w:pageBreakBefore/>
              <w:pBdr>
                <w:bottom w:val="single" w:sz="24" w:space="2" w:color="A5CD7E"/>
              </w:pBdr>
              <w:spacing w:before="120" w:after="20"/>
              <w:outlineLvl w:val="0"/>
              <w:rPr>
                <w:b/>
                <w:bCs/>
                <w:sz w:val="20"/>
                <w:szCs w:val="20"/>
                <w:vertAlign w:val="superscript"/>
              </w:rPr>
            </w:pPr>
            <w:r w:rsidRPr="000B4A9D">
              <w:rPr>
                <w:b/>
                <w:bCs/>
                <w:sz w:val="20"/>
                <w:szCs w:val="20"/>
              </w:rPr>
              <w:t>Long Term Incentive</w:t>
            </w:r>
            <w:r>
              <w:rPr>
                <w:b/>
                <w:bCs/>
                <w:sz w:val="20"/>
                <w:szCs w:val="20"/>
                <w:vertAlign w:val="superscript"/>
              </w:rPr>
              <w:t>(</w:t>
            </w:r>
            <w:r w:rsidRPr="000B4A9D">
              <w:rPr>
                <w:rFonts w:ascii="Cambria Math" w:hAnsi="Cambria Math" w:cs="Cambria Math"/>
                <w:b/>
                <w:bCs/>
                <w:sz w:val="20"/>
                <w:szCs w:val="20"/>
              </w:rPr>
              <w:t>⁴</w:t>
            </w:r>
            <w:r>
              <w:rPr>
                <w:rFonts w:ascii="Cambria Math" w:hAnsi="Cambria Math" w:cs="Cambria Math"/>
                <w:b/>
                <w:bCs/>
                <w:sz w:val="20"/>
                <w:szCs w:val="20"/>
                <w:vertAlign w:val="superscript"/>
              </w:rPr>
              <w:t xml:space="preserve">) </w:t>
            </w:r>
          </w:p>
        </w:tc>
        <w:tc>
          <w:tcPr>
            <w:tcW w:w="1264" w:type="dxa"/>
            <w:shd w:val="clear" w:color="auto" w:fill="A5CD7E"/>
            <w:vAlign w:val="center"/>
            <w:hideMark/>
          </w:tcPr>
          <w:p w:rsidR="00AC40FC" w:rsidRPr="000B4A9D" w:rsidRDefault="00AC40FC" w:rsidP="00521E7D">
            <w:pPr>
              <w:spacing w:before="120"/>
              <w:jc w:val="center"/>
              <w:rPr>
                <w:b/>
                <w:bCs/>
                <w:sz w:val="20"/>
                <w:szCs w:val="20"/>
              </w:rPr>
            </w:pPr>
            <w:r w:rsidRPr="000B4A9D">
              <w:rPr>
                <w:b/>
                <w:bCs/>
                <w:sz w:val="20"/>
                <w:szCs w:val="20"/>
              </w:rPr>
              <w:t>Total Direct Compen</w:t>
            </w:r>
            <w:r>
              <w:rPr>
                <w:b/>
                <w:bCs/>
                <w:sz w:val="20"/>
                <w:szCs w:val="20"/>
              </w:rPr>
              <w:t>-s</w:t>
            </w:r>
            <w:r w:rsidRPr="000B4A9D">
              <w:rPr>
                <w:b/>
                <w:bCs/>
                <w:sz w:val="20"/>
                <w:szCs w:val="20"/>
              </w:rPr>
              <w:t>ation (TDC)</w:t>
            </w:r>
          </w:p>
        </w:tc>
      </w:tr>
      <w:tr w:rsidR="00AC40FC" w:rsidRPr="00DB41A5" w:rsidTr="003B1069">
        <w:trPr>
          <w:cantSplit/>
          <w:trHeight w:val="638"/>
          <w:jc w:val="center"/>
        </w:trPr>
        <w:tc>
          <w:tcPr>
            <w:tcW w:w="2494" w:type="dxa"/>
            <w:vAlign w:val="center"/>
            <w:hideMark/>
          </w:tcPr>
          <w:p w:rsidR="00AC40FC" w:rsidRPr="00DB41A5" w:rsidRDefault="00AC40FC" w:rsidP="00C73199">
            <w:pPr>
              <w:spacing w:after="0"/>
              <w:jc w:val="center"/>
              <w:rPr>
                <w:bCs/>
                <w:sz w:val="20"/>
                <w:szCs w:val="20"/>
              </w:rPr>
            </w:pPr>
            <w:r w:rsidRPr="00DB41A5">
              <w:rPr>
                <w:bCs/>
                <w:sz w:val="20"/>
                <w:szCs w:val="20"/>
              </w:rPr>
              <w:t>William H. Spence, Chairman, President and Chief Executive Officer</w:t>
            </w:r>
          </w:p>
        </w:tc>
        <w:tc>
          <w:tcPr>
            <w:tcW w:w="540" w:type="dxa"/>
            <w:noWrap/>
            <w:vAlign w:val="center"/>
            <w:hideMark/>
          </w:tcPr>
          <w:p w:rsidR="00AC40FC" w:rsidRPr="00DB41A5" w:rsidRDefault="00AC40FC" w:rsidP="00C73199">
            <w:pPr>
              <w:spacing w:after="0"/>
              <w:jc w:val="center"/>
              <w:rPr>
                <w:bCs/>
                <w:sz w:val="20"/>
                <w:szCs w:val="20"/>
              </w:rPr>
            </w:pPr>
            <w:r>
              <w:rPr>
                <w:bCs/>
                <w:sz w:val="20"/>
                <w:szCs w:val="20"/>
              </w:rPr>
              <w:t>2015</w:t>
            </w:r>
          </w:p>
        </w:tc>
        <w:tc>
          <w:tcPr>
            <w:tcW w:w="1152" w:type="dxa"/>
            <w:noWrap/>
            <w:vAlign w:val="center"/>
            <w:hideMark/>
          </w:tcPr>
          <w:p w:rsidR="00AC40FC" w:rsidRPr="002153A0" w:rsidRDefault="00AC40FC" w:rsidP="00C73199">
            <w:pPr>
              <w:spacing w:after="0"/>
              <w:jc w:val="center"/>
              <w:rPr>
                <w:sz w:val="20"/>
                <w:szCs w:val="20"/>
              </w:rPr>
            </w:pPr>
            <w:r w:rsidRPr="002153A0">
              <w:rPr>
                <w:sz w:val="20"/>
                <w:szCs w:val="20"/>
              </w:rPr>
              <w:t>$1,127,500</w:t>
            </w:r>
          </w:p>
        </w:tc>
        <w:tc>
          <w:tcPr>
            <w:tcW w:w="1080" w:type="dxa"/>
            <w:noWrap/>
            <w:vAlign w:val="center"/>
            <w:hideMark/>
          </w:tcPr>
          <w:p w:rsidR="00AC40FC" w:rsidRPr="002153A0" w:rsidRDefault="00AC40FC" w:rsidP="00BB665B">
            <w:pPr>
              <w:spacing w:after="0"/>
              <w:jc w:val="center"/>
              <w:rPr>
                <w:sz w:val="20"/>
                <w:szCs w:val="20"/>
              </w:rPr>
            </w:pPr>
            <w:r w:rsidRPr="002153A0">
              <w:rPr>
                <w:sz w:val="20"/>
                <w:szCs w:val="20"/>
              </w:rPr>
              <w:t>$1,8</w:t>
            </w:r>
            <w:r>
              <w:rPr>
                <w:sz w:val="20"/>
                <w:szCs w:val="20"/>
              </w:rPr>
              <w:t>38</w:t>
            </w:r>
            <w:r w:rsidRPr="002153A0">
              <w:rPr>
                <w:sz w:val="20"/>
                <w:szCs w:val="20"/>
              </w:rPr>
              <w:t>,</w:t>
            </w:r>
            <w:r>
              <w:rPr>
                <w:sz w:val="20"/>
                <w:szCs w:val="20"/>
              </w:rPr>
              <w:t>953</w:t>
            </w:r>
          </w:p>
        </w:tc>
        <w:tc>
          <w:tcPr>
            <w:tcW w:w="1080" w:type="dxa"/>
            <w:noWrap/>
            <w:vAlign w:val="center"/>
            <w:hideMark/>
          </w:tcPr>
          <w:p w:rsidR="00AC40FC" w:rsidRPr="002153A0" w:rsidRDefault="00AC40FC" w:rsidP="00C73199">
            <w:pPr>
              <w:spacing w:after="0"/>
              <w:jc w:val="center"/>
              <w:rPr>
                <w:sz w:val="20"/>
                <w:szCs w:val="20"/>
              </w:rPr>
            </w:pPr>
            <w:r w:rsidRPr="002153A0">
              <w:rPr>
                <w:sz w:val="20"/>
                <w:szCs w:val="20"/>
              </w:rPr>
              <w:t>$6,964,662</w:t>
            </w:r>
          </w:p>
        </w:tc>
        <w:tc>
          <w:tcPr>
            <w:tcW w:w="1264" w:type="dxa"/>
            <w:noWrap/>
            <w:vAlign w:val="center"/>
            <w:hideMark/>
          </w:tcPr>
          <w:p w:rsidR="00AC40FC" w:rsidRPr="002153A0" w:rsidRDefault="00AC40FC" w:rsidP="00BB665B">
            <w:pPr>
              <w:spacing w:after="0"/>
              <w:jc w:val="center"/>
              <w:rPr>
                <w:sz w:val="20"/>
                <w:szCs w:val="20"/>
              </w:rPr>
            </w:pPr>
            <w:r w:rsidRPr="002153A0">
              <w:rPr>
                <w:sz w:val="20"/>
                <w:szCs w:val="20"/>
              </w:rPr>
              <w:t>$9,9</w:t>
            </w:r>
            <w:r>
              <w:rPr>
                <w:sz w:val="20"/>
                <w:szCs w:val="20"/>
              </w:rPr>
              <w:t>31</w:t>
            </w:r>
            <w:r w:rsidRPr="002153A0">
              <w:rPr>
                <w:sz w:val="20"/>
                <w:szCs w:val="20"/>
              </w:rPr>
              <w:t>,1</w:t>
            </w:r>
            <w:r>
              <w:rPr>
                <w:sz w:val="20"/>
                <w:szCs w:val="20"/>
              </w:rPr>
              <w:t>15</w:t>
            </w:r>
          </w:p>
        </w:tc>
      </w:tr>
      <w:tr w:rsidR="00AC40FC" w:rsidRPr="00DB41A5" w:rsidTr="003B1069">
        <w:trPr>
          <w:cantSplit/>
          <w:trHeight w:val="647"/>
          <w:jc w:val="center"/>
        </w:trPr>
        <w:tc>
          <w:tcPr>
            <w:tcW w:w="2494" w:type="dxa"/>
            <w:vAlign w:val="center"/>
            <w:hideMark/>
          </w:tcPr>
          <w:p w:rsidR="00AC40FC" w:rsidRPr="00DB41A5" w:rsidRDefault="00AC40FC" w:rsidP="00C73199">
            <w:pPr>
              <w:spacing w:after="0"/>
              <w:jc w:val="center"/>
              <w:rPr>
                <w:bCs/>
                <w:sz w:val="20"/>
                <w:szCs w:val="20"/>
              </w:rPr>
            </w:pPr>
            <w:r w:rsidRPr="00DB41A5">
              <w:rPr>
                <w:bCs/>
                <w:sz w:val="20"/>
                <w:szCs w:val="20"/>
              </w:rPr>
              <w:t>Vincent Sorgi,</w:t>
            </w:r>
            <w:r w:rsidRPr="00DB41A5">
              <w:rPr>
                <w:bCs/>
                <w:sz w:val="20"/>
                <w:szCs w:val="20"/>
              </w:rPr>
              <w:br/>
              <w:t xml:space="preserve">Senior Vice President and Chief Financial Officer </w:t>
            </w:r>
          </w:p>
        </w:tc>
        <w:tc>
          <w:tcPr>
            <w:tcW w:w="540" w:type="dxa"/>
            <w:noWrap/>
            <w:vAlign w:val="center"/>
            <w:hideMark/>
          </w:tcPr>
          <w:p w:rsidR="00AC40FC" w:rsidRPr="00DB41A5" w:rsidRDefault="00AC40FC" w:rsidP="00C73199">
            <w:pPr>
              <w:spacing w:after="0"/>
              <w:jc w:val="center"/>
              <w:rPr>
                <w:bCs/>
                <w:sz w:val="20"/>
                <w:szCs w:val="20"/>
              </w:rPr>
            </w:pPr>
            <w:r>
              <w:rPr>
                <w:bCs/>
                <w:sz w:val="20"/>
                <w:szCs w:val="20"/>
              </w:rPr>
              <w:t>2015</w:t>
            </w:r>
          </w:p>
        </w:tc>
        <w:tc>
          <w:tcPr>
            <w:tcW w:w="1152" w:type="dxa"/>
            <w:noWrap/>
            <w:vAlign w:val="center"/>
            <w:hideMark/>
          </w:tcPr>
          <w:p w:rsidR="00AC40FC" w:rsidRPr="002153A0" w:rsidRDefault="00AC40FC" w:rsidP="00C73199">
            <w:pPr>
              <w:spacing w:after="0"/>
              <w:jc w:val="center"/>
              <w:rPr>
                <w:sz w:val="20"/>
                <w:szCs w:val="20"/>
              </w:rPr>
            </w:pPr>
            <w:r w:rsidRPr="002153A0">
              <w:rPr>
                <w:sz w:val="20"/>
                <w:szCs w:val="20"/>
              </w:rPr>
              <w:t>$498,462</w:t>
            </w:r>
          </w:p>
        </w:tc>
        <w:tc>
          <w:tcPr>
            <w:tcW w:w="1080" w:type="dxa"/>
            <w:noWrap/>
            <w:vAlign w:val="center"/>
            <w:hideMark/>
          </w:tcPr>
          <w:p w:rsidR="00AC40FC" w:rsidRPr="002153A0" w:rsidRDefault="00AC40FC" w:rsidP="00BB665B">
            <w:pPr>
              <w:spacing w:after="0"/>
              <w:jc w:val="center"/>
              <w:rPr>
                <w:sz w:val="20"/>
                <w:szCs w:val="20"/>
              </w:rPr>
            </w:pPr>
            <w:r w:rsidRPr="002153A0">
              <w:rPr>
                <w:sz w:val="20"/>
                <w:szCs w:val="20"/>
              </w:rPr>
              <w:t>$4</w:t>
            </w:r>
            <w:r>
              <w:rPr>
                <w:sz w:val="20"/>
                <w:szCs w:val="20"/>
              </w:rPr>
              <w:t>07</w:t>
            </w:r>
            <w:r w:rsidRPr="002153A0">
              <w:rPr>
                <w:sz w:val="20"/>
                <w:szCs w:val="20"/>
              </w:rPr>
              <w:t>,</w:t>
            </w:r>
            <w:r>
              <w:rPr>
                <w:sz w:val="20"/>
                <w:szCs w:val="20"/>
              </w:rPr>
              <w:t>750</w:t>
            </w:r>
          </w:p>
        </w:tc>
        <w:tc>
          <w:tcPr>
            <w:tcW w:w="1080" w:type="dxa"/>
            <w:noWrap/>
            <w:vAlign w:val="center"/>
            <w:hideMark/>
          </w:tcPr>
          <w:p w:rsidR="00AC40FC" w:rsidRPr="002153A0" w:rsidRDefault="00AC40FC" w:rsidP="00C73199">
            <w:pPr>
              <w:spacing w:after="0"/>
              <w:jc w:val="center"/>
              <w:rPr>
                <w:sz w:val="20"/>
                <w:szCs w:val="20"/>
              </w:rPr>
            </w:pPr>
            <w:r w:rsidRPr="002153A0">
              <w:rPr>
                <w:sz w:val="20"/>
                <w:szCs w:val="20"/>
              </w:rPr>
              <w:t>$1,065,556</w:t>
            </w:r>
          </w:p>
        </w:tc>
        <w:tc>
          <w:tcPr>
            <w:tcW w:w="1264" w:type="dxa"/>
            <w:noWrap/>
            <w:vAlign w:val="center"/>
            <w:hideMark/>
          </w:tcPr>
          <w:p w:rsidR="00AC40FC" w:rsidRPr="002153A0" w:rsidRDefault="00AC40FC" w:rsidP="00BB665B">
            <w:pPr>
              <w:spacing w:after="0"/>
              <w:jc w:val="center"/>
              <w:rPr>
                <w:sz w:val="20"/>
                <w:szCs w:val="20"/>
              </w:rPr>
            </w:pPr>
            <w:r w:rsidRPr="002153A0">
              <w:rPr>
                <w:sz w:val="20"/>
                <w:szCs w:val="20"/>
              </w:rPr>
              <w:t>$</w:t>
            </w:r>
            <w:r>
              <w:rPr>
                <w:sz w:val="20"/>
                <w:szCs w:val="20"/>
              </w:rPr>
              <w:t>1,971,768</w:t>
            </w:r>
          </w:p>
        </w:tc>
      </w:tr>
      <w:tr w:rsidR="00AC40FC" w:rsidRPr="00DB41A5" w:rsidTr="003B1069">
        <w:trPr>
          <w:cantSplit/>
          <w:trHeight w:val="765"/>
          <w:jc w:val="center"/>
        </w:trPr>
        <w:tc>
          <w:tcPr>
            <w:tcW w:w="2494" w:type="dxa"/>
            <w:vAlign w:val="center"/>
          </w:tcPr>
          <w:p w:rsidR="00AC40FC" w:rsidRPr="00DB41A5" w:rsidRDefault="00AC40FC" w:rsidP="00BB665B">
            <w:pPr>
              <w:spacing w:after="0"/>
              <w:jc w:val="center"/>
              <w:rPr>
                <w:bCs/>
                <w:sz w:val="20"/>
                <w:szCs w:val="20"/>
              </w:rPr>
            </w:pPr>
            <w:r w:rsidRPr="00DB41A5">
              <w:rPr>
                <w:bCs/>
                <w:sz w:val="20"/>
                <w:szCs w:val="20"/>
              </w:rPr>
              <w:t>Robert J. Grey, Executive Vice President, General Counsel</w:t>
            </w:r>
            <w:r>
              <w:rPr>
                <w:bCs/>
                <w:sz w:val="20"/>
                <w:szCs w:val="20"/>
              </w:rPr>
              <w:t>,</w:t>
            </w:r>
            <w:r w:rsidRPr="00DB41A5">
              <w:rPr>
                <w:bCs/>
                <w:sz w:val="20"/>
                <w:szCs w:val="20"/>
              </w:rPr>
              <w:t xml:space="preserve"> and Secretary</w:t>
            </w:r>
          </w:p>
        </w:tc>
        <w:tc>
          <w:tcPr>
            <w:tcW w:w="540" w:type="dxa"/>
            <w:noWrap/>
            <w:vAlign w:val="center"/>
          </w:tcPr>
          <w:p w:rsidR="00AC40FC" w:rsidRDefault="00AC40FC" w:rsidP="00BB665B">
            <w:pPr>
              <w:spacing w:after="0"/>
              <w:jc w:val="center"/>
              <w:rPr>
                <w:bCs/>
                <w:sz w:val="20"/>
                <w:szCs w:val="20"/>
              </w:rPr>
            </w:pPr>
            <w:r>
              <w:rPr>
                <w:bCs/>
                <w:sz w:val="20"/>
                <w:szCs w:val="20"/>
              </w:rPr>
              <w:t>2015</w:t>
            </w:r>
          </w:p>
        </w:tc>
        <w:tc>
          <w:tcPr>
            <w:tcW w:w="1152" w:type="dxa"/>
            <w:noWrap/>
            <w:vAlign w:val="center"/>
          </w:tcPr>
          <w:p w:rsidR="00AC40FC" w:rsidRPr="002153A0" w:rsidRDefault="00AC40FC" w:rsidP="00BB665B">
            <w:pPr>
              <w:spacing w:after="0"/>
              <w:jc w:val="center"/>
              <w:rPr>
                <w:sz w:val="20"/>
                <w:szCs w:val="20"/>
              </w:rPr>
            </w:pPr>
            <w:r w:rsidRPr="002153A0">
              <w:rPr>
                <w:sz w:val="20"/>
                <w:szCs w:val="20"/>
              </w:rPr>
              <w:t>$579,539</w:t>
            </w:r>
          </w:p>
        </w:tc>
        <w:tc>
          <w:tcPr>
            <w:tcW w:w="1080" w:type="dxa"/>
            <w:noWrap/>
            <w:vAlign w:val="center"/>
          </w:tcPr>
          <w:p w:rsidR="00AC40FC" w:rsidRPr="002153A0" w:rsidRDefault="00AC40FC" w:rsidP="00BB665B">
            <w:pPr>
              <w:spacing w:after="0"/>
              <w:jc w:val="center"/>
              <w:rPr>
                <w:sz w:val="20"/>
                <w:szCs w:val="20"/>
              </w:rPr>
            </w:pPr>
            <w:r w:rsidRPr="002153A0">
              <w:rPr>
                <w:sz w:val="20"/>
                <w:szCs w:val="20"/>
              </w:rPr>
              <w:t>$5</w:t>
            </w:r>
            <w:r>
              <w:rPr>
                <w:sz w:val="20"/>
                <w:szCs w:val="20"/>
              </w:rPr>
              <w:t>06</w:t>
            </w:r>
            <w:r w:rsidRPr="002153A0">
              <w:rPr>
                <w:sz w:val="20"/>
                <w:szCs w:val="20"/>
              </w:rPr>
              <w:t>,7</w:t>
            </w:r>
            <w:r>
              <w:rPr>
                <w:sz w:val="20"/>
                <w:szCs w:val="20"/>
              </w:rPr>
              <w:t>75</w:t>
            </w:r>
          </w:p>
        </w:tc>
        <w:tc>
          <w:tcPr>
            <w:tcW w:w="1080" w:type="dxa"/>
            <w:noWrap/>
            <w:vAlign w:val="center"/>
          </w:tcPr>
          <w:p w:rsidR="00AC40FC" w:rsidRPr="002153A0" w:rsidRDefault="00AC40FC" w:rsidP="00BB665B">
            <w:pPr>
              <w:spacing w:after="0"/>
              <w:jc w:val="center"/>
              <w:rPr>
                <w:sz w:val="20"/>
                <w:szCs w:val="20"/>
              </w:rPr>
            </w:pPr>
            <w:r w:rsidRPr="002153A0">
              <w:rPr>
                <w:sz w:val="20"/>
                <w:szCs w:val="20"/>
              </w:rPr>
              <w:t>$1,381,992</w:t>
            </w:r>
          </w:p>
        </w:tc>
        <w:tc>
          <w:tcPr>
            <w:tcW w:w="1264" w:type="dxa"/>
            <w:noWrap/>
            <w:vAlign w:val="center"/>
          </w:tcPr>
          <w:p w:rsidR="00AC40FC" w:rsidRPr="002153A0" w:rsidRDefault="00AC40FC" w:rsidP="00BB665B">
            <w:pPr>
              <w:spacing w:after="0"/>
              <w:jc w:val="center"/>
              <w:rPr>
                <w:sz w:val="20"/>
                <w:szCs w:val="20"/>
              </w:rPr>
            </w:pPr>
            <w:r w:rsidRPr="002153A0">
              <w:rPr>
                <w:sz w:val="20"/>
                <w:szCs w:val="20"/>
              </w:rPr>
              <w:t>$2,</w:t>
            </w:r>
            <w:r>
              <w:rPr>
                <w:sz w:val="20"/>
                <w:szCs w:val="20"/>
              </w:rPr>
              <w:t>468</w:t>
            </w:r>
            <w:r w:rsidRPr="002153A0">
              <w:rPr>
                <w:sz w:val="20"/>
                <w:szCs w:val="20"/>
              </w:rPr>
              <w:t>,</w:t>
            </w:r>
            <w:r w:rsidR="00D65B88">
              <w:rPr>
                <w:sz w:val="20"/>
                <w:szCs w:val="20"/>
              </w:rPr>
              <w:t>3</w:t>
            </w:r>
            <w:r>
              <w:rPr>
                <w:sz w:val="20"/>
                <w:szCs w:val="20"/>
              </w:rPr>
              <w:t>06</w:t>
            </w:r>
          </w:p>
        </w:tc>
      </w:tr>
      <w:tr w:rsidR="00AC40FC" w:rsidRPr="00DB41A5" w:rsidTr="003B1069">
        <w:trPr>
          <w:cantSplit/>
          <w:trHeight w:val="765"/>
          <w:jc w:val="center"/>
        </w:trPr>
        <w:tc>
          <w:tcPr>
            <w:tcW w:w="2494" w:type="dxa"/>
            <w:vAlign w:val="center"/>
            <w:hideMark/>
          </w:tcPr>
          <w:p w:rsidR="00AC40FC" w:rsidRPr="007B54B0" w:rsidRDefault="00AC40FC" w:rsidP="007B54B0">
            <w:pPr>
              <w:spacing w:after="0"/>
              <w:jc w:val="center"/>
              <w:rPr>
                <w:sz w:val="20"/>
                <w:szCs w:val="20"/>
                <w:vertAlign w:val="superscript"/>
              </w:rPr>
            </w:pPr>
            <w:r w:rsidRPr="007B54B0">
              <w:rPr>
                <w:bCs/>
                <w:sz w:val="20"/>
                <w:szCs w:val="20"/>
              </w:rPr>
              <w:t>Paul A. Farr, Former Executive Vice President and Chief Financial Officer(¹)</w:t>
            </w:r>
          </w:p>
        </w:tc>
        <w:tc>
          <w:tcPr>
            <w:tcW w:w="540" w:type="dxa"/>
            <w:noWrap/>
            <w:vAlign w:val="center"/>
            <w:hideMark/>
          </w:tcPr>
          <w:p w:rsidR="00AC40FC" w:rsidRPr="00DB41A5" w:rsidRDefault="00AC40FC" w:rsidP="00BB665B">
            <w:pPr>
              <w:spacing w:after="0"/>
              <w:jc w:val="center"/>
              <w:rPr>
                <w:bCs/>
                <w:sz w:val="20"/>
                <w:szCs w:val="20"/>
              </w:rPr>
            </w:pPr>
            <w:r>
              <w:rPr>
                <w:bCs/>
                <w:sz w:val="20"/>
                <w:szCs w:val="20"/>
              </w:rPr>
              <w:t>2015</w:t>
            </w:r>
          </w:p>
        </w:tc>
        <w:tc>
          <w:tcPr>
            <w:tcW w:w="1152" w:type="dxa"/>
            <w:noWrap/>
            <w:vAlign w:val="center"/>
            <w:hideMark/>
          </w:tcPr>
          <w:p w:rsidR="00AC40FC" w:rsidRPr="002153A0" w:rsidRDefault="00AC40FC" w:rsidP="00BB665B">
            <w:pPr>
              <w:spacing w:after="0"/>
              <w:jc w:val="center"/>
              <w:rPr>
                <w:sz w:val="20"/>
                <w:szCs w:val="20"/>
              </w:rPr>
            </w:pPr>
            <w:r w:rsidRPr="002153A0">
              <w:rPr>
                <w:sz w:val="20"/>
                <w:szCs w:val="20"/>
              </w:rPr>
              <w:t>$341,192</w:t>
            </w:r>
          </w:p>
        </w:tc>
        <w:tc>
          <w:tcPr>
            <w:tcW w:w="1080" w:type="dxa"/>
            <w:noWrap/>
            <w:vAlign w:val="center"/>
            <w:hideMark/>
          </w:tcPr>
          <w:p w:rsidR="00AC40FC" w:rsidRPr="002153A0" w:rsidRDefault="00AC40FC" w:rsidP="00BB665B">
            <w:pPr>
              <w:spacing w:after="0"/>
              <w:jc w:val="center"/>
              <w:rPr>
                <w:sz w:val="20"/>
                <w:szCs w:val="20"/>
              </w:rPr>
            </w:pPr>
            <w:r w:rsidRPr="002153A0">
              <w:rPr>
                <w:sz w:val="20"/>
                <w:szCs w:val="20"/>
              </w:rPr>
              <w:t>$3</w:t>
            </w:r>
            <w:r>
              <w:rPr>
                <w:sz w:val="20"/>
                <w:szCs w:val="20"/>
              </w:rPr>
              <w:t>22</w:t>
            </w:r>
            <w:r w:rsidRPr="002153A0">
              <w:rPr>
                <w:sz w:val="20"/>
                <w:szCs w:val="20"/>
              </w:rPr>
              <w:t>,</w:t>
            </w:r>
            <w:r>
              <w:rPr>
                <w:sz w:val="20"/>
                <w:szCs w:val="20"/>
              </w:rPr>
              <w:t>481</w:t>
            </w:r>
          </w:p>
        </w:tc>
        <w:tc>
          <w:tcPr>
            <w:tcW w:w="1080" w:type="dxa"/>
            <w:noWrap/>
            <w:vAlign w:val="center"/>
            <w:hideMark/>
          </w:tcPr>
          <w:p w:rsidR="00AC40FC" w:rsidRPr="002153A0" w:rsidRDefault="00AC40FC" w:rsidP="00BB665B">
            <w:pPr>
              <w:spacing w:after="0"/>
              <w:jc w:val="center"/>
              <w:rPr>
                <w:sz w:val="20"/>
                <w:szCs w:val="20"/>
              </w:rPr>
            </w:pPr>
            <w:r w:rsidRPr="002153A0">
              <w:rPr>
                <w:sz w:val="20"/>
                <w:szCs w:val="20"/>
              </w:rPr>
              <w:t>$2,941,602</w:t>
            </w:r>
          </w:p>
        </w:tc>
        <w:tc>
          <w:tcPr>
            <w:tcW w:w="1264" w:type="dxa"/>
            <w:noWrap/>
            <w:vAlign w:val="center"/>
            <w:hideMark/>
          </w:tcPr>
          <w:p w:rsidR="00AC40FC" w:rsidRPr="002153A0" w:rsidRDefault="00AC40FC" w:rsidP="00BB665B">
            <w:pPr>
              <w:spacing w:after="0"/>
              <w:jc w:val="center"/>
              <w:rPr>
                <w:sz w:val="20"/>
                <w:szCs w:val="20"/>
              </w:rPr>
            </w:pPr>
            <w:r w:rsidRPr="002153A0">
              <w:rPr>
                <w:sz w:val="20"/>
                <w:szCs w:val="20"/>
              </w:rPr>
              <w:t>$3,6</w:t>
            </w:r>
            <w:r>
              <w:rPr>
                <w:sz w:val="20"/>
                <w:szCs w:val="20"/>
              </w:rPr>
              <w:t>05</w:t>
            </w:r>
            <w:r w:rsidRPr="002153A0">
              <w:rPr>
                <w:sz w:val="20"/>
                <w:szCs w:val="20"/>
              </w:rPr>
              <w:t>,</w:t>
            </w:r>
            <w:r>
              <w:rPr>
                <w:sz w:val="20"/>
                <w:szCs w:val="20"/>
              </w:rPr>
              <w:t>275</w:t>
            </w:r>
          </w:p>
        </w:tc>
      </w:tr>
      <w:tr w:rsidR="00AC40FC" w:rsidRPr="00DB41A5" w:rsidTr="003B1069">
        <w:trPr>
          <w:cantSplit/>
          <w:trHeight w:val="908"/>
          <w:jc w:val="center"/>
        </w:trPr>
        <w:tc>
          <w:tcPr>
            <w:tcW w:w="2494" w:type="dxa"/>
            <w:vAlign w:val="center"/>
            <w:hideMark/>
          </w:tcPr>
          <w:p w:rsidR="00AC40FC" w:rsidRPr="00DB41A5" w:rsidRDefault="00AC40FC" w:rsidP="00BB665B">
            <w:pPr>
              <w:spacing w:after="0"/>
              <w:jc w:val="center"/>
              <w:rPr>
                <w:bCs/>
                <w:sz w:val="20"/>
                <w:szCs w:val="20"/>
              </w:rPr>
            </w:pPr>
            <w:r w:rsidRPr="00DB41A5">
              <w:rPr>
                <w:bCs/>
                <w:sz w:val="20"/>
                <w:szCs w:val="20"/>
              </w:rPr>
              <w:t xml:space="preserve">Victor A. Staffieri, Chairman of the Board, Chief Executive Officer and President </w:t>
            </w:r>
            <w:r>
              <w:rPr>
                <w:bCs/>
                <w:sz w:val="20"/>
                <w:szCs w:val="20"/>
              </w:rPr>
              <w:t>–</w:t>
            </w:r>
            <w:r w:rsidRPr="00DB41A5">
              <w:rPr>
                <w:bCs/>
                <w:sz w:val="20"/>
                <w:szCs w:val="20"/>
              </w:rPr>
              <w:t xml:space="preserve"> LG&amp;E and KU Energy LLC</w:t>
            </w:r>
          </w:p>
        </w:tc>
        <w:tc>
          <w:tcPr>
            <w:tcW w:w="540" w:type="dxa"/>
            <w:noWrap/>
            <w:vAlign w:val="center"/>
            <w:hideMark/>
          </w:tcPr>
          <w:p w:rsidR="00AC40FC" w:rsidRPr="00DB41A5" w:rsidRDefault="00AC40FC" w:rsidP="00BB665B">
            <w:pPr>
              <w:spacing w:after="0"/>
              <w:jc w:val="center"/>
              <w:rPr>
                <w:bCs/>
                <w:sz w:val="20"/>
                <w:szCs w:val="20"/>
              </w:rPr>
            </w:pPr>
            <w:r>
              <w:rPr>
                <w:bCs/>
                <w:sz w:val="20"/>
                <w:szCs w:val="20"/>
              </w:rPr>
              <w:t>2015</w:t>
            </w:r>
          </w:p>
        </w:tc>
        <w:tc>
          <w:tcPr>
            <w:tcW w:w="1152" w:type="dxa"/>
            <w:noWrap/>
            <w:vAlign w:val="center"/>
            <w:hideMark/>
          </w:tcPr>
          <w:p w:rsidR="00AC40FC" w:rsidRPr="002153A0" w:rsidRDefault="00AC40FC" w:rsidP="00BB665B">
            <w:pPr>
              <w:spacing w:after="0"/>
              <w:jc w:val="center"/>
              <w:rPr>
                <w:sz w:val="20"/>
                <w:szCs w:val="20"/>
              </w:rPr>
            </w:pPr>
            <w:r w:rsidRPr="002153A0">
              <w:rPr>
                <w:sz w:val="20"/>
                <w:szCs w:val="20"/>
              </w:rPr>
              <w:t>$811,220</w:t>
            </w:r>
          </w:p>
        </w:tc>
        <w:tc>
          <w:tcPr>
            <w:tcW w:w="1080" w:type="dxa"/>
            <w:noWrap/>
            <w:vAlign w:val="center"/>
            <w:hideMark/>
          </w:tcPr>
          <w:p w:rsidR="00AC40FC" w:rsidRPr="002153A0" w:rsidRDefault="00AC40FC" w:rsidP="00BB665B">
            <w:pPr>
              <w:spacing w:after="0"/>
              <w:jc w:val="center"/>
              <w:rPr>
                <w:sz w:val="20"/>
                <w:szCs w:val="20"/>
              </w:rPr>
            </w:pPr>
            <w:r w:rsidRPr="002153A0">
              <w:rPr>
                <w:sz w:val="20"/>
                <w:szCs w:val="20"/>
              </w:rPr>
              <w:t>$</w:t>
            </w:r>
            <w:r>
              <w:rPr>
                <w:sz w:val="20"/>
                <w:szCs w:val="20"/>
              </w:rPr>
              <w:t>898</w:t>
            </w:r>
            <w:r w:rsidRPr="002153A0">
              <w:rPr>
                <w:sz w:val="20"/>
                <w:szCs w:val="20"/>
              </w:rPr>
              <w:t>,</w:t>
            </w:r>
            <w:r>
              <w:rPr>
                <w:sz w:val="20"/>
                <w:szCs w:val="20"/>
              </w:rPr>
              <w:t>629</w:t>
            </w:r>
          </w:p>
        </w:tc>
        <w:tc>
          <w:tcPr>
            <w:tcW w:w="1080" w:type="dxa"/>
            <w:noWrap/>
            <w:vAlign w:val="center"/>
            <w:hideMark/>
          </w:tcPr>
          <w:p w:rsidR="00AC40FC" w:rsidRPr="002153A0" w:rsidRDefault="00AC40FC" w:rsidP="00BB665B">
            <w:pPr>
              <w:spacing w:after="0"/>
              <w:jc w:val="center"/>
              <w:rPr>
                <w:sz w:val="20"/>
                <w:szCs w:val="20"/>
              </w:rPr>
            </w:pPr>
            <w:r w:rsidRPr="002153A0">
              <w:rPr>
                <w:sz w:val="20"/>
                <w:szCs w:val="20"/>
              </w:rPr>
              <w:t>$1,785,084</w:t>
            </w:r>
          </w:p>
        </w:tc>
        <w:tc>
          <w:tcPr>
            <w:tcW w:w="1264" w:type="dxa"/>
            <w:noWrap/>
            <w:vAlign w:val="center"/>
            <w:hideMark/>
          </w:tcPr>
          <w:p w:rsidR="00AC40FC" w:rsidRPr="002153A0" w:rsidRDefault="00AC40FC" w:rsidP="00BB665B">
            <w:pPr>
              <w:spacing w:after="0"/>
              <w:jc w:val="center"/>
              <w:rPr>
                <w:sz w:val="20"/>
                <w:szCs w:val="20"/>
              </w:rPr>
            </w:pPr>
            <w:r w:rsidRPr="002153A0">
              <w:rPr>
                <w:sz w:val="20"/>
                <w:szCs w:val="20"/>
              </w:rPr>
              <w:t>$3,</w:t>
            </w:r>
            <w:r>
              <w:rPr>
                <w:sz w:val="20"/>
                <w:szCs w:val="20"/>
              </w:rPr>
              <w:t>494</w:t>
            </w:r>
            <w:r w:rsidRPr="002153A0">
              <w:rPr>
                <w:sz w:val="20"/>
                <w:szCs w:val="20"/>
              </w:rPr>
              <w:t>,</w:t>
            </w:r>
            <w:r>
              <w:rPr>
                <w:sz w:val="20"/>
                <w:szCs w:val="20"/>
              </w:rPr>
              <w:t>933</w:t>
            </w:r>
          </w:p>
        </w:tc>
      </w:tr>
      <w:tr w:rsidR="00AC40FC" w:rsidRPr="00DB41A5" w:rsidTr="006F50C6">
        <w:trPr>
          <w:cantSplit/>
          <w:jc w:val="center"/>
        </w:trPr>
        <w:tc>
          <w:tcPr>
            <w:tcW w:w="2494" w:type="dxa"/>
            <w:vAlign w:val="center"/>
            <w:hideMark/>
          </w:tcPr>
          <w:p w:rsidR="00AC40FC" w:rsidRPr="00617E32" w:rsidRDefault="00AC40FC" w:rsidP="007B54B0">
            <w:pPr>
              <w:spacing w:after="0"/>
              <w:jc w:val="center"/>
              <w:rPr>
                <w:vertAlign w:val="superscript"/>
              </w:rPr>
            </w:pPr>
            <w:r w:rsidRPr="007B54B0">
              <w:rPr>
                <w:bCs/>
                <w:sz w:val="20"/>
                <w:szCs w:val="20"/>
              </w:rPr>
              <w:t xml:space="preserve">Robert  A. Symons </w:t>
            </w:r>
            <w:r w:rsidRPr="007B54B0">
              <w:rPr>
                <w:bCs/>
                <w:sz w:val="20"/>
                <w:szCs w:val="20"/>
              </w:rPr>
              <w:br/>
              <w:t>Chief Executive Officer – WPD Midlands(²)</w:t>
            </w:r>
          </w:p>
        </w:tc>
        <w:tc>
          <w:tcPr>
            <w:tcW w:w="540" w:type="dxa"/>
            <w:noWrap/>
            <w:vAlign w:val="center"/>
            <w:hideMark/>
          </w:tcPr>
          <w:p w:rsidR="00AC40FC" w:rsidRPr="000F6F5E" w:rsidRDefault="00AC40FC" w:rsidP="007B54B0">
            <w:pPr>
              <w:rPr>
                <w:sz w:val="20"/>
                <w:szCs w:val="20"/>
              </w:rPr>
            </w:pPr>
            <w:r w:rsidRPr="000F6F5E">
              <w:rPr>
                <w:sz w:val="20"/>
                <w:szCs w:val="20"/>
              </w:rPr>
              <w:t>2015</w:t>
            </w:r>
          </w:p>
        </w:tc>
        <w:tc>
          <w:tcPr>
            <w:tcW w:w="1152" w:type="dxa"/>
            <w:noWrap/>
            <w:vAlign w:val="center"/>
            <w:hideMark/>
          </w:tcPr>
          <w:p w:rsidR="00AC40FC" w:rsidRPr="002153A0" w:rsidRDefault="00AC40FC" w:rsidP="00BB665B">
            <w:pPr>
              <w:spacing w:after="0"/>
              <w:jc w:val="center"/>
              <w:rPr>
                <w:sz w:val="20"/>
                <w:szCs w:val="20"/>
              </w:rPr>
            </w:pPr>
            <w:r w:rsidRPr="002153A0">
              <w:rPr>
                <w:sz w:val="20"/>
                <w:szCs w:val="20"/>
              </w:rPr>
              <w:t>$836,038</w:t>
            </w:r>
          </w:p>
        </w:tc>
        <w:tc>
          <w:tcPr>
            <w:tcW w:w="1080" w:type="dxa"/>
            <w:noWrap/>
            <w:vAlign w:val="center"/>
            <w:hideMark/>
          </w:tcPr>
          <w:p w:rsidR="00AC40FC" w:rsidRPr="002153A0" w:rsidRDefault="00AC40FC" w:rsidP="00BB665B">
            <w:pPr>
              <w:spacing w:after="0"/>
              <w:jc w:val="center"/>
              <w:rPr>
                <w:sz w:val="20"/>
                <w:szCs w:val="20"/>
              </w:rPr>
            </w:pPr>
            <w:r w:rsidRPr="002153A0">
              <w:rPr>
                <w:sz w:val="20"/>
                <w:szCs w:val="20"/>
              </w:rPr>
              <w:t>$</w:t>
            </w:r>
            <w:r>
              <w:rPr>
                <w:sz w:val="20"/>
                <w:szCs w:val="20"/>
              </w:rPr>
              <w:t>69</w:t>
            </w:r>
            <w:r w:rsidRPr="002153A0">
              <w:rPr>
                <w:sz w:val="20"/>
                <w:szCs w:val="20"/>
              </w:rPr>
              <w:t>0,</w:t>
            </w:r>
            <w:r>
              <w:rPr>
                <w:sz w:val="20"/>
                <w:szCs w:val="20"/>
              </w:rPr>
              <w:t>156</w:t>
            </w:r>
          </w:p>
        </w:tc>
        <w:tc>
          <w:tcPr>
            <w:tcW w:w="1080" w:type="dxa"/>
            <w:noWrap/>
            <w:vAlign w:val="center"/>
            <w:hideMark/>
          </w:tcPr>
          <w:p w:rsidR="00AC40FC" w:rsidRPr="002153A0" w:rsidRDefault="00AC40FC" w:rsidP="00BB665B">
            <w:pPr>
              <w:spacing w:after="0"/>
              <w:jc w:val="center"/>
              <w:rPr>
                <w:sz w:val="20"/>
                <w:szCs w:val="20"/>
              </w:rPr>
            </w:pPr>
            <w:r w:rsidRPr="002153A0">
              <w:rPr>
                <w:sz w:val="20"/>
                <w:szCs w:val="20"/>
              </w:rPr>
              <w:t>$698,488</w:t>
            </w:r>
          </w:p>
        </w:tc>
        <w:tc>
          <w:tcPr>
            <w:tcW w:w="1264" w:type="dxa"/>
            <w:noWrap/>
            <w:vAlign w:val="center"/>
            <w:hideMark/>
          </w:tcPr>
          <w:p w:rsidR="00AC40FC" w:rsidRPr="002153A0" w:rsidRDefault="00AC40FC" w:rsidP="00BB665B">
            <w:pPr>
              <w:spacing w:after="0"/>
              <w:jc w:val="center"/>
              <w:rPr>
                <w:sz w:val="20"/>
                <w:szCs w:val="20"/>
              </w:rPr>
            </w:pPr>
            <w:r w:rsidRPr="002153A0">
              <w:rPr>
                <w:sz w:val="20"/>
                <w:szCs w:val="20"/>
              </w:rPr>
              <w:t>$2,2</w:t>
            </w:r>
            <w:r>
              <w:rPr>
                <w:sz w:val="20"/>
                <w:szCs w:val="20"/>
              </w:rPr>
              <w:t>24</w:t>
            </w:r>
            <w:r w:rsidRPr="002153A0">
              <w:rPr>
                <w:sz w:val="20"/>
                <w:szCs w:val="20"/>
              </w:rPr>
              <w:t>,</w:t>
            </w:r>
            <w:r>
              <w:rPr>
                <w:sz w:val="20"/>
                <w:szCs w:val="20"/>
              </w:rPr>
              <w:t>682</w:t>
            </w:r>
          </w:p>
        </w:tc>
      </w:tr>
      <w:tr w:rsidR="00AC40FC" w:rsidRPr="00DB41A5" w:rsidTr="003B1069">
        <w:trPr>
          <w:trHeight w:val="1020"/>
          <w:jc w:val="center"/>
        </w:trPr>
        <w:tc>
          <w:tcPr>
            <w:tcW w:w="7610" w:type="dxa"/>
            <w:gridSpan w:val="6"/>
            <w:hideMark/>
          </w:tcPr>
          <w:p w:rsidR="00AC40FC" w:rsidRPr="00A75BD4" w:rsidRDefault="00AC40FC" w:rsidP="00BB665B">
            <w:pPr>
              <w:spacing w:before="120" w:after="60"/>
              <w:rPr>
                <w:rFonts w:cs="Arial"/>
                <w:sz w:val="20"/>
                <w:szCs w:val="20"/>
              </w:rPr>
            </w:pPr>
            <w:r>
              <w:rPr>
                <w:rFonts w:cs="Arial"/>
                <w:sz w:val="20"/>
                <w:szCs w:val="20"/>
                <w:vertAlign w:val="superscript"/>
              </w:rPr>
              <w:t>(</w:t>
            </w:r>
            <w:r w:rsidRPr="00A75BD4">
              <w:rPr>
                <w:rFonts w:cs="Arial"/>
                <w:sz w:val="20"/>
                <w:szCs w:val="20"/>
              </w:rPr>
              <w:t>¹</w:t>
            </w:r>
            <w:r>
              <w:rPr>
                <w:rFonts w:cs="Arial"/>
                <w:sz w:val="20"/>
                <w:szCs w:val="20"/>
                <w:vertAlign w:val="superscript"/>
              </w:rPr>
              <w:t>)</w:t>
            </w:r>
            <w:r w:rsidRPr="00A75BD4">
              <w:rPr>
                <w:rFonts w:cs="Arial"/>
                <w:sz w:val="20"/>
                <w:szCs w:val="20"/>
              </w:rPr>
              <w:t xml:space="preserve"> Effective June 1, 2015, concurrent with the spinoff of PPL's Energy Supply segment, Mr. Farr resigned from PPL.</w:t>
            </w:r>
          </w:p>
          <w:p w:rsidR="00AC40FC" w:rsidRPr="00A75BD4" w:rsidRDefault="00AC40FC" w:rsidP="00BB665B">
            <w:pPr>
              <w:spacing w:after="60"/>
              <w:rPr>
                <w:rFonts w:cs="Arial"/>
                <w:sz w:val="20"/>
                <w:szCs w:val="20"/>
              </w:rPr>
            </w:pPr>
            <w:r>
              <w:rPr>
                <w:rFonts w:cs="Arial"/>
                <w:sz w:val="20"/>
                <w:szCs w:val="20"/>
                <w:vertAlign w:val="superscript"/>
              </w:rPr>
              <w:t>(</w:t>
            </w:r>
            <w:r w:rsidRPr="00A75BD4">
              <w:rPr>
                <w:rFonts w:cs="Arial"/>
                <w:sz w:val="20"/>
                <w:szCs w:val="20"/>
              </w:rPr>
              <w:t>²</w:t>
            </w:r>
            <w:r>
              <w:rPr>
                <w:rFonts w:cs="Arial"/>
                <w:sz w:val="20"/>
                <w:szCs w:val="20"/>
                <w:vertAlign w:val="superscript"/>
              </w:rPr>
              <w:t>)</w:t>
            </w:r>
            <w:r w:rsidRPr="00A75BD4">
              <w:rPr>
                <w:rFonts w:cs="Arial"/>
                <w:sz w:val="20"/>
                <w:szCs w:val="20"/>
              </w:rPr>
              <w:t xml:space="preserve"> Mr. Symons is based in the United Kingdom and is compensated in Pounds Sterling.  His 2015 cash compensation has been converted to U.S. dollars at an exchange rate of $1.5283, which is the average monthly translation rate for 2015, except with respect to the short-term incentive amount, which was converted to U.S. dollars at an exchange rate of $1.4376, which is the translation rate for February 2, 2016, the date the cash incentive award was paid to Mr. Symons.</w:t>
            </w:r>
          </w:p>
          <w:p w:rsidR="007B54B0" w:rsidRPr="00A75BD4" w:rsidRDefault="00AC40FC" w:rsidP="00BB665B">
            <w:pPr>
              <w:spacing w:after="60"/>
              <w:rPr>
                <w:rFonts w:cs="Arial"/>
                <w:sz w:val="20"/>
                <w:szCs w:val="20"/>
              </w:rPr>
            </w:pPr>
            <w:r>
              <w:rPr>
                <w:rFonts w:cs="Arial"/>
                <w:sz w:val="20"/>
                <w:szCs w:val="20"/>
                <w:vertAlign w:val="superscript"/>
              </w:rPr>
              <w:t>(</w:t>
            </w:r>
            <w:r w:rsidRPr="00A75BD4">
              <w:rPr>
                <w:rFonts w:cs="Arial"/>
                <w:sz w:val="20"/>
                <w:szCs w:val="20"/>
              </w:rPr>
              <w:t>³</w:t>
            </w:r>
            <w:r>
              <w:rPr>
                <w:rFonts w:cs="Arial"/>
                <w:sz w:val="20"/>
                <w:szCs w:val="20"/>
                <w:vertAlign w:val="superscript"/>
              </w:rPr>
              <w:t>)</w:t>
            </w:r>
            <w:r w:rsidRPr="00A75BD4">
              <w:rPr>
                <w:rFonts w:cs="Arial"/>
                <w:sz w:val="20"/>
                <w:szCs w:val="20"/>
              </w:rPr>
              <w:t xml:space="preserve"> For 2015, amounts represent cash awards made in January 2016 for performance under the company’s annual cash incentive award program for 2015, which were made under PPL’s Short-term Incentive Plan for all NEOs. These amounts include amounts the NEOs have elected to defer to the PPL Executive Deferred Compensation Plan or, for Mr. Staffieri, to the LG&amp;E and KU Nonqualified Savings Plan. The following NEOs deferred cash awards in the amounts indicated: Mr. Spence ($55,169); Mr. Sorgi ($122,325); and Mr. Staffieri ($53,918). These amounts will be included in the “Nonqualified Deferred Compensation in 2016” table as executive contributions in the 2017 proxy statement.</w:t>
            </w:r>
          </w:p>
          <w:p w:rsidR="00AC40FC" w:rsidRDefault="00AC40FC" w:rsidP="00BB665B">
            <w:pPr>
              <w:spacing w:after="0"/>
              <w:rPr>
                <w:sz w:val="20"/>
                <w:szCs w:val="20"/>
              </w:rPr>
            </w:pPr>
            <w:r w:rsidRPr="00617E32">
              <w:rPr>
                <w:rFonts w:cs="Arial"/>
                <w:sz w:val="20"/>
                <w:szCs w:val="20"/>
                <w:vertAlign w:val="superscript"/>
              </w:rPr>
              <w:t>(</w:t>
            </w:r>
            <w:r w:rsidRPr="00E656BE">
              <w:rPr>
                <w:rFonts w:ascii="Cambria Math" w:hAnsi="Cambria Math" w:cs="Arial"/>
                <w:sz w:val="20"/>
                <w:szCs w:val="20"/>
              </w:rPr>
              <w:t>⁴</w:t>
            </w:r>
            <w:r w:rsidRPr="00617E32">
              <w:rPr>
                <w:rFonts w:cs="Arial"/>
                <w:sz w:val="20"/>
                <w:szCs w:val="20"/>
                <w:vertAlign w:val="superscript"/>
              </w:rPr>
              <w:t>)</w:t>
            </w:r>
            <w:r>
              <w:rPr>
                <w:rFonts w:cs="Arial"/>
                <w:sz w:val="20"/>
                <w:szCs w:val="20"/>
              </w:rPr>
              <w:t xml:space="preserve"> </w:t>
            </w:r>
            <w:r w:rsidRPr="00A75BD4">
              <w:rPr>
                <w:rFonts w:cs="Arial"/>
                <w:sz w:val="20"/>
                <w:szCs w:val="20"/>
              </w:rPr>
              <w:t xml:space="preserve">This column includes the aggregate grant date fair value of restricted stock units </w:t>
            </w:r>
            <w:r w:rsidRPr="00A75BD4">
              <w:rPr>
                <w:rFonts w:cs="Arial"/>
                <w:sz w:val="20"/>
                <w:szCs w:val="20"/>
              </w:rPr>
              <w:lastRenderedPageBreak/>
              <w:t>and performance units as calculated under ASC Topic 718, without taking into account estimated forfeitures. The grant date fair values of restricted stock units are calculated using the closing price of PPL common stock on the NYSE on the date of grant. The grant date fair values of the performance units reflected in this column are the target payouts based on the probable outcome of the performance condition, determined as of the grant date, and are disclosed in the “Grants of Plan-Based Awards During 2015” table on page 48 of the 2016 Proxy Statement. The maximum potential values as of the grant date of the performance units granted in 2015 assuming the highest level of performance are as follows: Mr. Spence—$6,430,355; Mr. Sorgi—$1,140,852; Mr. Grey—$1,181,592; Mr. Farr—$2,522,287; Mr. Staffieri—$1,799,139; and Mr. Symons—$713,331. This column also includes, for stock options, amounts representing the incremental fair value under ASC Topic 718 of adjustments to prior year grants made to the NEOs under the anti-dilution provisions of PPL’s equity-based compensation plans as a result of the spinoff of PPL’s Energy Supply segment.  No stock options were awarded in 2015.  For additional information on the assumptions made in the valuation of performance units, as well as in the valuation of adjustments to outstanding stock options, refer to Note 10 to the PPL financial statements in the Annual Report on Form 10-K for the fiscal year ended December 31, 2015, as filed with the SEC. Further information regarding the 2015 awards is included in the “Grants of Plan-Based Awards During 2015” and “Outstanding Equity Awards at Fiscal Year-End 2015” tables elsewhere in the 2016 Proxy Statement.  A description of the adjustments made in connection with the spinoff is included in the introduction to the “Outstanding Equity Awards at Fiscal Year-End 2015” at page 50 of the 2016 Proxy Statement.</w:t>
            </w:r>
          </w:p>
        </w:tc>
      </w:tr>
      <w:tr w:rsidR="00AC40FC" w:rsidRPr="00DB41A5" w:rsidTr="003B1069">
        <w:trPr>
          <w:cantSplit/>
          <w:trHeight w:val="288"/>
          <w:jc w:val="center"/>
        </w:trPr>
        <w:tc>
          <w:tcPr>
            <w:tcW w:w="7610" w:type="dxa"/>
            <w:gridSpan w:val="6"/>
            <w:vAlign w:val="center"/>
            <w:hideMark/>
          </w:tcPr>
          <w:p w:rsidR="00AC40FC" w:rsidRPr="00A75BD4" w:rsidRDefault="00AC40FC" w:rsidP="00BB665B">
            <w:pPr>
              <w:spacing w:after="0"/>
              <w:jc w:val="left"/>
              <w:rPr>
                <w:rFonts w:cs="Arial"/>
                <w:sz w:val="20"/>
                <w:szCs w:val="20"/>
              </w:rPr>
            </w:pPr>
            <w:r w:rsidRPr="00A75BD4">
              <w:rPr>
                <w:rFonts w:cs="Arial"/>
                <w:sz w:val="20"/>
                <w:szCs w:val="20"/>
              </w:rPr>
              <w:lastRenderedPageBreak/>
              <w:t>Source:  DN 15-146; PPL Corporation Proxy Statement 2016</w:t>
            </w:r>
          </w:p>
        </w:tc>
      </w:tr>
    </w:tbl>
    <w:p w:rsidR="00AC40FC" w:rsidRPr="000C53AA" w:rsidRDefault="00AC40FC" w:rsidP="00C73199">
      <w:pPr>
        <w:pStyle w:val="Normal-aftertable"/>
      </w:pPr>
      <w:r w:rsidRPr="002238E3">
        <w:t xml:space="preserve">Adding base salary, short-term incentives, and long-term equity reflects PPL Corporation’s NEOs’ total direct compensation.  </w:t>
      </w:r>
      <w:r>
        <w:t xml:space="preserve">The PPL compensation framework places a heavy emphasis on at-risk performance-based pay through the use of annual and long-term performance-based compensation elements. In 2015, 85% of the CEO’s target compensation opportunity was “at-risk performance-based” pay. For the CFO, this percentage was 73%, and the average for the other NEOs was 71%.”  PPL Corporation’s executive compensation objectives are to support high performance, industry leadership, and long-term shareholder value in the energy and utility industry.  </w:t>
      </w:r>
    </w:p>
    <w:p w:rsidR="00AC40FC" w:rsidRDefault="00AC40FC" w:rsidP="00C73199">
      <w:r>
        <w:t xml:space="preserve">Equally important is the reasonableness and market competitiveness of the top four PPL EU executives in relationship to utility costs for ratepayers. The table below provides the 2015 base salaries for PPL EU’s top four executives. </w:t>
      </w:r>
    </w:p>
    <w:p w:rsidR="00AC40FC" w:rsidRDefault="00AC40FC">
      <w:pPr>
        <w:spacing w:after="0"/>
        <w:jc w:val="left"/>
        <w:rPr>
          <w:b/>
          <w:bCs/>
          <w:szCs w:val="18"/>
        </w:rPr>
      </w:pPr>
      <w:r>
        <w:br w:type="page"/>
      </w:r>
    </w:p>
    <w:p w:rsidR="00AC40FC" w:rsidRPr="00BA4BFA" w:rsidRDefault="00AC40FC" w:rsidP="002B3172">
      <w:pPr>
        <w:pStyle w:val="Caption"/>
      </w:pPr>
      <w:bookmarkStart w:id="260" w:name="_Toc462648464"/>
      <w:bookmarkStart w:id="261" w:name="_Toc464553086"/>
      <w:r>
        <w:lastRenderedPageBreak/>
        <w:t xml:space="preserve">Exhibit </w:t>
      </w:r>
      <w:fldSimple w:instr=" STYLEREF 1 \s ">
        <w:r w:rsidR="00A24205">
          <w:rPr>
            <w:noProof/>
          </w:rPr>
          <w:t>XIII</w:t>
        </w:r>
      </w:fldSimple>
      <w:r w:rsidR="00264A1B">
        <w:noBreakHyphen/>
      </w:r>
      <w:fldSimple w:instr=" SEQ Exhibit \* ARABIC \s 1 ">
        <w:r w:rsidR="00A24205">
          <w:rPr>
            <w:noProof/>
          </w:rPr>
          <w:t>11</w:t>
        </w:r>
      </w:fldSimple>
      <w:r>
        <w:br/>
      </w:r>
      <w:r w:rsidRPr="00BA4BFA">
        <w:t>PPL EU 201</w:t>
      </w:r>
      <w:r>
        <w:t>5</w:t>
      </w:r>
      <w:r w:rsidRPr="00BA4BFA">
        <w:t xml:space="preserve"> Base Salary</w:t>
      </w:r>
      <w:bookmarkEnd w:id="260"/>
      <w:bookmarkEnd w:id="261"/>
      <w:r w:rsidRPr="00BA4BFA">
        <w:t xml:space="preserve"> </w:t>
      </w:r>
    </w:p>
    <w:tbl>
      <w:tblPr>
        <w:tblStyle w:val="TableGrid"/>
        <w:tblW w:w="0" w:type="auto"/>
        <w:jc w:val="center"/>
        <w:tblLook w:val="04A0"/>
      </w:tblPr>
      <w:tblGrid>
        <w:gridCol w:w="3244"/>
        <w:gridCol w:w="750"/>
        <w:gridCol w:w="1218"/>
      </w:tblGrid>
      <w:tr w:rsidR="00AC40FC" w:rsidRPr="00BA4BFA" w:rsidTr="00D6083E">
        <w:trPr>
          <w:cantSplit/>
          <w:trHeight w:val="422"/>
          <w:tblHeader/>
          <w:jc w:val="center"/>
        </w:trPr>
        <w:tc>
          <w:tcPr>
            <w:tcW w:w="3244" w:type="dxa"/>
            <w:shd w:val="clear" w:color="auto" w:fill="A5CD7E"/>
            <w:noWrap/>
            <w:vAlign w:val="center"/>
            <w:hideMark/>
          </w:tcPr>
          <w:p w:rsidR="00AC40FC" w:rsidRPr="003A5438" w:rsidRDefault="00AC40FC" w:rsidP="00D6083E">
            <w:pPr>
              <w:spacing w:before="120"/>
              <w:jc w:val="center"/>
              <w:rPr>
                <w:b/>
                <w:bCs/>
                <w:szCs w:val="24"/>
              </w:rPr>
            </w:pPr>
            <w:r w:rsidRPr="003A5438">
              <w:rPr>
                <w:b/>
                <w:bCs/>
                <w:szCs w:val="24"/>
              </w:rPr>
              <w:t>Name and Position</w:t>
            </w:r>
          </w:p>
        </w:tc>
        <w:tc>
          <w:tcPr>
            <w:tcW w:w="750" w:type="dxa"/>
            <w:shd w:val="clear" w:color="auto" w:fill="A5CD7E"/>
            <w:noWrap/>
            <w:vAlign w:val="center"/>
            <w:hideMark/>
          </w:tcPr>
          <w:p w:rsidR="00AC40FC" w:rsidRPr="003A5438" w:rsidRDefault="00AC40FC" w:rsidP="00D6083E">
            <w:pPr>
              <w:spacing w:before="120"/>
              <w:jc w:val="center"/>
              <w:rPr>
                <w:b/>
                <w:bCs/>
                <w:szCs w:val="24"/>
              </w:rPr>
            </w:pPr>
            <w:r w:rsidRPr="003A5438">
              <w:rPr>
                <w:b/>
                <w:bCs/>
                <w:szCs w:val="24"/>
              </w:rPr>
              <w:t>Year</w:t>
            </w:r>
          </w:p>
        </w:tc>
        <w:tc>
          <w:tcPr>
            <w:tcW w:w="1218" w:type="dxa"/>
            <w:shd w:val="clear" w:color="auto" w:fill="A5CD7E"/>
            <w:vAlign w:val="center"/>
            <w:hideMark/>
          </w:tcPr>
          <w:p w:rsidR="00AC40FC" w:rsidRPr="003A5438" w:rsidRDefault="00AC40FC" w:rsidP="00D6083E">
            <w:pPr>
              <w:spacing w:before="120"/>
              <w:jc w:val="center"/>
              <w:rPr>
                <w:b/>
                <w:bCs/>
                <w:szCs w:val="24"/>
              </w:rPr>
            </w:pPr>
            <w:r w:rsidRPr="003A5438">
              <w:rPr>
                <w:b/>
                <w:bCs/>
                <w:szCs w:val="24"/>
              </w:rPr>
              <w:t>Base Salary</w:t>
            </w:r>
          </w:p>
        </w:tc>
      </w:tr>
      <w:tr w:rsidR="00AC40FC" w:rsidRPr="00BA4BFA" w:rsidTr="00521E7D">
        <w:trPr>
          <w:cantSplit/>
          <w:trHeight w:val="305"/>
          <w:jc w:val="center"/>
        </w:trPr>
        <w:tc>
          <w:tcPr>
            <w:tcW w:w="3244" w:type="dxa"/>
            <w:vAlign w:val="center"/>
            <w:hideMark/>
          </w:tcPr>
          <w:p w:rsidR="00AC40FC" w:rsidRPr="003A5438" w:rsidRDefault="00AC40FC" w:rsidP="00C73199">
            <w:pPr>
              <w:spacing w:after="0"/>
              <w:jc w:val="center"/>
              <w:rPr>
                <w:bCs/>
                <w:szCs w:val="24"/>
              </w:rPr>
            </w:pPr>
            <w:r w:rsidRPr="003A5438">
              <w:rPr>
                <w:bCs/>
                <w:szCs w:val="24"/>
              </w:rPr>
              <w:t>Greg Dudkin, President</w:t>
            </w:r>
          </w:p>
        </w:tc>
        <w:tc>
          <w:tcPr>
            <w:tcW w:w="750" w:type="dxa"/>
            <w:noWrap/>
            <w:vAlign w:val="center"/>
            <w:hideMark/>
          </w:tcPr>
          <w:p w:rsidR="00AC40FC" w:rsidRPr="003A5438" w:rsidRDefault="00AC40FC" w:rsidP="00C73199">
            <w:pPr>
              <w:spacing w:after="0"/>
              <w:jc w:val="center"/>
              <w:rPr>
                <w:bCs/>
                <w:szCs w:val="24"/>
              </w:rPr>
            </w:pPr>
            <w:r>
              <w:rPr>
                <w:bCs/>
                <w:szCs w:val="24"/>
              </w:rPr>
              <w:t>2015</w:t>
            </w:r>
          </w:p>
        </w:tc>
        <w:tc>
          <w:tcPr>
            <w:tcW w:w="1218" w:type="dxa"/>
            <w:noWrap/>
            <w:vAlign w:val="center"/>
            <w:hideMark/>
          </w:tcPr>
          <w:p w:rsidR="00AC40FC" w:rsidRPr="003A5438" w:rsidRDefault="00AC40FC" w:rsidP="00C73199">
            <w:pPr>
              <w:spacing w:after="0"/>
              <w:jc w:val="center"/>
              <w:rPr>
                <w:bCs/>
                <w:szCs w:val="24"/>
              </w:rPr>
            </w:pPr>
            <w:r>
              <w:rPr>
                <w:bCs/>
                <w:szCs w:val="24"/>
              </w:rPr>
              <w:t>$488,755</w:t>
            </w:r>
          </w:p>
        </w:tc>
      </w:tr>
      <w:tr w:rsidR="00AC40FC" w:rsidRPr="00BA4BFA" w:rsidTr="006F50C6">
        <w:trPr>
          <w:cantSplit/>
          <w:trHeight w:val="510"/>
          <w:jc w:val="center"/>
        </w:trPr>
        <w:tc>
          <w:tcPr>
            <w:tcW w:w="3244" w:type="dxa"/>
            <w:vAlign w:val="center"/>
            <w:hideMark/>
          </w:tcPr>
          <w:p w:rsidR="00AC40FC" w:rsidRPr="003A5438" w:rsidRDefault="00AC40FC" w:rsidP="00C73199">
            <w:pPr>
              <w:spacing w:after="0"/>
              <w:jc w:val="center"/>
              <w:rPr>
                <w:bCs/>
                <w:szCs w:val="24"/>
              </w:rPr>
            </w:pPr>
            <w:r w:rsidRPr="003A5438">
              <w:rPr>
                <w:bCs/>
                <w:szCs w:val="24"/>
              </w:rPr>
              <w:t>David Bonenberger,</w:t>
            </w:r>
            <w:r>
              <w:rPr>
                <w:bCs/>
                <w:szCs w:val="24"/>
              </w:rPr>
              <w:br/>
            </w:r>
            <w:r w:rsidRPr="003A5438">
              <w:rPr>
                <w:bCs/>
                <w:szCs w:val="24"/>
              </w:rPr>
              <w:t>VP-Distribution Operations</w:t>
            </w:r>
          </w:p>
        </w:tc>
        <w:tc>
          <w:tcPr>
            <w:tcW w:w="750" w:type="dxa"/>
            <w:noWrap/>
            <w:vAlign w:val="center"/>
            <w:hideMark/>
          </w:tcPr>
          <w:p w:rsidR="00AC40FC" w:rsidRPr="003A5438" w:rsidRDefault="00AC40FC" w:rsidP="00C73199">
            <w:pPr>
              <w:spacing w:after="0"/>
              <w:jc w:val="center"/>
              <w:rPr>
                <w:bCs/>
                <w:szCs w:val="24"/>
              </w:rPr>
            </w:pPr>
            <w:r>
              <w:rPr>
                <w:bCs/>
                <w:szCs w:val="24"/>
              </w:rPr>
              <w:t>2015</w:t>
            </w:r>
          </w:p>
        </w:tc>
        <w:tc>
          <w:tcPr>
            <w:tcW w:w="1218" w:type="dxa"/>
            <w:noWrap/>
            <w:vAlign w:val="center"/>
            <w:hideMark/>
          </w:tcPr>
          <w:p w:rsidR="00AC40FC" w:rsidRPr="003A5438" w:rsidRDefault="00AC40FC" w:rsidP="00C73199">
            <w:pPr>
              <w:spacing w:after="0"/>
              <w:jc w:val="center"/>
              <w:rPr>
                <w:bCs/>
                <w:szCs w:val="24"/>
              </w:rPr>
            </w:pPr>
            <w:r>
              <w:rPr>
                <w:bCs/>
                <w:szCs w:val="24"/>
              </w:rPr>
              <w:t>$236,391</w:t>
            </w:r>
          </w:p>
        </w:tc>
      </w:tr>
      <w:tr w:rsidR="00AC40FC" w:rsidRPr="00BA4BFA" w:rsidTr="006F50C6">
        <w:trPr>
          <w:cantSplit/>
          <w:trHeight w:val="555"/>
          <w:jc w:val="center"/>
        </w:trPr>
        <w:tc>
          <w:tcPr>
            <w:tcW w:w="3244" w:type="dxa"/>
            <w:vAlign w:val="center"/>
            <w:hideMark/>
          </w:tcPr>
          <w:p w:rsidR="00AC40FC" w:rsidRPr="003A5438" w:rsidRDefault="00AC40FC" w:rsidP="00C73199">
            <w:pPr>
              <w:spacing w:after="0"/>
              <w:jc w:val="center"/>
              <w:rPr>
                <w:bCs/>
                <w:szCs w:val="24"/>
              </w:rPr>
            </w:pPr>
            <w:r w:rsidRPr="003A5438">
              <w:rPr>
                <w:bCs/>
                <w:szCs w:val="24"/>
              </w:rPr>
              <w:t xml:space="preserve">Stephanie Raymond, </w:t>
            </w:r>
            <w:r>
              <w:rPr>
                <w:bCs/>
                <w:szCs w:val="24"/>
              </w:rPr>
              <w:br/>
            </w:r>
            <w:r w:rsidRPr="003A5438">
              <w:rPr>
                <w:bCs/>
                <w:szCs w:val="24"/>
              </w:rPr>
              <w:t xml:space="preserve">VP </w:t>
            </w:r>
            <w:r>
              <w:rPr>
                <w:bCs/>
                <w:szCs w:val="24"/>
              </w:rPr>
              <w:t>–</w:t>
            </w:r>
            <w:r w:rsidRPr="003A5438">
              <w:rPr>
                <w:bCs/>
                <w:szCs w:val="24"/>
              </w:rPr>
              <w:t xml:space="preserve">Transmission </w:t>
            </w:r>
            <w:r>
              <w:rPr>
                <w:bCs/>
                <w:szCs w:val="24"/>
              </w:rPr>
              <w:t>and</w:t>
            </w:r>
            <w:r w:rsidRPr="003A5438">
              <w:rPr>
                <w:bCs/>
                <w:szCs w:val="24"/>
              </w:rPr>
              <w:t xml:space="preserve"> Substations ¹</w:t>
            </w:r>
          </w:p>
        </w:tc>
        <w:tc>
          <w:tcPr>
            <w:tcW w:w="750" w:type="dxa"/>
            <w:noWrap/>
            <w:vAlign w:val="center"/>
            <w:hideMark/>
          </w:tcPr>
          <w:p w:rsidR="00AC40FC" w:rsidRPr="003A5438" w:rsidRDefault="00AC40FC" w:rsidP="00C73199">
            <w:pPr>
              <w:spacing w:after="0"/>
              <w:jc w:val="center"/>
              <w:rPr>
                <w:bCs/>
                <w:szCs w:val="24"/>
              </w:rPr>
            </w:pPr>
            <w:r>
              <w:rPr>
                <w:bCs/>
                <w:szCs w:val="24"/>
              </w:rPr>
              <w:t>2015</w:t>
            </w:r>
          </w:p>
        </w:tc>
        <w:tc>
          <w:tcPr>
            <w:tcW w:w="1218" w:type="dxa"/>
            <w:noWrap/>
            <w:vAlign w:val="center"/>
            <w:hideMark/>
          </w:tcPr>
          <w:p w:rsidR="00AC40FC" w:rsidRPr="003A5438" w:rsidRDefault="00AC40FC" w:rsidP="00C73199">
            <w:pPr>
              <w:spacing w:after="0"/>
              <w:jc w:val="center"/>
              <w:rPr>
                <w:bCs/>
                <w:szCs w:val="24"/>
              </w:rPr>
            </w:pPr>
            <w:r>
              <w:rPr>
                <w:bCs/>
                <w:szCs w:val="24"/>
              </w:rPr>
              <w:t>$227,900</w:t>
            </w:r>
          </w:p>
        </w:tc>
      </w:tr>
      <w:tr w:rsidR="00AC40FC" w:rsidRPr="00BA4BFA" w:rsidTr="006F50C6">
        <w:trPr>
          <w:cantSplit/>
          <w:trHeight w:val="510"/>
          <w:jc w:val="center"/>
        </w:trPr>
        <w:tc>
          <w:tcPr>
            <w:tcW w:w="3244" w:type="dxa"/>
            <w:vAlign w:val="center"/>
            <w:hideMark/>
          </w:tcPr>
          <w:p w:rsidR="00AC40FC" w:rsidRPr="003A5438" w:rsidRDefault="00AC40FC" w:rsidP="00C73199">
            <w:pPr>
              <w:spacing w:after="0"/>
              <w:jc w:val="center"/>
              <w:rPr>
                <w:bCs/>
                <w:szCs w:val="24"/>
              </w:rPr>
            </w:pPr>
            <w:r w:rsidRPr="003A5438">
              <w:rPr>
                <w:bCs/>
                <w:szCs w:val="24"/>
              </w:rPr>
              <w:t>Christopher Cardenas,</w:t>
            </w:r>
            <w:r w:rsidRPr="003A5438">
              <w:rPr>
                <w:bCs/>
                <w:szCs w:val="24"/>
              </w:rPr>
              <w:br/>
              <w:t>Customer Services VP ²</w:t>
            </w:r>
          </w:p>
        </w:tc>
        <w:tc>
          <w:tcPr>
            <w:tcW w:w="750" w:type="dxa"/>
            <w:noWrap/>
            <w:vAlign w:val="center"/>
            <w:hideMark/>
          </w:tcPr>
          <w:p w:rsidR="00AC40FC" w:rsidRPr="003A5438" w:rsidRDefault="00AC40FC" w:rsidP="00C73199">
            <w:pPr>
              <w:spacing w:after="0"/>
              <w:jc w:val="center"/>
              <w:rPr>
                <w:bCs/>
                <w:szCs w:val="24"/>
              </w:rPr>
            </w:pPr>
            <w:r>
              <w:rPr>
                <w:bCs/>
                <w:szCs w:val="24"/>
              </w:rPr>
              <w:t>2015</w:t>
            </w:r>
          </w:p>
        </w:tc>
        <w:tc>
          <w:tcPr>
            <w:tcW w:w="1218" w:type="dxa"/>
            <w:noWrap/>
            <w:vAlign w:val="center"/>
            <w:hideMark/>
          </w:tcPr>
          <w:p w:rsidR="00AC40FC" w:rsidRPr="003A5438" w:rsidRDefault="00AC40FC" w:rsidP="00C73199">
            <w:pPr>
              <w:spacing w:after="0"/>
              <w:jc w:val="center"/>
              <w:rPr>
                <w:bCs/>
                <w:szCs w:val="24"/>
              </w:rPr>
            </w:pPr>
            <w:r>
              <w:rPr>
                <w:bCs/>
                <w:szCs w:val="24"/>
              </w:rPr>
              <w:t>$223,300</w:t>
            </w:r>
          </w:p>
        </w:tc>
      </w:tr>
      <w:tr w:rsidR="00AC40FC" w:rsidRPr="00BA4BFA" w:rsidTr="006F50C6">
        <w:trPr>
          <w:cantSplit/>
          <w:trHeight w:val="510"/>
          <w:jc w:val="center"/>
        </w:trPr>
        <w:tc>
          <w:tcPr>
            <w:tcW w:w="5212" w:type="dxa"/>
            <w:gridSpan w:val="3"/>
            <w:vAlign w:val="center"/>
            <w:hideMark/>
          </w:tcPr>
          <w:p w:rsidR="00AC40FC" w:rsidRPr="00052EC9" w:rsidRDefault="00AC40FC" w:rsidP="00C73199">
            <w:pPr>
              <w:spacing w:after="0"/>
              <w:rPr>
                <w:rFonts w:cs="Arial"/>
                <w:szCs w:val="24"/>
              </w:rPr>
            </w:pPr>
            <w:r>
              <w:rPr>
                <w:rFonts w:cs="Arial"/>
                <w:szCs w:val="24"/>
              </w:rPr>
              <w:t>¹</w:t>
            </w:r>
            <w:r w:rsidRPr="00052EC9">
              <w:rPr>
                <w:rFonts w:cs="Arial"/>
                <w:szCs w:val="24"/>
              </w:rPr>
              <w:t>Hired February 7, 2011</w:t>
            </w:r>
          </w:p>
          <w:p w:rsidR="00AC40FC" w:rsidRDefault="00AC40FC" w:rsidP="00C73199">
            <w:pPr>
              <w:spacing w:after="0"/>
              <w:jc w:val="left"/>
              <w:rPr>
                <w:bCs/>
                <w:szCs w:val="24"/>
              </w:rPr>
            </w:pPr>
            <w:r>
              <w:rPr>
                <w:rFonts w:cs="Arial"/>
                <w:szCs w:val="24"/>
              </w:rPr>
              <w:t>²</w:t>
            </w:r>
            <w:r w:rsidRPr="00052EC9">
              <w:rPr>
                <w:rFonts w:cs="Arial"/>
                <w:szCs w:val="24"/>
              </w:rPr>
              <w:t>Hired October 6, 2014</w:t>
            </w:r>
          </w:p>
        </w:tc>
      </w:tr>
      <w:tr w:rsidR="00AC40FC" w:rsidRPr="00BA4BFA" w:rsidTr="006F50C6">
        <w:trPr>
          <w:cantSplit/>
          <w:trHeight w:val="288"/>
          <w:jc w:val="center"/>
        </w:trPr>
        <w:tc>
          <w:tcPr>
            <w:tcW w:w="5212" w:type="dxa"/>
            <w:gridSpan w:val="3"/>
            <w:vAlign w:val="center"/>
            <w:hideMark/>
          </w:tcPr>
          <w:p w:rsidR="00AC40FC" w:rsidRDefault="00AC40FC" w:rsidP="00C73199">
            <w:pPr>
              <w:spacing w:after="0"/>
              <w:jc w:val="left"/>
              <w:rPr>
                <w:bCs/>
                <w:szCs w:val="24"/>
              </w:rPr>
            </w:pPr>
            <w:r w:rsidRPr="00052EC9">
              <w:rPr>
                <w:rFonts w:cs="Arial"/>
                <w:bCs/>
                <w:szCs w:val="24"/>
              </w:rPr>
              <w:t>Source: DN  15-139; 15-150; 15-151</w:t>
            </w:r>
          </w:p>
        </w:tc>
      </w:tr>
    </w:tbl>
    <w:p w:rsidR="00AC40FC" w:rsidRDefault="00AC40FC" w:rsidP="00C73199">
      <w:pPr>
        <w:pStyle w:val="Normal-aftertable"/>
        <w:rPr>
          <w:bCs/>
          <w:sz w:val="22"/>
        </w:rPr>
      </w:pPr>
      <w:r>
        <w:t xml:space="preserve">Based on a 2015 energy industry market study for PPL EU executives, at the end of 2015, all four executives’ base salaries were market competitive at plus or minus 15% of the market median.  </w:t>
      </w:r>
    </w:p>
    <w:p w:rsidR="00AC40FC" w:rsidRDefault="00AC40FC" w:rsidP="00C73199">
      <w:pPr>
        <w:pStyle w:val="Normal-aftertable"/>
        <w:rPr>
          <w:bCs/>
          <w:sz w:val="22"/>
        </w:rPr>
      </w:pPr>
      <w:r w:rsidRPr="00634319">
        <w:t xml:space="preserve">The total cash compensation </w:t>
      </w:r>
      <w:r>
        <w:t>to the PPL EU officers</w:t>
      </w:r>
      <w:r w:rsidRPr="00634319">
        <w:t xml:space="preserve"> </w:t>
      </w:r>
      <w:r>
        <w:t>includes</w:t>
      </w:r>
      <w:r w:rsidRPr="00634319">
        <w:t xml:space="preserve"> short-term incentive pay which is considered pay “at risk” and therefore must be earned based upon pre-established targets established annually by the CGNC.  Aligned goals and targets are established by the President of PPL EU each year.  The established targets of PPL EU are based on the Strategic Goal Framework and align with PPL Corporation’s goals and values.</w:t>
      </w:r>
      <w:r w:rsidRPr="00992348">
        <w:t xml:space="preserve"> </w:t>
      </w:r>
      <w:r w:rsidRPr="00634319">
        <w:t xml:space="preserve"> The purpose of the short-term incentive program is to “advance the interests of PPL Corporation, its subsidiaries, and shareowners by providing periodic cash awards to motivate executives to attain corporate goals articulated under the annual cash incentive program”.</w:t>
      </w:r>
      <w:r w:rsidRPr="00992348">
        <w:t xml:space="preserve"> </w:t>
      </w:r>
      <w:r w:rsidRPr="00634319">
        <w:t xml:space="preserve"> The President</w:t>
      </w:r>
      <w:r>
        <w:t xml:space="preserve"> and</w:t>
      </w:r>
      <w:r w:rsidRPr="00634319">
        <w:t xml:space="preserve"> VP-Distribution Operations</w:t>
      </w:r>
      <w:r>
        <w:t xml:space="preserve"> </w:t>
      </w:r>
      <w:r w:rsidRPr="00634319">
        <w:t xml:space="preserve">are market competitive </w:t>
      </w:r>
      <w:r>
        <w:t>while the VP-Transmission and Substations and Customer Services VP are</w:t>
      </w:r>
      <w:r w:rsidRPr="00634319">
        <w:t xml:space="preserve"> below the market median.  The Customer Services VP was a new hire in Octo</w:t>
      </w:r>
      <w:r>
        <w:t>ber 2014</w:t>
      </w:r>
      <w:r w:rsidRPr="00634319">
        <w:t>.</w:t>
      </w:r>
    </w:p>
    <w:p w:rsidR="00AC40FC" w:rsidRDefault="00AC40FC" w:rsidP="00C73199">
      <w:pPr>
        <w:pStyle w:val="Normal-aftertable"/>
      </w:pPr>
      <w:r w:rsidRPr="002238E3">
        <w:t xml:space="preserve">Adding base salary, short-term incentives, and long-term equity reflects PPL </w:t>
      </w:r>
      <w:r>
        <w:t>EU’s top four executives’ t</w:t>
      </w:r>
      <w:r w:rsidRPr="002238E3">
        <w:t>otal direct compensation.</w:t>
      </w:r>
      <w:r>
        <w:t xml:space="preserve">  The President, VP–Distribution Operations and VP-Transmission and Substations are competitive with the market.  However, the Customer Services VP is below the total direct compensation market median. </w:t>
      </w:r>
    </w:p>
    <w:p w:rsidR="00AC40FC" w:rsidRDefault="00AC40FC" w:rsidP="00C73199">
      <w:r w:rsidRPr="00930644">
        <w:t xml:space="preserve">PPL Corporation’s </w:t>
      </w:r>
      <w:r>
        <w:t xml:space="preserve">executive compensation </w:t>
      </w:r>
      <w:r w:rsidRPr="00930644">
        <w:t xml:space="preserve">philosophy is to </w:t>
      </w:r>
      <w:r>
        <w:t xml:space="preserve">also </w:t>
      </w:r>
      <w:r w:rsidRPr="00930644">
        <w:t xml:space="preserve">allocate the majority of pay “at risk” for </w:t>
      </w:r>
      <w:r>
        <w:t>business line executives</w:t>
      </w:r>
      <w:r w:rsidRPr="00930644">
        <w:t xml:space="preserve"> to ensure</w:t>
      </w:r>
      <w:r>
        <w:t xml:space="preserve"> a balanced approach to achieving short and long-term goals.  </w:t>
      </w:r>
      <w:r w:rsidRPr="009F48E1">
        <w:t>The top four P</w:t>
      </w:r>
      <w:r>
        <w:t>PL EU executives’ compensation</w:t>
      </w:r>
      <w:r w:rsidRPr="009F48E1">
        <w:t xml:space="preserve"> reflects a high percentage of “at risk” short-term cash incentives consistent with PPL Corporation’s executive compensation philosophy.  </w:t>
      </w:r>
      <w:r w:rsidRPr="000C6C38">
        <w:t>The short-term cash incentive payout maximum for PPL EU executives is set at 200% of base salary</w:t>
      </w:r>
      <w:r>
        <w:t xml:space="preserve"> </w:t>
      </w:r>
      <w:r w:rsidRPr="000C6C38">
        <w:t xml:space="preserve">and “70% of 2015 corporate goal for cash incentive purposes will be based on earnings per share </w:t>
      </w:r>
      <w:r>
        <w:t xml:space="preserve">from ongoing operations </w:t>
      </w:r>
      <w:r w:rsidRPr="000C6C38">
        <w:t xml:space="preserve">(EPS) and 30% based on earnings </w:t>
      </w:r>
      <w:r>
        <w:t xml:space="preserve">from ongoing operations </w:t>
      </w:r>
      <w:r w:rsidRPr="000C6C38">
        <w:t>before interest and taxes (EBIT).”</w:t>
      </w:r>
    </w:p>
    <w:p w:rsidR="00AC40FC" w:rsidRDefault="00AC40FC" w:rsidP="00C73199">
      <w:pPr>
        <w:pStyle w:val="Normal-aftertable"/>
      </w:pPr>
      <w:r>
        <w:lastRenderedPageBreak/>
        <w:t xml:space="preserve">In 2015, the top four PPL EU executives were awarded stock based on the 2014 target percentage and base salary for both performance-contingent restricted stock units (RSU) and performance units (PU). </w:t>
      </w:r>
    </w:p>
    <w:p w:rsidR="00AC40FC" w:rsidRDefault="00AC40FC" w:rsidP="00C73199">
      <w:pPr>
        <w:pStyle w:val="Heading40"/>
      </w:pPr>
      <w:r w:rsidRPr="003544DB">
        <w:t>Review of Market Analysis</w:t>
      </w:r>
    </w:p>
    <w:p w:rsidR="00AC40FC" w:rsidRDefault="00AC40FC" w:rsidP="00C73199">
      <w:r>
        <w:t>Compensation for Tier I and Tier II Executives is governed by the 2015 Executive Compensation Policy.  PPL SC HR regularly surveys the market to ensure achievement</w:t>
      </w:r>
      <w:r w:rsidRPr="00C60211">
        <w:t xml:space="preserve"> of </w:t>
      </w:r>
      <w:r>
        <w:t>its goal to provide market competitive total compensation for all levels of employees.  Market data for executives at PPL Corporation, PPL EU, and all subsidiaries is provided by the external compensation consultants, one which is retained by the CGNC for Section 16 officers and another is retained by PPL SC HR for other officers.  PPL Corporation utilizes the market median, or 50</w:t>
      </w:r>
      <w:r w:rsidRPr="00E94133">
        <w:rPr>
          <w:vertAlign w:val="superscript"/>
        </w:rPr>
        <w:t>th</w:t>
      </w:r>
      <w:r>
        <w:t xml:space="preserve"> percentile, as the measure of central tendency in comparison to industry peers for all Tier I and Tier II PPL Corporation executives’ base salaries, and short and long-term incentives. </w:t>
      </w:r>
    </w:p>
    <w:p w:rsidR="00AC40FC" w:rsidRDefault="00AC40FC" w:rsidP="00C73199">
      <w:r>
        <w:t>PPL Corporation’s executive cash and equity compensation programs are reflective of the pay for performance culture.  The compensation philosophy and objectives intend to attract, retain, and motivate high performing executives and to align compensation with short- and long-term shareholder interests.  The CGNC believes PPL Corporation has been successful in attracting a very talented and experienced executive team that has produced excellent financial and operating results and has undertaken bold strategic initiatives to increase value for shareholders.”  Since 2010, PPL Corporation has successfully completed strategic acquisitions of LKE, and the East Midlands and West Midlands operations at WPD Midlands to diversify their portfolio and increase the financial vitality and long-term sustainability of PPL Corporation.  In 2014, PPL Corporation decided to</w:t>
      </w:r>
      <w:r w:rsidRPr="004C727F">
        <w:t xml:space="preserve"> </w:t>
      </w:r>
      <w:r>
        <w:t>spin off its PPL Energy Supply, LLC business line in order to unlock the value of the energy supply business and, since the spinoff, has undertaken a significant corporate restructuring to reduce service organization costs in the remaining PPL Corporation.</w:t>
      </w:r>
    </w:p>
    <w:p w:rsidR="00AC40FC" w:rsidRDefault="00AC40FC" w:rsidP="00C73199">
      <w:r>
        <w:t xml:space="preserve">PPL’s Managerial Compensation Guide, the annual compensation review guidelines, and the Executive Compensation Policy are the processes followed for executive compensation planning.  PPL SC’s SVP/CHRO and executive compensation staff use the Managerial Compensation Guide to ensure fair, equitable, and consistent processes are followed for compensation planning and compensation management in accordance with </w:t>
      </w:r>
      <w:r w:rsidRPr="00360E89">
        <w:t>PPL Corporation’s Goal Framework</w:t>
      </w:r>
      <w:r>
        <w:t xml:space="preserve">.  PPL SC’s SVP/CHRO is the management liaison to the CGNC and external executive compensation consultant regarding matters of PPL Corporation’s compensation competitiveness.  </w:t>
      </w:r>
    </w:p>
    <w:p w:rsidR="00AC40FC" w:rsidRDefault="00AC40FC" w:rsidP="00C73199">
      <w:r>
        <w:t xml:space="preserve">The Managerial Compensation Guide and the Executive Compensation Policy demonstrate how the compensation program aligns with the pay for performance process utilizing EMPACS to cascade Corporate goals from the Board of Directors to the CEO and from the CEO to the remainder of PPL Corporation, including PPL EU, to be considered by the CGNC for base salary, incentive compensation, and other remuneration in January of each year.  This process aligns not only to executive compensation but for the entire non-bargaining, non-executive, salaried PPL employees.   </w:t>
      </w:r>
    </w:p>
    <w:p w:rsidR="00AC40FC" w:rsidRDefault="00AC40FC" w:rsidP="004F00E5">
      <w:pPr>
        <w:pStyle w:val="Heading2"/>
        <w:numPr>
          <w:ilvl w:val="0"/>
          <w:numId w:val="111"/>
        </w:numPr>
      </w:pPr>
      <w:bookmarkStart w:id="262" w:name="_Toc462647883"/>
      <w:bookmarkStart w:id="263" w:name="_Toc464552122"/>
      <w:r>
        <w:lastRenderedPageBreak/>
        <w:t>FINDINGS</w:t>
      </w:r>
      <w:bookmarkEnd w:id="262"/>
      <w:bookmarkEnd w:id="263"/>
    </w:p>
    <w:p w:rsidR="00AC40FC" w:rsidRDefault="00AC40FC" w:rsidP="004F00E5">
      <w:pPr>
        <w:pStyle w:val="Findings"/>
        <w:numPr>
          <w:ilvl w:val="0"/>
          <w:numId w:val="126"/>
        </w:numPr>
      </w:pPr>
      <w:r w:rsidRPr="004060D6">
        <w:t xml:space="preserve">Tier I and Tier II executives </w:t>
      </w:r>
      <w:r>
        <w:t xml:space="preserve">are not identified clearly in PPL Corporation’s Executive Compensation Policy. </w:t>
      </w:r>
    </w:p>
    <w:p w:rsidR="00AC40FC" w:rsidRDefault="00AC40FC" w:rsidP="00C73199">
      <w:r>
        <w:t xml:space="preserve">Organizations should annually review compensation policies to ensure they are clearly written, understood by employees, and mitigate employment practice risk.  PPL Corporation’s executive </w:t>
      </w:r>
      <w:r w:rsidRPr="00CE0405">
        <w:t>compensation policy contains a stated compensation philosophy</w:t>
      </w:r>
      <w:r>
        <w:t xml:space="preserve"> and</w:t>
      </w:r>
      <w:r w:rsidRPr="00CE0405">
        <w:t xml:space="preserve"> objectives and describes the three direct</w:t>
      </w:r>
      <w:r>
        <w:t xml:space="preserve"> components of total direct compensation including base salary, short-term cash incentive, and long-term equity.  The policy, however, does not clearly define the difference between Tier I and Tier II executives with specific guidelines to fully understand the executive compensation process undertaken by PPL Corporation for Tier I and Tier II executives.  Likewise, the short-term cash incentive is not clearly defined in the Executive Compensation Policy.  For example, in the calculation explanation provided for the VP–Distribution Operations, a weighting on individual performance and goal attainment percentage related to individual performance is not explained in the Executive Compensation Policy. </w:t>
      </w:r>
    </w:p>
    <w:p w:rsidR="00AC40FC" w:rsidRDefault="00AC40FC" w:rsidP="006058BF">
      <w:pPr>
        <w:pStyle w:val="Findings"/>
        <w:keepNext/>
      </w:pPr>
      <w:r w:rsidRPr="006F50C6">
        <w:t>The</w:t>
      </w:r>
      <w:r w:rsidRPr="0001790C">
        <w:t xml:space="preserve"> Compensation and Benefits</w:t>
      </w:r>
      <w:r>
        <w:t xml:space="preserve"> department is conducting cross-training for every role within the department.  </w:t>
      </w:r>
    </w:p>
    <w:p w:rsidR="00AC40FC" w:rsidRPr="0037753B" w:rsidRDefault="00AC40FC" w:rsidP="00C73199">
      <w:r w:rsidRPr="0037753B">
        <w:t>The Compensation and Benefits department is conducting cross-training for every role within the department to improve efficiency and effectiveness of the department’s functionality and quality of service.  Upon completion of the cross-training, it is expected that every employee will be</w:t>
      </w:r>
      <w:r>
        <w:t xml:space="preserve"> able to function as</w:t>
      </w:r>
      <w:r w:rsidRPr="0037753B">
        <w:t xml:space="preserve"> a compensation and benefits analyst regardless of current titles.</w:t>
      </w:r>
      <w:r w:rsidRPr="000D549F">
        <w:t xml:space="preserve"> </w:t>
      </w:r>
      <w:r w:rsidRPr="0037753B">
        <w:t xml:space="preserve"> </w:t>
      </w:r>
    </w:p>
    <w:p w:rsidR="00AC40FC" w:rsidRPr="004A5542" w:rsidRDefault="00AC40FC" w:rsidP="00C73199">
      <w:r>
        <w:t xml:space="preserve">Cross-training within and between departments is a best practice and is foundational to operating more effectively and efficiently. The Compensation and Benefits department’s current cross-training model is a positive step towards improving productivity and service quality.  </w:t>
      </w:r>
    </w:p>
    <w:p w:rsidR="00AC40FC" w:rsidRDefault="00AC40FC" w:rsidP="006F50C6">
      <w:pPr>
        <w:pStyle w:val="Findings"/>
      </w:pPr>
      <w:r>
        <w:t>The CGNC strictly adheres to pre-established practices, procedures, and policies to assure regulatory and legal compliance.</w:t>
      </w:r>
    </w:p>
    <w:p w:rsidR="00AC40FC" w:rsidRDefault="00AC40FC" w:rsidP="00C73199">
      <w:r>
        <w:t xml:space="preserve">Executive compensation plans continue to receive heightened public scrutiny and remain an item of key interest to government officials, the general public, the media, employees, ratepayers, and politicians.  Since the passage of the Sarbanes-Oxley Act in 2002, partly in response to corporate corruption related to fraudulent executive pay practices, corporations have been required to adhere to increasing legislative and regulatory requirements including greater shareholder activism. </w:t>
      </w:r>
    </w:p>
    <w:p w:rsidR="00AC40FC" w:rsidRDefault="00AC40FC" w:rsidP="00C73199">
      <w:r>
        <w:t xml:space="preserve">PPL Corporation adheres to related executive compensation requirements as evidenced in its 2011–2016 Proxy Statements.  The evidence in the PPL Corporation Proxy Statements included annual shareholder approval of NEO compensation, required proxy tables, appointment of an independent external executive compensation consultant, CGNC committee member independence, written CGNC charter, and NEO compensation in relation to financial performance.  Change in control severance agreements were identified and thoroughly explained.  </w:t>
      </w:r>
    </w:p>
    <w:p w:rsidR="00AC40FC" w:rsidRDefault="00AC40FC" w:rsidP="00BB665B">
      <w:pPr>
        <w:pStyle w:val="Findings"/>
        <w:keepNext/>
      </w:pPr>
      <w:r>
        <w:lastRenderedPageBreak/>
        <w:t>All executive performance reviews are not completed.</w:t>
      </w:r>
    </w:p>
    <w:p w:rsidR="00AC40FC" w:rsidRPr="00887C4F" w:rsidRDefault="00AC40FC" w:rsidP="00BB665B">
      <w:r>
        <w:t xml:space="preserve">The number of executives participating in the EMPACS system and the number of executives that fully completed the EMPACS process are shown in the following table. </w:t>
      </w:r>
      <w:r w:rsidRPr="00764DBF">
        <w:t xml:space="preserve"> In 201</w:t>
      </w:r>
      <w:r>
        <w:t>5</w:t>
      </w:r>
      <w:r w:rsidRPr="00764DBF">
        <w:t xml:space="preserve">, </w:t>
      </w:r>
      <w:r>
        <w:t xml:space="preserve">two </w:t>
      </w:r>
      <w:r w:rsidRPr="00764DBF">
        <w:t xml:space="preserve">executives did not complete the EMPACS process.  </w:t>
      </w:r>
    </w:p>
    <w:p w:rsidR="00AC40FC" w:rsidRDefault="00AC40FC" w:rsidP="002B3172">
      <w:pPr>
        <w:pStyle w:val="Caption"/>
      </w:pPr>
      <w:bookmarkStart w:id="264" w:name="_Toc462648465"/>
      <w:bookmarkStart w:id="265" w:name="_Toc464553087"/>
      <w:r>
        <w:t xml:space="preserve">Exhibit </w:t>
      </w:r>
      <w:fldSimple w:instr=" STYLEREF 1 \s ">
        <w:r w:rsidR="00A24205">
          <w:rPr>
            <w:noProof/>
          </w:rPr>
          <w:t>XIII</w:t>
        </w:r>
      </w:fldSimple>
      <w:r w:rsidR="00264A1B">
        <w:noBreakHyphen/>
      </w:r>
      <w:fldSimple w:instr=" SEQ Exhibit \* ARABIC \s 1 ">
        <w:r w:rsidR="00A24205">
          <w:rPr>
            <w:noProof/>
          </w:rPr>
          <w:t>12</w:t>
        </w:r>
      </w:fldSimple>
      <w:r>
        <w:br/>
        <w:t xml:space="preserve">Number of </w:t>
      </w:r>
      <w:r w:rsidRPr="00536A8C">
        <w:t xml:space="preserve">PPL </w:t>
      </w:r>
      <w:r>
        <w:t>Corporation Executives Participating in EMPACS</w:t>
      </w:r>
      <w:r>
        <w:br/>
        <w:t>and Completion Rates According to EMPACS Guidelines</w:t>
      </w:r>
      <w:bookmarkEnd w:id="264"/>
      <w:bookmarkEnd w:id="265"/>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tblPr>
      <w:tblGrid>
        <w:gridCol w:w="2285"/>
        <w:gridCol w:w="764"/>
        <w:gridCol w:w="764"/>
        <w:gridCol w:w="764"/>
        <w:gridCol w:w="764"/>
      </w:tblGrid>
      <w:tr w:rsidR="00AC40FC" w:rsidRPr="00A87C8B" w:rsidTr="006F50C6">
        <w:trPr>
          <w:cantSplit/>
          <w:trHeight w:val="242"/>
          <w:tblHeader/>
          <w:jc w:val="center"/>
        </w:trPr>
        <w:tc>
          <w:tcPr>
            <w:tcW w:w="0" w:type="auto"/>
            <w:shd w:val="clear" w:color="auto" w:fill="A5CD7E"/>
            <w:noWrap/>
            <w:vAlign w:val="center"/>
            <w:hideMark/>
          </w:tcPr>
          <w:p w:rsidR="00AC40FC" w:rsidRDefault="00AC40FC" w:rsidP="00D6083E">
            <w:pPr>
              <w:spacing w:before="120"/>
              <w:jc w:val="center"/>
              <w:rPr>
                <w:b/>
              </w:rPr>
            </w:pPr>
            <w:r w:rsidRPr="00A87C8B">
              <w:rPr>
                <w:b/>
                <w:bCs/>
              </w:rPr>
              <w:t>Executive</w:t>
            </w:r>
          </w:p>
        </w:tc>
        <w:tc>
          <w:tcPr>
            <w:tcW w:w="0" w:type="auto"/>
            <w:shd w:val="clear" w:color="auto" w:fill="A5CD7E"/>
            <w:noWrap/>
            <w:vAlign w:val="center"/>
            <w:hideMark/>
          </w:tcPr>
          <w:p w:rsidR="00AC40FC" w:rsidRDefault="00AC40FC" w:rsidP="00D6083E">
            <w:pPr>
              <w:spacing w:before="120"/>
              <w:jc w:val="center"/>
              <w:rPr>
                <w:b/>
                <w:szCs w:val="24"/>
              </w:rPr>
            </w:pPr>
            <w:r w:rsidRPr="004060D6">
              <w:rPr>
                <w:b/>
                <w:szCs w:val="24"/>
              </w:rPr>
              <w:t>2012</w:t>
            </w:r>
          </w:p>
        </w:tc>
        <w:tc>
          <w:tcPr>
            <w:tcW w:w="0" w:type="auto"/>
            <w:shd w:val="clear" w:color="auto" w:fill="A5CD7E"/>
            <w:vAlign w:val="center"/>
          </w:tcPr>
          <w:p w:rsidR="00AC40FC" w:rsidRPr="004060D6" w:rsidRDefault="00AC40FC" w:rsidP="00D6083E">
            <w:pPr>
              <w:spacing w:before="120"/>
              <w:jc w:val="center"/>
              <w:rPr>
                <w:b/>
                <w:szCs w:val="24"/>
              </w:rPr>
            </w:pPr>
            <w:r w:rsidRPr="004060D6">
              <w:rPr>
                <w:b/>
                <w:szCs w:val="24"/>
              </w:rPr>
              <w:t>2013</w:t>
            </w:r>
          </w:p>
        </w:tc>
        <w:tc>
          <w:tcPr>
            <w:tcW w:w="0" w:type="auto"/>
            <w:shd w:val="clear" w:color="auto" w:fill="A5CD7E"/>
            <w:vAlign w:val="center"/>
          </w:tcPr>
          <w:p w:rsidR="00AC40FC" w:rsidRPr="004060D6" w:rsidRDefault="00AC40FC" w:rsidP="00D6083E">
            <w:pPr>
              <w:spacing w:before="120"/>
              <w:jc w:val="center"/>
              <w:rPr>
                <w:b/>
                <w:szCs w:val="24"/>
              </w:rPr>
            </w:pPr>
            <w:r w:rsidRPr="004060D6">
              <w:rPr>
                <w:b/>
                <w:szCs w:val="24"/>
              </w:rPr>
              <w:t>2014</w:t>
            </w:r>
          </w:p>
        </w:tc>
        <w:tc>
          <w:tcPr>
            <w:tcW w:w="0" w:type="auto"/>
            <w:shd w:val="clear" w:color="auto" w:fill="A5CD7E"/>
            <w:vAlign w:val="center"/>
          </w:tcPr>
          <w:p w:rsidR="00AC40FC" w:rsidRPr="004060D6" w:rsidRDefault="00AC40FC" w:rsidP="00D6083E">
            <w:pPr>
              <w:spacing w:before="120"/>
              <w:jc w:val="center"/>
              <w:rPr>
                <w:b/>
                <w:szCs w:val="24"/>
              </w:rPr>
            </w:pPr>
            <w:r>
              <w:rPr>
                <w:b/>
                <w:szCs w:val="24"/>
              </w:rPr>
              <w:t>2015</w:t>
            </w:r>
          </w:p>
        </w:tc>
      </w:tr>
      <w:tr w:rsidR="00AC40FC" w:rsidRPr="00A87C8B" w:rsidTr="006F50C6">
        <w:trPr>
          <w:cantSplit/>
          <w:trHeight w:val="260"/>
          <w:jc w:val="center"/>
        </w:trPr>
        <w:tc>
          <w:tcPr>
            <w:tcW w:w="0" w:type="auto"/>
            <w:shd w:val="clear" w:color="auto" w:fill="auto"/>
            <w:noWrap/>
            <w:vAlign w:val="center"/>
            <w:hideMark/>
          </w:tcPr>
          <w:p w:rsidR="00AC40FC" w:rsidRDefault="00AC40FC" w:rsidP="00C73199">
            <w:pPr>
              <w:spacing w:after="0"/>
              <w:jc w:val="center"/>
              <w:rPr>
                <w:szCs w:val="24"/>
              </w:rPr>
            </w:pPr>
            <w:r w:rsidRPr="00A87C8B">
              <w:rPr>
                <w:szCs w:val="24"/>
              </w:rPr>
              <w:t>Total Participants</w:t>
            </w:r>
          </w:p>
        </w:tc>
        <w:tc>
          <w:tcPr>
            <w:tcW w:w="0" w:type="auto"/>
            <w:shd w:val="clear" w:color="auto" w:fill="auto"/>
            <w:noWrap/>
            <w:vAlign w:val="center"/>
            <w:hideMark/>
          </w:tcPr>
          <w:p w:rsidR="00AC40FC" w:rsidRDefault="00AC40FC" w:rsidP="00C73199">
            <w:pPr>
              <w:spacing w:after="0"/>
              <w:jc w:val="center"/>
              <w:rPr>
                <w:szCs w:val="24"/>
              </w:rPr>
            </w:pPr>
            <w:r w:rsidRPr="00A87C8B">
              <w:rPr>
                <w:szCs w:val="24"/>
              </w:rPr>
              <w:t>20</w:t>
            </w:r>
          </w:p>
        </w:tc>
        <w:tc>
          <w:tcPr>
            <w:tcW w:w="0" w:type="auto"/>
            <w:vAlign w:val="center"/>
          </w:tcPr>
          <w:p w:rsidR="00AC40FC" w:rsidRPr="00A87C8B" w:rsidRDefault="00AC40FC" w:rsidP="00C73199">
            <w:pPr>
              <w:spacing w:after="0"/>
              <w:jc w:val="center"/>
              <w:rPr>
                <w:szCs w:val="24"/>
              </w:rPr>
            </w:pPr>
            <w:r w:rsidRPr="00A87C8B">
              <w:rPr>
                <w:szCs w:val="24"/>
              </w:rPr>
              <w:t>44</w:t>
            </w:r>
          </w:p>
        </w:tc>
        <w:tc>
          <w:tcPr>
            <w:tcW w:w="0" w:type="auto"/>
            <w:vAlign w:val="center"/>
          </w:tcPr>
          <w:p w:rsidR="00AC40FC" w:rsidRPr="00A87C8B" w:rsidRDefault="00AC40FC" w:rsidP="00C73199">
            <w:pPr>
              <w:spacing w:after="0"/>
              <w:jc w:val="center"/>
              <w:rPr>
                <w:szCs w:val="24"/>
              </w:rPr>
            </w:pPr>
            <w:r w:rsidRPr="00A87C8B">
              <w:rPr>
                <w:szCs w:val="24"/>
              </w:rPr>
              <w:t>39</w:t>
            </w:r>
          </w:p>
        </w:tc>
        <w:tc>
          <w:tcPr>
            <w:tcW w:w="0" w:type="auto"/>
            <w:vAlign w:val="center"/>
          </w:tcPr>
          <w:p w:rsidR="00AC40FC" w:rsidRPr="00A93F3A" w:rsidRDefault="00AC40FC" w:rsidP="00C73199">
            <w:pPr>
              <w:spacing w:after="0"/>
              <w:jc w:val="center"/>
              <w:rPr>
                <w:szCs w:val="24"/>
              </w:rPr>
            </w:pPr>
            <w:r w:rsidRPr="00A93F3A">
              <w:rPr>
                <w:szCs w:val="24"/>
              </w:rPr>
              <w:t>18</w:t>
            </w:r>
          </w:p>
        </w:tc>
      </w:tr>
      <w:tr w:rsidR="00AC40FC" w:rsidRPr="00A87C8B" w:rsidTr="006F50C6">
        <w:trPr>
          <w:cantSplit/>
          <w:trHeight w:val="242"/>
          <w:jc w:val="center"/>
        </w:trPr>
        <w:tc>
          <w:tcPr>
            <w:tcW w:w="0" w:type="auto"/>
            <w:shd w:val="clear" w:color="auto" w:fill="auto"/>
            <w:noWrap/>
            <w:vAlign w:val="center"/>
            <w:hideMark/>
          </w:tcPr>
          <w:p w:rsidR="00AC40FC" w:rsidRDefault="00AC40FC" w:rsidP="00C73199">
            <w:pPr>
              <w:spacing w:after="0"/>
              <w:jc w:val="center"/>
              <w:rPr>
                <w:szCs w:val="24"/>
              </w:rPr>
            </w:pPr>
            <w:r w:rsidRPr="00A87C8B">
              <w:rPr>
                <w:szCs w:val="24"/>
              </w:rPr>
              <w:t>Completed</w:t>
            </w:r>
          </w:p>
        </w:tc>
        <w:tc>
          <w:tcPr>
            <w:tcW w:w="0" w:type="auto"/>
            <w:shd w:val="clear" w:color="auto" w:fill="auto"/>
            <w:noWrap/>
            <w:vAlign w:val="center"/>
            <w:hideMark/>
          </w:tcPr>
          <w:p w:rsidR="00AC40FC" w:rsidRDefault="00AC40FC" w:rsidP="00C73199">
            <w:pPr>
              <w:spacing w:after="0"/>
              <w:jc w:val="center"/>
              <w:rPr>
                <w:szCs w:val="24"/>
              </w:rPr>
            </w:pPr>
            <w:r>
              <w:rPr>
                <w:szCs w:val="24"/>
              </w:rPr>
              <w:t>19</w:t>
            </w:r>
          </w:p>
        </w:tc>
        <w:tc>
          <w:tcPr>
            <w:tcW w:w="0" w:type="auto"/>
            <w:vAlign w:val="center"/>
          </w:tcPr>
          <w:p w:rsidR="00AC40FC" w:rsidRDefault="00AC40FC" w:rsidP="00C73199">
            <w:pPr>
              <w:spacing w:after="0"/>
              <w:jc w:val="center"/>
              <w:rPr>
                <w:szCs w:val="24"/>
              </w:rPr>
            </w:pPr>
            <w:r>
              <w:rPr>
                <w:szCs w:val="24"/>
              </w:rPr>
              <w:t>32</w:t>
            </w:r>
          </w:p>
        </w:tc>
        <w:tc>
          <w:tcPr>
            <w:tcW w:w="0" w:type="auto"/>
            <w:vAlign w:val="center"/>
          </w:tcPr>
          <w:p w:rsidR="00AC40FC" w:rsidRDefault="00AC40FC" w:rsidP="00C73199">
            <w:pPr>
              <w:spacing w:after="0"/>
              <w:jc w:val="center"/>
              <w:rPr>
                <w:szCs w:val="24"/>
              </w:rPr>
            </w:pPr>
            <w:r>
              <w:rPr>
                <w:szCs w:val="24"/>
              </w:rPr>
              <w:t>30</w:t>
            </w:r>
          </w:p>
        </w:tc>
        <w:tc>
          <w:tcPr>
            <w:tcW w:w="0" w:type="auto"/>
            <w:vAlign w:val="center"/>
          </w:tcPr>
          <w:p w:rsidR="00AC40FC" w:rsidRPr="00A93F3A" w:rsidRDefault="00AC40FC" w:rsidP="00C73199">
            <w:pPr>
              <w:spacing w:after="0"/>
              <w:jc w:val="center"/>
              <w:rPr>
                <w:szCs w:val="24"/>
              </w:rPr>
            </w:pPr>
            <w:r w:rsidRPr="00A93F3A">
              <w:rPr>
                <w:szCs w:val="24"/>
              </w:rPr>
              <w:t>16</w:t>
            </w:r>
          </w:p>
        </w:tc>
      </w:tr>
      <w:tr w:rsidR="00AC40FC" w:rsidRPr="00A87C8B" w:rsidTr="006F50C6">
        <w:trPr>
          <w:cantSplit/>
          <w:trHeight w:val="323"/>
          <w:jc w:val="center"/>
        </w:trPr>
        <w:tc>
          <w:tcPr>
            <w:tcW w:w="0" w:type="auto"/>
            <w:shd w:val="clear" w:color="auto" w:fill="auto"/>
            <w:noWrap/>
            <w:vAlign w:val="center"/>
          </w:tcPr>
          <w:p w:rsidR="00AC40FC" w:rsidRDefault="00AC40FC" w:rsidP="00C73199">
            <w:pPr>
              <w:spacing w:after="0"/>
              <w:jc w:val="center"/>
              <w:rPr>
                <w:szCs w:val="24"/>
              </w:rPr>
            </w:pPr>
            <w:r>
              <w:rPr>
                <w:szCs w:val="24"/>
              </w:rPr>
              <w:t>Percent Completed</w:t>
            </w:r>
          </w:p>
        </w:tc>
        <w:tc>
          <w:tcPr>
            <w:tcW w:w="0" w:type="auto"/>
            <w:shd w:val="clear" w:color="auto" w:fill="auto"/>
            <w:noWrap/>
            <w:vAlign w:val="center"/>
          </w:tcPr>
          <w:p w:rsidR="00AC40FC" w:rsidRDefault="00AC40FC" w:rsidP="00C73199">
            <w:pPr>
              <w:spacing w:after="0"/>
              <w:jc w:val="center"/>
              <w:rPr>
                <w:szCs w:val="24"/>
              </w:rPr>
            </w:pPr>
            <w:r>
              <w:rPr>
                <w:szCs w:val="24"/>
              </w:rPr>
              <w:t>95%</w:t>
            </w:r>
          </w:p>
        </w:tc>
        <w:tc>
          <w:tcPr>
            <w:tcW w:w="0" w:type="auto"/>
            <w:vAlign w:val="center"/>
          </w:tcPr>
          <w:p w:rsidR="00AC40FC" w:rsidRDefault="00AC40FC" w:rsidP="00C73199">
            <w:pPr>
              <w:spacing w:after="0"/>
              <w:jc w:val="center"/>
              <w:rPr>
                <w:szCs w:val="24"/>
              </w:rPr>
            </w:pPr>
            <w:r>
              <w:rPr>
                <w:szCs w:val="24"/>
              </w:rPr>
              <w:t>73%</w:t>
            </w:r>
          </w:p>
        </w:tc>
        <w:tc>
          <w:tcPr>
            <w:tcW w:w="0" w:type="auto"/>
            <w:vAlign w:val="center"/>
          </w:tcPr>
          <w:p w:rsidR="00AC40FC" w:rsidRDefault="00AC40FC" w:rsidP="00C73199">
            <w:pPr>
              <w:spacing w:after="0"/>
              <w:jc w:val="center"/>
              <w:rPr>
                <w:szCs w:val="24"/>
              </w:rPr>
            </w:pPr>
            <w:r>
              <w:rPr>
                <w:szCs w:val="24"/>
              </w:rPr>
              <w:t>77%</w:t>
            </w:r>
          </w:p>
        </w:tc>
        <w:tc>
          <w:tcPr>
            <w:tcW w:w="0" w:type="auto"/>
            <w:vAlign w:val="center"/>
          </w:tcPr>
          <w:p w:rsidR="00AC40FC" w:rsidRPr="00A93F3A" w:rsidRDefault="00AC40FC" w:rsidP="00C73199">
            <w:pPr>
              <w:spacing w:after="0"/>
              <w:jc w:val="center"/>
              <w:rPr>
                <w:szCs w:val="24"/>
              </w:rPr>
            </w:pPr>
            <w:r w:rsidRPr="00A93F3A">
              <w:rPr>
                <w:szCs w:val="24"/>
              </w:rPr>
              <w:t>89%</w:t>
            </w:r>
          </w:p>
        </w:tc>
      </w:tr>
      <w:tr w:rsidR="00AC40FC" w:rsidRPr="00A87C8B" w:rsidTr="006F50C6">
        <w:trPr>
          <w:cantSplit/>
          <w:trHeight w:val="141"/>
          <w:jc w:val="center"/>
        </w:trPr>
        <w:tc>
          <w:tcPr>
            <w:tcW w:w="0" w:type="auto"/>
            <w:gridSpan w:val="5"/>
            <w:shd w:val="clear" w:color="auto" w:fill="auto"/>
            <w:noWrap/>
            <w:vAlign w:val="center"/>
          </w:tcPr>
          <w:p w:rsidR="00AC40FC" w:rsidRDefault="00AC40FC" w:rsidP="00C73199">
            <w:pPr>
              <w:spacing w:after="0"/>
              <w:jc w:val="left"/>
              <w:rPr>
                <w:szCs w:val="24"/>
              </w:rPr>
            </w:pPr>
            <w:r>
              <w:t>Source: DN 15-124b</w:t>
            </w:r>
          </w:p>
        </w:tc>
      </w:tr>
    </w:tbl>
    <w:p w:rsidR="00AC40FC" w:rsidRDefault="00AC40FC" w:rsidP="006058BF">
      <w:pPr>
        <w:pStyle w:val="Findings"/>
        <w:keepNext/>
        <w:spacing w:before="120"/>
      </w:pPr>
      <w:r>
        <w:t xml:space="preserve">The PPL Corporation compensation and performance management </w:t>
      </w:r>
      <w:r w:rsidRPr="006F50C6">
        <w:t>programs</w:t>
      </w:r>
      <w:r>
        <w:t xml:space="preserve"> are well integrated.</w:t>
      </w:r>
    </w:p>
    <w:p w:rsidR="00AC40FC" w:rsidRDefault="00AC40FC" w:rsidP="00C73199">
      <w:r>
        <w:t xml:space="preserve">The performance management and PPL Corporation’s Executive Compensation Programs are linked to business goals through the Corporate Strategic Framework, which is aligned with EMPACS. The Managerial Compensation Guide also supports and is linked to the Corporate Strategic Framework. </w:t>
      </w:r>
    </w:p>
    <w:p w:rsidR="00AC40FC" w:rsidRDefault="00AC40FC" w:rsidP="00C73199">
      <w:r>
        <w:t xml:space="preserve">PPL SC HR’s Compensation Department performs executive compensation services under the direction of PPL’s Corporate BOD and the CGNC of PPL Corporation.  PPL’s Corporate Strategic Framework is utilized </w:t>
      </w:r>
      <w:r w:rsidRPr="00FA415B">
        <w:t xml:space="preserve">to ensure a consistent compensation process is followed </w:t>
      </w:r>
      <w:r>
        <w:t>that</w:t>
      </w:r>
      <w:r w:rsidRPr="00FA415B">
        <w:t xml:space="preserve"> maximize</w:t>
      </w:r>
      <w:r>
        <w:t>s</w:t>
      </w:r>
      <w:r w:rsidRPr="00FA415B">
        <w:t xml:space="preserve"> executive performance and accomplish</w:t>
      </w:r>
      <w:r>
        <w:t>es</w:t>
      </w:r>
      <w:r w:rsidRPr="00FA415B">
        <w:t xml:space="preserve"> the goals of increasing share</w:t>
      </w:r>
      <w:r>
        <w:t>holder</w:t>
      </w:r>
      <w:r w:rsidRPr="00FA415B">
        <w:t xml:space="preserve"> value, achieving operational excellence, and optimizing workforce readiness and engagement</w:t>
      </w:r>
      <w:r>
        <w:t xml:space="preserve">. </w:t>
      </w:r>
    </w:p>
    <w:p w:rsidR="00AC40FC" w:rsidRPr="00FA415B" w:rsidRDefault="00AC40FC" w:rsidP="00C73199">
      <w:r w:rsidRPr="00FA415B">
        <w:t xml:space="preserve">Additionally, PPL Corporation’s values are included in the goal setting process and are part of the EMPACS system. </w:t>
      </w:r>
      <w:r>
        <w:t xml:space="preserve"> </w:t>
      </w:r>
      <w:r w:rsidRPr="00FA415B">
        <w:t xml:space="preserve">Every year the BOD sets goals for and evaluates </w:t>
      </w:r>
      <w:r>
        <w:t>the CEO’s</w:t>
      </w:r>
      <w:r w:rsidRPr="00FA415B">
        <w:t xml:space="preserve"> performance based on the achievement of corporate goals, and compensate</w:t>
      </w:r>
      <w:r>
        <w:t>s</w:t>
      </w:r>
      <w:r w:rsidRPr="00FA415B">
        <w:t xml:space="preserve"> </w:t>
      </w:r>
      <w:r>
        <w:t xml:space="preserve">the CEO </w:t>
      </w:r>
      <w:r w:rsidRPr="00FA415B">
        <w:t>accordingly.  Likewise, the CEO completes performance reviews for all direct reporting executives.  The performance planning process is linked to the CGNC’s recommendations for base pay increases, with business related criteria objectively defined and formulas included for awarding short and long</w:t>
      </w:r>
      <w:r>
        <w:t>-</w:t>
      </w:r>
      <w:r w:rsidRPr="00FA415B">
        <w:t xml:space="preserve">term incentives as identified in </w:t>
      </w:r>
      <w:r>
        <w:t xml:space="preserve">the </w:t>
      </w:r>
      <w:r w:rsidRPr="00FA415B">
        <w:t>PPL</w:t>
      </w:r>
      <w:r>
        <w:t xml:space="preserve"> Corporation</w:t>
      </w:r>
      <w:r w:rsidRPr="00FA415B">
        <w:t xml:space="preserve"> annual Proxy Statements. </w:t>
      </w:r>
      <w:r>
        <w:t xml:space="preserve"> </w:t>
      </w:r>
      <w:r w:rsidRPr="00FA415B">
        <w:t>The Corporate Strategic Framework</w:t>
      </w:r>
      <w:r>
        <w:t>,</w:t>
      </w:r>
      <w:r w:rsidRPr="00FA415B">
        <w:t xml:space="preserve"> </w:t>
      </w:r>
      <w:r>
        <w:t xml:space="preserve">as </w:t>
      </w:r>
      <w:r w:rsidRPr="00FA415B">
        <w:t>aligned with EMPACS</w:t>
      </w:r>
      <w:r>
        <w:t>,</w:t>
      </w:r>
      <w:r w:rsidRPr="00FA415B">
        <w:t xml:space="preserve"> deters PPL Corporation’s executives from purely focusing on short-term financial gains at the expense of other core values and objectives tied to long-term sustainability and growth.</w:t>
      </w:r>
    </w:p>
    <w:p w:rsidR="00AC40FC" w:rsidRDefault="00AC40FC" w:rsidP="00C73199">
      <w:r w:rsidRPr="00B0144C">
        <w:t>It is clear from reviewing the EMPACS tools provid</w:t>
      </w:r>
      <w:r>
        <w:t xml:space="preserve">ed during the audit that the individual employee </w:t>
      </w:r>
      <w:r w:rsidRPr="00B0144C">
        <w:t>goals are well a</w:t>
      </w:r>
      <w:r>
        <w:t>ligned with PPL’s Corporate Strategic</w:t>
      </w:r>
      <w:r w:rsidRPr="00B0144C">
        <w:t xml:space="preserve"> Framewor</w:t>
      </w:r>
      <w:r>
        <w:t xml:space="preserve">k which is supported by the </w:t>
      </w:r>
      <w:r w:rsidRPr="00B0144C">
        <w:t>Managerial Compensation Guidebook</w:t>
      </w:r>
      <w:r>
        <w:t>.</w:t>
      </w:r>
    </w:p>
    <w:p w:rsidR="00AC40FC" w:rsidRDefault="00AC40FC" w:rsidP="00BB665B">
      <w:pPr>
        <w:pStyle w:val="Findings"/>
        <w:keepNext/>
      </w:pPr>
      <w:r>
        <w:lastRenderedPageBreak/>
        <w:t xml:space="preserve">PPL Corporation NEOs and PPL EU’s top four executives have the majority of compensation “at risk”. </w:t>
      </w:r>
    </w:p>
    <w:p w:rsidR="00AC40FC" w:rsidRDefault="00AC40FC" w:rsidP="00C73199">
      <w:r>
        <w:t>Executive compensation that rewards a large percentage of compensation in short-term cash incentives and larger proportions of compensation as long-term equity is a growing best practice.</w:t>
      </w:r>
      <w:r w:rsidRPr="00274538">
        <w:t xml:space="preserve"> </w:t>
      </w:r>
      <w:r>
        <w:t xml:space="preserve"> The large percentage of short-term cash incentives helps ensure executives strive to achieve current organizational performance and step goals, which drive current shareholder value and act as prerequisites to the achievement of long-term goals.  The large allocation of long-term incentives or equity helps to ensure that executives are increasing their level of ownership based on the same interests as their shareowners.  Tier I and Tier II executives maintain a balanced approach in the attainment of short and long-term goals focusing on the long term growth and sustainability of PPL Corporation and PPL EU. </w:t>
      </w:r>
    </w:p>
    <w:p w:rsidR="00AC40FC" w:rsidRDefault="00AC40FC" w:rsidP="006F50C6">
      <w:pPr>
        <w:pStyle w:val="Findings"/>
      </w:pPr>
      <w:r>
        <w:t>Base salaries for</w:t>
      </w:r>
      <w:r w:rsidRPr="003612B2">
        <w:t xml:space="preserve"> </w:t>
      </w:r>
      <w:r w:rsidRPr="001F6CF4">
        <w:t>PPL EU’s top four executives</w:t>
      </w:r>
      <w:r>
        <w:t xml:space="preserve"> are market competitive</w:t>
      </w:r>
      <w:r w:rsidRPr="001F6CF4">
        <w:t>.</w:t>
      </w:r>
    </w:p>
    <w:p w:rsidR="00AC40FC" w:rsidRPr="003612B2" w:rsidRDefault="00AC40FC" w:rsidP="00C73199">
      <w:r>
        <w:t>The base salaries for the PPL EU President, VP</w:t>
      </w:r>
      <w:r w:rsidRPr="003A5438">
        <w:rPr>
          <w:bCs/>
          <w:szCs w:val="24"/>
        </w:rPr>
        <w:t xml:space="preserve"> </w:t>
      </w:r>
      <w:r>
        <w:rPr>
          <w:bCs/>
          <w:szCs w:val="24"/>
        </w:rPr>
        <w:t xml:space="preserve">– </w:t>
      </w:r>
      <w:r>
        <w:t xml:space="preserve">Distribution Operations, </w:t>
      </w:r>
      <w:r w:rsidRPr="003A5438">
        <w:rPr>
          <w:bCs/>
          <w:szCs w:val="24"/>
        </w:rPr>
        <w:t xml:space="preserve">VP </w:t>
      </w:r>
      <w:r>
        <w:rPr>
          <w:bCs/>
          <w:szCs w:val="24"/>
        </w:rPr>
        <w:t>–</w:t>
      </w:r>
      <w:r w:rsidRPr="003A5438">
        <w:rPr>
          <w:bCs/>
          <w:szCs w:val="24"/>
        </w:rPr>
        <w:t xml:space="preserve">Transmission </w:t>
      </w:r>
      <w:r>
        <w:rPr>
          <w:bCs/>
          <w:szCs w:val="24"/>
        </w:rPr>
        <w:t>and</w:t>
      </w:r>
      <w:r w:rsidRPr="003A5438">
        <w:rPr>
          <w:bCs/>
          <w:szCs w:val="24"/>
        </w:rPr>
        <w:t xml:space="preserve"> Substations</w:t>
      </w:r>
      <w:r>
        <w:rPr>
          <w:bCs/>
          <w:szCs w:val="24"/>
        </w:rPr>
        <w:t>, and Customer Service VP</w:t>
      </w:r>
      <w:r>
        <w:t xml:space="preserve"> are market competitive.  And although total direct compensation for these executives lags the market somewhat in certain cases, the PPL Corporation short-term incentives and long-term incentives programs offer considerable total compensation opportunity for them, consistent with performance.</w:t>
      </w:r>
    </w:p>
    <w:p w:rsidR="00AC40FC" w:rsidRDefault="00AC40FC" w:rsidP="006F50C6">
      <w:pPr>
        <w:pStyle w:val="Findings"/>
      </w:pPr>
      <w:r w:rsidRPr="006F50C6">
        <w:t>The</w:t>
      </w:r>
      <w:r>
        <w:t xml:space="preserve"> current pension plan is comparable with similar utilities. </w:t>
      </w:r>
    </w:p>
    <w:p w:rsidR="00AC40FC" w:rsidRDefault="00AC40FC" w:rsidP="00C73199">
      <w:r>
        <w:t xml:space="preserve">PPL Corporation closed the defined benefit plan to new hires for non-unionized workers in 2012 and to new hires for unionized members in 2014.  According to the pension analysis by PPL’s outside consultant, PPL Corporation is following best practice trends in pension plan offerings in the utility industry. </w:t>
      </w:r>
    </w:p>
    <w:p w:rsidR="00AC40FC" w:rsidRDefault="00AC40FC" w:rsidP="00C73199">
      <w:r w:rsidRPr="00EE1179">
        <w:t>The percentage of workers covered by a traditional defined benefit pension plan that pays a lifetime annuity, often based on years of service and final salary, has been steadily d</w:t>
      </w:r>
      <w:r>
        <w:t xml:space="preserve">eclining over the past 30 years due to employers bearing the risks of higher costs/funding requirements related to stock market volatility. </w:t>
      </w:r>
      <w:r w:rsidRPr="00EE1179">
        <w:t xml:space="preserve"> </w:t>
      </w:r>
    </w:p>
    <w:p w:rsidR="00AC40FC" w:rsidRPr="00EE1179" w:rsidRDefault="00AC40FC" w:rsidP="00C73199">
      <w:r>
        <w:t xml:space="preserve">For workers who are ineligible for the defined benefit pension plan, PPL Corporation offers a defined contribution 401(k) pension plan, consistent with industry peers and trends across industries. </w:t>
      </w:r>
    </w:p>
    <w:p w:rsidR="00AC40FC" w:rsidRDefault="00AC40FC" w:rsidP="004F00E5">
      <w:pPr>
        <w:pStyle w:val="Heading2"/>
        <w:numPr>
          <w:ilvl w:val="0"/>
          <w:numId w:val="111"/>
        </w:numPr>
      </w:pPr>
      <w:bookmarkStart w:id="266" w:name="_Toc462647884"/>
      <w:bookmarkStart w:id="267" w:name="_Toc464552123"/>
      <w:r>
        <w:t>RECOMMENDATIONS</w:t>
      </w:r>
      <w:bookmarkEnd w:id="266"/>
      <w:bookmarkEnd w:id="267"/>
    </w:p>
    <w:p w:rsidR="00AC40FC" w:rsidRDefault="00AC40FC" w:rsidP="004F00E5">
      <w:pPr>
        <w:pStyle w:val="Findings"/>
        <w:numPr>
          <w:ilvl w:val="0"/>
          <w:numId w:val="127"/>
        </w:numPr>
      </w:pPr>
      <w:r>
        <w:t xml:space="preserve">Update the PPL Corporation’s Executive Compensation Policy to include accurate definitions of 16 Officers and Tier I and Tier II executives. (See Finding 1) </w:t>
      </w:r>
    </w:p>
    <w:p w:rsidR="00AC40FC" w:rsidRDefault="00AC40FC" w:rsidP="00C73199">
      <w:r>
        <w:t>The Executive Compensation Policy should clearly and accurately define Tier I and Tier II executives.  Specific guidelines to fully understand the executive compensation process undertaken by PPL Corporation for Tier I and Tier II executives should be included.  Likewise, a clearer definition should be provided with examples for short-term and long-term executive incentive calculations.  The new definitions should include examples of short-term incentive linkages to individual performance weighting and individual goal attainment percentages.</w:t>
      </w:r>
    </w:p>
    <w:p w:rsidR="00AC40FC" w:rsidRDefault="00AC40FC" w:rsidP="006F50C6">
      <w:pPr>
        <w:pStyle w:val="Findings"/>
      </w:pPr>
      <w:r>
        <w:lastRenderedPageBreak/>
        <w:t xml:space="preserve">The BOD and CGNC should ensure all executives actively participate in the </w:t>
      </w:r>
      <w:r w:rsidRPr="006F50C6">
        <w:t>EMPACS</w:t>
      </w:r>
      <w:r>
        <w:t xml:space="preserve"> process and timely complete the annual EMPACS individual performance review. (See Finding 4) </w:t>
      </w:r>
    </w:p>
    <w:p w:rsidR="00AC40FC" w:rsidRDefault="00AC40FC" w:rsidP="00C73199">
      <w:r>
        <w:t>Participation in EMPACS by all executives and completion of performance reviews by all participating executives will assure more effective administration of the executive performance and compensation program.</w:t>
      </w:r>
    </w:p>
    <w:p w:rsidR="00AC40FC" w:rsidRDefault="00AC40FC" w:rsidP="00C73199">
      <w:pPr>
        <w:sectPr w:rsidR="00AC40FC" w:rsidSect="00A57D87">
          <w:footerReference w:type="default" r:id="rId79"/>
          <w:type w:val="continuous"/>
          <w:pgSz w:w="12240" w:h="15840"/>
          <w:pgMar w:top="1440" w:right="1440" w:bottom="1440" w:left="1440" w:header="720" w:footer="576" w:gutter="0"/>
          <w:cols w:space="720"/>
          <w:docGrid w:linePitch="360"/>
        </w:sectPr>
      </w:pPr>
    </w:p>
    <w:p w:rsidR="00AC40FC" w:rsidRDefault="00034E81" w:rsidP="00AC40FC">
      <w:pPr>
        <w:pStyle w:val="Heading1"/>
        <w:ind w:left="720"/>
      </w:pPr>
      <w:bookmarkStart w:id="268" w:name="_Toc462647885"/>
      <w:bookmarkStart w:id="269" w:name="_Toc464552124"/>
      <w:r>
        <w:lastRenderedPageBreak/>
        <w:t>Diversity and Equal Employment</w:t>
      </w:r>
      <w:r w:rsidR="00AC40FC">
        <w:br/>
        <w:t>Opportunity</w:t>
      </w:r>
      <w:bookmarkEnd w:id="268"/>
      <w:bookmarkEnd w:id="269"/>
    </w:p>
    <w:p w:rsidR="00AC40FC" w:rsidRDefault="00AC40FC" w:rsidP="00A57D87">
      <w:r>
        <w:t>PPL Electric Utilities Corporation (PPL EU) is encouraged by Pennsylvania Public Utility Commission (PUC) Regulations at 52 Pa. Code §69.809 to report on vendor and employee diversity programs.  It is also required to comply with federal affirmative action program specifications.</w:t>
      </w:r>
    </w:p>
    <w:p w:rsidR="00AC40FC" w:rsidRDefault="00AC40FC">
      <w:pPr>
        <w:pStyle w:val="Heading30"/>
      </w:pPr>
      <w:r>
        <w:t>organizational responsibilities</w:t>
      </w:r>
    </w:p>
    <w:p w:rsidR="00AC40FC" w:rsidRDefault="00AC40FC" w:rsidP="00A57D87">
      <w:r>
        <w:t>PPL Services Corporation (PPL SC) establishes diversity initiatives that are then implemented in the business line.  A combination of PPL Electric Utility Services Corporation (PPL EUS) Supply Chain, PPL EUS Human Resources (HR), and PPL Services Corporation (PPL SC) Human Resources staff carry out responsibilities to ensure compliance with the vendor diversity, employee diversity, and affirmative action requirements.  Specific responsibilities for vendor diversity, employee diversity, and affirmative action obligations are depicted below:</w:t>
      </w:r>
    </w:p>
    <w:p w:rsidR="00AC40FC" w:rsidRDefault="00AC40FC" w:rsidP="002B3172">
      <w:pPr>
        <w:pStyle w:val="Caption"/>
      </w:pPr>
      <w:bookmarkStart w:id="270" w:name="_Toc462648466"/>
      <w:bookmarkStart w:id="271" w:name="_Toc464553088"/>
      <w:r>
        <w:t xml:space="preserve">Exhibit </w:t>
      </w:r>
      <w:fldSimple w:instr=" STYLEREF 1 \s ">
        <w:r w:rsidR="00A24205">
          <w:rPr>
            <w:noProof/>
          </w:rPr>
          <w:t>XIV</w:t>
        </w:r>
      </w:fldSimple>
      <w:r w:rsidR="00264A1B">
        <w:noBreakHyphen/>
      </w:r>
      <w:fldSimple w:instr=" SEQ Exhibit \* ARABIC \s 1 ">
        <w:r w:rsidR="00A24205">
          <w:rPr>
            <w:noProof/>
          </w:rPr>
          <w:t>1</w:t>
        </w:r>
      </w:fldSimple>
      <w:r>
        <w:br/>
        <w:t>Distribution of Responsibility for Vendor Diversity, Employee Diversity, and Affirmative Action Obligations for PPL EU</w:t>
      </w:r>
      <w:bookmarkEnd w:id="270"/>
      <w:bookmarkEnd w:id="271"/>
    </w:p>
    <w:p w:rsidR="00AC40FC" w:rsidRDefault="00AC40FC" w:rsidP="00A57D87">
      <w:pPr>
        <w:jc w:val="center"/>
      </w:pPr>
      <w:r>
        <w:rPr>
          <w:noProof/>
        </w:rPr>
        <w:drawing>
          <wp:inline distT="0" distB="0" distL="0" distR="0">
            <wp:extent cx="5438775" cy="303847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PL SC Chart for Polly.JPG"/>
                    <pic:cNvPicPr/>
                  </pic:nvPicPr>
                  <pic:blipFill>
                    <a:blip r:embed="rId80"/>
                    <a:stretch>
                      <a:fillRect/>
                    </a:stretch>
                  </pic:blipFill>
                  <pic:spPr>
                    <a:xfrm>
                      <a:off x="0" y="0"/>
                      <a:ext cx="5438775" cy="3038475"/>
                    </a:xfrm>
                    <a:prstGeom prst="rect">
                      <a:avLst/>
                    </a:prstGeom>
                  </pic:spPr>
                </pic:pic>
              </a:graphicData>
            </a:graphic>
          </wp:inline>
        </w:drawing>
      </w:r>
    </w:p>
    <w:p w:rsidR="00AC40FC" w:rsidRDefault="00AC40FC" w:rsidP="00A57D87">
      <w:r>
        <w:t>Sources: IN C-4; IN C-8; IN C-17; IN C-18; IN C-24</w:t>
      </w:r>
    </w:p>
    <w:p w:rsidR="00AC40FC" w:rsidRDefault="00AC40FC" w:rsidP="00A57D87">
      <w:r>
        <w:t>As seen above, within PPL EU, responsibility for compliance with vendor diversity requirements rests with PPL EUS Supply Chain while employee diversity is the responsibility of PPL EUS HR and responsibility for Affirmative Action requirements rests with PPL SC HR.  Employee diversity initiatives and affirmative action obligations are intertwined as hiring goals established within the affirmative action plan are shared with the PPL EUS HR diversity team.  The organizational charts that follow in the sections below reflect the groups that implement diversity initiatives for PPL EU.</w:t>
      </w:r>
    </w:p>
    <w:p w:rsidR="00AC40FC" w:rsidRDefault="00AC40FC" w:rsidP="00A57D87">
      <w:r>
        <w:lastRenderedPageBreak/>
        <w:t>This chapter addresses Diversity and Equal Employment Opportunity (EEO) requirements in separate sections as follow:</w:t>
      </w:r>
    </w:p>
    <w:p w:rsidR="00AC40FC" w:rsidRPr="006058BF" w:rsidRDefault="00AC40FC" w:rsidP="006058BF">
      <w:pPr>
        <w:pStyle w:val="Normalindent"/>
      </w:pPr>
      <w:r>
        <w:t xml:space="preserve">A. </w:t>
      </w:r>
      <w:r w:rsidRPr="006058BF">
        <w:t>Vendor Diversity</w:t>
      </w:r>
    </w:p>
    <w:p w:rsidR="00AC40FC" w:rsidRPr="006058BF" w:rsidRDefault="00AC40FC" w:rsidP="006058BF">
      <w:pPr>
        <w:pStyle w:val="Normalindent"/>
      </w:pPr>
      <w:r>
        <w:t xml:space="preserve">B. </w:t>
      </w:r>
      <w:r w:rsidRPr="006058BF">
        <w:t>Employee Diversity</w:t>
      </w:r>
    </w:p>
    <w:p w:rsidR="00AC40FC" w:rsidRPr="006058BF" w:rsidRDefault="00AC40FC" w:rsidP="006058BF">
      <w:pPr>
        <w:pStyle w:val="Normalindent"/>
      </w:pPr>
      <w:r>
        <w:t xml:space="preserve">C. </w:t>
      </w:r>
      <w:r w:rsidRPr="006058BF">
        <w:t>Affirmative Action</w:t>
      </w:r>
    </w:p>
    <w:p w:rsidR="00AC40FC" w:rsidRDefault="00AC40FC" w:rsidP="00A57D87">
      <w:pPr>
        <w:pStyle w:val="Normal-aftertable"/>
      </w:pPr>
      <w:r>
        <w:t>Background information, findings, and recommendations are included in each section.</w:t>
      </w:r>
    </w:p>
    <w:p w:rsidR="00AC40FC" w:rsidRDefault="00AC40FC" w:rsidP="004F00E5">
      <w:pPr>
        <w:pStyle w:val="Heading2"/>
        <w:numPr>
          <w:ilvl w:val="0"/>
          <w:numId w:val="128"/>
        </w:numPr>
      </w:pPr>
      <w:bookmarkStart w:id="272" w:name="_Toc462647886"/>
      <w:bookmarkStart w:id="273" w:name="_Toc464552125"/>
      <w:r>
        <w:t>Vendor diversity</w:t>
      </w:r>
      <w:bookmarkEnd w:id="272"/>
      <w:bookmarkEnd w:id="273"/>
    </w:p>
    <w:p w:rsidR="00AC40FC" w:rsidRDefault="00AC40FC" w:rsidP="00BB665B">
      <w:pPr>
        <w:pStyle w:val="Heading-forToC"/>
      </w:pPr>
      <w:bookmarkStart w:id="274" w:name="_Toc462647887"/>
      <w:bookmarkStart w:id="275" w:name="_Toc464552126"/>
      <w:r>
        <w:t>Background</w:t>
      </w:r>
      <w:bookmarkEnd w:id="274"/>
      <w:bookmarkEnd w:id="275"/>
    </w:p>
    <w:p w:rsidR="00AC40FC" w:rsidRDefault="00AC40FC" w:rsidP="00A57D87">
      <w:r>
        <w:t>The PUC encourages major jurisdictional utility companies operating in the Commonwealth, such as PPL EU, to incorporate diversity in their business strategies in connection with the procurement of goods and services.  Jurisdictional utilities are encouraged to articulate a policy, establish a diversity program, appoint managers to be responsible for the success of the program, provide training on diversity, and locate qualified vendors.  In addition, the utility is encouraged to file an annual report with the PUC describing diversity program activity for the prior year.  Specifically, the utility is to focus on providing businesses owned by minorities, women, and persons with disabilities an equal opportunity to compete for the purchase of equipment, supplies, services, fuels, materials, construction, and professional services.</w:t>
      </w:r>
    </w:p>
    <w:p w:rsidR="00AC40FC" w:rsidRDefault="00AC40FC" w:rsidP="00A57D87">
      <w:r>
        <w:t>The following definitions of vendors are utilized at PPL in its Vendor Diversity Program.</w:t>
      </w:r>
    </w:p>
    <w:p w:rsidR="00AC40FC" w:rsidRPr="00B75EE5" w:rsidRDefault="00AC40FC" w:rsidP="00A57D87">
      <w:pPr>
        <w:pStyle w:val="Heading40"/>
        <w:ind w:left="720"/>
        <w:rPr>
          <w:i/>
        </w:rPr>
      </w:pPr>
      <w:r w:rsidRPr="00B75EE5">
        <w:rPr>
          <w:i/>
        </w:rPr>
        <w:t>Small Disadvantaged Business</w:t>
      </w:r>
    </w:p>
    <w:p w:rsidR="00AC40FC" w:rsidRPr="00B75EE5" w:rsidRDefault="00AC40FC" w:rsidP="00A57D87">
      <w:pPr>
        <w:ind w:left="720"/>
        <w:rPr>
          <w:i/>
        </w:rPr>
      </w:pPr>
      <w:r>
        <w:rPr>
          <w:i/>
        </w:rPr>
        <w:t>A</w:t>
      </w:r>
      <w:r w:rsidRPr="00B75EE5">
        <w:rPr>
          <w:i/>
        </w:rPr>
        <w:t xml:space="preserve"> small </w:t>
      </w:r>
      <w:r>
        <w:rPr>
          <w:i/>
        </w:rPr>
        <w:t xml:space="preserve">disadvantaged </w:t>
      </w:r>
      <w:r w:rsidRPr="00B75EE5">
        <w:rPr>
          <w:i/>
        </w:rPr>
        <w:t>business</w:t>
      </w:r>
      <w:r>
        <w:rPr>
          <w:i/>
        </w:rPr>
        <w:t xml:space="preserve"> is</w:t>
      </w:r>
      <w:r w:rsidRPr="00B75EE5">
        <w:rPr>
          <w:i/>
        </w:rPr>
        <w:t xml:space="preserve"> a small business that is at least 51% owned by one or more socially and economically disadvantaged individuals or, in the case of any publicly owned business, at least 51% of the stock is owned by one or more socially and economically disadvantaged individuals. The U.S. Small Business Administration established that the net worth of an individual claiming economic disadvantage must be less than $750,000. </w:t>
      </w:r>
    </w:p>
    <w:p w:rsidR="00AC40FC" w:rsidRPr="00B75EE5" w:rsidRDefault="00AC40FC" w:rsidP="00A57D87">
      <w:pPr>
        <w:ind w:left="720"/>
        <w:rPr>
          <w:i/>
        </w:rPr>
      </w:pPr>
      <w:r w:rsidRPr="00B75EE5">
        <w:rPr>
          <w:i/>
        </w:rPr>
        <w:t xml:space="preserve">Socially disadvantaged individuals include Black Americans, Hispanic Americans, Native Americans, Asian-Pacific Americans, Subcontinent Asian Americans, and other minorities or individuals found to be disadvantaged by the Small Business Administration pursuant to Section 8(a) of the Small Business Act. The term "Native Americans" includes American Indians, American Eskimos, American Aleuts, and Native Hawaiians. The term "Asian-Pacific Americans" includes United States citizens whose origins are from Japan, China, the Philippines, Viet Nam, Korea, Samoa, Guam, the US Trust Territories of the Pacific, Northern Marianas, Laos, Cambodia, and Taiwan. The term "Subcontinent Asian Americans" includes US citizens whose origins are from India, Pakistan, and Bangladesh. </w:t>
      </w:r>
    </w:p>
    <w:p w:rsidR="00AC40FC" w:rsidRPr="00B75EE5" w:rsidRDefault="00AC40FC" w:rsidP="00A57D87">
      <w:pPr>
        <w:pStyle w:val="Heading40"/>
        <w:ind w:left="720"/>
        <w:rPr>
          <w:i/>
        </w:rPr>
      </w:pPr>
      <w:r w:rsidRPr="00B75EE5">
        <w:rPr>
          <w:i/>
        </w:rPr>
        <w:t>HUBZone Certified Small Business</w:t>
      </w:r>
    </w:p>
    <w:p w:rsidR="00AC40FC" w:rsidRPr="00B75EE5" w:rsidRDefault="00AC40FC" w:rsidP="00A57D87">
      <w:pPr>
        <w:ind w:left="720"/>
        <w:rPr>
          <w:i/>
        </w:rPr>
      </w:pPr>
      <w:r w:rsidRPr="00B75EE5">
        <w:rPr>
          <w:i/>
        </w:rPr>
        <w:t xml:space="preserve">A HUBZone </w:t>
      </w:r>
      <w:r>
        <w:rPr>
          <w:i/>
        </w:rPr>
        <w:t xml:space="preserve">certified </w:t>
      </w:r>
      <w:r w:rsidRPr="00B75EE5">
        <w:rPr>
          <w:i/>
        </w:rPr>
        <w:t xml:space="preserve">small business is one that resides in an area designated as a historically underutilized business zone and meets U.S. Small Business </w:t>
      </w:r>
      <w:r w:rsidRPr="00B75EE5">
        <w:rPr>
          <w:i/>
        </w:rPr>
        <w:lastRenderedPageBreak/>
        <w:t>administration criteria, including being owned or controlled by one or more U.S. citizens and at least 35% of its employees must reside in a HUBZone.</w:t>
      </w:r>
    </w:p>
    <w:p w:rsidR="00AC40FC" w:rsidRPr="00B75EE5" w:rsidRDefault="00AC40FC" w:rsidP="00A57D87">
      <w:pPr>
        <w:pStyle w:val="Heading40"/>
        <w:ind w:left="720"/>
        <w:rPr>
          <w:i/>
        </w:rPr>
      </w:pPr>
      <w:r w:rsidRPr="00B75EE5">
        <w:rPr>
          <w:i/>
        </w:rPr>
        <w:t>Service Disabled Veteran Owned</w:t>
      </w:r>
      <w:r>
        <w:rPr>
          <w:i/>
        </w:rPr>
        <w:t xml:space="preserve"> Small Business</w:t>
      </w:r>
    </w:p>
    <w:p w:rsidR="00AC40FC" w:rsidRPr="00B75EE5" w:rsidRDefault="00AC40FC" w:rsidP="00A57D87">
      <w:pPr>
        <w:ind w:left="720"/>
        <w:rPr>
          <w:i/>
        </w:rPr>
      </w:pPr>
      <w:r w:rsidRPr="00B75EE5">
        <w:rPr>
          <w:i/>
        </w:rPr>
        <w:t xml:space="preserve">A service disabled veteran </w:t>
      </w:r>
      <w:r>
        <w:rPr>
          <w:i/>
        </w:rPr>
        <w:t xml:space="preserve">owned small business (SDVOSB) </w:t>
      </w:r>
      <w:r w:rsidRPr="00B75EE5">
        <w:rPr>
          <w:i/>
        </w:rPr>
        <w:t>is a</w:t>
      </w:r>
      <w:r>
        <w:rPr>
          <w:i/>
        </w:rPr>
        <w:t xml:space="preserve"> business owned by a</w:t>
      </w:r>
      <w:r w:rsidRPr="00B75EE5">
        <w:rPr>
          <w:i/>
        </w:rPr>
        <w:t xml:space="preserve"> veteran with a disability that was incurred, or was aggravated, in the line of active military duty. To qualify the business must meet the following criteria: (1) One or more service-disabled veterans must own at least 51% of the business.  If publicly owned, one or more service-disabled veterans must own at least 51% of the stock.  (2) One or more service-disabled veterans must control management and daily business operations.  In the case of a veteran with a permanent and severe disability, the management and daily business operations are controlled by a spouse or permanent caregiver.  (3) The business must meet the size standards as prescribed in government regulations.</w:t>
      </w:r>
    </w:p>
    <w:p w:rsidR="00AC40FC" w:rsidRPr="00B75EE5" w:rsidRDefault="00AC40FC" w:rsidP="00A57D87">
      <w:pPr>
        <w:pStyle w:val="Heading40"/>
        <w:ind w:left="720"/>
        <w:rPr>
          <w:i/>
        </w:rPr>
      </w:pPr>
      <w:r w:rsidRPr="00B75EE5">
        <w:rPr>
          <w:i/>
        </w:rPr>
        <w:t>Woman Owned Small Business</w:t>
      </w:r>
    </w:p>
    <w:p w:rsidR="00AC40FC" w:rsidRPr="00B75EE5" w:rsidRDefault="00AC40FC" w:rsidP="00A57D87">
      <w:pPr>
        <w:ind w:left="720"/>
        <w:rPr>
          <w:i/>
        </w:rPr>
      </w:pPr>
      <w:r>
        <w:rPr>
          <w:i/>
        </w:rPr>
        <w:t>A</w:t>
      </w:r>
      <w:r w:rsidRPr="00B75EE5">
        <w:rPr>
          <w:i/>
        </w:rPr>
        <w:t xml:space="preserve"> women owned small business </w:t>
      </w:r>
      <w:r>
        <w:rPr>
          <w:i/>
        </w:rPr>
        <w:t xml:space="preserve">is </w:t>
      </w:r>
      <w:r w:rsidRPr="00B75EE5">
        <w:rPr>
          <w:i/>
        </w:rPr>
        <w:t xml:space="preserve">a small business concern which is at least 51% owned by one or more women, or, in the case of any publicly owned business, at least 51% of the stock of which is owned by one or more women; </w:t>
      </w:r>
      <w:r>
        <w:rPr>
          <w:i/>
        </w:rPr>
        <w:t>and the</w:t>
      </w:r>
      <w:r w:rsidRPr="00B75EE5">
        <w:rPr>
          <w:i/>
        </w:rPr>
        <w:t xml:space="preserve"> management and daily business operations are controlled by one or more women.</w:t>
      </w:r>
    </w:p>
    <w:p w:rsidR="00AC40FC" w:rsidRPr="00B75EE5" w:rsidRDefault="00AC40FC" w:rsidP="00A57D87">
      <w:pPr>
        <w:pStyle w:val="Heading40"/>
        <w:ind w:left="720"/>
        <w:rPr>
          <w:i/>
        </w:rPr>
      </w:pPr>
      <w:r w:rsidRPr="00B75EE5">
        <w:rPr>
          <w:i/>
        </w:rPr>
        <w:t>Minority Owned Business</w:t>
      </w:r>
    </w:p>
    <w:p w:rsidR="00AC40FC" w:rsidRPr="00B75EE5" w:rsidRDefault="00AC40FC" w:rsidP="00A57D87">
      <w:pPr>
        <w:ind w:left="720"/>
        <w:rPr>
          <w:i/>
        </w:rPr>
      </w:pPr>
      <w:r w:rsidRPr="00B75EE5">
        <w:rPr>
          <w:i/>
        </w:rPr>
        <w:t xml:space="preserve">A </w:t>
      </w:r>
      <w:r>
        <w:rPr>
          <w:i/>
        </w:rPr>
        <w:t>m</w:t>
      </w:r>
      <w:r w:rsidRPr="00B75EE5">
        <w:rPr>
          <w:i/>
        </w:rPr>
        <w:t xml:space="preserve">inority </w:t>
      </w:r>
      <w:r>
        <w:rPr>
          <w:i/>
        </w:rPr>
        <w:t>o</w:t>
      </w:r>
      <w:r w:rsidRPr="00B75EE5">
        <w:rPr>
          <w:i/>
        </w:rPr>
        <w:t xml:space="preserve">wned </w:t>
      </w:r>
      <w:r>
        <w:rPr>
          <w:i/>
        </w:rPr>
        <w:t>b</w:t>
      </w:r>
      <w:r w:rsidRPr="00B75EE5">
        <w:rPr>
          <w:i/>
        </w:rPr>
        <w:t xml:space="preserve">usiness is one that is at least 51% owned, controlled, and actively managed by a minority as defined by the </w:t>
      </w:r>
      <w:r>
        <w:rPr>
          <w:i/>
        </w:rPr>
        <w:t>U.S. Small Business Association</w:t>
      </w:r>
      <w:r w:rsidRPr="00B75EE5">
        <w:rPr>
          <w:i/>
        </w:rPr>
        <w:t>.</w:t>
      </w:r>
    </w:p>
    <w:p w:rsidR="00AC40FC" w:rsidRDefault="00AC40FC">
      <w:r>
        <w:t>The PPL EUS Supply Chain organizational unit responsible for the PPL EU Vendor Diversity Program is shown below.</w:t>
      </w:r>
    </w:p>
    <w:p w:rsidR="00AC40FC" w:rsidRDefault="00AC40FC" w:rsidP="002B3172">
      <w:pPr>
        <w:pStyle w:val="Caption"/>
      </w:pPr>
      <w:bookmarkStart w:id="276" w:name="_Toc462648467"/>
      <w:bookmarkStart w:id="277" w:name="_Toc464553089"/>
      <w:r>
        <w:t xml:space="preserve">Exhibit </w:t>
      </w:r>
      <w:fldSimple w:instr=" STYLEREF 1 \s ">
        <w:r w:rsidR="00A24205">
          <w:rPr>
            <w:noProof/>
          </w:rPr>
          <w:t>XIV</w:t>
        </w:r>
      </w:fldSimple>
      <w:r w:rsidR="00264A1B">
        <w:noBreakHyphen/>
      </w:r>
      <w:fldSimple w:instr=" SEQ Exhibit \* ARABIC \s 1 ">
        <w:r w:rsidR="00A24205">
          <w:rPr>
            <w:noProof/>
          </w:rPr>
          <w:t>2</w:t>
        </w:r>
      </w:fldSimple>
      <w:r>
        <w:br/>
        <w:t>PPL EUS Supply Chain - Vendor Diversity Responsibility</w:t>
      </w:r>
      <w:bookmarkEnd w:id="276"/>
      <w:bookmarkEnd w:id="277"/>
    </w:p>
    <w:p w:rsidR="00AC40FC" w:rsidRDefault="00AC40FC" w:rsidP="00A57D87">
      <w:pPr>
        <w:jc w:val="center"/>
      </w:pPr>
      <w:r>
        <w:rPr>
          <w:noProof/>
        </w:rPr>
        <w:drawing>
          <wp:inline distT="0" distB="0" distL="0" distR="0">
            <wp:extent cx="1936783" cy="24765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PL-EUS_Supply-Chain_page1&amp;170_v1.jpg"/>
                    <pic:cNvPicPr/>
                  </pic:nvPicPr>
                  <pic:blipFill>
                    <a:blip r:embed="rId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42760" cy="2484143"/>
                    </a:xfrm>
                    <a:prstGeom prst="rect">
                      <a:avLst/>
                    </a:prstGeom>
                  </pic:spPr>
                </pic:pic>
              </a:graphicData>
            </a:graphic>
          </wp:inline>
        </w:drawing>
      </w:r>
    </w:p>
    <w:p w:rsidR="00AC40FC" w:rsidRDefault="00AC40FC" w:rsidP="00A57D87">
      <w:r>
        <w:t>Source: DN 01-071</w:t>
      </w:r>
    </w:p>
    <w:p w:rsidR="00AC40FC" w:rsidRDefault="00AC40FC">
      <w:r>
        <w:lastRenderedPageBreak/>
        <w:t>The PPL EUS Supervisor of Supply Programs and Administration is charged with planning and implementing the PPL EU Vendor Diversity Program.  The PPL EU Vendor Diversity Program consists of the following elements: Prime Contractor Vendor Diversity Programs; Small Business Identification; Minority, Women, and Persons with Disability Owned Businesses Outreach; Tracking Diverse Vendors and Contracts Awarded; and Diverse Spending and Goals.  Each of these elements is examined in more detail below.</w:t>
      </w:r>
    </w:p>
    <w:p w:rsidR="00AC40FC" w:rsidRDefault="00AC40FC" w:rsidP="00BB665B">
      <w:pPr>
        <w:pStyle w:val="Heading40"/>
        <w:spacing w:before="120"/>
      </w:pPr>
      <w:r w:rsidRPr="002A468D">
        <w:t>Prime Contractor Vendor Diversity Programs</w:t>
      </w:r>
    </w:p>
    <w:p w:rsidR="00AC40FC" w:rsidRDefault="00AC40FC" w:rsidP="00A57D87">
      <w:r>
        <w:t xml:space="preserve">The Supervisor of Supply Programs and Administration (Supply Programs) is responsible for receiving and reviewing the vendor diversity programs of its prime contractors who have been awarded subcontracts that offer further subcontracting opportunities (Tier II spend) and who are required by PPL terms and conditions to support the diversity supply community.  Additionally, the Supply Programs Supervisor is responsible for submitting a formal subcontracting plan under the flow down provisions set forth in FAR 52.219-9(d)(d9).  Beginning in 2015, the Supply Programs Supervisor implemented a specific effort to capture and report Tier II diversity supplier spend. The PPL EU Supplier Diversity Program operates in accordance with PPL EU’s subcontracting plan submitted to the U.S. General Services Administration (GSA) to provide electric service to the Federal government and the PUC‘s Utility Annual Vendor Diversity Reporting requirement.  Both the GSA and the PUC require companies, such as PPL EU, to develop programs to increase participation of diverse suppliers. </w:t>
      </w:r>
    </w:p>
    <w:p w:rsidR="00AC40FC" w:rsidRPr="0048181B" w:rsidRDefault="00AC40FC" w:rsidP="00BB665B">
      <w:pPr>
        <w:pStyle w:val="Heading40"/>
        <w:spacing w:before="120"/>
      </w:pPr>
      <w:r w:rsidRPr="0048181B">
        <w:t>Small Business</w:t>
      </w:r>
      <w:r>
        <w:t xml:space="preserve"> Identification</w:t>
      </w:r>
    </w:p>
    <w:p w:rsidR="00AC40FC" w:rsidRDefault="00AC40FC" w:rsidP="00A57D87">
      <w:r w:rsidRPr="0048181B">
        <w:t xml:space="preserve">PPL EU has implemented and updated a Supplier Diversity policy </w:t>
      </w:r>
      <w:r>
        <w:t>which</w:t>
      </w:r>
      <w:r w:rsidRPr="0048181B">
        <w:t xml:space="preserve"> establish</w:t>
      </w:r>
      <w:r>
        <w:t>es</w:t>
      </w:r>
      <w:r w:rsidRPr="0048181B">
        <w:t xml:space="preserve"> guidelines that encourage and sustain opportunities for small businesses seeking participation in PPL</w:t>
      </w:r>
      <w:r>
        <w:t xml:space="preserve"> EU</w:t>
      </w:r>
      <w:r w:rsidRPr="0048181B">
        <w:t>’s sourcing process.  PPL EUS Supply Chain notifies suppliers and subcontractors that have been awarded a contract</w:t>
      </w:r>
      <w:r>
        <w:t xml:space="preserve"> or </w:t>
      </w:r>
      <w:r w:rsidRPr="0048181B">
        <w:t xml:space="preserve">order in excess of $650,000 of their obligation to submit and implement a small business subcontracting plan to ensure utilization of small businesses in all subcontract opportunities.  PPL EUS Supply Chain </w:t>
      </w:r>
      <w:r>
        <w:t xml:space="preserve">also creates and maintains </w:t>
      </w:r>
      <w:r w:rsidRPr="0048181B">
        <w:t>document</w:t>
      </w:r>
      <w:r>
        <w:t>ation of</w:t>
      </w:r>
      <w:r w:rsidRPr="0048181B">
        <w:t xml:space="preserve"> bid solicitation and award for purchases valued at $100,000 or greater</w:t>
      </w:r>
      <w:r>
        <w:t xml:space="preserve"> to track how many diverse vendors were solicited, the reason they were not solicited and the reason they were not selected</w:t>
      </w:r>
      <w:r w:rsidRPr="0048181B">
        <w:t>.</w:t>
      </w:r>
    </w:p>
    <w:p w:rsidR="00AC40FC" w:rsidRDefault="00AC40FC" w:rsidP="00BB665B">
      <w:pPr>
        <w:pStyle w:val="Heading40"/>
        <w:spacing w:before="120"/>
      </w:pPr>
      <w:r>
        <w:t>Minority, Women, and Disability Owned Businesses Outreach</w:t>
      </w:r>
    </w:p>
    <w:p w:rsidR="00AC40FC" w:rsidRDefault="00AC40FC">
      <w:pPr>
        <w:rPr>
          <w:rFonts w:cs="Arial"/>
          <w:szCs w:val="24"/>
        </w:rPr>
      </w:pPr>
      <w:r>
        <w:rPr>
          <w:rFonts w:cs="Arial"/>
          <w:szCs w:val="24"/>
        </w:rPr>
        <w:t xml:space="preserve">PPL EUS Supply Chain attempts to locate qualified </w:t>
      </w:r>
      <w:r w:rsidRPr="00920A3B">
        <w:rPr>
          <w:rFonts w:cs="Arial"/>
          <w:szCs w:val="24"/>
        </w:rPr>
        <w:t>minority</w:t>
      </w:r>
      <w:r>
        <w:rPr>
          <w:rFonts w:cs="Arial"/>
          <w:szCs w:val="24"/>
        </w:rPr>
        <w:t xml:space="preserve">, </w:t>
      </w:r>
      <w:r w:rsidRPr="00920A3B">
        <w:rPr>
          <w:rFonts w:cs="Arial"/>
          <w:szCs w:val="24"/>
        </w:rPr>
        <w:t>women</w:t>
      </w:r>
      <w:r>
        <w:rPr>
          <w:rFonts w:cs="Arial"/>
          <w:szCs w:val="24"/>
        </w:rPr>
        <w:t xml:space="preserve">, and </w:t>
      </w:r>
      <w:r w:rsidRPr="00920A3B">
        <w:rPr>
          <w:rFonts w:cs="Arial"/>
          <w:szCs w:val="24"/>
        </w:rPr>
        <w:t>disabilit</w:t>
      </w:r>
      <w:r>
        <w:rPr>
          <w:rFonts w:cs="Arial"/>
          <w:szCs w:val="24"/>
        </w:rPr>
        <w:t>y</w:t>
      </w:r>
      <w:r w:rsidRPr="00920A3B">
        <w:rPr>
          <w:rFonts w:cs="Arial"/>
          <w:szCs w:val="24"/>
        </w:rPr>
        <w:t>-owned business</w:t>
      </w:r>
      <w:r>
        <w:rPr>
          <w:rFonts w:cs="Arial"/>
          <w:szCs w:val="24"/>
        </w:rPr>
        <w:t>es</w:t>
      </w:r>
      <w:r w:rsidRPr="00920A3B">
        <w:rPr>
          <w:rFonts w:cs="Arial"/>
          <w:szCs w:val="24"/>
        </w:rPr>
        <w:t xml:space="preserve"> by attending </w:t>
      </w:r>
      <w:r>
        <w:rPr>
          <w:rFonts w:cs="Arial"/>
          <w:szCs w:val="24"/>
        </w:rPr>
        <w:t xml:space="preserve">various local and national diversity supplier </w:t>
      </w:r>
      <w:r w:rsidRPr="00920A3B">
        <w:rPr>
          <w:rFonts w:cs="Arial"/>
          <w:szCs w:val="24"/>
        </w:rPr>
        <w:t>conferences and match-making events</w:t>
      </w:r>
      <w:r>
        <w:rPr>
          <w:rFonts w:cs="Arial"/>
          <w:szCs w:val="24"/>
        </w:rPr>
        <w:t>; examples of recently attended events are as follows</w:t>
      </w:r>
      <w:r w:rsidRPr="00920A3B">
        <w:rPr>
          <w:rFonts w:cs="Arial"/>
          <w:szCs w:val="24"/>
        </w:rPr>
        <w:t>:</w:t>
      </w:r>
    </w:p>
    <w:p w:rsidR="00AC40FC" w:rsidRDefault="00AC40FC" w:rsidP="00A57D87">
      <w:pPr>
        <w:pStyle w:val="Bullet"/>
      </w:pPr>
      <w:r w:rsidRPr="00A50F61">
        <w:t>North Eastern P</w:t>
      </w:r>
      <w:r>
        <w:t>ennsylvania</w:t>
      </w:r>
      <w:r w:rsidRPr="00A50F61">
        <w:t xml:space="preserve"> Alliance (NEPA</w:t>
      </w:r>
      <w:r>
        <w:t>)</w:t>
      </w:r>
    </w:p>
    <w:p w:rsidR="00AC40FC" w:rsidRDefault="00AC40FC" w:rsidP="00A57D87">
      <w:pPr>
        <w:pStyle w:val="Bullet"/>
      </w:pPr>
      <w:r w:rsidRPr="00A50F61">
        <w:t>Mid-Atlantic Alliance</w:t>
      </w:r>
    </w:p>
    <w:p w:rsidR="00AC40FC" w:rsidRDefault="00AC40FC" w:rsidP="00A57D87">
      <w:pPr>
        <w:pStyle w:val="Bullet"/>
      </w:pPr>
      <w:r w:rsidRPr="00A50F61">
        <w:t>Eastern Minority Supplier Development Council</w:t>
      </w:r>
    </w:p>
    <w:p w:rsidR="00AC40FC" w:rsidRDefault="00AC40FC" w:rsidP="00A57D87">
      <w:pPr>
        <w:pStyle w:val="Bullet"/>
      </w:pPr>
      <w:r>
        <w:t>Lehigh Valley – Meet the Buyers E</w:t>
      </w:r>
      <w:r w:rsidRPr="00A50F61">
        <w:t>vent</w:t>
      </w:r>
    </w:p>
    <w:p w:rsidR="00AC40FC" w:rsidRDefault="00AC40FC" w:rsidP="00A57D87">
      <w:pPr>
        <w:pStyle w:val="Bullet"/>
      </w:pPr>
      <w:r w:rsidRPr="00A50F61">
        <w:t>Edison Electric Institute – Supplier Diversity</w:t>
      </w:r>
      <w:r>
        <w:t xml:space="preserve"> Event</w:t>
      </w:r>
    </w:p>
    <w:p w:rsidR="00AC40FC" w:rsidRDefault="00AC40FC" w:rsidP="00A57D87">
      <w:pPr>
        <w:pStyle w:val="Normal-aftertable"/>
      </w:pPr>
      <w:r>
        <w:t xml:space="preserve">PPL EUS Supply Chain informs potential </w:t>
      </w:r>
      <w:r w:rsidRPr="00920A3B">
        <w:t xml:space="preserve">vendors of the equal opportunity to bid through the corporate </w:t>
      </w:r>
      <w:r>
        <w:t xml:space="preserve">website </w:t>
      </w:r>
      <w:r w:rsidRPr="00920A3B">
        <w:t>main page where a Supply Chain overview document can be obtained.</w:t>
      </w:r>
      <w:r>
        <w:t xml:space="preserve"> To increase internal awareness of the vendor diversity program and to </w:t>
      </w:r>
      <w:r>
        <w:lastRenderedPageBreak/>
        <w:t>encourage all employees to help support the vendor diversity program, , PPL EUS Supply Chain provides training to employees on the vendor diversity program and the Chief Executive Officer has communicated via letter to all employees encouraging their support of the vendor diversity program.</w:t>
      </w:r>
    </w:p>
    <w:p w:rsidR="00AC40FC" w:rsidRDefault="00AC40FC" w:rsidP="00BB665B">
      <w:pPr>
        <w:pStyle w:val="Heading40"/>
        <w:spacing w:before="120"/>
      </w:pPr>
      <w:r>
        <w:t>Tracking Diverse Vendors and Contracts Awarded</w:t>
      </w:r>
    </w:p>
    <w:p w:rsidR="00AC40FC" w:rsidRDefault="00AC40FC" w:rsidP="00A57D87">
      <w:r>
        <w:t>PPL EUS Supply Chain utilizes a database to track diverse vendors.  PPL EUS Supply Chain did not have the ability to track vendors under multiple diversity categories nor to maintain how a supplier’s diversity categorization has changed with time.  PPL can only provide a supplier’s current diversity status and suppliers with more than one categorization (e.g., HUB Zone and woman-owned) cannot be tracked under two separate categories but must be categorized using a single hybrid category.  PPL does not have the ability to separate diverse vendors between PPL SC and PPL EU but can measure the portion of diversity spend supplied to each business line.  Therefore, the data that was reviewed for 2015 reflects vendors for both PPL SC and PPL EU as shown in the table below:</w:t>
      </w:r>
    </w:p>
    <w:p w:rsidR="00AC40FC" w:rsidRDefault="00AC40FC" w:rsidP="002B3172">
      <w:pPr>
        <w:pStyle w:val="Caption"/>
      </w:pPr>
      <w:bookmarkStart w:id="278" w:name="_Toc462648468"/>
      <w:bookmarkStart w:id="279" w:name="_Toc464553090"/>
      <w:r>
        <w:t xml:space="preserve">Exhibit </w:t>
      </w:r>
      <w:fldSimple w:instr=" STYLEREF 1 \s ">
        <w:r w:rsidR="00A24205">
          <w:rPr>
            <w:noProof/>
          </w:rPr>
          <w:t>XIV</w:t>
        </w:r>
      </w:fldSimple>
      <w:r w:rsidR="00264A1B">
        <w:noBreakHyphen/>
      </w:r>
      <w:fldSimple w:instr=" SEQ Exhibit \* ARABIC \s 1 ">
        <w:r w:rsidR="00A24205">
          <w:rPr>
            <w:noProof/>
          </w:rPr>
          <w:t>3</w:t>
        </w:r>
      </w:fldSimple>
      <w:r>
        <w:br/>
        <w:t>PPL SC and PPL EU Active Diverse Vendors 2015</w:t>
      </w:r>
      <w:bookmarkEnd w:id="278"/>
      <w:bookmarkEnd w:id="279"/>
    </w:p>
    <w:tbl>
      <w:tblPr>
        <w:tblW w:w="8053" w:type="dxa"/>
        <w:jc w:val="center"/>
        <w:tblLayout w:type="fixed"/>
        <w:tblCellMar>
          <w:top w:w="14" w:type="dxa"/>
          <w:left w:w="115" w:type="dxa"/>
          <w:bottom w:w="14" w:type="dxa"/>
          <w:right w:w="115" w:type="dxa"/>
        </w:tblCellMar>
        <w:tblLook w:val="04A0"/>
      </w:tblPr>
      <w:tblGrid>
        <w:gridCol w:w="5485"/>
        <w:gridCol w:w="2568"/>
      </w:tblGrid>
      <w:tr w:rsidR="00AC40FC" w:rsidRPr="005E0480" w:rsidTr="00BB665B">
        <w:trPr>
          <w:cantSplit/>
          <w:trHeight w:val="381"/>
          <w:tblHeader/>
          <w:jc w:val="center"/>
        </w:trPr>
        <w:tc>
          <w:tcPr>
            <w:tcW w:w="5485" w:type="dxa"/>
            <w:tcBorders>
              <w:top w:val="single" w:sz="4" w:space="0" w:color="auto"/>
              <w:left w:val="single" w:sz="4" w:space="0" w:color="auto"/>
              <w:bottom w:val="single" w:sz="4" w:space="0" w:color="auto"/>
              <w:right w:val="single" w:sz="4" w:space="0" w:color="auto"/>
            </w:tcBorders>
            <w:shd w:val="clear" w:color="000000" w:fill="A5CD7E"/>
            <w:noWrap/>
            <w:vAlign w:val="center"/>
            <w:hideMark/>
          </w:tcPr>
          <w:p w:rsidR="00AC40FC" w:rsidRPr="005E0480" w:rsidRDefault="00AC40FC" w:rsidP="00D6083E">
            <w:pPr>
              <w:spacing w:before="120"/>
              <w:jc w:val="center"/>
              <w:rPr>
                <w:rFonts w:cs="Arial"/>
                <w:b/>
                <w:bCs/>
                <w:sz w:val="22"/>
              </w:rPr>
            </w:pPr>
            <w:r w:rsidRPr="005E0480">
              <w:rPr>
                <w:rFonts w:cs="Arial"/>
                <w:b/>
                <w:bCs/>
                <w:sz w:val="22"/>
              </w:rPr>
              <w:t>Vendor Type Description</w:t>
            </w:r>
          </w:p>
        </w:tc>
        <w:tc>
          <w:tcPr>
            <w:tcW w:w="2568" w:type="dxa"/>
            <w:tcBorders>
              <w:top w:val="single" w:sz="4" w:space="0" w:color="auto"/>
              <w:left w:val="nil"/>
              <w:bottom w:val="single" w:sz="4" w:space="0" w:color="auto"/>
              <w:right w:val="single" w:sz="4" w:space="0" w:color="auto"/>
            </w:tcBorders>
            <w:shd w:val="clear" w:color="000000" w:fill="A5CD7E"/>
            <w:vAlign w:val="center"/>
            <w:hideMark/>
          </w:tcPr>
          <w:p w:rsidR="00AC40FC" w:rsidRPr="005E0480" w:rsidRDefault="00AC40FC" w:rsidP="00D6083E">
            <w:pPr>
              <w:spacing w:before="120"/>
              <w:jc w:val="center"/>
              <w:rPr>
                <w:rFonts w:cs="Arial"/>
                <w:b/>
                <w:bCs/>
                <w:sz w:val="22"/>
              </w:rPr>
            </w:pPr>
            <w:r w:rsidRPr="005E0480">
              <w:rPr>
                <w:rFonts w:cs="Arial"/>
                <w:b/>
                <w:bCs/>
                <w:sz w:val="22"/>
              </w:rPr>
              <w:t>Number of Vendors</w:t>
            </w:r>
          </w:p>
        </w:tc>
      </w:tr>
      <w:tr w:rsidR="00AC40FC" w:rsidRPr="005E0480" w:rsidTr="00BB665B">
        <w:trPr>
          <w:cantSplit/>
          <w:trHeight w:val="152"/>
          <w:jc w:val="center"/>
        </w:trPr>
        <w:tc>
          <w:tcPr>
            <w:tcW w:w="5485" w:type="dxa"/>
            <w:tcBorders>
              <w:top w:val="nil"/>
              <w:left w:val="single" w:sz="4" w:space="0" w:color="auto"/>
              <w:bottom w:val="single" w:sz="4" w:space="0" w:color="auto"/>
              <w:right w:val="single" w:sz="4" w:space="0" w:color="auto"/>
            </w:tcBorders>
            <w:shd w:val="clear" w:color="auto" w:fill="auto"/>
            <w:noWrap/>
            <w:vAlign w:val="center"/>
            <w:hideMark/>
          </w:tcPr>
          <w:p w:rsidR="00AC40FC" w:rsidRPr="005E0480" w:rsidRDefault="00AC40FC" w:rsidP="00A57D87">
            <w:pPr>
              <w:spacing w:after="0"/>
              <w:jc w:val="left"/>
              <w:rPr>
                <w:rFonts w:cs="Arial"/>
                <w:sz w:val="22"/>
              </w:rPr>
            </w:pPr>
            <w:r w:rsidRPr="005E0480">
              <w:rPr>
                <w:rFonts w:cs="Arial"/>
                <w:sz w:val="22"/>
              </w:rPr>
              <w:t>American-Indian Owned</w:t>
            </w:r>
          </w:p>
        </w:tc>
        <w:tc>
          <w:tcPr>
            <w:tcW w:w="2568" w:type="dxa"/>
            <w:tcBorders>
              <w:top w:val="nil"/>
              <w:left w:val="nil"/>
              <w:bottom w:val="single" w:sz="4" w:space="0" w:color="auto"/>
              <w:right w:val="single" w:sz="4" w:space="0" w:color="auto"/>
            </w:tcBorders>
            <w:shd w:val="clear" w:color="auto" w:fill="auto"/>
            <w:noWrap/>
            <w:vAlign w:val="center"/>
            <w:hideMark/>
          </w:tcPr>
          <w:p w:rsidR="00AC40FC" w:rsidRPr="005E0480" w:rsidRDefault="00AC40FC" w:rsidP="00A57D87">
            <w:pPr>
              <w:spacing w:after="0"/>
              <w:jc w:val="center"/>
              <w:rPr>
                <w:rFonts w:cs="Arial"/>
                <w:sz w:val="22"/>
              </w:rPr>
            </w:pPr>
            <w:r w:rsidRPr="005E0480">
              <w:rPr>
                <w:rFonts w:cs="Arial"/>
                <w:sz w:val="22"/>
              </w:rPr>
              <w:t xml:space="preserve">5 </w:t>
            </w:r>
          </w:p>
        </w:tc>
      </w:tr>
      <w:tr w:rsidR="00AC40FC" w:rsidRPr="005E0480" w:rsidTr="00BB665B">
        <w:trPr>
          <w:cantSplit/>
          <w:trHeight w:val="233"/>
          <w:jc w:val="center"/>
        </w:trPr>
        <w:tc>
          <w:tcPr>
            <w:tcW w:w="5485" w:type="dxa"/>
            <w:tcBorders>
              <w:top w:val="nil"/>
              <w:left w:val="single" w:sz="4" w:space="0" w:color="auto"/>
              <w:bottom w:val="single" w:sz="4" w:space="0" w:color="auto"/>
              <w:right w:val="single" w:sz="4" w:space="0" w:color="auto"/>
            </w:tcBorders>
            <w:shd w:val="clear" w:color="auto" w:fill="auto"/>
            <w:noWrap/>
            <w:vAlign w:val="center"/>
            <w:hideMark/>
          </w:tcPr>
          <w:p w:rsidR="00AC40FC" w:rsidRPr="005E0480" w:rsidRDefault="00AC40FC" w:rsidP="00A57D87">
            <w:pPr>
              <w:spacing w:after="0"/>
              <w:jc w:val="left"/>
              <w:rPr>
                <w:rFonts w:cs="Arial"/>
                <w:sz w:val="22"/>
              </w:rPr>
            </w:pPr>
            <w:r w:rsidRPr="005E0480">
              <w:rPr>
                <w:rFonts w:cs="Arial"/>
                <w:sz w:val="22"/>
              </w:rPr>
              <w:t>Disabled Veteran Hubzone Business</w:t>
            </w:r>
          </w:p>
        </w:tc>
        <w:tc>
          <w:tcPr>
            <w:tcW w:w="2568" w:type="dxa"/>
            <w:tcBorders>
              <w:top w:val="nil"/>
              <w:left w:val="nil"/>
              <w:bottom w:val="single" w:sz="4" w:space="0" w:color="auto"/>
              <w:right w:val="single" w:sz="4" w:space="0" w:color="auto"/>
            </w:tcBorders>
            <w:shd w:val="clear" w:color="auto" w:fill="auto"/>
            <w:noWrap/>
            <w:vAlign w:val="center"/>
            <w:hideMark/>
          </w:tcPr>
          <w:p w:rsidR="00AC40FC" w:rsidRPr="005E0480" w:rsidRDefault="00AC40FC" w:rsidP="00A57D87">
            <w:pPr>
              <w:spacing w:after="0"/>
              <w:jc w:val="center"/>
              <w:rPr>
                <w:rFonts w:cs="Arial"/>
                <w:sz w:val="22"/>
              </w:rPr>
            </w:pPr>
            <w:r w:rsidRPr="005E0480">
              <w:rPr>
                <w:rFonts w:cs="Arial"/>
                <w:sz w:val="22"/>
              </w:rPr>
              <w:t xml:space="preserve">0 </w:t>
            </w:r>
          </w:p>
        </w:tc>
      </w:tr>
      <w:tr w:rsidR="00AC40FC" w:rsidRPr="005E0480" w:rsidTr="00BB665B">
        <w:trPr>
          <w:cantSplit/>
          <w:trHeight w:val="215"/>
          <w:jc w:val="center"/>
        </w:trPr>
        <w:tc>
          <w:tcPr>
            <w:tcW w:w="5485" w:type="dxa"/>
            <w:tcBorders>
              <w:top w:val="nil"/>
              <w:left w:val="single" w:sz="4" w:space="0" w:color="auto"/>
              <w:bottom w:val="single" w:sz="4" w:space="0" w:color="auto"/>
              <w:right w:val="single" w:sz="4" w:space="0" w:color="auto"/>
            </w:tcBorders>
            <w:shd w:val="clear" w:color="auto" w:fill="auto"/>
            <w:noWrap/>
            <w:vAlign w:val="center"/>
            <w:hideMark/>
          </w:tcPr>
          <w:p w:rsidR="00AC40FC" w:rsidRPr="005E0480" w:rsidRDefault="00AC40FC" w:rsidP="00A57D87">
            <w:pPr>
              <w:spacing w:after="0"/>
              <w:jc w:val="left"/>
              <w:rPr>
                <w:rFonts w:cs="Arial"/>
                <w:sz w:val="22"/>
              </w:rPr>
            </w:pPr>
            <w:r w:rsidRPr="005E0480">
              <w:rPr>
                <w:rFonts w:cs="Arial"/>
                <w:sz w:val="22"/>
              </w:rPr>
              <w:t>Disabled Veteran Owned</w:t>
            </w:r>
          </w:p>
        </w:tc>
        <w:tc>
          <w:tcPr>
            <w:tcW w:w="2568" w:type="dxa"/>
            <w:tcBorders>
              <w:top w:val="nil"/>
              <w:left w:val="nil"/>
              <w:bottom w:val="single" w:sz="4" w:space="0" w:color="auto"/>
              <w:right w:val="single" w:sz="4" w:space="0" w:color="auto"/>
            </w:tcBorders>
            <w:shd w:val="clear" w:color="auto" w:fill="auto"/>
            <w:noWrap/>
            <w:vAlign w:val="center"/>
            <w:hideMark/>
          </w:tcPr>
          <w:p w:rsidR="00AC40FC" w:rsidRPr="005E0480" w:rsidRDefault="00AC40FC" w:rsidP="00A57D87">
            <w:pPr>
              <w:spacing w:after="0"/>
              <w:jc w:val="center"/>
              <w:rPr>
                <w:rFonts w:cs="Arial"/>
                <w:sz w:val="22"/>
              </w:rPr>
            </w:pPr>
            <w:r w:rsidRPr="005E0480">
              <w:rPr>
                <w:rFonts w:cs="Arial"/>
                <w:sz w:val="22"/>
              </w:rPr>
              <w:t xml:space="preserve">26 </w:t>
            </w:r>
          </w:p>
        </w:tc>
      </w:tr>
      <w:tr w:rsidR="00AC40FC" w:rsidRPr="005E0480" w:rsidTr="00BB665B">
        <w:trPr>
          <w:cantSplit/>
          <w:trHeight w:val="197"/>
          <w:jc w:val="center"/>
        </w:trPr>
        <w:tc>
          <w:tcPr>
            <w:tcW w:w="5485" w:type="dxa"/>
            <w:tcBorders>
              <w:top w:val="nil"/>
              <w:left w:val="single" w:sz="4" w:space="0" w:color="auto"/>
              <w:bottom w:val="single" w:sz="4" w:space="0" w:color="auto"/>
              <w:right w:val="single" w:sz="4" w:space="0" w:color="auto"/>
            </w:tcBorders>
            <w:shd w:val="clear" w:color="auto" w:fill="auto"/>
            <w:noWrap/>
            <w:vAlign w:val="center"/>
            <w:hideMark/>
          </w:tcPr>
          <w:p w:rsidR="00AC40FC" w:rsidRPr="005E0480" w:rsidRDefault="00AC40FC" w:rsidP="00A57D87">
            <w:pPr>
              <w:spacing w:after="0"/>
              <w:jc w:val="left"/>
              <w:rPr>
                <w:rFonts w:cs="Arial"/>
                <w:sz w:val="22"/>
              </w:rPr>
            </w:pPr>
            <w:r w:rsidRPr="005E0480">
              <w:rPr>
                <w:rFonts w:cs="Arial"/>
                <w:sz w:val="22"/>
              </w:rPr>
              <w:t>Small Disadvantaged Women Owned Business</w:t>
            </w:r>
          </w:p>
        </w:tc>
        <w:tc>
          <w:tcPr>
            <w:tcW w:w="2568" w:type="dxa"/>
            <w:tcBorders>
              <w:top w:val="nil"/>
              <w:left w:val="nil"/>
              <w:bottom w:val="single" w:sz="4" w:space="0" w:color="auto"/>
              <w:right w:val="single" w:sz="4" w:space="0" w:color="auto"/>
            </w:tcBorders>
            <w:shd w:val="clear" w:color="auto" w:fill="auto"/>
            <w:noWrap/>
            <w:vAlign w:val="center"/>
            <w:hideMark/>
          </w:tcPr>
          <w:p w:rsidR="00AC40FC" w:rsidRPr="005E0480" w:rsidRDefault="00AC40FC" w:rsidP="00A57D87">
            <w:pPr>
              <w:spacing w:after="0"/>
              <w:jc w:val="center"/>
              <w:rPr>
                <w:rFonts w:cs="Arial"/>
                <w:sz w:val="22"/>
              </w:rPr>
            </w:pPr>
            <w:r w:rsidRPr="005E0480">
              <w:rPr>
                <w:rFonts w:cs="Arial"/>
                <w:sz w:val="22"/>
              </w:rPr>
              <w:t xml:space="preserve">21 </w:t>
            </w:r>
          </w:p>
        </w:tc>
      </w:tr>
      <w:tr w:rsidR="00AC40FC" w:rsidRPr="005E0480" w:rsidTr="00BB665B">
        <w:trPr>
          <w:cantSplit/>
          <w:trHeight w:val="255"/>
          <w:jc w:val="center"/>
        </w:trPr>
        <w:tc>
          <w:tcPr>
            <w:tcW w:w="5485" w:type="dxa"/>
            <w:tcBorders>
              <w:top w:val="nil"/>
              <w:left w:val="single" w:sz="4" w:space="0" w:color="auto"/>
              <w:bottom w:val="single" w:sz="4" w:space="0" w:color="auto"/>
              <w:right w:val="single" w:sz="4" w:space="0" w:color="auto"/>
            </w:tcBorders>
            <w:shd w:val="clear" w:color="auto" w:fill="auto"/>
            <w:noWrap/>
            <w:vAlign w:val="center"/>
            <w:hideMark/>
          </w:tcPr>
          <w:p w:rsidR="00AC40FC" w:rsidRPr="005E0480" w:rsidRDefault="00AC40FC" w:rsidP="00A57D87">
            <w:pPr>
              <w:spacing w:after="0"/>
              <w:jc w:val="left"/>
              <w:rPr>
                <w:rFonts w:cs="Arial"/>
                <w:sz w:val="22"/>
              </w:rPr>
            </w:pPr>
            <w:r w:rsidRPr="005E0480">
              <w:rPr>
                <w:rFonts w:cs="Arial"/>
                <w:sz w:val="22"/>
              </w:rPr>
              <w:t>Foreign Owned</w:t>
            </w:r>
          </w:p>
        </w:tc>
        <w:tc>
          <w:tcPr>
            <w:tcW w:w="2568" w:type="dxa"/>
            <w:tcBorders>
              <w:top w:val="nil"/>
              <w:left w:val="nil"/>
              <w:bottom w:val="single" w:sz="4" w:space="0" w:color="auto"/>
              <w:right w:val="single" w:sz="4" w:space="0" w:color="auto"/>
            </w:tcBorders>
            <w:shd w:val="clear" w:color="auto" w:fill="auto"/>
            <w:noWrap/>
            <w:vAlign w:val="center"/>
            <w:hideMark/>
          </w:tcPr>
          <w:p w:rsidR="00AC40FC" w:rsidRPr="005E0480" w:rsidRDefault="00AC40FC" w:rsidP="00A57D87">
            <w:pPr>
              <w:spacing w:after="0"/>
              <w:jc w:val="center"/>
              <w:rPr>
                <w:rFonts w:cs="Arial"/>
                <w:sz w:val="22"/>
              </w:rPr>
            </w:pPr>
            <w:r w:rsidRPr="005E0480">
              <w:rPr>
                <w:rFonts w:cs="Arial"/>
                <w:sz w:val="22"/>
              </w:rPr>
              <w:t xml:space="preserve">77 </w:t>
            </w:r>
          </w:p>
        </w:tc>
      </w:tr>
      <w:tr w:rsidR="00AC40FC" w:rsidRPr="005E0480" w:rsidTr="00BB665B">
        <w:trPr>
          <w:cantSplit/>
          <w:trHeight w:val="255"/>
          <w:jc w:val="center"/>
        </w:trPr>
        <w:tc>
          <w:tcPr>
            <w:tcW w:w="5485" w:type="dxa"/>
            <w:tcBorders>
              <w:top w:val="nil"/>
              <w:left w:val="single" w:sz="4" w:space="0" w:color="auto"/>
              <w:bottom w:val="single" w:sz="4" w:space="0" w:color="auto"/>
              <w:right w:val="single" w:sz="4" w:space="0" w:color="auto"/>
            </w:tcBorders>
            <w:shd w:val="clear" w:color="auto" w:fill="auto"/>
            <w:noWrap/>
            <w:vAlign w:val="center"/>
            <w:hideMark/>
          </w:tcPr>
          <w:p w:rsidR="00AC40FC" w:rsidRPr="005E0480" w:rsidRDefault="00AC40FC" w:rsidP="00A57D87">
            <w:pPr>
              <w:spacing w:after="0"/>
              <w:jc w:val="left"/>
              <w:rPr>
                <w:rFonts w:cs="Arial"/>
                <w:sz w:val="22"/>
              </w:rPr>
            </w:pPr>
            <w:r w:rsidRPr="005E0480">
              <w:rPr>
                <w:rFonts w:cs="Arial"/>
                <w:sz w:val="22"/>
              </w:rPr>
              <w:t>Government</w:t>
            </w:r>
          </w:p>
        </w:tc>
        <w:tc>
          <w:tcPr>
            <w:tcW w:w="2568" w:type="dxa"/>
            <w:tcBorders>
              <w:top w:val="nil"/>
              <w:left w:val="nil"/>
              <w:bottom w:val="single" w:sz="4" w:space="0" w:color="auto"/>
              <w:right w:val="single" w:sz="4" w:space="0" w:color="auto"/>
            </w:tcBorders>
            <w:shd w:val="clear" w:color="auto" w:fill="auto"/>
            <w:noWrap/>
            <w:vAlign w:val="center"/>
            <w:hideMark/>
          </w:tcPr>
          <w:p w:rsidR="00AC40FC" w:rsidRPr="005E0480" w:rsidRDefault="00AC40FC" w:rsidP="00A57D87">
            <w:pPr>
              <w:spacing w:after="0"/>
              <w:jc w:val="center"/>
              <w:rPr>
                <w:rFonts w:cs="Arial"/>
                <w:sz w:val="22"/>
              </w:rPr>
            </w:pPr>
            <w:r w:rsidRPr="005E0480">
              <w:rPr>
                <w:rFonts w:cs="Arial"/>
                <w:sz w:val="22"/>
              </w:rPr>
              <w:t xml:space="preserve">19 </w:t>
            </w:r>
          </w:p>
        </w:tc>
      </w:tr>
      <w:tr w:rsidR="00AC40FC" w:rsidRPr="005E0480" w:rsidTr="00BB665B">
        <w:trPr>
          <w:cantSplit/>
          <w:trHeight w:val="255"/>
          <w:jc w:val="center"/>
        </w:trPr>
        <w:tc>
          <w:tcPr>
            <w:tcW w:w="5485" w:type="dxa"/>
            <w:tcBorders>
              <w:top w:val="nil"/>
              <w:left w:val="single" w:sz="4" w:space="0" w:color="auto"/>
              <w:bottom w:val="single" w:sz="4" w:space="0" w:color="auto"/>
              <w:right w:val="single" w:sz="4" w:space="0" w:color="auto"/>
            </w:tcBorders>
            <w:shd w:val="clear" w:color="auto" w:fill="auto"/>
            <w:noWrap/>
            <w:vAlign w:val="center"/>
            <w:hideMark/>
          </w:tcPr>
          <w:p w:rsidR="00AC40FC" w:rsidRPr="005E0480" w:rsidRDefault="00AC40FC" w:rsidP="00A57D87">
            <w:pPr>
              <w:spacing w:after="0"/>
              <w:jc w:val="left"/>
              <w:rPr>
                <w:rFonts w:cs="Arial"/>
                <w:sz w:val="22"/>
              </w:rPr>
            </w:pPr>
            <w:r w:rsidRPr="005E0480">
              <w:rPr>
                <w:rFonts w:cs="Arial"/>
                <w:sz w:val="22"/>
              </w:rPr>
              <w:t>Hubzone Business</w:t>
            </w:r>
          </w:p>
        </w:tc>
        <w:tc>
          <w:tcPr>
            <w:tcW w:w="2568" w:type="dxa"/>
            <w:tcBorders>
              <w:top w:val="nil"/>
              <w:left w:val="nil"/>
              <w:bottom w:val="single" w:sz="4" w:space="0" w:color="auto"/>
              <w:right w:val="single" w:sz="4" w:space="0" w:color="auto"/>
            </w:tcBorders>
            <w:shd w:val="clear" w:color="auto" w:fill="auto"/>
            <w:noWrap/>
            <w:vAlign w:val="center"/>
            <w:hideMark/>
          </w:tcPr>
          <w:p w:rsidR="00AC40FC" w:rsidRPr="005E0480" w:rsidRDefault="00AC40FC" w:rsidP="00A57D87">
            <w:pPr>
              <w:spacing w:after="0"/>
              <w:jc w:val="center"/>
              <w:rPr>
                <w:rFonts w:cs="Arial"/>
                <w:sz w:val="22"/>
              </w:rPr>
            </w:pPr>
            <w:r w:rsidRPr="005E0480">
              <w:rPr>
                <w:rFonts w:cs="Arial"/>
                <w:sz w:val="22"/>
              </w:rPr>
              <w:t xml:space="preserve">28 </w:t>
            </w:r>
          </w:p>
        </w:tc>
      </w:tr>
      <w:tr w:rsidR="00AC40FC" w:rsidRPr="005E0480" w:rsidTr="00BB665B">
        <w:trPr>
          <w:cantSplit/>
          <w:trHeight w:val="255"/>
          <w:jc w:val="center"/>
        </w:trPr>
        <w:tc>
          <w:tcPr>
            <w:tcW w:w="5485" w:type="dxa"/>
            <w:tcBorders>
              <w:top w:val="nil"/>
              <w:left w:val="single" w:sz="4" w:space="0" w:color="auto"/>
              <w:bottom w:val="single" w:sz="4" w:space="0" w:color="auto"/>
              <w:right w:val="single" w:sz="4" w:space="0" w:color="auto"/>
            </w:tcBorders>
            <w:shd w:val="clear" w:color="auto" w:fill="auto"/>
            <w:noWrap/>
            <w:vAlign w:val="center"/>
            <w:hideMark/>
          </w:tcPr>
          <w:p w:rsidR="00AC40FC" w:rsidRPr="005E0480" w:rsidRDefault="00AC40FC" w:rsidP="00A57D87">
            <w:pPr>
              <w:spacing w:after="0"/>
              <w:jc w:val="left"/>
              <w:rPr>
                <w:rFonts w:cs="Arial"/>
                <w:sz w:val="22"/>
              </w:rPr>
            </w:pPr>
            <w:r w:rsidRPr="005E0480">
              <w:rPr>
                <w:rFonts w:cs="Arial"/>
                <w:sz w:val="22"/>
              </w:rPr>
              <w:t>Large Business</w:t>
            </w:r>
          </w:p>
        </w:tc>
        <w:tc>
          <w:tcPr>
            <w:tcW w:w="2568" w:type="dxa"/>
            <w:tcBorders>
              <w:top w:val="nil"/>
              <w:left w:val="nil"/>
              <w:bottom w:val="single" w:sz="4" w:space="0" w:color="auto"/>
              <w:right w:val="single" w:sz="4" w:space="0" w:color="auto"/>
            </w:tcBorders>
            <w:shd w:val="clear" w:color="auto" w:fill="auto"/>
            <w:noWrap/>
            <w:vAlign w:val="center"/>
            <w:hideMark/>
          </w:tcPr>
          <w:p w:rsidR="00AC40FC" w:rsidRPr="005E0480" w:rsidRDefault="00AC40FC" w:rsidP="00A57D87">
            <w:pPr>
              <w:spacing w:after="0"/>
              <w:jc w:val="center"/>
              <w:rPr>
                <w:rFonts w:cs="Arial"/>
                <w:sz w:val="22"/>
              </w:rPr>
            </w:pPr>
            <w:r w:rsidRPr="005E0480">
              <w:rPr>
                <w:rFonts w:cs="Arial"/>
                <w:sz w:val="22"/>
              </w:rPr>
              <w:t xml:space="preserve">3,043 </w:t>
            </w:r>
          </w:p>
        </w:tc>
      </w:tr>
      <w:tr w:rsidR="00AC40FC" w:rsidRPr="005E0480" w:rsidTr="00BB665B">
        <w:trPr>
          <w:cantSplit/>
          <w:trHeight w:val="255"/>
          <w:jc w:val="center"/>
        </w:trPr>
        <w:tc>
          <w:tcPr>
            <w:tcW w:w="5485" w:type="dxa"/>
            <w:tcBorders>
              <w:top w:val="nil"/>
              <w:left w:val="single" w:sz="4" w:space="0" w:color="auto"/>
              <w:bottom w:val="single" w:sz="4" w:space="0" w:color="auto"/>
              <w:right w:val="single" w:sz="4" w:space="0" w:color="auto"/>
            </w:tcBorders>
            <w:shd w:val="clear" w:color="auto" w:fill="auto"/>
            <w:noWrap/>
            <w:vAlign w:val="center"/>
            <w:hideMark/>
          </w:tcPr>
          <w:p w:rsidR="00AC40FC" w:rsidRPr="005E0480" w:rsidRDefault="00AC40FC" w:rsidP="00A57D87">
            <w:pPr>
              <w:spacing w:after="0"/>
              <w:jc w:val="left"/>
              <w:rPr>
                <w:rFonts w:cs="Arial"/>
                <w:sz w:val="22"/>
              </w:rPr>
            </w:pPr>
            <w:r w:rsidRPr="005E0480">
              <w:rPr>
                <w:rFonts w:cs="Arial"/>
                <w:sz w:val="22"/>
              </w:rPr>
              <w:t>Large Business - Minority Owned</w:t>
            </w:r>
          </w:p>
        </w:tc>
        <w:tc>
          <w:tcPr>
            <w:tcW w:w="2568" w:type="dxa"/>
            <w:tcBorders>
              <w:top w:val="nil"/>
              <w:left w:val="nil"/>
              <w:bottom w:val="single" w:sz="4" w:space="0" w:color="auto"/>
              <w:right w:val="single" w:sz="4" w:space="0" w:color="auto"/>
            </w:tcBorders>
            <w:shd w:val="clear" w:color="auto" w:fill="auto"/>
            <w:noWrap/>
            <w:vAlign w:val="center"/>
            <w:hideMark/>
          </w:tcPr>
          <w:p w:rsidR="00AC40FC" w:rsidRPr="005E0480" w:rsidRDefault="00AC40FC" w:rsidP="00A57D87">
            <w:pPr>
              <w:spacing w:after="0"/>
              <w:jc w:val="center"/>
              <w:rPr>
                <w:rFonts w:cs="Arial"/>
                <w:sz w:val="22"/>
              </w:rPr>
            </w:pPr>
            <w:r w:rsidRPr="005E0480">
              <w:rPr>
                <w:rFonts w:cs="Arial"/>
                <w:sz w:val="22"/>
              </w:rPr>
              <w:t xml:space="preserve">5 </w:t>
            </w:r>
          </w:p>
        </w:tc>
      </w:tr>
      <w:tr w:rsidR="00AC40FC" w:rsidRPr="005E0480" w:rsidTr="00BB665B">
        <w:trPr>
          <w:cantSplit/>
          <w:trHeight w:val="255"/>
          <w:jc w:val="center"/>
        </w:trPr>
        <w:tc>
          <w:tcPr>
            <w:tcW w:w="5485" w:type="dxa"/>
            <w:tcBorders>
              <w:top w:val="nil"/>
              <w:left w:val="single" w:sz="4" w:space="0" w:color="auto"/>
              <w:bottom w:val="single" w:sz="4" w:space="0" w:color="auto"/>
              <w:right w:val="single" w:sz="4" w:space="0" w:color="auto"/>
            </w:tcBorders>
            <w:shd w:val="clear" w:color="auto" w:fill="auto"/>
            <w:noWrap/>
            <w:vAlign w:val="center"/>
            <w:hideMark/>
          </w:tcPr>
          <w:p w:rsidR="00AC40FC" w:rsidRPr="005E0480" w:rsidRDefault="00AC40FC" w:rsidP="00A57D87">
            <w:pPr>
              <w:spacing w:after="0"/>
              <w:jc w:val="left"/>
              <w:rPr>
                <w:rFonts w:cs="Arial"/>
                <w:sz w:val="22"/>
              </w:rPr>
            </w:pPr>
            <w:r w:rsidRPr="005E0480">
              <w:rPr>
                <w:rFonts w:cs="Arial"/>
                <w:sz w:val="22"/>
              </w:rPr>
              <w:t>Large Business-Women Owned</w:t>
            </w:r>
          </w:p>
        </w:tc>
        <w:tc>
          <w:tcPr>
            <w:tcW w:w="2568" w:type="dxa"/>
            <w:tcBorders>
              <w:top w:val="nil"/>
              <w:left w:val="nil"/>
              <w:bottom w:val="single" w:sz="4" w:space="0" w:color="auto"/>
              <w:right w:val="single" w:sz="4" w:space="0" w:color="auto"/>
            </w:tcBorders>
            <w:shd w:val="clear" w:color="auto" w:fill="auto"/>
            <w:noWrap/>
            <w:vAlign w:val="center"/>
            <w:hideMark/>
          </w:tcPr>
          <w:p w:rsidR="00AC40FC" w:rsidRPr="005E0480" w:rsidRDefault="00AC40FC" w:rsidP="00A57D87">
            <w:pPr>
              <w:spacing w:after="0"/>
              <w:jc w:val="center"/>
              <w:rPr>
                <w:rFonts w:cs="Arial"/>
                <w:sz w:val="22"/>
              </w:rPr>
            </w:pPr>
            <w:r w:rsidRPr="005E0480">
              <w:rPr>
                <w:rFonts w:cs="Arial"/>
                <w:sz w:val="22"/>
              </w:rPr>
              <w:t xml:space="preserve">3 </w:t>
            </w:r>
          </w:p>
        </w:tc>
      </w:tr>
      <w:tr w:rsidR="00AC40FC" w:rsidRPr="005E0480" w:rsidTr="00BB665B">
        <w:trPr>
          <w:cantSplit/>
          <w:trHeight w:val="255"/>
          <w:jc w:val="center"/>
        </w:trPr>
        <w:tc>
          <w:tcPr>
            <w:tcW w:w="5485" w:type="dxa"/>
            <w:tcBorders>
              <w:top w:val="nil"/>
              <w:left w:val="single" w:sz="4" w:space="0" w:color="auto"/>
              <w:bottom w:val="single" w:sz="4" w:space="0" w:color="auto"/>
              <w:right w:val="single" w:sz="4" w:space="0" w:color="auto"/>
            </w:tcBorders>
            <w:shd w:val="clear" w:color="auto" w:fill="auto"/>
            <w:noWrap/>
            <w:vAlign w:val="center"/>
            <w:hideMark/>
          </w:tcPr>
          <w:p w:rsidR="00AC40FC" w:rsidRPr="005E0480" w:rsidRDefault="00AC40FC" w:rsidP="00A57D87">
            <w:pPr>
              <w:spacing w:after="0"/>
              <w:jc w:val="left"/>
              <w:rPr>
                <w:rFonts w:cs="Arial"/>
                <w:sz w:val="22"/>
              </w:rPr>
            </w:pPr>
            <w:r w:rsidRPr="005E0480">
              <w:rPr>
                <w:rFonts w:cs="Arial"/>
                <w:sz w:val="22"/>
              </w:rPr>
              <w:t>Minority Owned</w:t>
            </w:r>
          </w:p>
        </w:tc>
        <w:tc>
          <w:tcPr>
            <w:tcW w:w="2568" w:type="dxa"/>
            <w:tcBorders>
              <w:top w:val="nil"/>
              <w:left w:val="nil"/>
              <w:bottom w:val="single" w:sz="4" w:space="0" w:color="auto"/>
              <w:right w:val="single" w:sz="4" w:space="0" w:color="auto"/>
            </w:tcBorders>
            <w:shd w:val="clear" w:color="auto" w:fill="auto"/>
            <w:noWrap/>
            <w:vAlign w:val="center"/>
            <w:hideMark/>
          </w:tcPr>
          <w:p w:rsidR="00AC40FC" w:rsidRPr="005E0480" w:rsidRDefault="00AC40FC" w:rsidP="00A57D87">
            <w:pPr>
              <w:spacing w:after="0"/>
              <w:jc w:val="center"/>
              <w:rPr>
                <w:rFonts w:cs="Arial"/>
                <w:sz w:val="22"/>
              </w:rPr>
            </w:pPr>
            <w:r w:rsidRPr="005E0480">
              <w:rPr>
                <w:rFonts w:cs="Arial"/>
                <w:sz w:val="22"/>
              </w:rPr>
              <w:t xml:space="preserve">64 </w:t>
            </w:r>
          </w:p>
        </w:tc>
      </w:tr>
      <w:tr w:rsidR="00AC40FC" w:rsidRPr="005E0480" w:rsidTr="00BB665B">
        <w:trPr>
          <w:cantSplit/>
          <w:trHeight w:val="255"/>
          <w:jc w:val="center"/>
        </w:trPr>
        <w:tc>
          <w:tcPr>
            <w:tcW w:w="5485" w:type="dxa"/>
            <w:tcBorders>
              <w:top w:val="nil"/>
              <w:left w:val="single" w:sz="4" w:space="0" w:color="auto"/>
              <w:bottom w:val="single" w:sz="4" w:space="0" w:color="auto"/>
              <w:right w:val="single" w:sz="4" w:space="0" w:color="auto"/>
            </w:tcBorders>
            <w:shd w:val="clear" w:color="auto" w:fill="auto"/>
            <w:noWrap/>
            <w:vAlign w:val="center"/>
            <w:hideMark/>
          </w:tcPr>
          <w:p w:rsidR="00AC40FC" w:rsidRPr="005E0480" w:rsidRDefault="00AC40FC" w:rsidP="00A57D87">
            <w:pPr>
              <w:spacing w:after="0"/>
              <w:jc w:val="left"/>
              <w:rPr>
                <w:rFonts w:cs="Arial"/>
                <w:sz w:val="22"/>
              </w:rPr>
            </w:pPr>
            <w:r w:rsidRPr="005E0480">
              <w:rPr>
                <w:rFonts w:cs="Arial"/>
                <w:sz w:val="22"/>
              </w:rPr>
              <w:t>Large Woman-Minority Business</w:t>
            </w:r>
          </w:p>
        </w:tc>
        <w:tc>
          <w:tcPr>
            <w:tcW w:w="2568" w:type="dxa"/>
            <w:tcBorders>
              <w:top w:val="nil"/>
              <w:left w:val="nil"/>
              <w:bottom w:val="single" w:sz="4" w:space="0" w:color="auto"/>
              <w:right w:val="single" w:sz="4" w:space="0" w:color="auto"/>
            </w:tcBorders>
            <w:shd w:val="clear" w:color="auto" w:fill="auto"/>
            <w:noWrap/>
            <w:vAlign w:val="center"/>
            <w:hideMark/>
          </w:tcPr>
          <w:p w:rsidR="00AC40FC" w:rsidRPr="005E0480" w:rsidRDefault="00AC40FC" w:rsidP="00A57D87">
            <w:pPr>
              <w:spacing w:after="0"/>
              <w:jc w:val="center"/>
              <w:rPr>
                <w:rFonts w:cs="Arial"/>
                <w:sz w:val="22"/>
              </w:rPr>
            </w:pPr>
            <w:r w:rsidRPr="005E0480">
              <w:rPr>
                <w:rFonts w:cs="Arial"/>
                <w:sz w:val="22"/>
              </w:rPr>
              <w:t xml:space="preserve">0 </w:t>
            </w:r>
          </w:p>
        </w:tc>
      </w:tr>
      <w:tr w:rsidR="00AC40FC" w:rsidRPr="005E0480" w:rsidTr="00BB665B">
        <w:trPr>
          <w:cantSplit/>
          <w:trHeight w:val="255"/>
          <w:jc w:val="center"/>
        </w:trPr>
        <w:tc>
          <w:tcPr>
            <w:tcW w:w="5485" w:type="dxa"/>
            <w:tcBorders>
              <w:top w:val="nil"/>
              <w:left w:val="single" w:sz="4" w:space="0" w:color="auto"/>
              <w:bottom w:val="single" w:sz="4" w:space="0" w:color="auto"/>
              <w:right w:val="single" w:sz="4" w:space="0" w:color="auto"/>
            </w:tcBorders>
            <w:shd w:val="clear" w:color="auto" w:fill="auto"/>
            <w:noWrap/>
            <w:vAlign w:val="center"/>
            <w:hideMark/>
          </w:tcPr>
          <w:p w:rsidR="00AC40FC" w:rsidRPr="005E0480" w:rsidRDefault="00AC40FC" w:rsidP="00A57D87">
            <w:pPr>
              <w:spacing w:after="0"/>
              <w:jc w:val="left"/>
              <w:rPr>
                <w:rFonts w:cs="Arial"/>
                <w:sz w:val="22"/>
              </w:rPr>
            </w:pPr>
            <w:r w:rsidRPr="005E0480">
              <w:rPr>
                <w:rFonts w:cs="Arial"/>
                <w:sz w:val="22"/>
              </w:rPr>
              <w:t>Not For Profit Business</w:t>
            </w:r>
          </w:p>
        </w:tc>
        <w:tc>
          <w:tcPr>
            <w:tcW w:w="2568" w:type="dxa"/>
            <w:tcBorders>
              <w:top w:val="nil"/>
              <w:left w:val="nil"/>
              <w:bottom w:val="single" w:sz="4" w:space="0" w:color="auto"/>
              <w:right w:val="single" w:sz="4" w:space="0" w:color="auto"/>
            </w:tcBorders>
            <w:shd w:val="clear" w:color="auto" w:fill="auto"/>
            <w:noWrap/>
            <w:vAlign w:val="center"/>
            <w:hideMark/>
          </w:tcPr>
          <w:p w:rsidR="00AC40FC" w:rsidRPr="005E0480" w:rsidRDefault="00AC40FC" w:rsidP="00A57D87">
            <w:pPr>
              <w:spacing w:after="0"/>
              <w:jc w:val="center"/>
              <w:rPr>
                <w:rFonts w:cs="Arial"/>
                <w:sz w:val="22"/>
              </w:rPr>
            </w:pPr>
            <w:r w:rsidRPr="005E0480">
              <w:rPr>
                <w:rFonts w:cs="Arial"/>
                <w:sz w:val="22"/>
              </w:rPr>
              <w:t xml:space="preserve">109 </w:t>
            </w:r>
          </w:p>
        </w:tc>
      </w:tr>
      <w:tr w:rsidR="00AC40FC" w:rsidRPr="005E0480" w:rsidTr="00BB665B">
        <w:trPr>
          <w:cantSplit/>
          <w:trHeight w:val="255"/>
          <w:jc w:val="center"/>
        </w:trPr>
        <w:tc>
          <w:tcPr>
            <w:tcW w:w="5485" w:type="dxa"/>
            <w:tcBorders>
              <w:top w:val="nil"/>
              <w:left w:val="single" w:sz="4" w:space="0" w:color="auto"/>
              <w:bottom w:val="single" w:sz="4" w:space="0" w:color="auto"/>
              <w:right w:val="single" w:sz="4" w:space="0" w:color="auto"/>
            </w:tcBorders>
            <w:shd w:val="clear" w:color="auto" w:fill="auto"/>
            <w:noWrap/>
            <w:vAlign w:val="center"/>
            <w:hideMark/>
          </w:tcPr>
          <w:p w:rsidR="00AC40FC" w:rsidRPr="005E0480" w:rsidRDefault="00AC40FC" w:rsidP="00A57D87">
            <w:pPr>
              <w:spacing w:after="0"/>
              <w:jc w:val="left"/>
              <w:rPr>
                <w:rFonts w:cs="Arial"/>
                <w:sz w:val="22"/>
              </w:rPr>
            </w:pPr>
            <w:r w:rsidRPr="005E0480">
              <w:rPr>
                <w:rFonts w:cs="Arial"/>
                <w:sz w:val="22"/>
              </w:rPr>
              <w:t>Small Business</w:t>
            </w:r>
          </w:p>
        </w:tc>
        <w:tc>
          <w:tcPr>
            <w:tcW w:w="2568" w:type="dxa"/>
            <w:tcBorders>
              <w:top w:val="nil"/>
              <w:left w:val="nil"/>
              <w:bottom w:val="single" w:sz="4" w:space="0" w:color="auto"/>
              <w:right w:val="single" w:sz="4" w:space="0" w:color="auto"/>
            </w:tcBorders>
            <w:shd w:val="clear" w:color="auto" w:fill="auto"/>
            <w:noWrap/>
            <w:vAlign w:val="center"/>
            <w:hideMark/>
          </w:tcPr>
          <w:p w:rsidR="00AC40FC" w:rsidRPr="005E0480" w:rsidRDefault="00AC40FC" w:rsidP="00A57D87">
            <w:pPr>
              <w:spacing w:after="0"/>
              <w:jc w:val="center"/>
              <w:rPr>
                <w:rFonts w:cs="Arial"/>
                <w:sz w:val="22"/>
              </w:rPr>
            </w:pPr>
            <w:r w:rsidRPr="005E0480">
              <w:rPr>
                <w:rFonts w:cs="Arial"/>
                <w:sz w:val="22"/>
              </w:rPr>
              <w:t xml:space="preserve">4,281 </w:t>
            </w:r>
          </w:p>
        </w:tc>
      </w:tr>
      <w:tr w:rsidR="00AC40FC" w:rsidRPr="005E0480" w:rsidTr="00BB665B">
        <w:trPr>
          <w:cantSplit/>
          <w:trHeight w:val="255"/>
          <w:jc w:val="center"/>
        </w:trPr>
        <w:tc>
          <w:tcPr>
            <w:tcW w:w="5485" w:type="dxa"/>
            <w:tcBorders>
              <w:top w:val="nil"/>
              <w:left w:val="single" w:sz="4" w:space="0" w:color="auto"/>
              <w:bottom w:val="single" w:sz="4" w:space="0" w:color="auto"/>
              <w:right w:val="single" w:sz="4" w:space="0" w:color="auto"/>
            </w:tcBorders>
            <w:shd w:val="clear" w:color="auto" w:fill="auto"/>
            <w:noWrap/>
            <w:vAlign w:val="center"/>
            <w:hideMark/>
          </w:tcPr>
          <w:p w:rsidR="00AC40FC" w:rsidRPr="005E0480" w:rsidRDefault="00AC40FC" w:rsidP="00A57D87">
            <w:pPr>
              <w:spacing w:after="0"/>
              <w:jc w:val="left"/>
              <w:rPr>
                <w:rFonts w:cs="Arial"/>
                <w:sz w:val="22"/>
              </w:rPr>
            </w:pPr>
            <w:r w:rsidRPr="005E0480">
              <w:rPr>
                <w:rFonts w:cs="Arial"/>
                <w:sz w:val="22"/>
              </w:rPr>
              <w:t>Small Disadvantaged Business</w:t>
            </w:r>
          </w:p>
        </w:tc>
        <w:tc>
          <w:tcPr>
            <w:tcW w:w="2568" w:type="dxa"/>
            <w:tcBorders>
              <w:top w:val="nil"/>
              <w:left w:val="nil"/>
              <w:bottom w:val="single" w:sz="4" w:space="0" w:color="auto"/>
              <w:right w:val="single" w:sz="4" w:space="0" w:color="auto"/>
            </w:tcBorders>
            <w:shd w:val="clear" w:color="auto" w:fill="auto"/>
            <w:noWrap/>
            <w:vAlign w:val="center"/>
            <w:hideMark/>
          </w:tcPr>
          <w:p w:rsidR="00AC40FC" w:rsidRPr="005E0480" w:rsidRDefault="00AC40FC" w:rsidP="00A57D87">
            <w:pPr>
              <w:spacing w:after="0"/>
              <w:jc w:val="center"/>
              <w:rPr>
                <w:rFonts w:cs="Arial"/>
                <w:sz w:val="22"/>
              </w:rPr>
            </w:pPr>
            <w:r w:rsidRPr="005E0480">
              <w:rPr>
                <w:rFonts w:cs="Arial"/>
                <w:sz w:val="22"/>
              </w:rPr>
              <w:t xml:space="preserve">24 </w:t>
            </w:r>
          </w:p>
        </w:tc>
      </w:tr>
      <w:tr w:rsidR="00AC40FC" w:rsidRPr="005E0480" w:rsidTr="00BB665B">
        <w:trPr>
          <w:cantSplit/>
          <w:trHeight w:val="255"/>
          <w:jc w:val="center"/>
        </w:trPr>
        <w:tc>
          <w:tcPr>
            <w:tcW w:w="5485" w:type="dxa"/>
            <w:tcBorders>
              <w:top w:val="nil"/>
              <w:left w:val="single" w:sz="4" w:space="0" w:color="auto"/>
              <w:bottom w:val="single" w:sz="4" w:space="0" w:color="auto"/>
              <w:right w:val="single" w:sz="4" w:space="0" w:color="auto"/>
            </w:tcBorders>
            <w:shd w:val="clear" w:color="auto" w:fill="auto"/>
            <w:noWrap/>
            <w:vAlign w:val="center"/>
            <w:hideMark/>
          </w:tcPr>
          <w:p w:rsidR="00AC40FC" w:rsidRPr="005E0480" w:rsidRDefault="00AC40FC" w:rsidP="00A57D87">
            <w:pPr>
              <w:spacing w:after="0"/>
              <w:jc w:val="left"/>
              <w:rPr>
                <w:rFonts w:cs="Arial"/>
                <w:sz w:val="22"/>
              </w:rPr>
            </w:pPr>
            <w:r w:rsidRPr="005E0480">
              <w:rPr>
                <w:rFonts w:cs="Arial"/>
                <w:sz w:val="22"/>
              </w:rPr>
              <w:t>Small Business - Minority Owned</w:t>
            </w:r>
          </w:p>
        </w:tc>
        <w:tc>
          <w:tcPr>
            <w:tcW w:w="2568" w:type="dxa"/>
            <w:tcBorders>
              <w:top w:val="nil"/>
              <w:left w:val="nil"/>
              <w:bottom w:val="single" w:sz="4" w:space="0" w:color="auto"/>
              <w:right w:val="single" w:sz="4" w:space="0" w:color="auto"/>
            </w:tcBorders>
            <w:shd w:val="clear" w:color="auto" w:fill="auto"/>
            <w:noWrap/>
            <w:vAlign w:val="center"/>
            <w:hideMark/>
          </w:tcPr>
          <w:p w:rsidR="00AC40FC" w:rsidRPr="005E0480" w:rsidRDefault="00AC40FC" w:rsidP="00A57D87">
            <w:pPr>
              <w:spacing w:after="0"/>
              <w:jc w:val="center"/>
              <w:rPr>
                <w:rFonts w:cs="Arial"/>
                <w:sz w:val="22"/>
              </w:rPr>
            </w:pPr>
            <w:r w:rsidRPr="005E0480">
              <w:rPr>
                <w:rFonts w:cs="Arial"/>
                <w:sz w:val="22"/>
              </w:rPr>
              <w:t xml:space="preserve">42 </w:t>
            </w:r>
          </w:p>
        </w:tc>
      </w:tr>
      <w:tr w:rsidR="00AC40FC" w:rsidRPr="005E0480" w:rsidTr="00BB665B">
        <w:trPr>
          <w:cantSplit/>
          <w:trHeight w:val="255"/>
          <w:jc w:val="center"/>
        </w:trPr>
        <w:tc>
          <w:tcPr>
            <w:tcW w:w="5485" w:type="dxa"/>
            <w:tcBorders>
              <w:top w:val="nil"/>
              <w:left w:val="single" w:sz="4" w:space="0" w:color="auto"/>
              <w:bottom w:val="single" w:sz="4" w:space="0" w:color="auto"/>
              <w:right w:val="single" w:sz="4" w:space="0" w:color="auto"/>
            </w:tcBorders>
            <w:shd w:val="clear" w:color="auto" w:fill="auto"/>
            <w:noWrap/>
            <w:vAlign w:val="center"/>
            <w:hideMark/>
          </w:tcPr>
          <w:p w:rsidR="00AC40FC" w:rsidRPr="005E0480" w:rsidRDefault="00AC40FC" w:rsidP="00A57D87">
            <w:pPr>
              <w:spacing w:after="0"/>
              <w:jc w:val="left"/>
              <w:rPr>
                <w:rFonts w:cs="Arial"/>
                <w:sz w:val="22"/>
              </w:rPr>
            </w:pPr>
            <w:r w:rsidRPr="005E0480">
              <w:rPr>
                <w:rFonts w:cs="Arial"/>
                <w:sz w:val="22"/>
              </w:rPr>
              <w:t>Small Physically-Disabled</w:t>
            </w:r>
          </w:p>
        </w:tc>
        <w:tc>
          <w:tcPr>
            <w:tcW w:w="2568" w:type="dxa"/>
            <w:tcBorders>
              <w:top w:val="nil"/>
              <w:left w:val="nil"/>
              <w:bottom w:val="single" w:sz="4" w:space="0" w:color="auto"/>
              <w:right w:val="single" w:sz="4" w:space="0" w:color="auto"/>
            </w:tcBorders>
            <w:shd w:val="clear" w:color="auto" w:fill="auto"/>
            <w:noWrap/>
            <w:vAlign w:val="center"/>
            <w:hideMark/>
          </w:tcPr>
          <w:p w:rsidR="00AC40FC" w:rsidRPr="005E0480" w:rsidRDefault="00AC40FC" w:rsidP="00A57D87">
            <w:pPr>
              <w:spacing w:after="0"/>
              <w:jc w:val="center"/>
              <w:rPr>
                <w:rFonts w:cs="Arial"/>
                <w:sz w:val="22"/>
              </w:rPr>
            </w:pPr>
            <w:r w:rsidRPr="005E0480">
              <w:rPr>
                <w:rFonts w:cs="Arial"/>
                <w:sz w:val="22"/>
              </w:rPr>
              <w:t xml:space="preserve">3 </w:t>
            </w:r>
          </w:p>
        </w:tc>
      </w:tr>
      <w:tr w:rsidR="00AC40FC" w:rsidRPr="005E0480" w:rsidTr="00BB665B">
        <w:trPr>
          <w:cantSplit/>
          <w:trHeight w:val="255"/>
          <w:jc w:val="center"/>
        </w:trPr>
        <w:tc>
          <w:tcPr>
            <w:tcW w:w="5485" w:type="dxa"/>
            <w:tcBorders>
              <w:top w:val="nil"/>
              <w:left w:val="single" w:sz="4" w:space="0" w:color="auto"/>
              <w:bottom w:val="single" w:sz="4" w:space="0" w:color="auto"/>
              <w:right w:val="single" w:sz="4" w:space="0" w:color="auto"/>
            </w:tcBorders>
            <w:shd w:val="clear" w:color="auto" w:fill="auto"/>
            <w:noWrap/>
            <w:vAlign w:val="center"/>
            <w:hideMark/>
          </w:tcPr>
          <w:p w:rsidR="00AC40FC" w:rsidRPr="005E0480" w:rsidRDefault="00AC40FC" w:rsidP="00A57D87">
            <w:pPr>
              <w:spacing w:after="0"/>
              <w:jc w:val="left"/>
              <w:rPr>
                <w:rFonts w:cs="Arial"/>
                <w:sz w:val="22"/>
              </w:rPr>
            </w:pPr>
            <w:r w:rsidRPr="005E0480">
              <w:rPr>
                <w:rFonts w:cs="Arial"/>
                <w:sz w:val="22"/>
              </w:rPr>
              <w:t>Small Business Women Owned</w:t>
            </w:r>
          </w:p>
        </w:tc>
        <w:tc>
          <w:tcPr>
            <w:tcW w:w="2568" w:type="dxa"/>
            <w:tcBorders>
              <w:top w:val="nil"/>
              <w:left w:val="nil"/>
              <w:bottom w:val="single" w:sz="4" w:space="0" w:color="auto"/>
              <w:right w:val="single" w:sz="4" w:space="0" w:color="auto"/>
            </w:tcBorders>
            <w:shd w:val="clear" w:color="auto" w:fill="auto"/>
            <w:noWrap/>
            <w:vAlign w:val="center"/>
            <w:hideMark/>
          </w:tcPr>
          <w:p w:rsidR="00AC40FC" w:rsidRPr="005E0480" w:rsidRDefault="00AC40FC" w:rsidP="00A57D87">
            <w:pPr>
              <w:spacing w:after="0"/>
              <w:jc w:val="center"/>
              <w:rPr>
                <w:rFonts w:cs="Arial"/>
                <w:sz w:val="22"/>
              </w:rPr>
            </w:pPr>
            <w:r w:rsidRPr="005E0480">
              <w:rPr>
                <w:rFonts w:cs="Arial"/>
                <w:sz w:val="22"/>
              </w:rPr>
              <w:t xml:space="preserve">160 </w:t>
            </w:r>
          </w:p>
        </w:tc>
      </w:tr>
      <w:tr w:rsidR="00AC40FC" w:rsidRPr="005E0480" w:rsidTr="00BB665B">
        <w:trPr>
          <w:cantSplit/>
          <w:trHeight w:val="255"/>
          <w:jc w:val="center"/>
        </w:trPr>
        <w:tc>
          <w:tcPr>
            <w:tcW w:w="5485" w:type="dxa"/>
            <w:tcBorders>
              <w:top w:val="nil"/>
              <w:left w:val="single" w:sz="4" w:space="0" w:color="auto"/>
              <w:bottom w:val="single" w:sz="4" w:space="0" w:color="auto"/>
              <w:right w:val="single" w:sz="4" w:space="0" w:color="auto"/>
            </w:tcBorders>
            <w:shd w:val="clear" w:color="auto" w:fill="auto"/>
            <w:noWrap/>
            <w:vAlign w:val="center"/>
            <w:hideMark/>
          </w:tcPr>
          <w:p w:rsidR="00AC40FC" w:rsidRPr="005E0480" w:rsidRDefault="00AC40FC" w:rsidP="00A57D87">
            <w:pPr>
              <w:spacing w:after="0"/>
              <w:jc w:val="left"/>
              <w:rPr>
                <w:rFonts w:cs="Arial"/>
                <w:sz w:val="22"/>
              </w:rPr>
            </w:pPr>
            <w:r w:rsidRPr="005E0480">
              <w:rPr>
                <w:rFonts w:cs="Arial"/>
                <w:sz w:val="22"/>
              </w:rPr>
              <w:t>Veteran Owned - Small Business</w:t>
            </w:r>
          </w:p>
        </w:tc>
        <w:tc>
          <w:tcPr>
            <w:tcW w:w="2568" w:type="dxa"/>
            <w:tcBorders>
              <w:top w:val="nil"/>
              <w:left w:val="nil"/>
              <w:bottom w:val="single" w:sz="4" w:space="0" w:color="auto"/>
              <w:right w:val="single" w:sz="4" w:space="0" w:color="auto"/>
            </w:tcBorders>
            <w:shd w:val="clear" w:color="auto" w:fill="auto"/>
            <w:noWrap/>
            <w:vAlign w:val="center"/>
            <w:hideMark/>
          </w:tcPr>
          <w:p w:rsidR="00AC40FC" w:rsidRPr="005E0480" w:rsidRDefault="00AC40FC" w:rsidP="00A57D87">
            <w:pPr>
              <w:spacing w:after="0"/>
              <w:jc w:val="center"/>
              <w:rPr>
                <w:rFonts w:cs="Arial"/>
                <w:sz w:val="22"/>
              </w:rPr>
            </w:pPr>
            <w:r w:rsidRPr="005E0480">
              <w:rPr>
                <w:rFonts w:cs="Arial"/>
                <w:sz w:val="22"/>
              </w:rPr>
              <w:t xml:space="preserve">193 </w:t>
            </w:r>
          </w:p>
        </w:tc>
      </w:tr>
      <w:tr w:rsidR="00AC40FC" w:rsidRPr="005E0480" w:rsidTr="00BB665B">
        <w:trPr>
          <w:cantSplit/>
          <w:trHeight w:val="255"/>
          <w:jc w:val="center"/>
        </w:trPr>
        <w:tc>
          <w:tcPr>
            <w:tcW w:w="5485" w:type="dxa"/>
            <w:tcBorders>
              <w:top w:val="nil"/>
              <w:left w:val="single" w:sz="4" w:space="0" w:color="auto"/>
              <w:bottom w:val="single" w:sz="4" w:space="0" w:color="auto"/>
              <w:right w:val="single" w:sz="4" w:space="0" w:color="auto"/>
            </w:tcBorders>
            <w:shd w:val="clear" w:color="auto" w:fill="auto"/>
            <w:noWrap/>
            <w:vAlign w:val="center"/>
            <w:hideMark/>
          </w:tcPr>
          <w:p w:rsidR="00AC40FC" w:rsidRPr="005E0480" w:rsidRDefault="00AC40FC" w:rsidP="00A57D87">
            <w:pPr>
              <w:spacing w:after="0"/>
              <w:jc w:val="left"/>
              <w:rPr>
                <w:rFonts w:cs="Arial"/>
                <w:sz w:val="22"/>
              </w:rPr>
            </w:pPr>
            <w:r w:rsidRPr="005E0480">
              <w:rPr>
                <w:rFonts w:cs="Arial"/>
                <w:sz w:val="22"/>
              </w:rPr>
              <w:t>Veteran - Small Disadvantaged</w:t>
            </w:r>
          </w:p>
        </w:tc>
        <w:tc>
          <w:tcPr>
            <w:tcW w:w="2568" w:type="dxa"/>
            <w:tcBorders>
              <w:top w:val="nil"/>
              <w:left w:val="nil"/>
              <w:bottom w:val="single" w:sz="4" w:space="0" w:color="auto"/>
              <w:right w:val="single" w:sz="4" w:space="0" w:color="auto"/>
            </w:tcBorders>
            <w:shd w:val="clear" w:color="auto" w:fill="auto"/>
            <w:noWrap/>
            <w:vAlign w:val="center"/>
            <w:hideMark/>
          </w:tcPr>
          <w:p w:rsidR="00AC40FC" w:rsidRPr="005E0480" w:rsidRDefault="00AC40FC" w:rsidP="00A57D87">
            <w:pPr>
              <w:spacing w:after="0"/>
              <w:jc w:val="center"/>
              <w:rPr>
                <w:rFonts w:cs="Arial"/>
                <w:sz w:val="22"/>
              </w:rPr>
            </w:pPr>
            <w:r w:rsidRPr="005E0480">
              <w:rPr>
                <w:rFonts w:cs="Arial"/>
                <w:sz w:val="22"/>
              </w:rPr>
              <w:t xml:space="preserve">29 </w:t>
            </w:r>
          </w:p>
        </w:tc>
      </w:tr>
      <w:tr w:rsidR="00AC40FC" w:rsidRPr="005E0480" w:rsidTr="00BB665B">
        <w:trPr>
          <w:cantSplit/>
          <w:trHeight w:val="255"/>
          <w:jc w:val="center"/>
        </w:trPr>
        <w:tc>
          <w:tcPr>
            <w:tcW w:w="5485" w:type="dxa"/>
            <w:tcBorders>
              <w:top w:val="nil"/>
              <w:left w:val="single" w:sz="4" w:space="0" w:color="auto"/>
              <w:bottom w:val="single" w:sz="4" w:space="0" w:color="auto"/>
              <w:right w:val="single" w:sz="4" w:space="0" w:color="auto"/>
            </w:tcBorders>
            <w:shd w:val="clear" w:color="auto" w:fill="auto"/>
            <w:noWrap/>
            <w:vAlign w:val="center"/>
            <w:hideMark/>
          </w:tcPr>
          <w:p w:rsidR="00AC40FC" w:rsidRPr="005E0480" w:rsidRDefault="00AC40FC" w:rsidP="00A57D87">
            <w:pPr>
              <w:spacing w:after="0"/>
              <w:jc w:val="left"/>
              <w:rPr>
                <w:rFonts w:cs="Arial"/>
                <w:sz w:val="22"/>
              </w:rPr>
            </w:pPr>
            <w:r w:rsidRPr="005E0480">
              <w:rPr>
                <w:rFonts w:cs="Arial"/>
                <w:sz w:val="22"/>
              </w:rPr>
              <w:t>Veteran - Women Owned Business</w:t>
            </w:r>
          </w:p>
        </w:tc>
        <w:tc>
          <w:tcPr>
            <w:tcW w:w="2568" w:type="dxa"/>
            <w:tcBorders>
              <w:top w:val="nil"/>
              <w:left w:val="nil"/>
              <w:bottom w:val="single" w:sz="4" w:space="0" w:color="auto"/>
              <w:right w:val="single" w:sz="4" w:space="0" w:color="auto"/>
            </w:tcBorders>
            <w:shd w:val="clear" w:color="auto" w:fill="auto"/>
            <w:noWrap/>
            <w:vAlign w:val="center"/>
            <w:hideMark/>
          </w:tcPr>
          <w:p w:rsidR="00AC40FC" w:rsidRPr="005E0480" w:rsidRDefault="00AC40FC" w:rsidP="00A57D87">
            <w:pPr>
              <w:spacing w:after="0"/>
              <w:jc w:val="center"/>
              <w:rPr>
                <w:rFonts w:cs="Arial"/>
                <w:sz w:val="22"/>
              </w:rPr>
            </w:pPr>
            <w:r w:rsidRPr="005E0480">
              <w:rPr>
                <w:rFonts w:cs="Arial"/>
                <w:sz w:val="22"/>
              </w:rPr>
              <w:t xml:space="preserve">11 </w:t>
            </w:r>
          </w:p>
        </w:tc>
      </w:tr>
      <w:tr w:rsidR="00AC40FC" w:rsidRPr="005E0480" w:rsidTr="00BB665B">
        <w:trPr>
          <w:cantSplit/>
          <w:trHeight w:val="255"/>
          <w:jc w:val="center"/>
        </w:trPr>
        <w:tc>
          <w:tcPr>
            <w:tcW w:w="5485" w:type="dxa"/>
            <w:tcBorders>
              <w:top w:val="nil"/>
              <w:left w:val="single" w:sz="4" w:space="0" w:color="auto"/>
              <w:bottom w:val="single" w:sz="4" w:space="0" w:color="auto"/>
              <w:right w:val="single" w:sz="4" w:space="0" w:color="auto"/>
            </w:tcBorders>
            <w:shd w:val="clear" w:color="auto" w:fill="auto"/>
            <w:noWrap/>
            <w:vAlign w:val="center"/>
            <w:hideMark/>
          </w:tcPr>
          <w:p w:rsidR="00AC40FC" w:rsidRPr="005E0480" w:rsidRDefault="00AC40FC" w:rsidP="00A57D87">
            <w:pPr>
              <w:spacing w:after="0"/>
              <w:jc w:val="left"/>
              <w:rPr>
                <w:rFonts w:cs="Arial"/>
                <w:sz w:val="22"/>
              </w:rPr>
            </w:pPr>
            <w:r w:rsidRPr="005E0480">
              <w:rPr>
                <w:rFonts w:cs="Arial"/>
                <w:sz w:val="22"/>
              </w:rPr>
              <w:t>Women Owned</w:t>
            </w:r>
          </w:p>
        </w:tc>
        <w:tc>
          <w:tcPr>
            <w:tcW w:w="2568" w:type="dxa"/>
            <w:tcBorders>
              <w:top w:val="nil"/>
              <w:left w:val="nil"/>
              <w:bottom w:val="single" w:sz="4" w:space="0" w:color="auto"/>
              <w:right w:val="single" w:sz="4" w:space="0" w:color="auto"/>
            </w:tcBorders>
            <w:shd w:val="clear" w:color="auto" w:fill="auto"/>
            <w:noWrap/>
            <w:vAlign w:val="center"/>
            <w:hideMark/>
          </w:tcPr>
          <w:p w:rsidR="00AC40FC" w:rsidRPr="005E0480" w:rsidRDefault="00AC40FC" w:rsidP="00A57D87">
            <w:pPr>
              <w:spacing w:after="0"/>
              <w:jc w:val="center"/>
              <w:rPr>
                <w:rFonts w:cs="Arial"/>
                <w:sz w:val="22"/>
              </w:rPr>
            </w:pPr>
            <w:r w:rsidRPr="005E0480">
              <w:rPr>
                <w:rFonts w:cs="Arial"/>
                <w:sz w:val="22"/>
              </w:rPr>
              <w:t xml:space="preserve">321 </w:t>
            </w:r>
          </w:p>
        </w:tc>
      </w:tr>
      <w:tr w:rsidR="00AC40FC" w:rsidRPr="005E0480" w:rsidTr="00BB665B">
        <w:trPr>
          <w:cantSplit/>
          <w:trHeight w:val="255"/>
          <w:jc w:val="center"/>
        </w:trPr>
        <w:tc>
          <w:tcPr>
            <w:tcW w:w="5485" w:type="dxa"/>
            <w:tcBorders>
              <w:top w:val="nil"/>
              <w:left w:val="single" w:sz="4" w:space="0" w:color="auto"/>
              <w:bottom w:val="single" w:sz="4" w:space="0" w:color="auto"/>
              <w:right w:val="single" w:sz="4" w:space="0" w:color="auto"/>
            </w:tcBorders>
            <w:shd w:val="clear" w:color="auto" w:fill="auto"/>
            <w:noWrap/>
            <w:vAlign w:val="center"/>
            <w:hideMark/>
          </w:tcPr>
          <w:p w:rsidR="00AC40FC" w:rsidRPr="005E0480" w:rsidRDefault="00AC40FC" w:rsidP="00A57D87">
            <w:pPr>
              <w:spacing w:after="0"/>
              <w:jc w:val="left"/>
              <w:rPr>
                <w:rFonts w:cs="Arial"/>
                <w:sz w:val="22"/>
              </w:rPr>
            </w:pPr>
            <w:r w:rsidRPr="005E0480">
              <w:rPr>
                <w:rFonts w:cs="Arial"/>
                <w:sz w:val="22"/>
              </w:rPr>
              <w:t>Not Defined</w:t>
            </w:r>
          </w:p>
        </w:tc>
        <w:tc>
          <w:tcPr>
            <w:tcW w:w="2568" w:type="dxa"/>
            <w:tcBorders>
              <w:top w:val="nil"/>
              <w:left w:val="nil"/>
              <w:bottom w:val="single" w:sz="4" w:space="0" w:color="auto"/>
              <w:right w:val="single" w:sz="4" w:space="0" w:color="auto"/>
            </w:tcBorders>
            <w:shd w:val="clear" w:color="auto" w:fill="auto"/>
            <w:noWrap/>
            <w:vAlign w:val="center"/>
            <w:hideMark/>
          </w:tcPr>
          <w:p w:rsidR="00AC40FC" w:rsidRPr="005E0480" w:rsidRDefault="00AC40FC" w:rsidP="00A57D87">
            <w:pPr>
              <w:spacing w:after="0"/>
              <w:jc w:val="center"/>
              <w:rPr>
                <w:rFonts w:cs="Arial"/>
                <w:sz w:val="22"/>
              </w:rPr>
            </w:pPr>
            <w:r w:rsidRPr="005E0480">
              <w:rPr>
                <w:rFonts w:cs="Arial"/>
                <w:sz w:val="22"/>
              </w:rPr>
              <w:t xml:space="preserve">1,936 </w:t>
            </w:r>
          </w:p>
        </w:tc>
      </w:tr>
      <w:tr w:rsidR="00AC40FC" w:rsidRPr="005E0480" w:rsidTr="00BB665B">
        <w:trPr>
          <w:cantSplit/>
          <w:trHeight w:val="255"/>
          <w:jc w:val="center"/>
        </w:trPr>
        <w:tc>
          <w:tcPr>
            <w:tcW w:w="5485" w:type="dxa"/>
            <w:tcBorders>
              <w:top w:val="nil"/>
              <w:left w:val="single" w:sz="4" w:space="0" w:color="auto"/>
              <w:bottom w:val="single" w:sz="4" w:space="0" w:color="auto"/>
              <w:right w:val="single" w:sz="4" w:space="0" w:color="auto"/>
            </w:tcBorders>
            <w:shd w:val="clear" w:color="auto" w:fill="auto"/>
            <w:noWrap/>
            <w:vAlign w:val="center"/>
            <w:hideMark/>
          </w:tcPr>
          <w:p w:rsidR="00AC40FC" w:rsidRPr="005E0480" w:rsidRDefault="00AC40FC" w:rsidP="00A57D87">
            <w:pPr>
              <w:spacing w:after="0"/>
              <w:jc w:val="right"/>
              <w:rPr>
                <w:rFonts w:cs="Arial"/>
                <w:b/>
                <w:bCs/>
                <w:sz w:val="22"/>
              </w:rPr>
            </w:pPr>
            <w:r w:rsidRPr="005E0480">
              <w:rPr>
                <w:rFonts w:cs="Arial"/>
                <w:b/>
                <w:bCs/>
                <w:sz w:val="22"/>
              </w:rPr>
              <w:t>TOTAL: </w:t>
            </w:r>
          </w:p>
        </w:tc>
        <w:tc>
          <w:tcPr>
            <w:tcW w:w="2568" w:type="dxa"/>
            <w:tcBorders>
              <w:top w:val="nil"/>
              <w:left w:val="nil"/>
              <w:bottom w:val="single" w:sz="4" w:space="0" w:color="auto"/>
              <w:right w:val="single" w:sz="4" w:space="0" w:color="auto"/>
            </w:tcBorders>
            <w:shd w:val="clear" w:color="auto" w:fill="auto"/>
            <w:noWrap/>
            <w:vAlign w:val="center"/>
            <w:hideMark/>
          </w:tcPr>
          <w:p w:rsidR="00AC40FC" w:rsidRPr="005E0480" w:rsidRDefault="00AC40FC" w:rsidP="00A57D87">
            <w:pPr>
              <w:spacing w:after="0"/>
              <w:jc w:val="center"/>
              <w:rPr>
                <w:rFonts w:cs="Arial"/>
                <w:b/>
                <w:bCs/>
                <w:sz w:val="22"/>
              </w:rPr>
            </w:pPr>
            <w:r w:rsidRPr="005E0480">
              <w:rPr>
                <w:rFonts w:cs="Arial"/>
                <w:b/>
                <w:bCs/>
                <w:sz w:val="22"/>
              </w:rPr>
              <w:t xml:space="preserve">10,400 </w:t>
            </w:r>
          </w:p>
        </w:tc>
      </w:tr>
      <w:tr w:rsidR="00AC40FC" w:rsidRPr="005E0480" w:rsidTr="00BB665B">
        <w:trPr>
          <w:cantSplit/>
          <w:trHeight w:val="255"/>
          <w:jc w:val="center"/>
        </w:trPr>
        <w:tc>
          <w:tcPr>
            <w:tcW w:w="80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C40FC" w:rsidRPr="005E0480" w:rsidRDefault="00AC40FC" w:rsidP="00A57D87">
            <w:pPr>
              <w:spacing w:after="0"/>
              <w:jc w:val="left"/>
              <w:rPr>
                <w:rFonts w:cs="Arial"/>
                <w:bCs/>
                <w:sz w:val="22"/>
              </w:rPr>
            </w:pPr>
            <w:r w:rsidRPr="005E0480">
              <w:rPr>
                <w:rFonts w:cs="Arial"/>
                <w:bCs/>
                <w:sz w:val="22"/>
              </w:rPr>
              <w:t>Source: DN 17-148</w:t>
            </w:r>
          </w:p>
        </w:tc>
      </w:tr>
    </w:tbl>
    <w:p w:rsidR="00AC40FC" w:rsidRPr="00C645CF" w:rsidRDefault="00AC40FC" w:rsidP="00A57D87">
      <w:pPr>
        <w:pStyle w:val="Normal-aftertable"/>
        <w:rPr>
          <w:rFonts w:eastAsia="Calibri"/>
        </w:rPr>
      </w:pPr>
      <w:r>
        <w:rPr>
          <w:rFonts w:eastAsia="Calibri"/>
        </w:rPr>
        <w:lastRenderedPageBreak/>
        <w:t>Because data is not available prior to April 2015, it is not possible to determine if PPL EUS Supply Chain’s long-term vendor outreach efforts are effective in identifying more diverse vendors by vendor type.</w:t>
      </w:r>
    </w:p>
    <w:p w:rsidR="00AC40FC" w:rsidRDefault="00AC40FC" w:rsidP="00BB665B">
      <w:pPr>
        <w:pStyle w:val="Heading-forToC"/>
      </w:pPr>
      <w:bookmarkStart w:id="280" w:name="_Toc462647888"/>
      <w:bookmarkStart w:id="281" w:name="_Toc464552127"/>
      <w:r>
        <w:t>findings</w:t>
      </w:r>
      <w:bookmarkEnd w:id="280"/>
      <w:bookmarkEnd w:id="281"/>
    </w:p>
    <w:p w:rsidR="00AC40FC" w:rsidRDefault="00AC40FC" w:rsidP="004F00E5">
      <w:pPr>
        <w:pStyle w:val="Findings"/>
        <w:numPr>
          <w:ilvl w:val="0"/>
          <w:numId w:val="129"/>
        </w:numPr>
      </w:pPr>
      <w:r>
        <w:t>PPL EU’s vendor diversity program includes encouraged state and required federal program elements.</w:t>
      </w:r>
    </w:p>
    <w:p w:rsidR="00AC40FC" w:rsidRDefault="00AC40FC" w:rsidP="00A57D87">
      <w:r>
        <w:t xml:space="preserve">The </w:t>
      </w:r>
      <w:r w:rsidRPr="00F36FF0">
        <w:t>P</w:t>
      </w:r>
      <w:r>
        <w:t>PL EU</w:t>
      </w:r>
      <w:r w:rsidRPr="00F36FF0">
        <w:t xml:space="preserve"> vendor diversity program</w:t>
      </w:r>
      <w:r>
        <w:t>,</w:t>
      </w:r>
      <w:r w:rsidRPr="00F36FF0">
        <w:t xml:space="preserve"> </w:t>
      </w:r>
      <w:r>
        <w:t xml:space="preserve">administered through the PPL EUS Supply Chain organization, </w:t>
      </w:r>
      <w:r w:rsidRPr="00F36FF0">
        <w:t>include</w:t>
      </w:r>
      <w:r>
        <w:t>s</w:t>
      </w:r>
      <w:r w:rsidRPr="00F36FF0">
        <w:t xml:space="preserve"> policies, responsible managers, outreach efforts to locate qualified diverse vendors, goal setting, training of internal staff, and reporting to the PUC</w:t>
      </w:r>
      <w:r>
        <w:t xml:space="preserve"> and the federal government</w:t>
      </w:r>
      <w:r w:rsidRPr="00F36FF0">
        <w:t>.</w:t>
      </w:r>
      <w:r>
        <w:t xml:space="preserve">  The program includes relevant policies and training for those responsible for the program.  PPL EUS Supply Chain also undertakes </w:t>
      </w:r>
      <w:r w:rsidRPr="00F63290">
        <w:t>outrea</w:t>
      </w:r>
      <w:r w:rsidRPr="00F63290">
        <w:rPr>
          <w:i/>
          <w:szCs w:val="24"/>
        </w:rPr>
        <w:t>c</w:t>
      </w:r>
      <w:r w:rsidRPr="00F63290">
        <w:t>h</w:t>
      </w:r>
      <w:r>
        <w:t xml:space="preserve"> efforts to locate qualified diverse vendors as evidenced by the match making and diversity supplier events that have been attended as well as communication efforts, most notable of which is the PPL Corporation website.  </w:t>
      </w:r>
    </w:p>
    <w:p w:rsidR="00AC40FC" w:rsidRDefault="00AC40FC" w:rsidP="00A57D87">
      <w:pPr>
        <w:pStyle w:val="Findings"/>
      </w:pPr>
      <w:r w:rsidRPr="00A57D87">
        <w:t>The</w:t>
      </w:r>
      <w:r>
        <w:t xml:space="preserve"> vendor diversity expenditures </w:t>
      </w:r>
      <w:r w:rsidRPr="008D55B4">
        <w:t>report</w:t>
      </w:r>
      <w:r>
        <w:t xml:space="preserve"> contains errors and does not document persons with disability owned business expenditures.</w:t>
      </w:r>
    </w:p>
    <w:p w:rsidR="00AC40FC" w:rsidRDefault="00AC40FC" w:rsidP="00A57D87">
      <w:r w:rsidRPr="00DF1137">
        <w:t xml:space="preserve">PPL EUS Supply Chain </w:t>
      </w:r>
      <w:r>
        <w:t>establishes goals for expenditures with diverse vendors, as a percentage of total expenditures,</w:t>
      </w:r>
      <w:r w:rsidRPr="000249F5">
        <w:t xml:space="preserve"> </w:t>
      </w:r>
      <w:r>
        <w:t xml:space="preserve">(expenditures are commonly called “spend”) and tracks it’s spend with diverse vendors.  PPL EUS Supply Chain submits diversity spend reports to the PUC and the federal GSA.  </w:t>
      </w:r>
    </w:p>
    <w:p w:rsidR="00AC40FC" w:rsidRDefault="00AC40FC" w:rsidP="00A57D87">
      <w:r>
        <w:t xml:space="preserve">Annually, in March, PPL EUS Supply Chain submits a report to the PUC, as required, outlining its spend with diverse vendors.  The table below summarizes this spend from 2010 to 2015: </w:t>
      </w:r>
    </w:p>
    <w:p w:rsidR="00AC40FC" w:rsidRDefault="00AC40FC" w:rsidP="002B3172">
      <w:pPr>
        <w:pStyle w:val="Caption"/>
      </w:pPr>
      <w:bookmarkStart w:id="282" w:name="_Toc462648469"/>
      <w:bookmarkStart w:id="283" w:name="_Toc464553091"/>
      <w:r>
        <w:t xml:space="preserve">Exhibit </w:t>
      </w:r>
      <w:fldSimple w:instr=" STYLEREF 1 \s ">
        <w:r w:rsidR="00A24205">
          <w:rPr>
            <w:noProof/>
          </w:rPr>
          <w:t>XIV</w:t>
        </w:r>
      </w:fldSimple>
      <w:r w:rsidR="00264A1B">
        <w:noBreakHyphen/>
      </w:r>
      <w:fldSimple w:instr=" SEQ Exhibit \* ARABIC \s 1 ">
        <w:r w:rsidR="00A24205">
          <w:rPr>
            <w:noProof/>
          </w:rPr>
          <w:t>4</w:t>
        </w:r>
      </w:fldSimple>
      <w:r>
        <w:br/>
        <w:t>PPL EU Utility Sourcing Diversity Report 2010–2015</w:t>
      </w:r>
      <w:bookmarkEnd w:id="282"/>
      <w:bookmarkEnd w:id="283"/>
    </w:p>
    <w:tbl>
      <w:tblPr>
        <w:tblW w:w="8995" w:type="dxa"/>
        <w:jc w:val="center"/>
        <w:tblLayout w:type="fixed"/>
        <w:tblCellMar>
          <w:top w:w="14" w:type="dxa"/>
          <w:left w:w="72" w:type="dxa"/>
          <w:bottom w:w="14" w:type="dxa"/>
          <w:right w:w="72" w:type="dxa"/>
        </w:tblCellMar>
        <w:tblLook w:val="04A0"/>
      </w:tblPr>
      <w:tblGrid>
        <w:gridCol w:w="1435"/>
        <w:gridCol w:w="1260"/>
        <w:gridCol w:w="1260"/>
        <w:gridCol w:w="1260"/>
        <w:gridCol w:w="1260"/>
        <w:gridCol w:w="1260"/>
        <w:gridCol w:w="1260"/>
      </w:tblGrid>
      <w:tr w:rsidR="00AC40FC" w:rsidRPr="00FF6FC5" w:rsidTr="00A57D87">
        <w:trPr>
          <w:trHeight w:val="645"/>
          <w:jc w:val="center"/>
        </w:trPr>
        <w:tc>
          <w:tcPr>
            <w:tcW w:w="1435" w:type="dxa"/>
            <w:tcBorders>
              <w:top w:val="single" w:sz="8" w:space="0" w:color="auto"/>
              <w:left w:val="single" w:sz="8" w:space="0" w:color="auto"/>
              <w:bottom w:val="single" w:sz="8" w:space="0" w:color="auto"/>
              <w:right w:val="single" w:sz="8" w:space="0" w:color="auto"/>
            </w:tcBorders>
            <w:shd w:val="clear" w:color="000000" w:fill="A5CD7E"/>
            <w:vAlign w:val="center"/>
            <w:hideMark/>
          </w:tcPr>
          <w:p w:rsidR="00AC40FC" w:rsidRPr="00FF6FC5" w:rsidRDefault="00AC40FC" w:rsidP="00D6083E">
            <w:pPr>
              <w:spacing w:before="80" w:after="80"/>
              <w:jc w:val="center"/>
              <w:rPr>
                <w:rFonts w:cs="Arial"/>
                <w:b/>
                <w:bCs/>
                <w:sz w:val="18"/>
                <w:szCs w:val="18"/>
              </w:rPr>
            </w:pPr>
            <w:r w:rsidRPr="00FF6FC5">
              <w:rPr>
                <w:rFonts w:cs="Arial"/>
                <w:b/>
                <w:bCs/>
                <w:sz w:val="18"/>
                <w:szCs w:val="18"/>
              </w:rPr>
              <w:t>Actual</w:t>
            </w:r>
            <w:r w:rsidRPr="00FF6FC5">
              <w:rPr>
                <w:rFonts w:cs="Arial"/>
                <w:b/>
                <w:bCs/>
                <w:sz w:val="18"/>
                <w:szCs w:val="18"/>
              </w:rPr>
              <w:br/>
              <w:t>Diverse Dollar Spend</w:t>
            </w:r>
          </w:p>
        </w:tc>
        <w:tc>
          <w:tcPr>
            <w:tcW w:w="1260" w:type="dxa"/>
            <w:tcBorders>
              <w:top w:val="single" w:sz="8" w:space="0" w:color="auto"/>
              <w:left w:val="nil"/>
              <w:bottom w:val="single" w:sz="8" w:space="0" w:color="auto"/>
              <w:right w:val="single" w:sz="8" w:space="0" w:color="auto"/>
            </w:tcBorders>
            <w:shd w:val="clear" w:color="000000" w:fill="A5CD7E"/>
            <w:vAlign w:val="center"/>
            <w:hideMark/>
          </w:tcPr>
          <w:p w:rsidR="00AC40FC" w:rsidRPr="00FF6FC5" w:rsidRDefault="00AC40FC" w:rsidP="00D6083E">
            <w:pPr>
              <w:spacing w:before="80" w:after="80"/>
              <w:jc w:val="center"/>
              <w:rPr>
                <w:rFonts w:cs="Arial"/>
                <w:b/>
                <w:bCs/>
                <w:sz w:val="18"/>
                <w:szCs w:val="18"/>
              </w:rPr>
            </w:pPr>
            <w:r w:rsidRPr="00FF6FC5">
              <w:rPr>
                <w:rFonts w:cs="Arial"/>
                <w:b/>
                <w:bCs/>
                <w:sz w:val="18"/>
                <w:szCs w:val="18"/>
              </w:rPr>
              <w:t>2010</w:t>
            </w:r>
          </w:p>
        </w:tc>
        <w:tc>
          <w:tcPr>
            <w:tcW w:w="1260" w:type="dxa"/>
            <w:tcBorders>
              <w:top w:val="single" w:sz="8" w:space="0" w:color="auto"/>
              <w:left w:val="nil"/>
              <w:bottom w:val="single" w:sz="8" w:space="0" w:color="auto"/>
              <w:right w:val="single" w:sz="8" w:space="0" w:color="auto"/>
            </w:tcBorders>
            <w:shd w:val="clear" w:color="000000" w:fill="A5CD7E"/>
            <w:vAlign w:val="center"/>
            <w:hideMark/>
          </w:tcPr>
          <w:p w:rsidR="00AC40FC" w:rsidRPr="00FF6FC5" w:rsidRDefault="00AC40FC" w:rsidP="00D6083E">
            <w:pPr>
              <w:spacing w:before="80" w:after="80"/>
              <w:jc w:val="center"/>
              <w:rPr>
                <w:rFonts w:cs="Arial"/>
                <w:b/>
                <w:bCs/>
                <w:sz w:val="18"/>
                <w:szCs w:val="18"/>
              </w:rPr>
            </w:pPr>
            <w:r w:rsidRPr="00FF6FC5">
              <w:rPr>
                <w:rFonts w:cs="Arial"/>
                <w:b/>
                <w:bCs/>
                <w:sz w:val="18"/>
                <w:szCs w:val="18"/>
              </w:rPr>
              <w:t>2011</w:t>
            </w:r>
          </w:p>
        </w:tc>
        <w:tc>
          <w:tcPr>
            <w:tcW w:w="1260" w:type="dxa"/>
            <w:tcBorders>
              <w:top w:val="single" w:sz="8" w:space="0" w:color="auto"/>
              <w:left w:val="nil"/>
              <w:bottom w:val="single" w:sz="8" w:space="0" w:color="auto"/>
              <w:right w:val="single" w:sz="8" w:space="0" w:color="auto"/>
            </w:tcBorders>
            <w:shd w:val="clear" w:color="000000" w:fill="A5CD7E"/>
            <w:vAlign w:val="center"/>
            <w:hideMark/>
          </w:tcPr>
          <w:p w:rsidR="00AC40FC" w:rsidRPr="00FF6FC5" w:rsidRDefault="00AC40FC" w:rsidP="00D6083E">
            <w:pPr>
              <w:spacing w:before="80" w:after="80"/>
              <w:jc w:val="center"/>
              <w:rPr>
                <w:rFonts w:cs="Arial"/>
                <w:b/>
                <w:bCs/>
                <w:sz w:val="18"/>
                <w:szCs w:val="18"/>
              </w:rPr>
            </w:pPr>
            <w:r w:rsidRPr="00FF6FC5">
              <w:rPr>
                <w:rFonts w:cs="Arial"/>
                <w:b/>
                <w:bCs/>
                <w:sz w:val="18"/>
                <w:szCs w:val="18"/>
              </w:rPr>
              <w:t>2012</w:t>
            </w:r>
          </w:p>
        </w:tc>
        <w:tc>
          <w:tcPr>
            <w:tcW w:w="1260" w:type="dxa"/>
            <w:tcBorders>
              <w:top w:val="single" w:sz="8" w:space="0" w:color="auto"/>
              <w:left w:val="nil"/>
              <w:bottom w:val="single" w:sz="8" w:space="0" w:color="auto"/>
              <w:right w:val="single" w:sz="8" w:space="0" w:color="auto"/>
            </w:tcBorders>
            <w:shd w:val="clear" w:color="000000" w:fill="A5CD7E"/>
            <w:vAlign w:val="center"/>
            <w:hideMark/>
          </w:tcPr>
          <w:p w:rsidR="00AC40FC" w:rsidRPr="00FF6FC5" w:rsidRDefault="00AC40FC" w:rsidP="00D6083E">
            <w:pPr>
              <w:spacing w:before="80" w:after="80"/>
              <w:jc w:val="center"/>
              <w:rPr>
                <w:rFonts w:cs="Arial"/>
                <w:b/>
                <w:bCs/>
                <w:sz w:val="18"/>
                <w:szCs w:val="18"/>
              </w:rPr>
            </w:pPr>
            <w:r w:rsidRPr="00FF6FC5">
              <w:rPr>
                <w:rFonts w:cs="Arial"/>
                <w:b/>
                <w:bCs/>
                <w:sz w:val="18"/>
                <w:szCs w:val="18"/>
              </w:rPr>
              <w:t>2013</w:t>
            </w:r>
          </w:p>
        </w:tc>
        <w:tc>
          <w:tcPr>
            <w:tcW w:w="1260" w:type="dxa"/>
            <w:tcBorders>
              <w:top w:val="single" w:sz="8" w:space="0" w:color="auto"/>
              <w:left w:val="nil"/>
              <w:bottom w:val="single" w:sz="8" w:space="0" w:color="auto"/>
              <w:right w:val="single" w:sz="8" w:space="0" w:color="auto"/>
            </w:tcBorders>
            <w:shd w:val="clear" w:color="000000" w:fill="A5CD7E"/>
            <w:vAlign w:val="center"/>
            <w:hideMark/>
          </w:tcPr>
          <w:p w:rsidR="00AC40FC" w:rsidRPr="00FF6FC5" w:rsidRDefault="00AC40FC" w:rsidP="00D6083E">
            <w:pPr>
              <w:spacing w:before="80" w:after="80"/>
              <w:jc w:val="center"/>
              <w:rPr>
                <w:rFonts w:cs="Arial"/>
                <w:b/>
                <w:bCs/>
                <w:sz w:val="18"/>
                <w:szCs w:val="18"/>
              </w:rPr>
            </w:pPr>
            <w:r w:rsidRPr="00FF6FC5">
              <w:rPr>
                <w:rFonts w:cs="Arial"/>
                <w:b/>
                <w:bCs/>
                <w:sz w:val="18"/>
                <w:szCs w:val="18"/>
              </w:rPr>
              <w:t>2014</w:t>
            </w:r>
          </w:p>
        </w:tc>
        <w:tc>
          <w:tcPr>
            <w:tcW w:w="1260" w:type="dxa"/>
            <w:tcBorders>
              <w:top w:val="single" w:sz="8" w:space="0" w:color="auto"/>
              <w:left w:val="nil"/>
              <w:bottom w:val="single" w:sz="8" w:space="0" w:color="auto"/>
              <w:right w:val="single" w:sz="8" w:space="0" w:color="auto"/>
            </w:tcBorders>
            <w:shd w:val="clear" w:color="000000" w:fill="A5CD7E"/>
            <w:vAlign w:val="center"/>
          </w:tcPr>
          <w:p w:rsidR="00AC40FC" w:rsidRPr="00FF6FC5" w:rsidRDefault="00AC40FC" w:rsidP="00D6083E">
            <w:pPr>
              <w:spacing w:before="80" w:after="80"/>
              <w:jc w:val="center"/>
              <w:rPr>
                <w:rFonts w:cs="Arial"/>
                <w:b/>
                <w:bCs/>
                <w:sz w:val="18"/>
                <w:szCs w:val="18"/>
              </w:rPr>
            </w:pPr>
            <w:r w:rsidRPr="00FF6FC5">
              <w:rPr>
                <w:rFonts w:cs="Arial"/>
                <w:b/>
                <w:bCs/>
                <w:sz w:val="18"/>
                <w:szCs w:val="18"/>
              </w:rPr>
              <w:t>2015</w:t>
            </w:r>
          </w:p>
        </w:tc>
      </w:tr>
      <w:tr w:rsidR="00AC40FC" w:rsidRPr="00FF6FC5" w:rsidTr="00A57D87">
        <w:trPr>
          <w:trHeight w:val="20"/>
          <w:jc w:val="center"/>
        </w:trPr>
        <w:tc>
          <w:tcPr>
            <w:tcW w:w="1435" w:type="dxa"/>
            <w:tcBorders>
              <w:top w:val="nil"/>
              <w:left w:val="single" w:sz="8" w:space="0" w:color="auto"/>
              <w:bottom w:val="single" w:sz="8" w:space="0" w:color="auto"/>
              <w:right w:val="single" w:sz="8" w:space="0" w:color="auto"/>
            </w:tcBorders>
            <w:shd w:val="clear" w:color="auto" w:fill="auto"/>
            <w:vAlign w:val="center"/>
            <w:hideMark/>
          </w:tcPr>
          <w:p w:rsidR="00AC40FC" w:rsidRPr="00FF6FC5" w:rsidRDefault="00AC40FC" w:rsidP="00A57D87">
            <w:pPr>
              <w:spacing w:after="0"/>
              <w:jc w:val="left"/>
              <w:rPr>
                <w:rFonts w:cs="Arial"/>
                <w:sz w:val="18"/>
                <w:szCs w:val="18"/>
              </w:rPr>
            </w:pPr>
            <w:r w:rsidRPr="00FF6FC5">
              <w:rPr>
                <w:rFonts w:cs="Arial"/>
                <w:sz w:val="18"/>
                <w:szCs w:val="18"/>
              </w:rPr>
              <w:t>Total Spend</w:t>
            </w:r>
          </w:p>
        </w:tc>
        <w:tc>
          <w:tcPr>
            <w:tcW w:w="1260" w:type="dxa"/>
            <w:tcBorders>
              <w:top w:val="nil"/>
              <w:left w:val="nil"/>
              <w:bottom w:val="single" w:sz="8" w:space="0" w:color="auto"/>
              <w:right w:val="single" w:sz="8" w:space="0" w:color="auto"/>
            </w:tcBorders>
            <w:shd w:val="clear" w:color="auto" w:fill="auto"/>
            <w:vAlign w:val="center"/>
            <w:hideMark/>
          </w:tcPr>
          <w:p w:rsidR="00AC40FC" w:rsidRPr="00FF6FC5" w:rsidRDefault="00AC40FC" w:rsidP="00A57D87">
            <w:pPr>
              <w:spacing w:after="0"/>
              <w:jc w:val="right"/>
              <w:rPr>
                <w:rFonts w:cs="Arial"/>
                <w:sz w:val="18"/>
                <w:szCs w:val="18"/>
              </w:rPr>
            </w:pPr>
            <w:r w:rsidRPr="00FF6FC5">
              <w:rPr>
                <w:rFonts w:cs="Arial"/>
                <w:sz w:val="18"/>
                <w:szCs w:val="18"/>
              </w:rPr>
              <w:t xml:space="preserve">$357,073,018 </w:t>
            </w:r>
          </w:p>
        </w:tc>
        <w:tc>
          <w:tcPr>
            <w:tcW w:w="1260" w:type="dxa"/>
            <w:tcBorders>
              <w:top w:val="nil"/>
              <w:left w:val="nil"/>
              <w:bottom w:val="single" w:sz="8" w:space="0" w:color="auto"/>
              <w:right w:val="single" w:sz="8" w:space="0" w:color="auto"/>
            </w:tcBorders>
            <w:shd w:val="clear" w:color="auto" w:fill="auto"/>
            <w:vAlign w:val="center"/>
            <w:hideMark/>
          </w:tcPr>
          <w:p w:rsidR="00AC40FC" w:rsidRPr="00FF6FC5" w:rsidRDefault="00AC40FC" w:rsidP="00A57D87">
            <w:pPr>
              <w:spacing w:after="0"/>
              <w:jc w:val="right"/>
              <w:rPr>
                <w:rFonts w:cs="Arial"/>
                <w:sz w:val="18"/>
                <w:szCs w:val="18"/>
              </w:rPr>
            </w:pPr>
            <w:r w:rsidRPr="00FF6FC5">
              <w:rPr>
                <w:rFonts w:cs="Arial"/>
                <w:sz w:val="18"/>
                <w:szCs w:val="18"/>
              </w:rPr>
              <w:t xml:space="preserve">$505,693,189 </w:t>
            </w:r>
          </w:p>
        </w:tc>
        <w:tc>
          <w:tcPr>
            <w:tcW w:w="1260" w:type="dxa"/>
            <w:tcBorders>
              <w:top w:val="nil"/>
              <w:left w:val="nil"/>
              <w:bottom w:val="single" w:sz="8" w:space="0" w:color="auto"/>
              <w:right w:val="single" w:sz="8" w:space="0" w:color="auto"/>
            </w:tcBorders>
            <w:shd w:val="clear" w:color="auto" w:fill="auto"/>
            <w:vAlign w:val="center"/>
            <w:hideMark/>
          </w:tcPr>
          <w:p w:rsidR="00AC40FC" w:rsidRPr="00FF6FC5" w:rsidRDefault="00AC40FC" w:rsidP="00A57D87">
            <w:pPr>
              <w:spacing w:after="0"/>
              <w:jc w:val="right"/>
              <w:rPr>
                <w:rFonts w:cs="Arial"/>
                <w:sz w:val="18"/>
                <w:szCs w:val="18"/>
              </w:rPr>
            </w:pPr>
            <w:r w:rsidRPr="00FF6FC5">
              <w:rPr>
                <w:rFonts w:cs="Arial"/>
                <w:sz w:val="18"/>
                <w:szCs w:val="18"/>
              </w:rPr>
              <w:t xml:space="preserve">$572,316,733 </w:t>
            </w:r>
          </w:p>
        </w:tc>
        <w:tc>
          <w:tcPr>
            <w:tcW w:w="1260" w:type="dxa"/>
            <w:tcBorders>
              <w:top w:val="nil"/>
              <w:left w:val="nil"/>
              <w:bottom w:val="single" w:sz="8" w:space="0" w:color="auto"/>
              <w:right w:val="single" w:sz="8" w:space="0" w:color="auto"/>
            </w:tcBorders>
            <w:shd w:val="clear" w:color="auto" w:fill="auto"/>
            <w:vAlign w:val="center"/>
            <w:hideMark/>
          </w:tcPr>
          <w:p w:rsidR="00AC40FC" w:rsidRPr="00FF6FC5" w:rsidRDefault="00AC40FC" w:rsidP="00A57D87">
            <w:pPr>
              <w:spacing w:after="0"/>
              <w:jc w:val="right"/>
              <w:rPr>
                <w:rFonts w:cs="Arial"/>
                <w:sz w:val="18"/>
                <w:szCs w:val="18"/>
              </w:rPr>
            </w:pPr>
            <w:r w:rsidRPr="00FF6FC5">
              <w:rPr>
                <w:rFonts w:cs="Arial"/>
                <w:sz w:val="18"/>
                <w:szCs w:val="18"/>
              </w:rPr>
              <w:t xml:space="preserve">$868,704,419 </w:t>
            </w:r>
          </w:p>
        </w:tc>
        <w:tc>
          <w:tcPr>
            <w:tcW w:w="1260" w:type="dxa"/>
            <w:tcBorders>
              <w:top w:val="nil"/>
              <w:left w:val="nil"/>
              <w:bottom w:val="single" w:sz="8" w:space="0" w:color="auto"/>
              <w:right w:val="single" w:sz="8" w:space="0" w:color="auto"/>
            </w:tcBorders>
            <w:shd w:val="clear" w:color="auto" w:fill="auto"/>
            <w:vAlign w:val="center"/>
            <w:hideMark/>
          </w:tcPr>
          <w:p w:rsidR="00AC40FC" w:rsidRPr="00FF6FC5" w:rsidRDefault="00AC40FC" w:rsidP="00A57D87">
            <w:pPr>
              <w:spacing w:after="0"/>
              <w:jc w:val="right"/>
              <w:rPr>
                <w:rFonts w:cs="Arial"/>
                <w:sz w:val="18"/>
                <w:szCs w:val="18"/>
              </w:rPr>
            </w:pPr>
            <w:r w:rsidRPr="00FF6FC5">
              <w:rPr>
                <w:rFonts w:cs="Arial"/>
                <w:sz w:val="18"/>
                <w:szCs w:val="18"/>
              </w:rPr>
              <w:t xml:space="preserve">$793,008,999 </w:t>
            </w:r>
          </w:p>
        </w:tc>
        <w:tc>
          <w:tcPr>
            <w:tcW w:w="1260" w:type="dxa"/>
            <w:tcBorders>
              <w:top w:val="nil"/>
              <w:left w:val="nil"/>
              <w:bottom w:val="single" w:sz="8" w:space="0" w:color="auto"/>
              <w:right w:val="single" w:sz="8" w:space="0" w:color="auto"/>
            </w:tcBorders>
          </w:tcPr>
          <w:p w:rsidR="00AC40FC" w:rsidRPr="00FF6FC5" w:rsidRDefault="00AC40FC" w:rsidP="00A57D87">
            <w:pPr>
              <w:spacing w:after="0"/>
              <w:jc w:val="right"/>
              <w:rPr>
                <w:rFonts w:cs="Arial"/>
                <w:sz w:val="18"/>
                <w:szCs w:val="18"/>
              </w:rPr>
            </w:pPr>
            <w:r>
              <w:rPr>
                <w:rFonts w:cs="Arial"/>
                <w:sz w:val="18"/>
                <w:szCs w:val="18"/>
              </w:rPr>
              <w:t>$922,641,582</w:t>
            </w:r>
          </w:p>
        </w:tc>
      </w:tr>
      <w:tr w:rsidR="00AC40FC" w:rsidRPr="00FF6FC5" w:rsidTr="00A57D87">
        <w:trPr>
          <w:trHeight w:val="133"/>
          <w:jc w:val="center"/>
        </w:trPr>
        <w:tc>
          <w:tcPr>
            <w:tcW w:w="1435" w:type="dxa"/>
            <w:tcBorders>
              <w:top w:val="nil"/>
              <w:left w:val="single" w:sz="8" w:space="0" w:color="auto"/>
              <w:bottom w:val="single" w:sz="8" w:space="0" w:color="auto"/>
              <w:right w:val="single" w:sz="8" w:space="0" w:color="auto"/>
            </w:tcBorders>
            <w:shd w:val="clear" w:color="auto" w:fill="auto"/>
            <w:vAlign w:val="center"/>
            <w:hideMark/>
          </w:tcPr>
          <w:p w:rsidR="00AC40FC" w:rsidRPr="00FF6FC5" w:rsidRDefault="00AC40FC" w:rsidP="00A57D87">
            <w:pPr>
              <w:spacing w:after="0"/>
              <w:jc w:val="left"/>
              <w:rPr>
                <w:rFonts w:cs="Arial"/>
                <w:sz w:val="18"/>
                <w:szCs w:val="18"/>
              </w:rPr>
            </w:pPr>
            <w:r w:rsidRPr="00FF6FC5">
              <w:rPr>
                <w:rFonts w:cs="Arial"/>
                <w:sz w:val="18"/>
                <w:szCs w:val="18"/>
              </w:rPr>
              <w:t>Woman</w:t>
            </w:r>
            <w:r>
              <w:rPr>
                <w:rFonts w:cs="Arial"/>
                <w:sz w:val="18"/>
                <w:szCs w:val="18"/>
              </w:rPr>
              <w:t xml:space="preserve"> </w:t>
            </w:r>
            <w:r w:rsidRPr="00FF6FC5">
              <w:rPr>
                <w:rFonts w:cs="Arial"/>
                <w:sz w:val="18"/>
                <w:szCs w:val="18"/>
              </w:rPr>
              <w:t>Owned</w:t>
            </w:r>
          </w:p>
        </w:tc>
        <w:tc>
          <w:tcPr>
            <w:tcW w:w="1260" w:type="dxa"/>
            <w:tcBorders>
              <w:top w:val="nil"/>
              <w:left w:val="nil"/>
              <w:bottom w:val="single" w:sz="8" w:space="0" w:color="auto"/>
              <w:right w:val="single" w:sz="8" w:space="0" w:color="auto"/>
            </w:tcBorders>
            <w:shd w:val="clear" w:color="auto" w:fill="auto"/>
            <w:vAlign w:val="center"/>
            <w:hideMark/>
          </w:tcPr>
          <w:p w:rsidR="00AC40FC" w:rsidRPr="00FF6FC5" w:rsidRDefault="00AC40FC" w:rsidP="00A57D87">
            <w:pPr>
              <w:spacing w:after="0"/>
              <w:jc w:val="right"/>
              <w:rPr>
                <w:rFonts w:cs="Arial"/>
                <w:sz w:val="18"/>
                <w:szCs w:val="18"/>
              </w:rPr>
            </w:pPr>
            <w:r w:rsidRPr="00FF6FC5">
              <w:rPr>
                <w:rFonts w:cs="Arial"/>
                <w:sz w:val="18"/>
                <w:szCs w:val="18"/>
              </w:rPr>
              <w:t xml:space="preserve">$11,420,506 </w:t>
            </w:r>
          </w:p>
        </w:tc>
        <w:tc>
          <w:tcPr>
            <w:tcW w:w="1260" w:type="dxa"/>
            <w:tcBorders>
              <w:top w:val="nil"/>
              <w:left w:val="nil"/>
              <w:bottom w:val="single" w:sz="8" w:space="0" w:color="auto"/>
              <w:right w:val="single" w:sz="8" w:space="0" w:color="auto"/>
            </w:tcBorders>
            <w:shd w:val="clear" w:color="auto" w:fill="auto"/>
            <w:vAlign w:val="center"/>
            <w:hideMark/>
          </w:tcPr>
          <w:p w:rsidR="00AC40FC" w:rsidRPr="00FF6FC5" w:rsidRDefault="00AC40FC" w:rsidP="00A57D87">
            <w:pPr>
              <w:spacing w:after="0"/>
              <w:jc w:val="right"/>
              <w:rPr>
                <w:rFonts w:cs="Arial"/>
                <w:sz w:val="18"/>
                <w:szCs w:val="18"/>
              </w:rPr>
            </w:pPr>
            <w:r w:rsidRPr="00FF6FC5">
              <w:rPr>
                <w:rFonts w:cs="Arial"/>
                <w:sz w:val="18"/>
                <w:szCs w:val="18"/>
              </w:rPr>
              <w:t xml:space="preserve">$19,359,795 </w:t>
            </w:r>
          </w:p>
        </w:tc>
        <w:tc>
          <w:tcPr>
            <w:tcW w:w="1260" w:type="dxa"/>
            <w:tcBorders>
              <w:top w:val="nil"/>
              <w:left w:val="nil"/>
              <w:bottom w:val="single" w:sz="8" w:space="0" w:color="auto"/>
              <w:right w:val="single" w:sz="8" w:space="0" w:color="auto"/>
            </w:tcBorders>
            <w:shd w:val="clear" w:color="auto" w:fill="auto"/>
            <w:vAlign w:val="center"/>
            <w:hideMark/>
          </w:tcPr>
          <w:p w:rsidR="00AC40FC" w:rsidRPr="00FF6FC5" w:rsidRDefault="00AC40FC" w:rsidP="00A57D87">
            <w:pPr>
              <w:spacing w:after="0"/>
              <w:jc w:val="right"/>
              <w:rPr>
                <w:rFonts w:cs="Arial"/>
                <w:sz w:val="18"/>
                <w:szCs w:val="18"/>
              </w:rPr>
            </w:pPr>
            <w:r w:rsidRPr="00FF6FC5">
              <w:rPr>
                <w:rFonts w:cs="Arial"/>
                <w:sz w:val="18"/>
                <w:szCs w:val="18"/>
              </w:rPr>
              <w:t xml:space="preserve">$14,302,798 </w:t>
            </w:r>
          </w:p>
        </w:tc>
        <w:tc>
          <w:tcPr>
            <w:tcW w:w="1260" w:type="dxa"/>
            <w:tcBorders>
              <w:top w:val="nil"/>
              <w:left w:val="nil"/>
              <w:bottom w:val="single" w:sz="8" w:space="0" w:color="auto"/>
              <w:right w:val="single" w:sz="8" w:space="0" w:color="auto"/>
            </w:tcBorders>
            <w:shd w:val="clear" w:color="auto" w:fill="auto"/>
            <w:vAlign w:val="center"/>
            <w:hideMark/>
          </w:tcPr>
          <w:p w:rsidR="00AC40FC" w:rsidRPr="00FF6FC5" w:rsidRDefault="00AC40FC" w:rsidP="00A57D87">
            <w:pPr>
              <w:spacing w:after="0"/>
              <w:jc w:val="right"/>
              <w:rPr>
                <w:rFonts w:cs="Arial"/>
                <w:sz w:val="18"/>
                <w:szCs w:val="18"/>
              </w:rPr>
            </w:pPr>
            <w:r w:rsidRPr="00FF6FC5">
              <w:rPr>
                <w:rFonts w:cs="Arial"/>
                <w:sz w:val="18"/>
                <w:szCs w:val="18"/>
              </w:rPr>
              <w:t xml:space="preserve">$15,715,101 </w:t>
            </w:r>
          </w:p>
        </w:tc>
        <w:tc>
          <w:tcPr>
            <w:tcW w:w="1260" w:type="dxa"/>
            <w:tcBorders>
              <w:top w:val="nil"/>
              <w:left w:val="nil"/>
              <w:bottom w:val="single" w:sz="8" w:space="0" w:color="auto"/>
              <w:right w:val="single" w:sz="8" w:space="0" w:color="auto"/>
            </w:tcBorders>
            <w:shd w:val="clear" w:color="auto" w:fill="auto"/>
            <w:vAlign w:val="center"/>
            <w:hideMark/>
          </w:tcPr>
          <w:p w:rsidR="00AC40FC" w:rsidRPr="00FF6FC5" w:rsidRDefault="00AC40FC" w:rsidP="00A57D87">
            <w:pPr>
              <w:spacing w:after="0"/>
              <w:jc w:val="right"/>
              <w:rPr>
                <w:rFonts w:cs="Arial"/>
                <w:sz w:val="18"/>
                <w:szCs w:val="18"/>
              </w:rPr>
            </w:pPr>
            <w:r w:rsidRPr="00FF6FC5">
              <w:rPr>
                <w:rFonts w:cs="Arial"/>
                <w:sz w:val="18"/>
                <w:szCs w:val="18"/>
              </w:rPr>
              <w:t xml:space="preserve">$15,407,678 </w:t>
            </w:r>
          </w:p>
        </w:tc>
        <w:tc>
          <w:tcPr>
            <w:tcW w:w="1260" w:type="dxa"/>
            <w:tcBorders>
              <w:top w:val="nil"/>
              <w:left w:val="nil"/>
              <w:bottom w:val="single" w:sz="8" w:space="0" w:color="auto"/>
              <w:right w:val="single" w:sz="8" w:space="0" w:color="auto"/>
            </w:tcBorders>
          </w:tcPr>
          <w:p w:rsidR="00AC40FC" w:rsidRPr="00FF6FC5" w:rsidRDefault="00AC40FC" w:rsidP="00A57D87">
            <w:pPr>
              <w:spacing w:after="0"/>
              <w:jc w:val="right"/>
              <w:rPr>
                <w:rFonts w:cs="Arial"/>
                <w:sz w:val="18"/>
                <w:szCs w:val="18"/>
              </w:rPr>
            </w:pPr>
            <w:r>
              <w:rPr>
                <w:rFonts w:cs="Arial"/>
                <w:sz w:val="18"/>
                <w:szCs w:val="18"/>
              </w:rPr>
              <w:t>$10,150,148</w:t>
            </w:r>
          </w:p>
        </w:tc>
      </w:tr>
      <w:tr w:rsidR="00AC40FC" w:rsidRPr="00FF6FC5" w:rsidTr="00A57D87">
        <w:trPr>
          <w:trHeight w:val="133"/>
          <w:jc w:val="center"/>
        </w:trPr>
        <w:tc>
          <w:tcPr>
            <w:tcW w:w="1435" w:type="dxa"/>
            <w:tcBorders>
              <w:top w:val="nil"/>
              <w:left w:val="single" w:sz="8" w:space="0" w:color="auto"/>
              <w:bottom w:val="single" w:sz="8" w:space="0" w:color="auto"/>
              <w:right w:val="single" w:sz="8" w:space="0" w:color="auto"/>
            </w:tcBorders>
            <w:shd w:val="clear" w:color="auto" w:fill="auto"/>
            <w:vAlign w:val="center"/>
            <w:hideMark/>
          </w:tcPr>
          <w:p w:rsidR="00AC40FC" w:rsidRPr="00FF6FC5" w:rsidRDefault="00AC40FC" w:rsidP="00A57D87">
            <w:pPr>
              <w:spacing w:after="0"/>
              <w:jc w:val="left"/>
              <w:rPr>
                <w:rFonts w:cs="Arial"/>
                <w:sz w:val="18"/>
                <w:szCs w:val="18"/>
              </w:rPr>
            </w:pPr>
            <w:r w:rsidRPr="00FF6FC5">
              <w:rPr>
                <w:rFonts w:cs="Arial"/>
                <w:sz w:val="18"/>
                <w:szCs w:val="18"/>
              </w:rPr>
              <w:t>Minority</w:t>
            </w:r>
            <w:r>
              <w:rPr>
                <w:rFonts w:cs="Arial"/>
                <w:sz w:val="18"/>
                <w:szCs w:val="18"/>
              </w:rPr>
              <w:t xml:space="preserve"> </w:t>
            </w:r>
            <w:r w:rsidRPr="00FF6FC5">
              <w:rPr>
                <w:rFonts w:cs="Arial"/>
                <w:sz w:val="18"/>
                <w:szCs w:val="18"/>
              </w:rPr>
              <w:t>Owned</w:t>
            </w:r>
          </w:p>
        </w:tc>
        <w:tc>
          <w:tcPr>
            <w:tcW w:w="1260" w:type="dxa"/>
            <w:tcBorders>
              <w:top w:val="nil"/>
              <w:left w:val="nil"/>
              <w:bottom w:val="single" w:sz="8" w:space="0" w:color="auto"/>
              <w:right w:val="single" w:sz="8" w:space="0" w:color="auto"/>
            </w:tcBorders>
            <w:shd w:val="clear" w:color="auto" w:fill="auto"/>
            <w:vAlign w:val="center"/>
            <w:hideMark/>
          </w:tcPr>
          <w:p w:rsidR="00AC40FC" w:rsidRPr="00FF6FC5" w:rsidRDefault="00AC40FC" w:rsidP="00A57D87">
            <w:pPr>
              <w:spacing w:after="0"/>
              <w:jc w:val="right"/>
              <w:rPr>
                <w:rFonts w:cs="Arial"/>
                <w:sz w:val="18"/>
                <w:szCs w:val="18"/>
              </w:rPr>
            </w:pPr>
            <w:r w:rsidRPr="00FF6FC5">
              <w:rPr>
                <w:rFonts w:cs="Arial"/>
                <w:sz w:val="18"/>
                <w:szCs w:val="18"/>
              </w:rPr>
              <w:t>$806,557</w:t>
            </w:r>
          </w:p>
        </w:tc>
        <w:tc>
          <w:tcPr>
            <w:tcW w:w="1260" w:type="dxa"/>
            <w:tcBorders>
              <w:top w:val="nil"/>
              <w:left w:val="nil"/>
              <w:bottom w:val="single" w:sz="8" w:space="0" w:color="auto"/>
              <w:right w:val="single" w:sz="8" w:space="0" w:color="auto"/>
            </w:tcBorders>
            <w:shd w:val="clear" w:color="auto" w:fill="auto"/>
            <w:vAlign w:val="center"/>
            <w:hideMark/>
          </w:tcPr>
          <w:p w:rsidR="00AC40FC" w:rsidRPr="00FF6FC5" w:rsidRDefault="00AC40FC" w:rsidP="00A57D87">
            <w:pPr>
              <w:spacing w:after="0"/>
              <w:jc w:val="right"/>
              <w:rPr>
                <w:rFonts w:cs="Arial"/>
                <w:sz w:val="18"/>
                <w:szCs w:val="18"/>
              </w:rPr>
            </w:pPr>
            <w:r w:rsidRPr="00FF6FC5">
              <w:rPr>
                <w:rFonts w:cs="Arial"/>
                <w:sz w:val="18"/>
                <w:szCs w:val="18"/>
              </w:rPr>
              <w:t>$1,313,723</w:t>
            </w:r>
          </w:p>
        </w:tc>
        <w:tc>
          <w:tcPr>
            <w:tcW w:w="1260" w:type="dxa"/>
            <w:tcBorders>
              <w:top w:val="nil"/>
              <w:left w:val="nil"/>
              <w:bottom w:val="single" w:sz="8" w:space="0" w:color="auto"/>
              <w:right w:val="single" w:sz="8" w:space="0" w:color="auto"/>
            </w:tcBorders>
            <w:shd w:val="clear" w:color="auto" w:fill="auto"/>
            <w:vAlign w:val="center"/>
            <w:hideMark/>
          </w:tcPr>
          <w:p w:rsidR="00AC40FC" w:rsidRPr="00FF6FC5" w:rsidRDefault="00AC40FC" w:rsidP="00A57D87">
            <w:pPr>
              <w:spacing w:after="0"/>
              <w:jc w:val="right"/>
              <w:rPr>
                <w:rFonts w:cs="Arial"/>
                <w:sz w:val="18"/>
                <w:szCs w:val="18"/>
              </w:rPr>
            </w:pPr>
            <w:r w:rsidRPr="00FF6FC5">
              <w:rPr>
                <w:rFonts w:cs="Arial"/>
                <w:sz w:val="18"/>
                <w:szCs w:val="18"/>
              </w:rPr>
              <w:t>$7,002,845</w:t>
            </w:r>
          </w:p>
        </w:tc>
        <w:tc>
          <w:tcPr>
            <w:tcW w:w="1260" w:type="dxa"/>
            <w:tcBorders>
              <w:top w:val="nil"/>
              <w:left w:val="nil"/>
              <w:bottom w:val="single" w:sz="8" w:space="0" w:color="auto"/>
              <w:right w:val="single" w:sz="8" w:space="0" w:color="auto"/>
            </w:tcBorders>
            <w:shd w:val="clear" w:color="auto" w:fill="auto"/>
            <w:vAlign w:val="center"/>
            <w:hideMark/>
          </w:tcPr>
          <w:p w:rsidR="00AC40FC" w:rsidRPr="00FF6FC5" w:rsidRDefault="00AC40FC" w:rsidP="00A57D87">
            <w:pPr>
              <w:spacing w:after="0"/>
              <w:jc w:val="right"/>
              <w:rPr>
                <w:rFonts w:cs="Arial"/>
                <w:sz w:val="18"/>
                <w:szCs w:val="18"/>
              </w:rPr>
            </w:pPr>
            <w:r w:rsidRPr="00FF6FC5">
              <w:rPr>
                <w:rFonts w:cs="Arial"/>
                <w:sz w:val="18"/>
                <w:szCs w:val="18"/>
              </w:rPr>
              <w:t>$114,774,086</w:t>
            </w:r>
          </w:p>
        </w:tc>
        <w:tc>
          <w:tcPr>
            <w:tcW w:w="1260" w:type="dxa"/>
            <w:tcBorders>
              <w:top w:val="nil"/>
              <w:left w:val="nil"/>
              <w:bottom w:val="single" w:sz="8" w:space="0" w:color="auto"/>
              <w:right w:val="single" w:sz="8" w:space="0" w:color="auto"/>
            </w:tcBorders>
            <w:shd w:val="clear" w:color="auto" w:fill="auto"/>
            <w:vAlign w:val="center"/>
            <w:hideMark/>
          </w:tcPr>
          <w:p w:rsidR="00AC40FC" w:rsidRPr="00FF6FC5" w:rsidRDefault="00AC40FC" w:rsidP="00A57D87">
            <w:pPr>
              <w:spacing w:after="0"/>
              <w:jc w:val="right"/>
              <w:rPr>
                <w:rFonts w:cs="Arial"/>
                <w:sz w:val="18"/>
                <w:szCs w:val="18"/>
              </w:rPr>
            </w:pPr>
            <w:r w:rsidRPr="00FF6FC5">
              <w:rPr>
                <w:rFonts w:cs="Arial"/>
                <w:sz w:val="18"/>
                <w:szCs w:val="18"/>
              </w:rPr>
              <w:t>$18,395,724</w:t>
            </w:r>
          </w:p>
        </w:tc>
        <w:tc>
          <w:tcPr>
            <w:tcW w:w="1260" w:type="dxa"/>
            <w:tcBorders>
              <w:top w:val="nil"/>
              <w:left w:val="nil"/>
              <w:bottom w:val="single" w:sz="8" w:space="0" w:color="auto"/>
              <w:right w:val="single" w:sz="8" w:space="0" w:color="auto"/>
            </w:tcBorders>
          </w:tcPr>
          <w:p w:rsidR="00AC40FC" w:rsidRPr="00FF6FC5" w:rsidRDefault="00AC40FC" w:rsidP="00A57D87">
            <w:pPr>
              <w:spacing w:after="0"/>
              <w:jc w:val="right"/>
              <w:rPr>
                <w:rFonts w:cs="Arial"/>
                <w:sz w:val="18"/>
                <w:szCs w:val="18"/>
              </w:rPr>
            </w:pPr>
            <w:r>
              <w:rPr>
                <w:rFonts w:cs="Arial"/>
                <w:sz w:val="18"/>
                <w:szCs w:val="18"/>
              </w:rPr>
              <w:t>$4,551,260</w:t>
            </w:r>
          </w:p>
        </w:tc>
      </w:tr>
      <w:tr w:rsidR="00AC40FC" w:rsidRPr="00FF6FC5" w:rsidTr="00A57D87">
        <w:trPr>
          <w:trHeight w:val="60"/>
          <w:jc w:val="center"/>
        </w:trPr>
        <w:tc>
          <w:tcPr>
            <w:tcW w:w="1435" w:type="dxa"/>
            <w:tcBorders>
              <w:top w:val="nil"/>
              <w:left w:val="single" w:sz="8" w:space="0" w:color="auto"/>
              <w:bottom w:val="single" w:sz="4" w:space="0" w:color="auto"/>
              <w:right w:val="single" w:sz="8" w:space="0" w:color="auto"/>
            </w:tcBorders>
            <w:shd w:val="clear" w:color="auto" w:fill="auto"/>
            <w:vAlign w:val="center"/>
            <w:hideMark/>
          </w:tcPr>
          <w:p w:rsidR="00AC40FC" w:rsidRPr="00FF6FC5" w:rsidRDefault="00AC40FC" w:rsidP="00A57D87">
            <w:pPr>
              <w:spacing w:after="0"/>
              <w:jc w:val="left"/>
              <w:rPr>
                <w:rFonts w:cs="Arial"/>
                <w:sz w:val="18"/>
                <w:szCs w:val="18"/>
              </w:rPr>
            </w:pPr>
            <w:r w:rsidRPr="00FF6FC5">
              <w:rPr>
                <w:rFonts w:cs="Arial"/>
                <w:sz w:val="18"/>
                <w:szCs w:val="18"/>
              </w:rPr>
              <w:t>MWBE</w:t>
            </w:r>
          </w:p>
        </w:tc>
        <w:tc>
          <w:tcPr>
            <w:tcW w:w="1260" w:type="dxa"/>
            <w:tcBorders>
              <w:top w:val="nil"/>
              <w:left w:val="nil"/>
              <w:bottom w:val="single" w:sz="4" w:space="0" w:color="auto"/>
              <w:right w:val="single" w:sz="8" w:space="0" w:color="auto"/>
            </w:tcBorders>
            <w:shd w:val="clear" w:color="auto" w:fill="auto"/>
            <w:vAlign w:val="center"/>
            <w:hideMark/>
          </w:tcPr>
          <w:p w:rsidR="00AC40FC" w:rsidRPr="00FF6FC5" w:rsidRDefault="00AC40FC" w:rsidP="00A57D87">
            <w:pPr>
              <w:spacing w:after="0"/>
              <w:jc w:val="right"/>
              <w:rPr>
                <w:rFonts w:cs="Arial"/>
                <w:sz w:val="18"/>
                <w:szCs w:val="18"/>
              </w:rPr>
            </w:pPr>
            <w:r w:rsidRPr="00FF6FC5">
              <w:rPr>
                <w:rFonts w:cs="Arial"/>
                <w:sz w:val="18"/>
                <w:szCs w:val="18"/>
              </w:rPr>
              <w:t xml:space="preserve">$74,238,180 </w:t>
            </w:r>
          </w:p>
        </w:tc>
        <w:tc>
          <w:tcPr>
            <w:tcW w:w="1260" w:type="dxa"/>
            <w:tcBorders>
              <w:top w:val="nil"/>
              <w:left w:val="nil"/>
              <w:bottom w:val="single" w:sz="4" w:space="0" w:color="auto"/>
              <w:right w:val="single" w:sz="8" w:space="0" w:color="auto"/>
            </w:tcBorders>
            <w:shd w:val="clear" w:color="auto" w:fill="auto"/>
            <w:vAlign w:val="center"/>
            <w:hideMark/>
          </w:tcPr>
          <w:p w:rsidR="00AC40FC" w:rsidRPr="00FF6FC5" w:rsidRDefault="00AC40FC" w:rsidP="00A57D87">
            <w:pPr>
              <w:spacing w:after="0"/>
              <w:jc w:val="right"/>
              <w:rPr>
                <w:rFonts w:cs="Arial"/>
                <w:sz w:val="18"/>
                <w:szCs w:val="18"/>
              </w:rPr>
            </w:pPr>
            <w:r w:rsidRPr="00FF6FC5">
              <w:rPr>
                <w:rFonts w:cs="Arial"/>
                <w:sz w:val="18"/>
                <w:szCs w:val="18"/>
              </w:rPr>
              <w:t xml:space="preserve">$113,578,815 </w:t>
            </w:r>
          </w:p>
        </w:tc>
        <w:tc>
          <w:tcPr>
            <w:tcW w:w="1260" w:type="dxa"/>
            <w:tcBorders>
              <w:top w:val="nil"/>
              <w:left w:val="nil"/>
              <w:bottom w:val="single" w:sz="4" w:space="0" w:color="auto"/>
              <w:right w:val="single" w:sz="8" w:space="0" w:color="auto"/>
            </w:tcBorders>
            <w:shd w:val="clear" w:color="auto" w:fill="auto"/>
            <w:vAlign w:val="center"/>
            <w:hideMark/>
          </w:tcPr>
          <w:p w:rsidR="00AC40FC" w:rsidRPr="00FF6FC5" w:rsidRDefault="00AC40FC" w:rsidP="00A57D87">
            <w:pPr>
              <w:spacing w:after="0"/>
              <w:jc w:val="right"/>
              <w:rPr>
                <w:rFonts w:cs="Arial"/>
                <w:sz w:val="18"/>
                <w:szCs w:val="18"/>
              </w:rPr>
            </w:pPr>
            <w:r w:rsidRPr="00FF6FC5">
              <w:rPr>
                <w:rFonts w:cs="Arial"/>
                <w:sz w:val="18"/>
                <w:szCs w:val="18"/>
              </w:rPr>
              <w:t xml:space="preserve">$112,247,334 </w:t>
            </w:r>
          </w:p>
        </w:tc>
        <w:tc>
          <w:tcPr>
            <w:tcW w:w="1260" w:type="dxa"/>
            <w:tcBorders>
              <w:top w:val="nil"/>
              <w:left w:val="nil"/>
              <w:bottom w:val="single" w:sz="4" w:space="0" w:color="auto"/>
              <w:right w:val="single" w:sz="8" w:space="0" w:color="auto"/>
            </w:tcBorders>
            <w:shd w:val="clear" w:color="auto" w:fill="auto"/>
            <w:vAlign w:val="center"/>
            <w:hideMark/>
          </w:tcPr>
          <w:p w:rsidR="00AC40FC" w:rsidRPr="00FF6FC5" w:rsidRDefault="00AC40FC" w:rsidP="00A57D87">
            <w:pPr>
              <w:spacing w:after="0"/>
              <w:jc w:val="right"/>
              <w:rPr>
                <w:rFonts w:cs="Arial"/>
                <w:sz w:val="18"/>
                <w:szCs w:val="18"/>
              </w:rPr>
            </w:pPr>
            <w:r w:rsidRPr="00FF6FC5">
              <w:rPr>
                <w:rFonts w:cs="Arial"/>
                <w:sz w:val="18"/>
                <w:szCs w:val="18"/>
              </w:rPr>
              <w:t xml:space="preserve">$130,907,841 </w:t>
            </w:r>
          </w:p>
        </w:tc>
        <w:tc>
          <w:tcPr>
            <w:tcW w:w="1260" w:type="dxa"/>
            <w:tcBorders>
              <w:top w:val="nil"/>
              <w:left w:val="nil"/>
              <w:bottom w:val="single" w:sz="4" w:space="0" w:color="auto"/>
              <w:right w:val="single" w:sz="8" w:space="0" w:color="auto"/>
            </w:tcBorders>
            <w:shd w:val="clear" w:color="auto" w:fill="auto"/>
            <w:vAlign w:val="center"/>
            <w:hideMark/>
          </w:tcPr>
          <w:p w:rsidR="00AC40FC" w:rsidRPr="00FF6FC5" w:rsidRDefault="00AC40FC" w:rsidP="00A57D87">
            <w:pPr>
              <w:spacing w:after="0"/>
              <w:jc w:val="right"/>
              <w:rPr>
                <w:rFonts w:cs="Arial"/>
                <w:sz w:val="18"/>
                <w:szCs w:val="18"/>
              </w:rPr>
            </w:pPr>
            <w:r w:rsidRPr="00FF6FC5">
              <w:rPr>
                <w:rFonts w:cs="Arial"/>
                <w:sz w:val="18"/>
                <w:szCs w:val="18"/>
              </w:rPr>
              <w:t xml:space="preserve">$18,395,724 </w:t>
            </w:r>
          </w:p>
        </w:tc>
        <w:tc>
          <w:tcPr>
            <w:tcW w:w="1260" w:type="dxa"/>
            <w:tcBorders>
              <w:top w:val="nil"/>
              <w:left w:val="nil"/>
              <w:bottom w:val="single" w:sz="4" w:space="0" w:color="auto"/>
              <w:right w:val="single" w:sz="8" w:space="0" w:color="auto"/>
            </w:tcBorders>
          </w:tcPr>
          <w:p w:rsidR="00AC40FC" w:rsidRPr="00FF6FC5" w:rsidRDefault="00AC40FC" w:rsidP="00A57D87">
            <w:pPr>
              <w:spacing w:after="0"/>
              <w:jc w:val="right"/>
              <w:rPr>
                <w:rFonts w:cs="Arial"/>
                <w:sz w:val="18"/>
                <w:szCs w:val="18"/>
              </w:rPr>
            </w:pPr>
            <w:r>
              <w:rPr>
                <w:rFonts w:cs="Arial"/>
                <w:sz w:val="18"/>
                <w:szCs w:val="18"/>
              </w:rPr>
              <w:t>$4,551,260</w:t>
            </w:r>
          </w:p>
        </w:tc>
      </w:tr>
      <w:tr w:rsidR="00AC40FC" w:rsidRPr="00FF6FC5" w:rsidTr="00A57D87">
        <w:trPr>
          <w:trHeight w:val="98"/>
          <w:jc w:val="center"/>
        </w:trPr>
        <w:tc>
          <w:tcPr>
            <w:tcW w:w="899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AC40FC" w:rsidRPr="00FF6FC5" w:rsidRDefault="00AC40FC" w:rsidP="00A57D87">
            <w:pPr>
              <w:spacing w:after="0"/>
              <w:jc w:val="left"/>
              <w:rPr>
                <w:rFonts w:cs="Arial"/>
                <w:sz w:val="18"/>
                <w:szCs w:val="18"/>
              </w:rPr>
            </w:pPr>
            <w:r w:rsidRPr="00FF6FC5">
              <w:rPr>
                <w:rFonts w:cs="Arial"/>
                <w:sz w:val="18"/>
                <w:szCs w:val="18"/>
              </w:rPr>
              <w:t>Source</w:t>
            </w:r>
            <w:r>
              <w:rPr>
                <w:rFonts w:cs="Arial"/>
                <w:sz w:val="18"/>
                <w:szCs w:val="18"/>
              </w:rPr>
              <w:t>s</w:t>
            </w:r>
            <w:r w:rsidRPr="00FF6FC5">
              <w:rPr>
                <w:rFonts w:cs="Arial"/>
                <w:sz w:val="18"/>
                <w:szCs w:val="18"/>
              </w:rPr>
              <w:t>: DN 17-121a</w:t>
            </w:r>
            <w:r>
              <w:rPr>
                <w:rFonts w:cs="Arial"/>
                <w:sz w:val="18"/>
                <w:szCs w:val="18"/>
              </w:rPr>
              <w:t>;</w:t>
            </w:r>
            <w:r w:rsidRPr="00FF6FC5">
              <w:rPr>
                <w:rFonts w:cs="Arial"/>
                <w:sz w:val="18"/>
                <w:szCs w:val="18"/>
              </w:rPr>
              <w:t xml:space="preserve"> DN 17-140</w:t>
            </w:r>
            <w:r>
              <w:rPr>
                <w:rFonts w:cs="Arial"/>
                <w:sz w:val="18"/>
                <w:szCs w:val="18"/>
              </w:rPr>
              <w:t>;</w:t>
            </w:r>
            <w:r w:rsidRPr="00FF6FC5">
              <w:rPr>
                <w:rFonts w:cs="Arial"/>
                <w:sz w:val="18"/>
                <w:szCs w:val="18"/>
              </w:rPr>
              <w:t xml:space="preserve"> DN 17-142</w:t>
            </w:r>
          </w:p>
        </w:tc>
      </w:tr>
    </w:tbl>
    <w:p w:rsidR="00AC40FC" w:rsidRDefault="00AC40FC" w:rsidP="00A57D87">
      <w:pPr>
        <w:pStyle w:val="Normal-aftertable"/>
      </w:pPr>
      <w:r>
        <w:t>It appears there are errors in the diverse spend reported between 2010 and 2014 possibly due to the manner in which vendors are categorized.  For example, in 2010, 2011, and 2012 only small minority owned businesses were counted in the category of Minority Owned yet in 2013 and 2014, both small and large minority owned businesses were counted in this category.  In addition, the spend reported for Minority Women Business Enterprises (MWBE) in 2014 and 2015 was duplicated for the Minority Owned spend.  Errors identified could not be sufficiently explained or corrected by the PPL EUS Supply Chain point of contact.</w:t>
      </w:r>
    </w:p>
    <w:p w:rsidR="00AC40FC" w:rsidRDefault="00AC40FC" w:rsidP="00A57D87">
      <w:pPr>
        <w:pStyle w:val="Normal-aftertable"/>
      </w:pPr>
      <w:r>
        <w:lastRenderedPageBreak/>
        <w:t>Additionally, while PPL EUS Supply Chain reports on diversity spend with respect to women owned and minority owned vendors, the data submitted did not reflect data on the diversity spend for disability owned vendors.</w:t>
      </w:r>
    </w:p>
    <w:p w:rsidR="00AC40FC" w:rsidRDefault="00AC40FC" w:rsidP="00A57D87">
      <w:r>
        <w:t xml:space="preserve">52 Pennsylvania Code </w:t>
      </w:r>
      <w:r>
        <w:rPr>
          <w:rFonts w:cs="Arial"/>
        </w:rPr>
        <w:t>§</w:t>
      </w:r>
      <w:r>
        <w:t xml:space="preserve">69.801 through </w:t>
      </w:r>
      <w:r>
        <w:rPr>
          <w:rFonts w:cs="Arial"/>
        </w:rPr>
        <w:t>§</w:t>
      </w:r>
      <w:r>
        <w:t xml:space="preserve">69.809 outline diversity requirements for major jurisdictional utilities, specifically, Code </w:t>
      </w:r>
      <w:r>
        <w:rPr>
          <w:rFonts w:cs="Arial"/>
        </w:rPr>
        <w:t>§</w:t>
      </w:r>
      <w:r>
        <w:t xml:space="preserve">69.809 outlines utilities’ annual PUC diversity filing requirements.  These filing requirements were further defined by the PUC’s Affirmative Action Officer during March of 1997.  The diversity filing guidelines require public utilities to track and report on diversity spend with respect to women, minorities, and individuals with disabilities owned businesses, while permitting utilities to break these specific categories down further.  In instances where a vendor is a member of more than one protected group the hierarchy should be reported as follows: minority, female, and person with disability.  </w:t>
      </w:r>
    </w:p>
    <w:p w:rsidR="00AC40FC" w:rsidRDefault="00AC40FC" w:rsidP="00A57D87">
      <w:r>
        <w:t xml:space="preserve">It should be noted that similar findings were reported by the Pennsylvania PUC during its 2009 Focused Management and Operations Audit of PPL Electric Utilities Corporation at docket number D-2009-2102172.  It appears that little progress has been made in implementing corrective action plans to address the 2009 PUC Report findings.  </w:t>
      </w:r>
    </w:p>
    <w:p w:rsidR="00AC40FC" w:rsidRDefault="00AC40FC" w:rsidP="00BB665B">
      <w:pPr>
        <w:pStyle w:val="Findings"/>
      </w:pPr>
      <w:r>
        <w:t xml:space="preserve">PPL </w:t>
      </w:r>
      <w:r w:rsidRPr="00A57D87">
        <w:t>EUS</w:t>
      </w:r>
      <w:r>
        <w:t xml:space="preserve"> Supply Chain has not established specific spend goals for </w:t>
      </w:r>
      <w:r w:rsidRPr="0010677A">
        <w:t>Minority, Women, and Disadvantaged Business Enterprises including Minority Owned and Persons</w:t>
      </w:r>
      <w:r>
        <w:t xml:space="preserve"> with Disability Owned businesses and has not met its diversity spend goal for Women Owned businesses from 2012 through 2015.</w:t>
      </w:r>
      <w:r w:rsidRPr="001E6D31">
        <w:t xml:space="preserve"> </w:t>
      </w:r>
    </w:p>
    <w:p w:rsidR="00AC40FC" w:rsidRDefault="00AC40FC" w:rsidP="00A57D87">
      <w:r w:rsidRPr="002C61BB">
        <w:t xml:space="preserve">PPL EUS Supply Chain establishes goals for expenditures with diverse vendors as a percentage of total expenditures.  </w:t>
      </w:r>
      <w:r>
        <w:t xml:space="preserve">For 2016, PPL EUS Supply Chain established a goal of increasing year-over-year (YOY) diversity spending by 3%.  PPL EUS Supply Chain moved to a YOY spending increase goal from a percent of total spend goal as PPL EUS Supply Chain believes it to be a more realistic and meaningful goal.  </w:t>
      </w:r>
      <w:r w:rsidRPr="002C61BB">
        <w:t>PPL EUS Supply tracks it’s “spend” with diverse vendors.  PPL EUS Supply Chain submits diversity spend reports to the PUC and the federal General Services Administration.</w:t>
      </w:r>
      <w:r>
        <w:t xml:space="preserve"> </w:t>
      </w:r>
    </w:p>
    <w:p w:rsidR="00AC40FC" w:rsidRDefault="00AC40FC" w:rsidP="00A57D87">
      <w:r>
        <w:t>PPL EUS Supply Chain establishes a goal annually for the percentage of total spend to place with Women Owned businesses.  The table below shows the established diversity spend goal as well as the categorical diversity spend as a percentage of total spend over the last six years.</w:t>
      </w:r>
    </w:p>
    <w:p w:rsidR="00AC40FC" w:rsidRDefault="00AC40FC" w:rsidP="00A57D87">
      <w:pPr>
        <w:pStyle w:val="Title"/>
        <w:sectPr w:rsidR="00AC40FC" w:rsidSect="00A57D87">
          <w:footerReference w:type="default" r:id="rId82"/>
          <w:type w:val="continuous"/>
          <w:pgSz w:w="12240" w:h="15840"/>
          <w:pgMar w:top="1440" w:right="1440" w:bottom="1440" w:left="1440" w:header="720" w:footer="576" w:gutter="0"/>
          <w:cols w:space="720"/>
          <w:docGrid w:linePitch="360"/>
        </w:sectPr>
      </w:pPr>
    </w:p>
    <w:p w:rsidR="00AC40FC" w:rsidRDefault="00AC40FC" w:rsidP="002B3172">
      <w:pPr>
        <w:pStyle w:val="Caption"/>
      </w:pPr>
      <w:bookmarkStart w:id="284" w:name="_Toc462648470"/>
      <w:bookmarkStart w:id="285" w:name="_Toc464553092"/>
      <w:r>
        <w:lastRenderedPageBreak/>
        <w:t xml:space="preserve">Exhibit </w:t>
      </w:r>
      <w:fldSimple w:instr=" STYLEREF 1 \s ">
        <w:r w:rsidR="00A24205">
          <w:rPr>
            <w:noProof/>
          </w:rPr>
          <w:t>XIV</w:t>
        </w:r>
      </w:fldSimple>
      <w:r w:rsidR="00264A1B">
        <w:noBreakHyphen/>
      </w:r>
      <w:fldSimple w:instr=" SEQ Exhibit \* ARABIC \s 1 ">
        <w:r w:rsidR="00A24205">
          <w:rPr>
            <w:noProof/>
          </w:rPr>
          <w:t>5</w:t>
        </w:r>
      </w:fldSimple>
      <w:r>
        <w:br/>
        <w:t>PPL EU Actual Vendor Diversity Spend versus Established Diversity Spend Goals 2010–2015</w:t>
      </w:r>
      <w:bookmarkEnd w:id="284"/>
      <w:bookmarkEnd w:id="285"/>
    </w:p>
    <w:tbl>
      <w:tblPr>
        <w:tblW w:w="11326" w:type="dxa"/>
        <w:jc w:val="center"/>
        <w:tblLayout w:type="fixed"/>
        <w:tblCellMar>
          <w:top w:w="29" w:type="dxa"/>
          <w:left w:w="115" w:type="dxa"/>
          <w:bottom w:w="29" w:type="dxa"/>
          <w:right w:w="115" w:type="dxa"/>
        </w:tblCellMar>
        <w:tblLook w:val="04A0"/>
      </w:tblPr>
      <w:tblGrid>
        <w:gridCol w:w="3306"/>
        <w:gridCol w:w="1076"/>
        <w:gridCol w:w="1080"/>
        <w:gridCol w:w="1080"/>
        <w:gridCol w:w="1080"/>
        <w:gridCol w:w="1080"/>
        <w:gridCol w:w="1080"/>
        <w:gridCol w:w="1544"/>
      </w:tblGrid>
      <w:tr w:rsidR="00AC40FC" w:rsidRPr="009E5D9D" w:rsidTr="00A57D87">
        <w:trPr>
          <w:cantSplit/>
          <w:trHeight w:val="763"/>
          <w:tblHeader/>
          <w:jc w:val="center"/>
        </w:trPr>
        <w:tc>
          <w:tcPr>
            <w:tcW w:w="3306" w:type="dxa"/>
            <w:tcBorders>
              <w:top w:val="single" w:sz="8" w:space="0" w:color="auto"/>
              <w:left w:val="single" w:sz="8" w:space="0" w:color="auto"/>
              <w:bottom w:val="single" w:sz="8" w:space="0" w:color="auto"/>
              <w:right w:val="single" w:sz="8" w:space="0" w:color="auto"/>
            </w:tcBorders>
            <w:shd w:val="clear" w:color="000000" w:fill="A5CD7E"/>
            <w:vAlign w:val="center"/>
            <w:hideMark/>
          </w:tcPr>
          <w:p w:rsidR="00AC40FC" w:rsidRPr="0057589E" w:rsidRDefault="00AC40FC" w:rsidP="00D6083E">
            <w:pPr>
              <w:spacing w:before="120"/>
              <w:jc w:val="center"/>
              <w:rPr>
                <w:rFonts w:eastAsia="Calibri" w:cs="Arial"/>
                <w:b/>
                <w:bCs/>
                <w:szCs w:val="24"/>
              </w:rPr>
            </w:pPr>
            <w:r w:rsidRPr="0057589E">
              <w:rPr>
                <w:rFonts w:eastAsia="Calibri" w:cs="Arial"/>
                <w:b/>
                <w:bCs/>
                <w:szCs w:val="24"/>
              </w:rPr>
              <w:t>Diverse Spend as a Percentage of Actual Total Spend</w:t>
            </w:r>
          </w:p>
        </w:tc>
        <w:tc>
          <w:tcPr>
            <w:tcW w:w="1076" w:type="dxa"/>
            <w:tcBorders>
              <w:top w:val="single" w:sz="8" w:space="0" w:color="auto"/>
              <w:left w:val="nil"/>
              <w:bottom w:val="single" w:sz="8" w:space="0" w:color="auto"/>
              <w:right w:val="single" w:sz="8" w:space="0" w:color="auto"/>
            </w:tcBorders>
            <w:shd w:val="clear" w:color="000000" w:fill="A5CD7E"/>
            <w:vAlign w:val="center"/>
            <w:hideMark/>
          </w:tcPr>
          <w:p w:rsidR="00AC40FC" w:rsidRPr="0057589E" w:rsidRDefault="00AC40FC" w:rsidP="00D6083E">
            <w:pPr>
              <w:spacing w:before="120"/>
              <w:jc w:val="center"/>
              <w:rPr>
                <w:rFonts w:cs="Arial"/>
                <w:b/>
                <w:bCs/>
                <w:szCs w:val="24"/>
              </w:rPr>
            </w:pPr>
            <w:r w:rsidRPr="0057589E">
              <w:rPr>
                <w:rFonts w:cs="Arial"/>
                <w:b/>
                <w:bCs/>
                <w:szCs w:val="24"/>
              </w:rPr>
              <w:t>2010</w:t>
            </w:r>
          </w:p>
        </w:tc>
        <w:tc>
          <w:tcPr>
            <w:tcW w:w="1080" w:type="dxa"/>
            <w:tcBorders>
              <w:top w:val="single" w:sz="8" w:space="0" w:color="auto"/>
              <w:left w:val="nil"/>
              <w:bottom w:val="single" w:sz="8" w:space="0" w:color="auto"/>
              <w:right w:val="single" w:sz="8" w:space="0" w:color="auto"/>
            </w:tcBorders>
            <w:shd w:val="clear" w:color="000000" w:fill="A5CD7E"/>
            <w:vAlign w:val="center"/>
            <w:hideMark/>
          </w:tcPr>
          <w:p w:rsidR="00AC40FC" w:rsidRPr="0057589E" w:rsidRDefault="00AC40FC" w:rsidP="00D6083E">
            <w:pPr>
              <w:spacing w:before="120"/>
              <w:jc w:val="center"/>
              <w:rPr>
                <w:rFonts w:cs="Arial"/>
                <w:b/>
                <w:bCs/>
                <w:szCs w:val="24"/>
              </w:rPr>
            </w:pPr>
            <w:r w:rsidRPr="0057589E">
              <w:rPr>
                <w:rFonts w:cs="Arial"/>
                <w:b/>
                <w:bCs/>
                <w:szCs w:val="24"/>
              </w:rPr>
              <w:t>2011</w:t>
            </w:r>
          </w:p>
        </w:tc>
        <w:tc>
          <w:tcPr>
            <w:tcW w:w="1080" w:type="dxa"/>
            <w:tcBorders>
              <w:top w:val="single" w:sz="8" w:space="0" w:color="auto"/>
              <w:left w:val="nil"/>
              <w:bottom w:val="single" w:sz="8" w:space="0" w:color="auto"/>
              <w:right w:val="single" w:sz="8" w:space="0" w:color="auto"/>
            </w:tcBorders>
            <w:shd w:val="clear" w:color="000000" w:fill="A5CD7E"/>
            <w:vAlign w:val="center"/>
            <w:hideMark/>
          </w:tcPr>
          <w:p w:rsidR="00AC40FC" w:rsidRPr="0057589E" w:rsidRDefault="00AC40FC" w:rsidP="00D6083E">
            <w:pPr>
              <w:spacing w:before="120"/>
              <w:jc w:val="center"/>
              <w:rPr>
                <w:rFonts w:cs="Arial"/>
                <w:b/>
                <w:bCs/>
                <w:szCs w:val="24"/>
              </w:rPr>
            </w:pPr>
            <w:r w:rsidRPr="0057589E">
              <w:rPr>
                <w:rFonts w:cs="Arial"/>
                <w:b/>
                <w:bCs/>
                <w:szCs w:val="24"/>
              </w:rPr>
              <w:t>2012</w:t>
            </w:r>
          </w:p>
        </w:tc>
        <w:tc>
          <w:tcPr>
            <w:tcW w:w="1080" w:type="dxa"/>
            <w:tcBorders>
              <w:top w:val="single" w:sz="8" w:space="0" w:color="auto"/>
              <w:left w:val="nil"/>
              <w:bottom w:val="single" w:sz="8" w:space="0" w:color="auto"/>
              <w:right w:val="single" w:sz="8" w:space="0" w:color="auto"/>
            </w:tcBorders>
            <w:shd w:val="clear" w:color="000000" w:fill="A5CD7E"/>
            <w:vAlign w:val="center"/>
            <w:hideMark/>
          </w:tcPr>
          <w:p w:rsidR="00AC40FC" w:rsidRPr="0057589E" w:rsidRDefault="00AC40FC" w:rsidP="00D6083E">
            <w:pPr>
              <w:spacing w:before="120"/>
              <w:jc w:val="center"/>
              <w:rPr>
                <w:rFonts w:cs="Arial"/>
                <w:b/>
                <w:bCs/>
                <w:szCs w:val="24"/>
              </w:rPr>
            </w:pPr>
            <w:r w:rsidRPr="0057589E">
              <w:rPr>
                <w:rFonts w:cs="Arial"/>
                <w:b/>
                <w:bCs/>
                <w:szCs w:val="24"/>
              </w:rPr>
              <w:t>2013</w:t>
            </w:r>
          </w:p>
        </w:tc>
        <w:tc>
          <w:tcPr>
            <w:tcW w:w="1080" w:type="dxa"/>
            <w:tcBorders>
              <w:top w:val="single" w:sz="8" w:space="0" w:color="auto"/>
              <w:left w:val="nil"/>
              <w:bottom w:val="single" w:sz="8" w:space="0" w:color="auto"/>
              <w:right w:val="single" w:sz="8" w:space="0" w:color="auto"/>
            </w:tcBorders>
            <w:shd w:val="clear" w:color="000000" w:fill="A5CD7E"/>
            <w:vAlign w:val="center"/>
            <w:hideMark/>
          </w:tcPr>
          <w:p w:rsidR="00AC40FC" w:rsidRPr="0057589E" w:rsidRDefault="00AC40FC" w:rsidP="00D6083E">
            <w:pPr>
              <w:spacing w:before="120"/>
              <w:jc w:val="center"/>
              <w:rPr>
                <w:rFonts w:cs="Arial"/>
                <w:b/>
                <w:bCs/>
                <w:szCs w:val="24"/>
              </w:rPr>
            </w:pPr>
            <w:r w:rsidRPr="0057589E">
              <w:rPr>
                <w:rFonts w:cs="Arial"/>
                <w:b/>
                <w:bCs/>
                <w:szCs w:val="24"/>
              </w:rPr>
              <w:t>2014</w:t>
            </w:r>
          </w:p>
        </w:tc>
        <w:tc>
          <w:tcPr>
            <w:tcW w:w="1080" w:type="dxa"/>
            <w:tcBorders>
              <w:top w:val="single" w:sz="8" w:space="0" w:color="auto"/>
              <w:left w:val="nil"/>
              <w:bottom w:val="single" w:sz="8" w:space="0" w:color="auto"/>
              <w:right w:val="single" w:sz="4" w:space="0" w:color="auto"/>
            </w:tcBorders>
            <w:shd w:val="clear" w:color="000000" w:fill="A5CD7E"/>
            <w:vAlign w:val="center"/>
          </w:tcPr>
          <w:p w:rsidR="00AC40FC" w:rsidRPr="0057589E" w:rsidRDefault="00AC40FC" w:rsidP="00D6083E">
            <w:pPr>
              <w:spacing w:before="120"/>
              <w:jc w:val="center"/>
              <w:rPr>
                <w:rFonts w:cs="Arial"/>
                <w:b/>
                <w:bCs/>
                <w:szCs w:val="24"/>
              </w:rPr>
            </w:pPr>
            <w:r w:rsidRPr="0057589E">
              <w:rPr>
                <w:rFonts w:cs="Arial"/>
                <w:b/>
                <w:bCs/>
                <w:szCs w:val="24"/>
              </w:rPr>
              <w:t>2015</w:t>
            </w:r>
          </w:p>
        </w:tc>
        <w:tc>
          <w:tcPr>
            <w:tcW w:w="1544" w:type="dxa"/>
            <w:tcBorders>
              <w:top w:val="single" w:sz="8" w:space="0" w:color="auto"/>
              <w:left w:val="single" w:sz="4" w:space="0" w:color="auto"/>
              <w:bottom w:val="single" w:sz="8" w:space="0" w:color="auto"/>
              <w:right w:val="single" w:sz="8" w:space="0" w:color="auto"/>
            </w:tcBorders>
            <w:shd w:val="clear" w:color="000000" w:fill="A5CD7E"/>
            <w:vAlign w:val="center"/>
          </w:tcPr>
          <w:p w:rsidR="00AC40FC" w:rsidRPr="0057589E" w:rsidRDefault="00AC40FC" w:rsidP="00D6083E">
            <w:pPr>
              <w:spacing w:before="120"/>
              <w:jc w:val="center"/>
              <w:rPr>
                <w:rFonts w:cs="Arial"/>
                <w:b/>
                <w:bCs/>
                <w:szCs w:val="24"/>
              </w:rPr>
            </w:pPr>
            <w:r w:rsidRPr="0057589E">
              <w:rPr>
                <w:rFonts w:cs="Arial"/>
                <w:b/>
                <w:bCs/>
                <w:szCs w:val="24"/>
              </w:rPr>
              <w:t xml:space="preserve">Compound Growth </w:t>
            </w:r>
          </w:p>
        </w:tc>
      </w:tr>
      <w:tr w:rsidR="00AC40FC" w:rsidRPr="009E5D9D" w:rsidTr="00A57D87">
        <w:trPr>
          <w:trHeight w:val="232"/>
          <w:jc w:val="center"/>
        </w:trPr>
        <w:tc>
          <w:tcPr>
            <w:tcW w:w="3306" w:type="dxa"/>
            <w:tcBorders>
              <w:top w:val="nil"/>
              <w:left w:val="single" w:sz="8" w:space="0" w:color="auto"/>
              <w:bottom w:val="single" w:sz="8" w:space="0" w:color="auto"/>
              <w:right w:val="single" w:sz="8" w:space="0" w:color="auto"/>
            </w:tcBorders>
            <w:shd w:val="clear" w:color="auto" w:fill="auto"/>
            <w:vAlign w:val="center"/>
            <w:hideMark/>
          </w:tcPr>
          <w:p w:rsidR="00AC40FC" w:rsidRPr="0057589E" w:rsidRDefault="00AC40FC" w:rsidP="00A57D87">
            <w:pPr>
              <w:spacing w:after="0"/>
              <w:rPr>
                <w:rFonts w:cs="Arial"/>
                <w:szCs w:val="24"/>
              </w:rPr>
            </w:pPr>
            <w:r w:rsidRPr="0057589E">
              <w:rPr>
                <w:rFonts w:cs="Arial"/>
                <w:szCs w:val="24"/>
              </w:rPr>
              <w:t>Percent Woman</w:t>
            </w:r>
            <w:r>
              <w:rPr>
                <w:rFonts w:cs="Arial"/>
                <w:szCs w:val="24"/>
              </w:rPr>
              <w:t xml:space="preserve"> </w:t>
            </w:r>
            <w:r w:rsidRPr="0057589E">
              <w:rPr>
                <w:rFonts w:cs="Arial"/>
                <w:szCs w:val="24"/>
              </w:rPr>
              <w:t>Owned</w:t>
            </w:r>
          </w:p>
        </w:tc>
        <w:tc>
          <w:tcPr>
            <w:tcW w:w="1076" w:type="dxa"/>
            <w:tcBorders>
              <w:top w:val="nil"/>
              <w:left w:val="nil"/>
              <w:bottom w:val="single" w:sz="8" w:space="0" w:color="auto"/>
              <w:right w:val="single" w:sz="8" w:space="0" w:color="auto"/>
            </w:tcBorders>
            <w:shd w:val="clear" w:color="auto" w:fill="auto"/>
            <w:vAlign w:val="center"/>
            <w:hideMark/>
          </w:tcPr>
          <w:p w:rsidR="00AC40FC" w:rsidRPr="0057589E" w:rsidRDefault="00AC40FC" w:rsidP="00A57D87">
            <w:pPr>
              <w:spacing w:after="0"/>
              <w:jc w:val="right"/>
              <w:rPr>
                <w:rFonts w:cs="Arial"/>
                <w:szCs w:val="24"/>
              </w:rPr>
            </w:pPr>
            <w:r w:rsidRPr="0057589E">
              <w:rPr>
                <w:rFonts w:cs="Arial"/>
                <w:szCs w:val="24"/>
              </w:rPr>
              <w:t>3.20%</w:t>
            </w:r>
          </w:p>
        </w:tc>
        <w:tc>
          <w:tcPr>
            <w:tcW w:w="1080" w:type="dxa"/>
            <w:tcBorders>
              <w:top w:val="nil"/>
              <w:left w:val="nil"/>
              <w:bottom w:val="single" w:sz="8" w:space="0" w:color="auto"/>
              <w:right w:val="single" w:sz="8" w:space="0" w:color="auto"/>
            </w:tcBorders>
            <w:shd w:val="clear" w:color="auto" w:fill="auto"/>
            <w:vAlign w:val="center"/>
            <w:hideMark/>
          </w:tcPr>
          <w:p w:rsidR="00AC40FC" w:rsidRPr="0057589E" w:rsidRDefault="00AC40FC" w:rsidP="00A57D87">
            <w:pPr>
              <w:spacing w:after="0"/>
              <w:jc w:val="right"/>
              <w:rPr>
                <w:rFonts w:cs="Arial"/>
                <w:szCs w:val="24"/>
              </w:rPr>
            </w:pPr>
            <w:r w:rsidRPr="0057589E">
              <w:rPr>
                <w:rFonts w:cs="Arial"/>
                <w:szCs w:val="24"/>
              </w:rPr>
              <w:t>3.83%</w:t>
            </w:r>
          </w:p>
        </w:tc>
        <w:tc>
          <w:tcPr>
            <w:tcW w:w="1080" w:type="dxa"/>
            <w:tcBorders>
              <w:top w:val="nil"/>
              <w:left w:val="nil"/>
              <w:bottom w:val="single" w:sz="8" w:space="0" w:color="auto"/>
              <w:right w:val="single" w:sz="8" w:space="0" w:color="auto"/>
            </w:tcBorders>
            <w:shd w:val="clear" w:color="auto" w:fill="auto"/>
            <w:vAlign w:val="center"/>
            <w:hideMark/>
          </w:tcPr>
          <w:p w:rsidR="00AC40FC" w:rsidRPr="0057589E" w:rsidRDefault="00AC40FC" w:rsidP="00A57D87">
            <w:pPr>
              <w:spacing w:after="0"/>
              <w:jc w:val="right"/>
              <w:rPr>
                <w:rFonts w:cs="Arial"/>
                <w:szCs w:val="24"/>
              </w:rPr>
            </w:pPr>
            <w:r w:rsidRPr="0057589E">
              <w:rPr>
                <w:rFonts w:cs="Arial"/>
                <w:szCs w:val="24"/>
              </w:rPr>
              <w:t>2.50%</w:t>
            </w:r>
          </w:p>
        </w:tc>
        <w:tc>
          <w:tcPr>
            <w:tcW w:w="1080" w:type="dxa"/>
            <w:tcBorders>
              <w:top w:val="nil"/>
              <w:left w:val="nil"/>
              <w:bottom w:val="single" w:sz="8" w:space="0" w:color="auto"/>
              <w:right w:val="single" w:sz="8" w:space="0" w:color="auto"/>
            </w:tcBorders>
            <w:shd w:val="clear" w:color="auto" w:fill="auto"/>
            <w:vAlign w:val="center"/>
            <w:hideMark/>
          </w:tcPr>
          <w:p w:rsidR="00AC40FC" w:rsidRPr="0057589E" w:rsidRDefault="00AC40FC" w:rsidP="00A57D87">
            <w:pPr>
              <w:spacing w:after="0"/>
              <w:jc w:val="right"/>
              <w:rPr>
                <w:rFonts w:cs="Arial"/>
                <w:szCs w:val="24"/>
              </w:rPr>
            </w:pPr>
            <w:r w:rsidRPr="0057589E">
              <w:rPr>
                <w:rFonts w:cs="Arial"/>
                <w:szCs w:val="24"/>
              </w:rPr>
              <w:t>1.81%</w:t>
            </w:r>
          </w:p>
        </w:tc>
        <w:tc>
          <w:tcPr>
            <w:tcW w:w="1080" w:type="dxa"/>
            <w:tcBorders>
              <w:top w:val="nil"/>
              <w:left w:val="nil"/>
              <w:bottom w:val="single" w:sz="8" w:space="0" w:color="auto"/>
              <w:right w:val="single" w:sz="8" w:space="0" w:color="auto"/>
            </w:tcBorders>
            <w:shd w:val="clear" w:color="auto" w:fill="auto"/>
            <w:vAlign w:val="center"/>
            <w:hideMark/>
          </w:tcPr>
          <w:p w:rsidR="00AC40FC" w:rsidRPr="0057589E" w:rsidRDefault="00AC40FC" w:rsidP="00A57D87">
            <w:pPr>
              <w:spacing w:after="0"/>
              <w:jc w:val="right"/>
              <w:rPr>
                <w:rFonts w:cs="Arial"/>
                <w:szCs w:val="24"/>
              </w:rPr>
            </w:pPr>
            <w:r w:rsidRPr="0057589E">
              <w:rPr>
                <w:rFonts w:cs="Arial"/>
                <w:szCs w:val="24"/>
              </w:rPr>
              <w:t>1.94%</w:t>
            </w:r>
          </w:p>
        </w:tc>
        <w:tc>
          <w:tcPr>
            <w:tcW w:w="1080" w:type="dxa"/>
            <w:tcBorders>
              <w:top w:val="nil"/>
              <w:left w:val="nil"/>
              <w:bottom w:val="single" w:sz="8" w:space="0" w:color="auto"/>
              <w:right w:val="single" w:sz="4" w:space="0" w:color="auto"/>
            </w:tcBorders>
          </w:tcPr>
          <w:p w:rsidR="00AC40FC" w:rsidRPr="0057589E" w:rsidRDefault="00AC40FC" w:rsidP="00A57D87">
            <w:pPr>
              <w:spacing w:after="0"/>
              <w:jc w:val="right"/>
              <w:rPr>
                <w:rFonts w:eastAsia="Calibri" w:cs="Arial"/>
                <w:szCs w:val="24"/>
              </w:rPr>
            </w:pPr>
            <w:r>
              <w:rPr>
                <w:rFonts w:eastAsia="Calibri" w:cs="Arial"/>
                <w:szCs w:val="24"/>
              </w:rPr>
              <w:t>1.10%</w:t>
            </w:r>
          </w:p>
        </w:tc>
        <w:tc>
          <w:tcPr>
            <w:tcW w:w="1544" w:type="dxa"/>
            <w:tcBorders>
              <w:top w:val="nil"/>
              <w:left w:val="single" w:sz="4" w:space="0" w:color="auto"/>
              <w:bottom w:val="single" w:sz="8" w:space="0" w:color="auto"/>
              <w:right w:val="single" w:sz="8" w:space="0" w:color="auto"/>
            </w:tcBorders>
            <w:shd w:val="clear" w:color="auto" w:fill="auto"/>
            <w:noWrap/>
            <w:vAlign w:val="center"/>
          </w:tcPr>
          <w:p w:rsidR="00AC40FC" w:rsidRPr="0057589E" w:rsidRDefault="00AC40FC" w:rsidP="00A57D87">
            <w:pPr>
              <w:spacing w:after="0"/>
              <w:jc w:val="right"/>
              <w:rPr>
                <w:rFonts w:eastAsia="Calibri" w:cs="Arial"/>
                <w:szCs w:val="24"/>
              </w:rPr>
            </w:pPr>
            <w:r w:rsidRPr="0057589E">
              <w:rPr>
                <w:rFonts w:eastAsia="Calibri" w:cs="Arial"/>
                <w:szCs w:val="24"/>
              </w:rPr>
              <w:t>-</w:t>
            </w:r>
            <w:r>
              <w:rPr>
                <w:rFonts w:eastAsia="Calibri" w:cs="Arial"/>
                <w:szCs w:val="24"/>
              </w:rPr>
              <w:t>19.23</w:t>
            </w:r>
            <w:r w:rsidRPr="0057589E">
              <w:rPr>
                <w:rFonts w:eastAsia="Calibri" w:cs="Arial"/>
                <w:szCs w:val="24"/>
              </w:rPr>
              <w:t>%</w:t>
            </w:r>
          </w:p>
        </w:tc>
      </w:tr>
      <w:tr w:rsidR="00AC40FC" w:rsidRPr="009E5D9D" w:rsidTr="00A57D87">
        <w:trPr>
          <w:trHeight w:val="223"/>
          <w:jc w:val="center"/>
        </w:trPr>
        <w:tc>
          <w:tcPr>
            <w:tcW w:w="3306" w:type="dxa"/>
            <w:tcBorders>
              <w:top w:val="nil"/>
              <w:left w:val="single" w:sz="8" w:space="0" w:color="auto"/>
              <w:bottom w:val="single" w:sz="8" w:space="0" w:color="auto"/>
              <w:right w:val="single" w:sz="8" w:space="0" w:color="auto"/>
            </w:tcBorders>
            <w:shd w:val="clear" w:color="auto" w:fill="auto"/>
            <w:vAlign w:val="center"/>
            <w:hideMark/>
          </w:tcPr>
          <w:p w:rsidR="00AC40FC" w:rsidRPr="0057589E" w:rsidRDefault="00AC40FC" w:rsidP="00A57D87">
            <w:pPr>
              <w:spacing w:after="0"/>
              <w:rPr>
                <w:rFonts w:cs="Arial"/>
                <w:szCs w:val="24"/>
              </w:rPr>
            </w:pPr>
            <w:r w:rsidRPr="0057589E">
              <w:rPr>
                <w:rFonts w:cs="Arial"/>
                <w:szCs w:val="24"/>
              </w:rPr>
              <w:t>Percent Minority</w:t>
            </w:r>
            <w:r>
              <w:rPr>
                <w:rFonts w:cs="Arial"/>
                <w:szCs w:val="24"/>
              </w:rPr>
              <w:t xml:space="preserve"> </w:t>
            </w:r>
            <w:r w:rsidRPr="0057589E">
              <w:rPr>
                <w:rFonts w:cs="Arial"/>
                <w:szCs w:val="24"/>
              </w:rPr>
              <w:t>Owned*</w:t>
            </w:r>
          </w:p>
        </w:tc>
        <w:tc>
          <w:tcPr>
            <w:tcW w:w="1076" w:type="dxa"/>
            <w:tcBorders>
              <w:top w:val="nil"/>
              <w:left w:val="nil"/>
              <w:bottom w:val="single" w:sz="8" w:space="0" w:color="auto"/>
              <w:right w:val="single" w:sz="8" w:space="0" w:color="auto"/>
            </w:tcBorders>
            <w:shd w:val="clear" w:color="auto" w:fill="auto"/>
            <w:vAlign w:val="center"/>
            <w:hideMark/>
          </w:tcPr>
          <w:p w:rsidR="00AC40FC" w:rsidRPr="0057589E" w:rsidRDefault="00AC40FC" w:rsidP="00A57D87">
            <w:pPr>
              <w:spacing w:after="0"/>
              <w:jc w:val="right"/>
              <w:rPr>
                <w:rFonts w:cs="Arial"/>
                <w:szCs w:val="24"/>
              </w:rPr>
            </w:pPr>
            <w:r w:rsidRPr="0057589E">
              <w:rPr>
                <w:rFonts w:cs="Arial"/>
                <w:szCs w:val="24"/>
              </w:rPr>
              <w:t>0.23%</w:t>
            </w:r>
          </w:p>
        </w:tc>
        <w:tc>
          <w:tcPr>
            <w:tcW w:w="1080" w:type="dxa"/>
            <w:tcBorders>
              <w:top w:val="nil"/>
              <w:left w:val="nil"/>
              <w:bottom w:val="single" w:sz="8" w:space="0" w:color="auto"/>
              <w:right w:val="single" w:sz="8" w:space="0" w:color="auto"/>
            </w:tcBorders>
            <w:shd w:val="clear" w:color="auto" w:fill="auto"/>
            <w:vAlign w:val="center"/>
            <w:hideMark/>
          </w:tcPr>
          <w:p w:rsidR="00AC40FC" w:rsidRPr="0057589E" w:rsidRDefault="00AC40FC" w:rsidP="00A57D87">
            <w:pPr>
              <w:spacing w:after="0"/>
              <w:jc w:val="right"/>
              <w:rPr>
                <w:rFonts w:cs="Arial"/>
                <w:szCs w:val="24"/>
              </w:rPr>
            </w:pPr>
            <w:r w:rsidRPr="0057589E">
              <w:rPr>
                <w:rFonts w:cs="Arial"/>
                <w:szCs w:val="24"/>
              </w:rPr>
              <w:t>0.26%</w:t>
            </w:r>
          </w:p>
        </w:tc>
        <w:tc>
          <w:tcPr>
            <w:tcW w:w="1080" w:type="dxa"/>
            <w:tcBorders>
              <w:top w:val="nil"/>
              <w:left w:val="nil"/>
              <w:bottom w:val="single" w:sz="8" w:space="0" w:color="auto"/>
              <w:right w:val="single" w:sz="8" w:space="0" w:color="auto"/>
            </w:tcBorders>
            <w:shd w:val="clear" w:color="auto" w:fill="auto"/>
            <w:vAlign w:val="center"/>
            <w:hideMark/>
          </w:tcPr>
          <w:p w:rsidR="00AC40FC" w:rsidRPr="0057589E" w:rsidRDefault="00AC40FC" w:rsidP="00A57D87">
            <w:pPr>
              <w:spacing w:after="0"/>
              <w:jc w:val="right"/>
              <w:rPr>
                <w:rFonts w:cs="Arial"/>
                <w:szCs w:val="24"/>
              </w:rPr>
            </w:pPr>
            <w:r w:rsidRPr="0057589E">
              <w:rPr>
                <w:rFonts w:cs="Arial"/>
                <w:szCs w:val="24"/>
              </w:rPr>
              <w:t>1.22%</w:t>
            </w:r>
          </w:p>
        </w:tc>
        <w:tc>
          <w:tcPr>
            <w:tcW w:w="1080" w:type="dxa"/>
            <w:tcBorders>
              <w:top w:val="nil"/>
              <w:left w:val="nil"/>
              <w:bottom w:val="single" w:sz="8" w:space="0" w:color="auto"/>
              <w:right w:val="single" w:sz="8" w:space="0" w:color="auto"/>
            </w:tcBorders>
            <w:shd w:val="clear" w:color="auto" w:fill="auto"/>
            <w:vAlign w:val="center"/>
            <w:hideMark/>
          </w:tcPr>
          <w:p w:rsidR="00AC40FC" w:rsidRPr="0057589E" w:rsidRDefault="00AC40FC" w:rsidP="00A57D87">
            <w:pPr>
              <w:spacing w:after="0"/>
              <w:jc w:val="right"/>
              <w:rPr>
                <w:rFonts w:cs="Arial"/>
                <w:szCs w:val="24"/>
              </w:rPr>
            </w:pPr>
            <w:r w:rsidRPr="0057589E">
              <w:rPr>
                <w:rFonts w:cs="Arial"/>
                <w:szCs w:val="24"/>
              </w:rPr>
              <w:t>NA</w:t>
            </w:r>
          </w:p>
        </w:tc>
        <w:tc>
          <w:tcPr>
            <w:tcW w:w="1080" w:type="dxa"/>
            <w:tcBorders>
              <w:top w:val="nil"/>
              <w:left w:val="nil"/>
              <w:bottom w:val="single" w:sz="8" w:space="0" w:color="auto"/>
              <w:right w:val="single" w:sz="8" w:space="0" w:color="auto"/>
            </w:tcBorders>
            <w:shd w:val="clear" w:color="auto" w:fill="auto"/>
            <w:vAlign w:val="center"/>
            <w:hideMark/>
          </w:tcPr>
          <w:p w:rsidR="00AC40FC" w:rsidRPr="0057589E" w:rsidRDefault="00AC40FC" w:rsidP="00A57D87">
            <w:pPr>
              <w:spacing w:after="0"/>
              <w:jc w:val="right"/>
              <w:rPr>
                <w:rFonts w:cs="Arial"/>
                <w:szCs w:val="24"/>
              </w:rPr>
            </w:pPr>
            <w:r w:rsidRPr="0057589E">
              <w:rPr>
                <w:rFonts w:cs="Arial"/>
                <w:szCs w:val="24"/>
              </w:rPr>
              <w:t>2.32%</w:t>
            </w:r>
          </w:p>
        </w:tc>
        <w:tc>
          <w:tcPr>
            <w:tcW w:w="1080" w:type="dxa"/>
            <w:tcBorders>
              <w:top w:val="nil"/>
              <w:left w:val="nil"/>
              <w:bottom w:val="single" w:sz="8" w:space="0" w:color="auto"/>
              <w:right w:val="single" w:sz="4" w:space="0" w:color="auto"/>
            </w:tcBorders>
          </w:tcPr>
          <w:p w:rsidR="00AC40FC" w:rsidRPr="0057589E" w:rsidRDefault="00AC40FC" w:rsidP="00A57D87">
            <w:pPr>
              <w:spacing w:after="0"/>
              <w:jc w:val="right"/>
              <w:rPr>
                <w:rFonts w:eastAsia="Calibri" w:cs="Arial"/>
                <w:szCs w:val="24"/>
              </w:rPr>
            </w:pPr>
            <w:r>
              <w:rPr>
                <w:rFonts w:eastAsia="Calibri" w:cs="Arial"/>
                <w:szCs w:val="24"/>
              </w:rPr>
              <w:t>.49%</w:t>
            </w:r>
          </w:p>
        </w:tc>
        <w:tc>
          <w:tcPr>
            <w:tcW w:w="1544" w:type="dxa"/>
            <w:tcBorders>
              <w:top w:val="nil"/>
              <w:left w:val="single" w:sz="4" w:space="0" w:color="auto"/>
              <w:bottom w:val="single" w:sz="8" w:space="0" w:color="auto"/>
              <w:right w:val="single" w:sz="8" w:space="0" w:color="auto"/>
            </w:tcBorders>
            <w:shd w:val="clear" w:color="auto" w:fill="auto"/>
            <w:noWrap/>
            <w:vAlign w:val="center"/>
          </w:tcPr>
          <w:p w:rsidR="00AC40FC" w:rsidRPr="0057589E" w:rsidRDefault="00AC40FC" w:rsidP="00A57D87">
            <w:pPr>
              <w:spacing w:after="0"/>
              <w:jc w:val="right"/>
              <w:rPr>
                <w:rFonts w:eastAsia="Calibri" w:cs="Arial"/>
                <w:szCs w:val="24"/>
              </w:rPr>
            </w:pPr>
            <w:r>
              <w:rPr>
                <w:rFonts w:eastAsia="Calibri" w:cs="Arial"/>
                <w:szCs w:val="24"/>
              </w:rPr>
              <w:t>16.33</w:t>
            </w:r>
            <w:r w:rsidRPr="0057589E">
              <w:rPr>
                <w:rFonts w:eastAsia="Calibri" w:cs="Arial"/>
                <w:szCs w:val="24"/>
              </w:rPr>
              <w:t>%</w:t>
            </w:r>
          </w:p>
        </w:tc>
      </w:tr>
      <w:tr w:rsidR="00AC40FC" w:rsidRPr="009E5D9D" w:rsidTr="00A57D87">
        <w:trPr>
          <w:trHeight w:val="250"/>
          <w:jc w:val="center"/>
        </w:trPr>
        <w:tc>
          <w:tcPr>
            <w:tcW w:w="3306" w:type="dxa"/>
            <w:tcBorders>
              <w:top w:val="nil"/>
              <w:left w:val="single" w:sz="8" w:space="0" w:color="auto"/>
              <w:bottom w:val="single" w:sz="8" w:space="0" w:color="auto"/>
              <w:right w:val="single" w:sz="8" w:space="0" w:color="auto"/>
            </w:tcBorders>
            <w:shd w:val="clear" w:color="auto" w:fill="auto"/>
            <w:vAlign w:val="center"/>
            <w:hideMark/>
          </w:tcPr>
          <w:p w:rsidR="00AC40FC" w:rsidRPr="0057589E" w:rsidRDefault="00AC40FC" w:rsidP="00A57D87">
            <w:pPr>
              <w:spacing w:after="0"/>
              <w:rPr>
                <w:rFonts w:cs="Arial"/>
                <w:szCs w:val="24"/>
              </w:rPr>
            </w:pPr>
            <w:r w:rsidRPr="0057589E">
              <w:rPr>
                <w:rFonts w:cs="Arial"/>
                <w:szCs w:val="24"/>
              </w:rPr>
              <w:t>Percent MWBE</w:t>
            </w:r>
          </w:p>
        </w:tc>
        <w:tc>
          <w:tcPr>
            <w:tcW w:w="1076" w:type="dxa"/>
            <w:tcBorders>
              <w:top w:val="nil"/>
              <w:left w:val="nil"/>
              <w:bottom w:val="single" w:sz="8" w:space="0" w:color="auto"/>
              <w:right w:val="single" w:sz="8" w:space="0" w:color="auto"/>
            </w:tcBorders>
            <w:shd w:val="clear" w:color="auto" w:fill="auto"/>
            <w:vAlign w:val="center"/>
            <w:hideMark/>
          </w:tcPr>
          <w:p w:rsidR="00AC40FC" w:rsidRPr="0057589E" w:rsidRDefault="00AC40FC" w:rsidP="00A57D87">
            <w:pPr>
              <w:spacing w:after="0"/>
              <w:jc w:val="right"/>
              <w:rPr>
                <w:rFonts w:cs="Arial"/>
                <w:szCs w:val="24"/>
              </w:rPr>
            </w:pPr>
            <w:r w:rsidRPr="0057589E">
              <w:rPr>
                <w:rFonts w:cs="Arial"/>
                <w:szCs w:val="24"/>
              </w:rPr>
              <w:t>20.79%</w:t>
            </w:r>
          </w:p>
        </w:tc>
        <w:tc>
          <w:tcPr>
            <w:tcW w:w="1080" w:type="dxa"/>
            <w:tcBorders>
              <w:top w:val="nil"/>
              <w:left w:val="nil"/>
              <w:bottom w:val="single" w:sz="8" w:space="0" w:color="auto"/>
              <w:right w:val="single" w:sz="8" w:space="0" w:color="auto"/>
            </w:tcBorders>
            <w:shd w:val="clear" w:color="auto" w:fill="auto"/>
            <w:vAlign w:val="center"/>
            <w:hideMark/>
          </w:tcPr>
          <w:p w:rsidR="00AC40FC" w:rsidRPr="0057589E" w:rsidRDefault="00AC40FC" w:rsidP="00A57D87">
            <w:pPr>
              <w:spacing w:after="0"/>
              <w:jc w:val="right"/>
              <w:rPr>
                <w:rFonts w:cs="Arial"/>
                <w:szCs w:val="24"/>
              </w:rPr>
            </w:pPr>
            <w:r w:rsidRPr="0057589E">
              <w:rPr>
                <w:rFonts w:cs="Arial"/>
                <w:szCs w:val="24"/>
              </w:rPr>
              <w:t>22.46%</w:t>
            </w:r>
          </w:p>
        </w:tc>
        <w:tc>
          <w:tcPr>
            <w:tcW w:w="1080" w:type="dxa"/>
            <w:tcBorders>
              <w:top w:val="nil"/>
              <w:left w:val="nil"/>
              <w:bottom w:val="single" w:sz="8" w:space="0" w:color="auto"/>
              <w:right w:val="single" w:sz="8" w:space="0" w:color="auto"/>
            </w:tcBorders>
            <w:shd w:val="clear" w:color="auto" w:fill="auto"/>
            <w:vAlign w:val="center"/>
            <w:hideMark/>
          </w:tcPr>
          <w:p w:rsidR="00AC40FC" w:rsidRPr="0057589E" w:rsidRDefault="00AC40FC" w:rsidP="00A57D87">
            <w:pPr>
              <w:spacing w:after="0"/>
              <w:jc w:val="right"/>
              <w:rPr>
                <w:rFonts w:cs="Arial"/>
                <w:szCs w:val="24"/>
              </w:rPr>
            </w:pPr>
            <w:r w:rsidRPr="0057589E">
              <w:rPr>
                <w:rFonts w:cs="Arial"/>
                <w:szCs w:val="24"/>
              </w:rPr>
              <w:t>19.61%</w:t>
            </w:r>
          </w:p>
        </w:tc>
        <w:tc>
          <w:tcPr>
            <w:tcW w:w="1080" w:type="dxa"/>
            <w:tcBorders>
              <w:top w:val="nil"/>
              <w:left w:val="nil"/>
              <w:bottom w:val="single" w:sz="8" w:space="0" w:color="auto"/>
              <w:right w:val="single" w:sz="8" w:space="0" w:color="auto"/>
            </w:tcBorders>
            <w:shd w:val="clear" w:color="auto" w:fill="auto"/>
            <w:vAlign w:val="center"/>
            <w:hideMark/>
          </w:tcPr>
          <w:p w:rsidR="00AC40FC" w:rsidRPr="0057589E" w:rsidRDefault="00AC40FC" w:rsidP="00A57D87">
            <w:pPr>
              <w:spacing w:after="0"/>
              <w:jc w:val="right"/>
              <w:rPr>
                <w:rFonts w:cs="Arial"/>
                <w:szCs w:val="24"/>
              </w:rPr>
            </w:pPr>
            <w:r w:rsidRPr="0057589E">
              <w:rPr>
                <w:rFonts w:cs="Arial"/>
                <w:szCs w:val="24"/>
              </w:rPr>
              <w:t>15.07%</w:t>
            </w:r>
          </w:p>
        </w:tc>
        <w:tc>
          <w:tcPr>
            <w:tcW w:w="1080" w:type="dxa"/>
            <w:tcBorders>
              <w:top w:val="nil"/>
              <w:left w:val="nil"/>
              <w:bottom w:val="single" w:sz="4" w:space="0" w:color="auto"/>
              <w:right w:val="single" w:sz="8" w:space="0" w:color="auto"/>
            </w:tcBorders>
            <w:shd w:val="clear" w:color="auto" w:fill="auto"/>
            <w:vAlign w:val="center"/>
            <w:hideMark/>
          </w:tcPr>
          <w:p w:rsidR="00AC40FC" w:rsidRPr="0057589E" w:rsidRDefault="00AC40FC" w:rsidP="00A57D87">
            <w:pPr>
              <w:spacing w:after="0"/>
              <w:jc w:val="right"/>
              <w:rPr>
                <w:rFonts w:cs="Arial"/>
                <w:szCs w:val="24"/>
              </w:rPr>
            </w:pPr>
            <w:r w:rsidRPr="0057589E">
              <w:rPr>
                <w:rFonts w:cs="Arial"/>
                <w:szCs w:val="24"/>
              </w:rPr>
              <w:t>2.32%</w:t>
            </w:r>
          </w:p>
        </w:tc>
        <w:tc>
          <w:tcPr>
            <w:tcW w:w="1080" w:type="dxa"/>
            <w:tcBorders>
              <w:top w:val="nil"/>
              <w:left w:val="nil"/>
              <w:bottom w:val="single" w:sz="4" w:space="0" w:color="auto"/>
              <w:right w:val="single" w:sz="4" w:space="0" w:color="auto"/>
            </w:tcBorders>
          </w:tcPr>
          <w:p w:rsidR="00AC40FC" w:rsidRPr="0057589E" w:rsidRDefault="00AC40FC" w:rsidP="00A57D87">
            <w:pPr>
              <w:spacing w:after="0"/>
              <w:jc w:val="right"/>
              <w:rPr>
                <w:rFonts w:eastAsia="Calibri" w:cs="Arial"/>
                <w:szCs w:val="24"/>
              </w:rPr>
            </w:pPr>
            <w:r>
              <w:rPr>
                <w:rFonts w:eastAsia="Calibri" w:cs="Arial"/>
                <w:szCs w:val="24"/>
              </w:rPr>
              <w:t>.49%</w:t>
            </w:r>
          </w:p>
        </w:tc>
        <w:tc>
          <w:tcPr>
            <w:tcW w:w="1544" w:type="dxa"/>
            <w:tcBorders>
              <w:top w:val="nil"/>
              <w:left w:val="single" w:sz="4" w:space="0" w:color="auto"/>
              <w:bottom w:val="single" w:sz="4" w:space="0" w:color="auto"/>
              <w:right w:val="single" w:sz="8" w:space="0" w:color="auto"/>
            </w:tcBorders>
            <w:shd w:val="clear" w:color="auto" w:fill="auto"/>
            <w:noWrap/>
            <w:vAlign w:val="center"/>
          </w:tcPr>
          <w:p w:rsidR="00AC40FC" w:rsidRPr="0057589E" w:rsidRDefault="00AC40FC" w:rsidP="00A57D87">
            <w:pPr>
              <w:spacing w:after="0"/>
              <w:jc w:val="right"/>
              <w:rPr>
                <w:rFonts w:eastAsia="Calibri" w:cs="Arial"/>
                <w:szCs w:val="24"/>
              </w:rPr>
            </w:pPr>
            <w:r w:rsidRPr="0057589E">
              <w:rPr>
                <w:rFonts w:eastAsia="Calibri" w:cs="Arial"/>
                <w:szCs w:val="24"/>
              </w:rPr>
              <w:t>-</w:t>
            </w:r>
            <w:r>
              <w:rPr>
                <w:rFonts w:eastAsia="Calibri" w:cs="Arial"/>
                <w:szCs w:val="24"/>
              </w:rPr>
              <w:t>52.74</w:t>
            </w:r>
            <w:r w:rsidRPr="0057589E">
              <w:rPr>
                <w:rFonts w:eastAsia="Calibri" w:cs="Arial"/>
                <w:szCs w:val="24"/>
              </w:rPr>
              <w:t>%</w:t>
            </w:r>
          </w:p>
        </w:tc>
      </w:tr>
      <w:tr w:rsidR="00AC40FC" w:rsidRPr="009E5D9D" w:rsidTr="00A57D87">
        <w:trPr>
          <w:trHeight w:val="583"/>
          <w:jc w:val="center"/>
        </w:trPr>
        <w:tc>
          <w:tcPr>
            <w:tcW w:w="3306" w:type="dxa"/>
            <w:tcBorders>
              <w:top w:val="nil"/>
              <w:left w:val="single" w:sz="8" w:space="0" w:color="auto"/>
              <w:bottom w:val="single" w:sz="8" w:space="0" w:color="auto"/>
              <w:right w:val="single" w:sz="8" w:space="0" w:color="auto"/>
            </w:tcBorders>
            <w:shd w:val="clear" w:color="000000" w:fill="A5CD7E"/>
            <w:vAlign w:val="center"/>
            <w:hideMark/>
          </w:tcPr>
          <w:p w:rsidR="00AC40FC" w:rsidRPr="0057589E" w:rsidRDefault="00AC40FC" w:rsidP="00D6083E">
            <w:pPr>
              <w:spacing w:before="120"/>
              <w:jc w:val="center"/>
              <w:rPr>
                <w:rFonts w:cs="Arial"/>
                <w:b/>
                <w:bCs/>
                <w:szCs w:val="24"/>
              </w:rPr>
            </w:pPr>
            <w:r w:rsidRPr="0057589E">
              <w:rPr>
                <w:rFonts w:cs="Arial"/>
                <w:b/>
                <w:bCs/>
                <w:szCs w:val="24"/>
              </w:rPr>
              <w:t>Established Goal</w:t>
            </w:r>
            <w:r w:rsidRPr="0057589E">
              <w:rPr>
                <w:rFonts w:cs="Arial"/>
                <w:b/>
                <w:bCs/>
                <w:szCs w:val="24"/>
              </w:rPr>
              <w:br/>
              <w:t>Diverse Percent Spend</w:t>
            </w:r>
          </w:p>
        </w:tc>
        <w:tc>
          <w:tcPr>
            <w:tcW w:w="1076" w:type="dxa"/>
            <w:tcBorders>
              <w:top w:val="nil"/>
              <w:left w:val="nil"/>
              <w:bottom w:val="single" w:sz="8" w:space="0" w:color="auto"/>
              <w:right w:val="single" w:sz="8" w:space="0" w:color="auto"/>
            </w:tcBorders>
            <w:shd w:val="clear" w:color="000000" w:fill="A5CD7E"/>
            <w:vAlign w:val="center"/>
            <w:hideMark/>
          </w:tcPr>
          <w:p w:rsidR="00AC40FC" w:rsidRPr="0057589E" w:rsidRDefault="00AC40FC" w:rsidP="00D6083E">
            <w:pPr>
              <w:spacing w:before="120"/>
              <w:jc w:val="center"/>
              <w:rPr>
                <w:rFonts w:cs="Arial"/>
                <w:b/>
                <w:bCs/>
                <w:szCs w:val="24"/>
              </w:rPr>
            </w:pPr>
            <w:r w:rsidRPr="0057589E">
              <w:rPr>
                <w:rFonts w:cs="Arial"/>
                <w:b/>
                <w:bCs/>
                <w:szCs w:val="24"/>
              </w:rPr>
              <w:t>2010</w:t>
            </w:r>
          </w:p>
        </w:tc>
        <w:tc>
          <w:tcPr>
            <w:tcW w:w="1080" w:type="dxa"/>
            <w:tcBorders>
              <w:top w:val="nil"/>
              <w:left w:val="nil"/>
              <w:bottom w:val="single" w:sz="8" w:space="0" w:color="auto"/>
              <w:right w:val="single" w:sz="8" w:space="0" w:color="auto"/>
            </w:tcBorders>
            <w:shd w:val="clear" w:color="000000" w:fill="A5CD7E"/>
            <w:vAlign w:val="center"/>
            <w:hideMark/>
          </w:tcPr>
          <w:p w:rsidR="00AC40FC" w:rsidRPr="0057589E" w:rsidRDefault="00AC40FC" w:rsidP="00D6083E">
            <w:pPr>
              <w:spacing w:before="120"/>
              <w:jc w:val="center"/>
              <w:rPr>
                <w:rFonts w:cs="Arial"/>
                <w:b/>
                <w:bCs/>
                <w:szCs w:val="24"/>
              </w:rPr>
            </w:pPr>
            <w:r w:rsidRPr="0057589E">
              <w:rPr>
                <w:rFonts w:cs="Arial"/>
                <w:b/>
                <w:bCs/>
                <w:szCs w:val="24"/>
              </w:rPr>
              <w:t>2011</w:t>
            </w:r>
          </w:p>
        </w:tc>
        <w:tc>
          <w:tcPr>
            <w:tcW w:w="1080" w:type="dxa"/>
            <w:tcBorders>
              <w:top w:val="nil"/>
              <w:left w:val="nil"/>
              <w:bottom w:val="single" w:sz="8" w:space="0" w:color="auto"/>
              <w:right w:val="single" w:sz="8" w:space="0" w:color="auto"/>
            </w:tcBorders>
            <w:shd w:val="clear" w:color="000000" w:fill="A5CD7E"/>
            <w:vAlign w:val="center"/>
            <w:hideMark/>
          </w:tcPr>
          <w:p w:rsidR="00AC40FC" w:rsidRPr="0057589E" w:rsidRDefault="00AC40FC" w:rsidP="00D6083E">
            <w:pPr>
              <w:spacing w:before="120"/>
              <w:jc w:val="center"/>
              <w:rPr>
                <w:rFonts w:cs="Arial"/>
                <w:b/>
                <w:bCs/>
                <w:szCs w:val="24"/>
              </w:rPr>
            </w:pPr>
            <w:r w:rsidRPr="0057589E">
              <w:rPr>
                <w:rFonts w:cs="Arial"/>
                <w:b/>
                <w:bCs/>
                <w:szCs w:val="24"/>
              </w:rPr>
              <w:t>2012</w:t>
            </w:r>
          </w:p>
        </w:tc>
        <w:tc>
          <w:tcPr>
            <w:tcW w:w="1080" w:type="dxa"/>
            <w:tcBorders>
              <w:top w:val="nil"/>
              <w:left w:val="nil"/>
              <w:bottom w:val="single" w:sz="8" w:space="0" w:color="auto"/>
              <w:right w:val="single" w:sz="4" w:space="0" w:color="auto"/>
            </w:tcBorders>
            <w:shd w:val="clear" w:color="000000" w:fill="A5CD7E"/>
            <w:vAlign w:val="center"/>
            <w:hideMark/>
          </w:tcPr>
          <w:p w:rsidR="00AC40FC" w:rsidRPr="0057589E" w:rsidRDefault="00AC40FC" w:rsidP="00D6083E">
            <w:pPr>
              <w:spacing w:before="120"/>
              <w:jc w:val="center"/>
              <w:rPr>
                <w:rFonts w:cs="Arial"/>
                <w:b/>
                <w:bCs/>
                <w:szCs w:val="24"/>
              </w:rPr>
            </w:pPr>
            <w:r w:rsidRPr="0057589E">
              <w:rPr>
                <w:rFonts w:cs="Arial"/>
                <w:b/>
                <w:bCs/>
                <w:szCs w:val="24"/>
              </w:rPr>
              <w:t>2013</w:t>
            </w:r>
          </w:p>
        </w:tc>
        <w:tc>
          <w:tcPr>
            <w:tcW w:w="1080" w:type="dxa"/>
            <w:tcBorders>
              <w:top w:val="single" w:sz="4" w:space="0" w:color="auto"/>
              <w:left w:val="single" w:sz="4" w:space="0" w:color="auto"/>
              <w:bottom w:val="single" w:sz="4" w:space="0" w:color="auto"/>
              <w:right w:val="single" w:sz="4" w:space="0" w:color="auto"/>
            </w:tcBorders>
            <w:shd w:val="clear" w:color="000000" w:fill="A5CD7E"/>
            <w:vAlign w:val="center"/>
            <w:hideMark/>
          </w:tcPr>
          <w:p w:rsidR="00AC40FC" w:rsidRPr="0057589E" w:rsidRDefault="00AC40FC" w:rsidP="00D6083E">
            <w:pPr>
              <w:spacing w:before="120"/>
              <w:jc w:val="center"/>
              <w:rPr>
                <w:rFonts w:cs="Arial"/>
                <w:b/>
                <w:bCs/>
                <w:szCs w:val="24"/>
              </w:rPr>
            </w:pPr>
            <w:r w:rsidRPr="0057589E">
              <w:rPr>
                <w:rFonts w:cs="Arial"/>
                <w:b/>
                <w:bCs/>
                <w:szCs w:val="24"/>
              </w:rPr>
              <w:t>2014</w:t>
            </w:r>
          </w:p>
        </w:tc>
        <w:tc>
          <w:tcPr>
            <w:tcW w:w="1080" w:type="dxa"/>
            <w:tcBorders>
              <w:top w:val="single" w:sz="4" w:space="0" w:color="auto"/>
              <w:left w:val="single" w:sz="4" w:space="0" w:color="auto"/>
              <w:bottom w:val="single" w:sz="4" w:space="0" w:color="auto"/>
              <w:right w:val="single" w:sz="4" w:space="0" w:color="auto"/>
            </w:tcBorders>
            <w:shd w:val="clear" w:color="auto" w:fill="A5CD7E"/>
            <w:vAlign w:val="center"/>
          </w:tcPr>
          <w:p w:rsidR="00AC40FC" w:rsidRPr="0057589E" w:rsidRDefault="00AC40FC" w:rsidP="00D6083E">
            <w:pPr>
              <w:spacing w:before="120"/>
              <w:jc w:val="center"/>
              <w:rPr>
                <w:rFonts w:cs="Arial"/>
                <w:b/>
                <w:bCs/>
                <w:szCs w:val="24"/>
              </w:rPr>
            </w:pPr>
            <w:r>
              <w:rPr>
                <w:rFonts w:cs="Arial"/>
                <w:b/>
                <w:bCs/>
                <w:szCs w:val="24"/>
              </w:rPr>
              <w:t>2015</w:t>
            </w:r>
          </w:p>
        </w:tc>
        <w:tc>
          <w:tcPr>
            <w:tcW w:w="1544" w:type="dxa"/>
            <w:tcBorders>
              <w:top w:val="single" w:sz="4" w:space="0" w:color="auto"/>
              <w:left w:val="single" w:sz="4" w:space="0" w:color="auto"/>
              <w:bottom w:val="single" w:sz="4" w:space="0" w:color="auto"/>
              <w:right w:val="single" w:sz="4" w:space="0" w:color="auto"/>
            </w:tcBorders>
            <w:shd w:val="clear" w:color="auto" w:fill="000000"/>
            <w:noWrap/>
            <w:vAlign w:val="center"/>
            <w:hideMark/>
          </w:tcPr>
          <w:p w:rsidR="00AC40FC" w:rsidRPr="0057589E" w:rsidRDefault="00AC40FC" w:rsidP="00D6083E">
            <w:pPr>
              <w:spacing w:before="120"/>
              <w:jc w:val="center"/>
              <w:rPr>
                <w:rFonts w:cs="Arial"/>
                <w:b/>
                <w:bCs/>
                <w:szCs w:val="24"/>
              </w:rPr>
            </w:pPr>
          </w:p>
        </w:tc>
      </w:tr>
      <w:tr w:rsidR="00AC40FC" w:rsidRPr="009E5D9D" w:rsidTr="00A57D87">
        <w:trPr>
          <w:trHeight w:val="223"/>
          <w:jc w:val="center"/>
        </w:trPr>
        <w:tc>
          <w:tcPr>
            <w:tcW w:w="3306" w:type="dxa"/>
            <w:tcBorders>
              <w:top w:val="nil"/>
              <w:left w:val="single" w:sz="8" w:space="0" w:color="auto"/>
              <w:bottom w:val="single" w:sz="8" w:space="0" w:color="auto"/>
              <w:right w:val="single" w:sz="8" w:space="0" w:color="auto"/>
            </w:tcBorders>
            <w:shd w:val="clear" w:color="auto" w:fill="auto"/>
            <w:vAlign w:val="center"/>
            <w:hideMark/>
          </w:tcPr>
          <w:p w:rsidR="00AC40FC" w:rsidRPr="0057589E" w:rsidRDefault="00AC40FC" w:rsidP="00A57D87">
            <w:pPr>
              <w:spacing w:after="0"/>
              <w:rPr>
                <w:rFonts w:cs="Arial"/>
                <w:szCs w:val="24"/>
              </w:rPr>
            </w:pPr>
            <w:r w:rsidRPr="0057589E">
              <w:rPr>
                <w:rFonts w:cs="Arial"/>
                <w:szCs w:val="24"/>
              </w:rPr>
              <w:t>Percent Woman</w:t>
            </w:r>
          </w:p>
        </w:tc>
        <w:tc>
          <w:tcPr>
            <w:tcW w:w="1076" w:type="dxa"/>
            <w:tcBorders>
              <w:top w:val="nil"/>
              <w:left w:val="nil"/>
              <w:bottom w:val="single" w:sz="8" w:space="0" w:color="auto"/>
              <w:right w:val="single" w:sz="8" w:space="0" w:color="auto"/>
            </w:tcBorders>
            <w:shd w:val="clear" w:color="auto" w:fill="auto"/>
            <w:vAlign w:val="center"/>
            <w:hideMark/>
          </w:tcPr>
          <w:p w:rsidR="00AC40FC" w:rsidRPr="0057589E" w:rsidRDefault="00AC40FC" w:rsidP="00A57D87">
            <w:pPr>
              <w:spacing w:after="0"/>
              <w:jc w:val="right"/>
              <w:rPr>
                <w:rFonts w:cs="Arial"/>
                <w:szCs w:val="24"/>
              </w:rPr>
            </w:pPr>
            <w:r w:rsidRPr="0057589E">
              <w:rPr>
                <w:rFonts w:cs="Arial"/>
                <w:szCs w:val="24"/>
              </w:rPr>
              <w:t>3.00%</w:t>
            </w:r>
          </w:p>
        </w:tc>
        <w:tc>
          <w:tcPr>
            <w:tcW w:w="1080" w:type="dxa"/>
            <w:tcBorders>
              <w:top w:val="nil"/>
              <w:left w:val="nil"/>
              <w:bottom w:val="single" w:sz="8" w:space="0" w:color="auto"/>
              <w:right w:val="single" w:sz="8" w:space="0" w:color="auto"/>
            </w:tcBorders>
            <w:shd w:val="clear" w:color="auto" w:fill="auto"/>
            <w:vAlign w:val="center"/>
            <w:hideMark/>
          </w:tcPr>
          <w:p w:rsidR="00AC40FC" w:rsidRPr="0057589E" w:rsidRDefault="00AC40FC" w:rsidP="00A57D87">
            <w:pPr>
              <w:spacing w:after="0"/>
              <w:jc w:val="right"/>
              <w:rPr>
                <w:rFonts w:cs="Arial"/>
                <w:szCs w:val="24"/>
              </w:rPr>
            </w:pPr>
            <w:r w:rsidRPr="0057589E">
              <w:rPr>
                <w:rFonts w:cs="Arial"/>
                <w:szCs w:val="24"/>
              </w:rPr>
              <w:t>3.00%</w:t>
            </w:r>
          </w:p>
        </w:tc>
        <w:tc>
          <w:tcPr>
            <w:tcW w:w="1080" w:type="dxa"/>
            <w:tcBorders>
              <w:top w:val="nil"/>
              <w:left w:val="nil"/>
              <w:bottom w:val="single" w:sz="8" w:space="0" w:color="auto"/>
              <w:right w:val="single" w:sz="8" w:space="0" w:color="auto"/>
            </w:tcBorders>
            <w:shd w:val="clear" w:color="auto" w:fill="auto"/>
            <w:vAlign w:val="center"/>
            <w:hideMark/>
          </w:tcPr>
          <w:p w:rsidR="00AC40FC" w:rsidRPr="0057589E" w:rsidRDefault="00AC40FC" w:rsidP="00A57D87">
            <w:pPr>
              <w:spacing w:after="0"/>
              <w:jc w:val="right"/>
              <w:rPr>
                <w:rFonts w:cs="Arial"/>
                <w:szCs w:val="24"/>
              </w:rPr>
            </w:pPr>
            <w:r w:rsidRPr="0057589E">
              <w:rPr>
                <w:rFonts w:cs="Arial"/>
                <w:szCs w:val="24"/>
              </w:rPr>
              <w:t>3.00%</w:t>
            </w:r>
          </w:p>
        </w:tc>
        <w:tc>
          <w:tcPr>
            <w:tcW w:w="1080" w:type="dxa"/>
            <w:tcBorders>
              <w:top w:val="nil"/>
              <w:left w:val="nil"/>
              <w:bottom w:val="single" w:sz="8" w:space="0" w:color="auto"/>
              <w:right w:val="single" w:sz="4" w:space="0" w:color="auto"/>
            </w:tcBorders>
            <w:shd w:val="clear" w:color="auto" w:fill="auto"/>
            <w:vAlign w:val="center"/>
            <w:hideMark/>
          </w:tcPr>
          <w:p w:rsidR="00AC40FC" w:rsidRPr="0057589E" w:rsidRDefault="00AC40FC" w:rsidP="00A57D87">
            <w:pPr>
              <w:spacing w:after="0"/>
              <w:jc w:val="right"/>
              <w:rPr>
                <w:rFonts w:cs="Arial"/>
                <w:szCs w:val="24"/>
              </w:rPr>
            </w:pPr>
            <w:r w:rsidRPr="0057589E">
              <w:rPr>
                <w:rFonts w:cs="Arial"/>
                <w:szCs w:val="24"/>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40FC" w:rsidRPr="0057589E" w:rsidRDefault="00AC40FC" w:rsidP="00A57D87">
            <w:pPr>
              <w:spacing w:after="0"/>
              <w:jc w:val="right"/>
              <w:rPr>
                <w:rFonts w:cs="Arial"/>
                <w:szCs w:val="24"/>
              </w:rPr>
            </w:pPr>
            <w:r w:rsidRPr="0057589E">
              <w:rPr>
                <w:rFonts w:cs="Arial"/>
                <w:szCs w:val="24"/>
              </w:rPr>
              <w:t>3.00%</w:t>
            </w:r>
          </w:p>
        </w:tc>
        <w:tc>
          <w:tcPr>
            <w:tcW w:w="1080" w:type="dxa"/>
            <w:tcBorders>
              <w:top w:val="single" w:sz="4" w:space="0" w:color="auto"/>
              <w:left w:val="single" w:sz="4" w:space="0" w:color="auto"/>
              <w:bottom w:val="single" w:sz="4" w:space="0" w:color="auto"/>
              <w:right w:val="single" w:sz="4" w:space="0" w:color="auto"/>
            </w:tcBorders>
            <w:vAlign w:val="center"/>
          </w:tcPr>
          <w:p w:rsidR="00AC40FC" w:rsidRPr="0057589E" w:rsidRDefault="00AC40FC" w:rsidP="00A57D87">
            <w:pPr>
              <w:spacing w:after="0"/>
              <w:jc w:val="right"/>
              <w:rPr>
                <w:rFonts w:cs="Arial"/>
                <w:szCs w:val="24"/>
              </w:rPr>
            </w:pPr>
            <w:r>
              <w:rPr>
                <w:rFonts w:cs="Arial"/>
                <w:szCs w:val="24"/>
              </w:rPr>
              <w:t>3.00%</w:t>
            </w:r>
          </w:p>
        </w:tc>
        <w:tc>
          <w:tcPr>
            <w:tcW w:w="1544" w:type="dxa"/>
            <w:tcBorders>
              <w:top w:val="single" w:sz="4" w:space="0" w:color="auto"/>
              <w:left w:val="single" w:sz="4" w:space="0" w:color="auto"/>
              <w:bottom w:val="single" w:sz="4" w:space="0" w:color="auto"/>
              <w:right w:val="single" w:sz="4" w:space="0" w:color="auto"/>
            </w:tcBorders>
            <w:shd w:val="clear" w:color="auto" w:fill="000000"/>
            <w:noWrap/>
            <w:vAlign w:val="bottom"/>
            <w:hideMark/>
          </w:tcPr>
          <w:p w:rsidR="00AC40FC" w:rsidRPr="0057589E" w:rsidRDefault="00AC40FC" w:rsidP="00A57D87">
            <w:pPr>
              <w:spacing w:after="0"/>
              <w:jc w:val="left"/>
              <w:rPr>
                <w:rFonts w:cs="Arial"/>
                <w:szCs w:val="24"/>
              </w:rPr>
            </w:pPr>
            <w:r w:rsidRPr="0057589E">
              <w:rPr>
                <w:rFonts w:cs="Arial"/>
                <w:szCs w:val="24"/>
              </w:rPr>
              <w:t> </w:t>
            </w:r>
          </w:p>
        </w:tc>
      </w:tr>
      <w:tr w:rsidR="00AC40FC" w:rsidRPr="009E5D9D" w:rsidTr="00A57D87">
        <w:trPr>
          <w:trHeight w:val="205"/>
          <w:jc w:val="center"/>
        </w:trPr>
        <w:tc>
          <w:tcPr>
            <w:tcW w:w="3306" w:type="dxa"/>
            <w:tcBorders>
              <w:top w:val="nil"/>
              <w:left w:val="single" w:sz="8" w:space="0" w:color="auto"/>
              <w:bottom w:val="single" w:sz="8" w:space="0" w:color="auto"/>
              <w:right w:val="single" w:sz="8" w:space="0" w:color="auto"/>
            </w:tcBorders>
            <w:shd w:val="clear" w:color="auto" w:fill="auto"/>
            <w:vAlign w:val="center"/>
            <w:hideMark/>
          </w:tcPr>
          <w:p w:rsidR="00AC40FC" w:rsidRPr="0057589E" w:rsidRDefault="00AC40FC" w:rsidP="00A57D87">
            <w:pPr>
              <w:spacing w:after="0"/>
              <w:rPr>
                <w:rFonts w:cs="Arial"/>
                <w:szCs w:val="24"/>
              </w:rPr>
            </w:pPr>
            <w:r w:rsidRPr="0057589E">
              <w:rPr>
                <w:rFonts w:cs="Arial"/>
                <w:szCs w:val="24"/>
              </w:rPr>
              <w:t>Percent Minority</w:t>
            </w:r>
            <w:r>
              <w:rPr>
                <w:rFonts w:cs="Arial"/>
                <w:szCs w:val="24"/>
              </w:rPr>
              <w:t xml:space="preserve"> </w:t>
            </w:r>
            <w:r w:rsidRPr="0057589E">
              <w:rPr>
                <w:rFonts w:cs="Arial"/>
                <w:szCs w:val="24"/>
              </w:rPr>
              <w:t>Owned</w:t>
            </w:r>
          </w:p>
        </w:tc>
        <w:tc>
          <w:tcPr>
            <w:tcW w:w="1076" w:type="dxa"/>
            <w:tcBorders>
              <w:top w:val="nil"/>
              <w:left w:val="nil"/>
              <w:bottom w:val="single" w:sz="8" w:space="0" w:color="auto"/>
              <w:right w:val="single" w:sz="8" w:space="0" w:color="auto"/>
            </w:tcBorders>
            <w:shd w:val="clear" w:color="auto" w:fill="auto"/>
            <w:vAlign w:val="center"/>
            <w:hideMark/>
          </w:tcPr>
          <w:p w:rsidR="00AC40FC" w:rsidRPr="0057589E" w:rsidRDefault="00AC40FC" w:rsidP="00A57D87">
            <w:pPr>
              <w:spacing w:after="0"/>
              <w:jc w:val="right"/>
              <w:rPr>
                <w:rFonts w:cs="Arial"/>
                <w:szCs w:val="24"/>
              </w:rPr>
            </w:pPr>
            <w:r w:rsidRPr="0057589E">
              <w:rPr>
                <w:rFonts w:cs="Arial"/>
                <w:szCs w:val="24"/>
              </w:rPr>
              <w:t>NA</w:t>
            </w:r>
          </w:p>
        </w:tc>
        <w:tc>
          <w:tcPr>
            <w:tcW w:w="1080" w:type="dxa"/>
            <w:tcBorders>
              <w:top w:val="nil"/>
              <w:left w:val="nil"/>
              <w:bottom w:val="single" w:sz="8" w:space="0" w:color="auto"/>
              <w:right w:val="single" w:sz="8" w:space="0" w:color="auto"/>
            </w:tcBorders>
            <w:shd w:val="clear" w:color="auto" w:fill="auto"/>
            <w:vAlign w:val="center"/>
            <w:hideMark/>
          </w:tcPr>
          <w:p w:rsidR="00AC40FC" w:rsidRPr="0057589E" w:rsidRDefault="00AC40FC" w:rsidP="00A57D87">
            <w:pPr>
              <w:spacing w:after="0"/>
              <w:jc w:val="right"/>
              <w:rPr>
                <w:rFonts w:cs="Arial"/>
                <w:szCs w:val="24"/>
              </w:rPr>
            </w:pPr>
            <w:r w:rsidRPr="0057589E">
              <w:rPr>
                <w:rFonts w:cs="Arial"/>
                <w:szCs w:val="24"/>
              </w:rPr>
              <w:t>NA</w:t>
            </w:r>
          </w:p>
        </w:tc>
        <w:tc>
          <w:tcPr>
            <w:tcW w:w="1080" w:type="dxa"/>
            <w:tcBorders>
              <w:top w:val="nil"/>
              <w:left w:val="nil"/>
              <w:bottom w:val="single" w:sz="8" w:space="0" w:color="auto"/>
              <w:right w:val="single" w:sz="8" w:space="0" w:color="auto"/>
            </w:tcBorders>
            <w:shd w:val="clear" w:color="auto" w:fill="auto"/>
            <w:vAlign w:val="center"/>
            <w:hideMark/>
          </w:tcPr>
          <w:p w:rsidR="00AC40FC" w:rsidRPr="0057589E" w:rsidRDefault="00AC40FC" w:rsidP="00A57D87">
            <w:pPr>
              <w:spacing w:after="0"/>
              <w:jc w:val="right"/>
              <w:rPr>
                <w:rFonts w:cs="Arial"/>
                <w:szCs w:val="24"/>
              </w:rPr>
            </w:pPr>
            <w:r w:rsidRPr="0057589E">
              <w:rPr>
                <w:rFonts w:cs="Arial"/>
                <w:szCs w:val="24"/>
              </w:rPr>
              <w:t>NA</w:t>
            </w:r>
          </w:p>
        </w:tc>
        <w:tc>
          <w:tcPr>
            <w:tcW w:w="1080" w:type="dxa"/>
            <w:tcBorders>
              <w:top w:val="nil"/>
              <w:left w:val="nil"/>
              <w:bottom w:val="single" w:sz="8" w:space="0" w:color="auto"/>
              <w:right w:val="single" w:sz="4" w:space="0" w:color="auto"/>
            </w:tcBorders>
            <w:shd w:val="clear" w:color="auto" w:fill="auto"/>
            <w:vAlign w:val="center"/>
            <w:hideMark/>
          </w:tcPr>
          <w:p w:rsidR="00AC40FC" w:rsidRPr="0057589E" w:rsidRDefault="00AC40FC" w:rsidP="00A57D87">
            <w:pPr>
              <w:spacing w:after="0"/>
              <w:jc w:val="right"/>
              <w:rPr>
                <w:rFonts w:cs="Arial"/>
                <w:szCs w:val="24"/>
              </w:rPr>
            </w:pPr>
            <w:r w:rsidRPr="0057589E">
              <w:rPr>
                <w:rFonts w:cs="Arial"/>
                <w:szCs w:val="24"/>
              </w:rPr>
              <w:t>NA</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40FC" w:rsidRPr="0057589E" w:rsidRDefault="00AC40FC" w:rsidP="00A57D87">
            <w:pPr>
              <w:spacing w:after="0"/>
              <w:jc w:val="right"/>
              <w:rPr>
                <w:rFonts w:cs="Arial"/>
                <w:szCs w:val="24"/>
              </w:rPr>
            </w:pPr>
            <w:r w:rsidRPr="0057589E">
              <w:rPr>
                <w:rFonts w:cs="Arial"/>
                <w:szCs w:val="24"/>
              </w:rPr>
              <w:t>NA</w:t>
            </w:r>
          </w:p>
        </w:tc>
        <w:tc>
          <w:tcPr>
            <w:tcW w:w="1080" w:type="dxa"/>
            <w:tcBorders>
              <w:top w:val="single" w:sz="4" w:space="0" w:color="auto"/>
              <w:left w:val="single" w:sz="4" w:space="0" w:color="auto"/>
              <w:bottom w:val="single" w:sz="4" w:space="0" w:color="auto"/>
              <w:right w:val="single" w:sz="4" w:space="0" w:color="auto"/>
            </w:tcBorders>
            <w:vAlign w:val="center"/>
          </w:tcPr>
          <w:p w:rsidR="00AC40FC" w:rsidRPr="0057589E" w:rsidRDefault="00AC40FC" w:rsidP="00A57D87">
            <w:pPr>
              <w:spacing w:after="0"/>
              <w:jc w:val="right"/>
              <w:rPr>
                <w:rFonts w:cs="Arial"/>
                <w:szCs w:val="24"/>
              </w:rPr>
            </w:pPr>
            <w:r>
              <w:rPr>
                <w:rFonts w:cs="Arial"/>
                <w:szCs w:val="24"/>
              </w:rPr>
              <w:t>N/A</w:t>
            </w:r>
          </w:p>
        </w:tc>
        <w:tc>
          <w:tcPr>
            <w:tcW w:w="1544" w:type="dxa"/>
            <w:tcBorders>
              <w:top w:val="single" w:sz="4" w:space="0" w:color="auto"/>
              <w:left w:val="single" w:sz="4" w:space="0" w:color="auto"/>
              <w:bottom w:val="single" w:sz="4" w:space="0" w:color="auto"/>
              <w:right w:val="single" w:sz="4" w:space="0" w:color="auto"/>
            </w:tcBorders>
            <w:shd w:val="clear" w:color="auto" w:fill="000000"/>
            <w:noWrap/>
            <w:vAlign w:val="bottom"/>
            <w:hideMark/>
          </w:tcPr>
          <w:p w:rsidR="00AC40FC" w:rsidRPr="0057589E" w:rsidRDefault="00AC40FC" w:rsidP="00A57D87">
            <w:pPr>
              <w:spacing w:after="0"/>
              <w:jc w:val="left"/>
              <w:rPr>
                <w:rFonts w:cs="Arial"/>
                <w:szCs w:val="24"/>
              </w:rPr>
            </w:pPr>
            <w:r w:rsidRPr="0057589E">
              <w:rPr>
                <w:rFonts w:cs="Arial"/>
                <w:szCs w:val="24"/>
              </w:rPr>
              <w:t> </w:t>
            </w:r>
          </w:p>
        </w:tc>
      </w:tr>
      <w:tr w:rsidR="00AC40FC" w:rsidRPr="009E5D9D" w:rsidTr="00A57D87">
        <w:trPr>
          <w:trHeight w:val="232"/>
          <w:jc w:val="center"/>
        </w:trPr>
        <w:tc>
          <w:tcPr>
            <w:tcW w:w="3306" w:type="dxa"/>
            <w:tcBorders>
              <w:top w:val="nil"/>
              <w:left w:val="single" w:sz="8" w:space="0" w:color="auto"/>
              <w:bottom w:val="single" w:sz="8" w:space="0" w:color="auto"/>
              <w:right w:val="single" w:sz="8" w:space="0" w:color="auto"/>
            </w:tcBorders>
            <w:shd w:val="clear" w:color="auto" w:fill="auto"/>
            <w:vAlign w:val="center"/>
            <w:hideMark/>
          </w:tcPr>
          <w:p w:rsidR="00AC40FC" w:rsidRPr="0057589E" w:rsidRDefault="00AC40FC" w:rsidP="00A57D87">
            <w:pPr>
              <w:spacing w:after="0"/>
              <w:rPr>
                <w:rFonts w:cs="Arial"/>
                <w:szCs w:val="24"/>
              </w:rPr>
            </w:pPr>
            <w:r w:rsidRPr="0057589E">
              <w:rPr>
                <w:rFonts w:cs="Arial"/>
                <w:szCs w:val="24"/>
              </w:rPr>
              <w:t>Percent MWBE</w:t>
            </w:r>
          </w:p>
        </w:tc>
        <w:tc>
          <w:tcPr>
            <w:tcW w:w="1076" w:type="dxa"/>
            <w:tcBorders>
              <w:top w:val="nil"/>
              <w:left w:val="nil"/>
              <w:bottom w:val="single" w:sz="8" w:space="0" w:color="auto"/>
              <w:right w:val="single" w:sz="8" w:space="0" w:color="auto"/>
            </w:tcBorders>
            <w:shd w:val="clear" w:color="auto" w:fill="auto"/>
            <w:vAlign w:val="center"/>
            <w:hideMark/>
          </w:tcPr>
          <w:p w:rsidR="00AC40FC" w:rsidRPr="0057589E" w:rsidRDefault="00AC40FC" w:rsidP="00A57D87">
            <w:pPr>
              <w:spacing w:after="0"/>
              <w:jc w:val="right"/>
              <w:rPr>
                <w:rFonts w:cs="Arial"/>
                <w:szCs w:val="24"/>
              </w:rPr>
            </w:pPr>
            <w:r w:rsidRPr="0057589E">
              <w:rPr>
                <w:rFonts w:cs="Arial"/>
                <w:szCs w:val="24"/>
              </w:rPr>
              <w:t>NA</w:t>
            </w:r>
          </w:p>
        </w:tc>
        <w:tc>
          <w:tcPr>
            <w:tcW w:w="1080" w:type="dxa"/>
            <w:tcBorders>
              <w:top w:val="nil"/>
              <w:left w:val="nil"/>
              <w:bottom w:val="single" w:sz="8" w:space="0" w:color="auto"/>
              <w:right w:val="single" w:sz="8" w:space="0" w:color="auto"/>
            </w:tcBorders>
            <w:shd w:val="clear" w:color="auto" w:fill="auto"/>
            <w:vAlign w:val="center"/>
            <w:hideMark/>
          </w:tcPr>
          <w:p w:rsidR="00AC40FC" w:rsidRPr="0057589E" w:rsidRDefault="00AC40FC" w:rsidP="00A57D87">
            <w:pPr>
              <w:spacing w:after="0"/>
              <w:jc w:val="right"/>
              <w:rPr>
                <w:rFonts w:cs="Arial"/>
                <w:szCs w:val="24"/>
              </w:rPr>
            </w:pPr>
            <w:r w:rsidRPr="0057589E">
              <w:rPr>
                <w:rFonts w:cs="Arial"/>
                <w:szCs w:val="24"/>
              </w:rPr>
              <w:t>NA</w:t>
            </w:r>
          </w:p>
        </w:tc>
        <w:tc>
          <w:tcPr>
            <w:tcW w:w="1080" w:type="dxa"/>
            <w:tcBorders>
              <w:top w:val="nil"/>
              <w:left w:val="nil"/>
              <w:bottom w:val="single" w:sz="8" w:space="0" w:color="auto"/>
              <w:right w:val="single" w:sz="8" w:space="0" w:color="auto"/>
            </w:tcBorders>
            <w:shd w:val="clear" w:color="auto" w:fill="auto"/>
            <w:vAlign w:val="center"/>
            <w:hideMark/>
          </w:tcPr>
          <w:p w:rsidR="00AC40FC" w:rsidRPr="0057589E" w:rsidRDefault="00AC40FC" w:rsidP="00A57D87">
            <w:pPr>
              <w:spacing w:after="0"/>
              <w:jc w:val="right"/>
              <w:rPr>
                <w:rFonts w:cs="Arial"/>
                <w:szCs w:val="24"/>
              </w:rPr>
            </w:pPr>
            <w:r w:rsidRPr="0057589E">
              <w:rPr>
                <w:rFonts w:cs="Arial"/>
                <w:szCs w:val="24"/>
              </w:rPr>
              <w:t>NA</w:t>
            </w:r>
          </w:p>
        </w:tc>
        <w:tc>
          <w:tcPr>
            <w:tcW w:w="1080" w:type="dxa"/>
            <w:tcBorders>
              <w:top w:val="nil"/>
              <w:left w:val="nil"/>
              <w:bottom w:val="single" w:sz="8" w:space="0" w:color="auto"/>
              <w:right w:val="single" w:sz="4" w:space="0" w:color="auto"/>
            </w:tcBorders>
            <w:shd w:val="clear" w:color="auto" w:fill="auto"/>
            <w:vAlign w:val="center"/>
            <w:hideMark/>
          </w:tcPr>
          <w:p w:rsidR="00AC40FC" w:rsidRPr="0057589E" w:rsidRDefault="00AC40FC" w:rsidP="00A57D87">
            <w:pPr>
              <w:spacing w:after="0"/>
              <w:jc w:val="right"/>
              <w:rPr>
                <w:rFonts w:cs="Arial"/>
                <w:szCs w:val="24"/>
              </w:rPr>
            </w:pPr>
            <w:r w:rsidRPr="0057589E">
              <w:rPr>
                <w:rFonts w:cs="Arial"/>
                <w:szCs w:val="24"/>
              </w:rPr>
              <w:t>NA</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40FC" w:rsidRPr="0057589E" w:rsidRDefault="00AC40FC" w:rsidP="00A57D87">
            <w:pPr>
              <w:spacing w:after="0"/>
              <w:jc w:val="right"/>
              <w:rPr>
                <w:rFonts w:cs="Arial"/>
                <w:szCs w:val="24"/>
              </w:rPr>
            </w:pPr>
            <w:r w:rsidRPr="0057589E">
              <w:rPr>
                <w:rFonts w:cs="Arial"/>
                <w:szCs w:val="24"/>
              </w:rPr>
              <w:t>NA</w:t>
            </w:r>
          </w:p>
        </w:tc>
        <w:tc>
          <w:tcPr>
            <w:tcW w:w="1080" w:type="dxa"/>
            <w:tcBorders>
              <w:top w:val="single" w:sz="4" w:space="0" w:color="auto"/>
              <w:left w:val="single" w:sz="4" w:space="0" w:color="auto"/>
              <w:bottom w:val="single" w:sz="4" w:space="0" w:color="auto"/>
              <w:right w:val="single" w:sz="4" w:space="0" w:color="auto"/>
            </w:tcBorders>
            <w:vAlign w:val="center"/>
          </w:tcPr>
          <w:p w:rsidR="00AC40FC" w:rsidRPr="0057589E" w:rsidRDefault="00AC40FC" w:rsidP="00A57D87">
            <w:pPr>
              <w:spacing w:after="0"/>
              <w:jc w:val="right"/>
              <w:rPr>
                <w:rFonts w:cs="Arial"/>
                <w:szCs w:val="24"/>
              </w:rPr>
            </w:pPr>
            <w:r>
              <w:rPr>
                <w:rFonts w:cs="Arial"/>
                <w:szCs w:val="24"/>
              </w:rPr>
              <w:t>N/A</w:t>
            </w:r>
          </w:p>
        </w:tc>
        <w:tc>
          <w:tcPr>
            <w:tcW w:w="1544" w:type="dxa"/>
            <w:tcBorders>
              <w:top w:val="single" w:sz="4" w:space="0" w:color="auto"/>
              <w:left w:val="single" w:sz="4" w:space="0" w:color="auto"/>
              <w:bottom w:val="single" w:sz="4" w:space="0" w:color="auto"/>
              <w:right w:val="single" w:sz="4" w:space="0" w:color="auto"/>
            </w:tcBorders>
            <w:shd w:val="clear" w:color="auto" w:fill="000000"/>
            <w:noWrap/>
            <w:vAlign w:val="bottom"/>
            <w:hideMark/>
          </w:tcPr>
          <w:p w:rsidR="00AC40FC" w:rsidRPr="0057589E" w:rsidRDefault="00AC40FC" w:rsidP="00A57D87">
            <w:pPr>
              <w:spacing w:after="0"/>
              <w:jc w:val="left"/>
              <w:rPr>
                <w:rFonts w:cs="Arial"/>
                <w:szCs w:val="24"/>
              </w:rPr>
            </w:pPr>
            <w:r w:rsidRPr="0057589E">
              <w:rPr>
                <w:rFonts w:cs="Arial"/>
                <w:szCs w:val="24"/>
              </w:rPr>
              <w:t> </w:t>
            </w:r>
          </w:p>
        </w:tc>
      </w:tr>
      <w:tr w:rsidR="00AC40FC" w:rsidRPr="009E5D9D" w:rsidTr="00A57D87">
        <w:trPr>
          <w:trHeight w:val="475"/>
          <w:jc w:val="center"/>
        </w:trPr>
        <w:tc>
          <w:tcPr>
            <w:tcW w:w="11326" w:type="dxa"/>
            <w:gridSpan w:val="8"/>
            <w:tcBorders>
              <w:top w:val="single" w:sz="8" w:space="0" w:color="auto"/>
              <w:left w:val="single" w:sz="8" w:space="0" w:color="auto"/>
              <w:bottom w:val="single" w:sz="8" w:space="0" w:color="auto"/>
              <w:right w:val="single" w:sz="8" w:space="0" w:color="000000"/>
            </w:tcBorders>
            <w:shd w:val="clear" w:color="auto" w:fill="auto"/>
            <w:vAlign w:val="center"/>
          </w:tcPr>
          <w:p w:rsidR="00AC40FC" w:rsidRDefault="00AC40FC" w:rsidP="00A57D87">
            <w:pPr>
              <w:spacing w:after="0"/>
              <w:jc w:val="left"/>
              <w:rPr>
                <w:rFonts w:cs="Arial"/>
                <w:szCs w:val="24"/>
              </w:rPr>
            </w:pPr>
            <w:r w:rsidRPr="0057589E">
              <w:rPr>
                <w:rFonts w:cs="Arial"/>
                <w:szCs w:val="24"/>
              </w:rPr>
              <w:t>*The accuracy of the Minority</w:t>
            </w:r>
            <w:r>
              <w:rPr>
                <w:rFonts w:cs="Arial"/>
                <w:szCs w:val="24"/>
              </w:rPr>
              <w:t xml:space="preserve"> </w:t>
            </w:r>
            <w:r w:rsidRPr="0057589E">
              <w:rPr>
                <w:rFonts w:cs="Arial"/>
                <w:szCs w:val="24"/>
              </w:rPr>
              <w:t xml:space="preserve">Owned data reported has been called into question due to data errors described in Finding </w:t>
            </w:r>
            <w:r>
              <w:rPr>
                <w:rFonts w:cs="Arial"/>
                <w:szCs w:val="24"/>
              </w:rPr>
              <w:t>2</w:t>
            </w:r>
            <w:r w:rsidRPr="0057589E">
              <w:rPr>
                <w:rFonts w:cs="Arial"/>
                <w:szCs w:val="24"/>
              </w:rPr>
              <w:t>.</w:t>
            </w:r>
          </w:p>
          <w:p w:rsidR="00AC40FC" w:rsidRPr="0057589E" w:rsidRDefault="00AC40FC" w:rsidP="00A57D87">
            <w:pPr>
              <w:spacing w:after="0"/>
              <w:jc w:val="left"/>
              <w:rPr>
                <w:rFonts w:cs="Arial"/>
                <w:szCs w:val="24"/>
              </w:rPr>
            </w:pPr>
            <w:r>
              <w:rPr>
                <w:rFonts w:cs="Arial"/>
                <w:szCs w:val="24"/>
              </w:rPr>
              <w:t>NA indicates that no goal was set.</w:t>
            </w:r>
          </w:p>
        </w:tc>
      </w:tr>
      <w:tr w:rsidR="00AC40FC" w:rsidRPr="009E5D9D" w:rsidTr="00A57D87">
        <w:trPr>
          <w:trHeight w:val="178"/>
          <w:jc w:val="center"/>
        </w:trPr>
        <w:tc>
          <w:tcPr>
            <w:tcW w:w="11326"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AC40FC" w:rsidRPr="0057589E" w:rsidRDefault="00AC40FC" w:rsidP="00A57D87">
            <w:pPr>
              <w:spacing w:after="0"/>
              <w:jc w:val="left"/>
              <w:rPr>
                <w:rFonts w:cs="Arial"/>
                <w:szCs w:val="24"/>
              </w:rPr>
            </w:pPr>
            <w:r w:rsidRPr="0057589E">
              <w:rPr>
                <w:rFonts w:cs="Arial"/>
                <w:szCs w:val="24"/>
              </w:rPr>
              <w:t>Source</w:t>
            </w:r>
            <w:r>
              <w:rPr>
                <w:rFonts w:cs="Arial"/>
                <w:szCs w:val="24"/>
              </w:rPr>
              <w:t>s</w:t>
            </w:r>
            <w:r w:rsidRPr="0057589E">
              <w:rPr>
                <w:rFonts w:cs="Arial"/>
                <w:szCs w:val="24"/>
              </w:rPr>
              <w:t xml:space="preserve">: DN 17-121a; DN 17-140; DN 17-142 </w:t>
            </w:r>
          </w:p>
        </w:tc>
      </w:tr>
    </w:tbl>
    <w:p w:rsidR="00AC40FC" w:rsidRDefault="00AC40FC" w:rsidP="00A57D87">
      <w:pPr>
        <w:pStyle w:val="Normal-aftertable"/>
      </w:pPr>
      <w:r>
        <w:t>PPL EU’s actual spend for Woman Owned business has declined below diversity spend goals since 2012 and goals were not established for MWDBE including Minority Owned and Disability Owned businesses.</w:t>
      </w:r>
    </w:p>
    <w:p w:rsidR="00AC40FC" w:rsidRDefault="00AC40FC" w:rsidP="00A57D87">
      <w:r>
        <w:t>The root cause of the apparent lack of vendor diversity spend improvement appears to be the level of effectiveness of PPL EUS Supply Chain’s outreach efforts as well as the way in which vendors are classified and counted, however, it should be noted that</w:t>
      </w:r>
      <w:r w:rsidRPr="00A876D2">
        <w:t xml:space="preserve"> </w:t>
      </w:r>
      <w:r>
        <w:t>spend amounts as a percentage can be impacted by many factors including significant increases in capital spending which may be in categories historically underrepresented by diverse vendors in the marketplace.  A more in depth analysis is required to determine the root cause.</w:t>
      </w:r>
    </w:p>
    <w:p w:rsidR="00AC40FC" w:rsidRDefault="00AC40FC" w:rsidP="00A57D87">
      <w:pPr>
        <w:pStyle w:val="Normal-aftertable"/>
      </w:pPr>
    </w:p>
    <w:p w:rsidR="00AC40FC" w:rsidRDefault="00AC40FC" w:rsidP="00A57D87">
      <w:pPr>
        <w:spacing w:after="0"/>
        <w:jc w:val="left"/>
      </w:pPr>
    </w:p>
    <w:p w:rsidR="00AC40FC" w:rsidRDefault="00AC40FC" w:rsidP="00A57D87">
      <w:pPr>
        <w:sectPr w:rsidR="00AC40FC" w:rsidSect="00A57D87">
          <w:footerReference w:type="default" r:id="rId83"/>
          <w:pgSz w:w="15840" w:h="12240" w:orient="landscape"/>
          <w:pgMar w:top="1440" w:right="1440" w:bottom="1440" w:left="1440" w:header="720" w:footer="576" w:gutter="0"/>
          <w:cols w:space="720"/>
          <w:docGrid w:linePitch="360"/>
        </w:sectPr>
      </w:pPr>
    </w:p>
    <w:p w:rsidR="00AC40FC" w:rsidRDefault="00AC40FC" w:rsidP="00A57D87">
      <w:pPr>
        <w:pStyle w:val="Findings"/>
      </w:pPr>
      <w:r w:rsidRPr="00673E75">
        <w:lastRenderedPageBreak/>
        <w:t xml:space="preserve">The </w:t>
      </w:r>
      <w:r>
        <w:t>number of</w:t>
      </w:r>
      <w:r w:rsidRPr="00673E75">
        <w:t xml:space="preserve"> </w:t>
      </w:r>
      <w:r>
        <w:t xml:space="preserve">identified </w:t>
      </w:r>
      <w:r w:rsidRPr="00673E75">
        <w:t xml:space="preserve">diverse vendors </w:t>
      </w:r>
      <w:r>
        <w:t>as a percentage of total vendors is low.</w:t>
      </w:r>
    </w:p>
    <w:p w:rsidR="00AC40FC" w:rsidRPr="0085037C" w:rsidRDefault="00AC40FC" w:rsidP="00A57D87">
      <w:pPr>
        <w:rPr>
          <w:rFonts w:eastAsia="Calibri"/>
        </w:rPr>
      </w:pPr>
      <w:r>
        <w:rPr>
          <w:rFonts w:eastAsia="Calibri"/>
        </w:rPr>
        <w:t>The table below shows the breakdown of diverse vendors as a percentage of total vendors for 2015.</w:t>
      </w:r>
    </w:p>
    <w:p w:rsidR="00AC40FC" w:rsidRDefault="00AC40FC" w:rsidP="002B3172">
      <w:pPr>
        <w:pStyle w:val="Caption"/>
        <w:rPr>
          <w:rFonts w:eastAsia="Calibri"/>
        </w:rPr>
      </w:pPr>
      <w:bookmarkStart w:id="286" w:name="_Toc462648471"/>
      <w:bookmarkStart w:id="287" w:name="_Toc464553093"/>
      <w:r>
        <w:t xml:space="preserve">Exhibit </w:t>
      </w:r>
      <w:fldSimple w:instr=" STYLEREF 1 \s ">
        <w:r w:rsidR="00A24205">
          <w:rPr>
            <w:noProof/>
          </w:rPr>
          <w:t>XIV</w:t>
        </w:r>
      </w:fldSimple>
      <w:r w:rsidR="00264A1B">
        <w:noBreakHyphen/>
      </w:r>
      <w:fldSimple w:instr=" SEQ Exhibit \* ARABIC \s 1 ">
        <w:r w:rsidR="00A24205">
          <w:rPr>
            <w:noProof/>
          </w:rPr>
          <w:t>6</w:t>
        </w:r>
      </w:fldSimple>
      <w:r>
        <w:br/>
      </w:r>
      <w:r>
        <w:rPr>
          <w:rFonts w:eastAsia="Calibri"/>
        </w:rPr>
        <w:t>PP</w:t>
      </w:r>
      <w:r w:rsidR="00B7713A">
        <w:rPr>
          <w:rFonts w:eastAsia="Calibri"/>
        </w:rPr>
        <w:t>L SC and PPL EU Diverse Vendors</w:t>
      </w:r>
      <w:r>
        <w:rPr>
          <w:rFonts w:eastAsia="Calibri"/>
        </w:rPr>
        <w:br/>
        <w:t>as a Percent of Total Vendors in 2015</w:t>
      </w:r>
      <w:bookmarkEnd w:id="286"/>
      <w:bookmarkEnd w:id="287"/>
    </w:p>
    <w:tbl>
      <w:tblPr>
        <w:tblW w:w="0" w:type="auto"/>
        <w:jc w:val="center"/>
        <w:tblCellMar>
          <w:top w:w="14" w:type="dxa"/>
          <w:left w:w="115" w:type="dxa"/>
          <w:bottom w:w="14" w:type="dxa"/>
          <w:right w:w="115" w:type="dxa"/>
        </w:tblCellMar>
        <w:tblLook w:val="04A0"/>
      </w:tblPr>
      <w:tblGrid>
        <w:gridCol w:w="1097"/>
        <w:gridCol w:w="1164"/>
        <w:gridCol w:w="1591"/>
        <w:gridCol w:w="1164"/>
      </w:tblGrid>
      <w:tr w:rsidR="00AC40FC" w:rsidRPr="00D40C7B" w:rsidTr="00A57D87">
        <w:trPr>
          <w:trHeight w:val="426"/>
          <w:jc w:val="center"/>
        </w:trPr>
        <w:tc>
          <w:tcPr>
            <w:tcW w:w="0" w:type="auto"/>
            <w:tcBorders>
              <w:top w:val="single" w:sz="4" w:space="0" w:color="auto"/>
              <w:left w:val="single" w:sz="4" w:space="0" w:color="auto"/>
              <w:bottom w:val="single" w:sz="4" w:space="0" w:color="auto"/>
              <w:right w:val="single" w:sz="4" w:space="0" w:color="auto"/>
            </w:tcBorders>
            <w:shd w:val="clear" w:color="000000" w:fill="A5CD7E"/>
            <w:vAlign w:val="center"/>
            <w:hideMark/>
          </w:tcPr>
          <w:p w:rsidR="00AC40FC" w:rsidRPr="005B3562" w:rsidRDefault="00AC40FC" w:rsidP="00D6083E">
            <w:pPr>
              <w:spacing w:before="120"/>
              <w:jc w:val="center"/>
              <w:rPr>
                <w:rFonts w:cs="Arial"/>
                <w:b/>
                <w:bCs/>
                <w:szCs w:val="24"/>
              </w:rPr>
            </w:pPr>
            <w:r w:rsidRPr="005B3562">
              <w:rPr>
                <w:rFonts w:cs="Arial"/>
                <w:b/>
                <w:bCs/>
                <w:szCs w:val="24"/>
              </w:rPr>
              <w:t>Woman</w:t>
            </w:r>
            <w:r w:rsidRPr="005B3562">
              <w:rPr>
                <w:rFonts w:cs="Arial"/>
                <w:b/>
                <w:bCs/>
                <w:szCs w:val="24"/>
              </w:rPr>
              <w:br/>
              <w:t>Owned</w:t>
            </w:r>
          </w:p>
        </w:tc>
        <w:tc>
          <w:tcPr>
            <w:tcW w:w="0" w:type="auto"/>
            <w:tcBorders>
              <w:top w:val="single" w:sz="4" w:space="0" w:color="auto"/>
              <w:left w:val="nil"/>
              <w:bottom w:val="single" w:sz="4" w:space="0" w:color="auto"/>
              <w:right w:val="single" w:sz="4" w:space="0" w:color="auto"/>
            </w:tcBorders>
            <w:shd w:val="clear" w:color="000000" w:fill="A5CD7E"/>
            <w:vAlign w:val="center"/>
            <w:hideMark/>
          </w:tcPr>
          <w:p w:rsidR="00AC40FC" w:rsidRPr="005B3562" w:rsidRDefault="00AC40FC" w:rsidP="00D6083E">
            <w:pPr>
              <w:spacing w:before="120"/>
              <w:jc w:val="center"/>
              <w:rPr>
                <w:rFonts w:cs="Arial"/>
                <w:b/>
                <w:bCs/>
                <w:szCs w:val="24"/>
              </w:rPr>
            </w:pPr>
            <w:r w:rsidRPr="005B3562">
              <w:rPr>
                <w:rFonts w:cs="Arial"/>
                <w:b/>
                <w:bCs/>
                <w:szCs w:val="24"/>
              </w:rPr>
              <w:t>Minority</w:t>
            </w:r>
            <w:r w:rsidRPr="005B3562">
              <w:rPr>
                <w:rFonts w:cs="Arial"/>
                <w:b/>
                <w:bCs/>
                <w:szCs w:val="24"/>
              </w:rPr>
              <w:br/>
              <w:t>Owned</w:t>
            </w:r>
          </w:p>
        </w:tc>
        <w:tc>
          <w:tcPr>
            <w:tcW w:w="0" w:type="auto"/>
            <w:tcBorders>
              <w:top w:val="single" w:sz="4" w:space="0" w:color="auto"/>
              <w:left w:val="nil"/>
              <w:bottom w:val="single" w:sz="4" w:space="0" w:color="auto"/>
              <w:right w:val="single" w:sz="4" w:space="0" w:color="auto"/>
            </w:tcBorders>
            <w:shd w:val="clear" w:color="000000" w:fill="A5CD7E"/>
            <w:noWrap/>
            <w:vAlign w:val="center"/>
            <w:hideMark/>
          </w:tcPr>
          <w:p w:rsidR="00AC40FC" w:rsidRPr="005B3562" w:rsidRDefault="00AC40FC" w:rsidP="00BB665B">
            <w:pPr>
              <w:spacing w:before="120"/>
              <w:jc w:val="center"/>
              <w:rPr>
                <w:rFonts w:cs="Arial"/>
                <w:b/>
                <w:bCs/>
                <w:szCs w:val="24"/>
              </w:rPr>
            </w:pPr>
            <w:r>
              <w:rPr>
                <w:rFonts w:cs="Arial"/>
                <w:b/>
                <w:bCs/>
                <w:szCs w:val="24"/>
              </w:rPr>
              <w:t xml:space="preserve">Person with </w:t>
            </w:r>
            <w:r>
              <w:rPr>
                <w:rFonts w:cs="Arial"/>
                <w:b/>
                <w:bCs/>
                <w:szCs w:val="24"/>
              </w:rPr>
              <w:br/>
              <w:t>Disability</w:t>
            </w:r>
            <w:r>
              <w:rPr>
                <w:rFonts w:cs="Arial"/>
                <w:b/>
                <w:bCs/>
                <w:szCs w:val="24"/>
              </w:rPr>
              <w:br/>
              <w:t>Owned</w:t>
            </w:r>
          </w:p>
        </w:tc>
        <w:tc>
          <w:tcPr>
            <w:tcW w:w="0" w:type="auto"/>
            <w:tcBorders>
              <w:top w:val="single" w:sz="4" w:space="0" w:color="auto"/>
              <w:left w:val="nil"/>
              <w:bottom w:val="single" w:sz="4" w:space="0" w:color="auto"/>
              <w:right w:val="single" w:sz="4" w:space="0" w:color="auto"/>
            </w:tcBorders>
            <w:shd w:val="clear" w:color="000000" w:fill="A5CD7E"/>
            <w:vAlign w:val="center"/>
            <w:hideMark/>
          </w:tcPr>
          <w:p w:rsidR="00AC40FC" w:rsidRDefault="00AC40FC" w:rsidP="00D6083E">
            <w:pPr>
              <w:spacing w:before="120"/>
              <w:jc w:val="center"/>
              <w:rPr>
                <w:rFonts w:cs="Arial"/>
                <w:b/>
                <w:bCs/>
                <w:szCs w:val="24"/>
              </w:rPr>
            </w:pPr>
            <w:r>
              <w:rPr>
                <w:rFonts w:cs="Arial"/>
                <w:b/>
                <w:bCs/>
                <w:szCs w:val="24"/>
              </w:rPr>
              <w:t xml:space="preserve">MWDBE </w:t>
            </w:r>
          </w:p>
          <w:p w:rsidR="00AC40FC" w:rsidRPr="005B3562" w:rsidRDefault="00AC40FC" w:rsidP="00D6083E">
            <w:pPr>
              <w:spacing w:before="120"/>
              <w:jc w:val="center"/>
              <w:rPr>
                <w:rFonts w:cs="Arial"/>
                <w:b/>
                <w:bCs/>
                <w:szCs w:val="24"/>
              </w:rPr>
            </w:pPr>
            <w:r>
              <w:rPr>
                <w:rFonts w:cs="Arial"/>
                <w:b/>
                <w:bCs/>
                <w:szCs w:val="24"/>
              </w:rPr>
              <w:t xml:space="preserve">Total </w:t>
            </w:r>
          </w:p>
        </w:tc>
      </w:tr>
      <w:tr w:rsidR="00AC40FC" w:rsidRPr="00D40C7B" w:rsidTr="00A57D87">
        <w:trPr>
          <w:trHeight w:val="211"/>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C40FC" w:rsidRPr="005B3562" w:rsidRDefault="00AC40FC" w:rsidP="00A57D87">
            <w:pPr>
              <w:spacing w:after="0"/>
              <w:jc w:val="center"/>
              <w:rPr>
                <w:rFonts w:cs="Arial"/>
                <w:bCs/>
                <w:szCs w:val="24"/>
              </w:rPr>
            </w:pPr>
            <w:r w:rsidRPr="005B3562">
              <w:rPr>
                <w:rFonts w:cs="Arial"/>
                <w:bCs/>
                <w:szCs w:val="24"/>
              </w:rPr>
              <w:t>5</w:t>
            </w:r>
            <w:r>
              <w:rPr>
                <w:rFonts w:cs="Arial"/>
                <w:bCs/>
                <w:szCs w:val="24"/>
              </w:rPr>
              <w:t>.0</w:t>
            </w:r>
            <w:r w:rsidRPr="005B3562">
              <w:rPr>
                <w:rFonts w:cs="Arial"/>
                <w:bCs/>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AC40FC" w:rsidRPr="005B3562" w:rsidRDefault="00AC40FC" w:rsidP="00A57D87">
            <w:pPr>
              <w:spacing w:after="0"/>
              <w:jc w:val="center"/>
              <w:rPr>
                <w:rFonts w:cs="Arial"/>
                <w:bCs/>
                <w:szCs w:val="24"/>
              </w:rPr>
            </w:pPr>
            <w:r w:rsidRPr="005B3562">
              <w:rPr>
                <w:rFonts w:cs="Arial"/>
                <w:bCs/>
                <w:szCs w:val="24"/>
              </w:rPr>
              <w:t>1.1%</w:t>
            </w:r>
          </w:p>
        </w:tc>
        <w:tc>
          <w:tcPr>
            <w:tcW w:w="0" w:type="auto"/>
            <w:tcBorders>
              <w:top w:val="nil"/>
              <w:left w:val="nil"/>
              <w:bottom w:val="single" w:sz="4" w:space="0" w:color="auto"/>
              <w:right w:val="single" w:sz="4" w:space="0" w:color="auto"/>
            </w:tcBorders>
            <w:shd w:val="clear" w:color="auto" w:fill="auto"/>
            <w:noWrap/>
            <w:vAlign w:val="center"/>
            <w:hideMark/>
          </w:tcPr>
          <w:p w:rsidR="00AC40FC" w:rsidRPr="005B3562" w:rsidRDefault="00AC40FC" w:rsidP="00A57D87">
            <w:pPr>
              <w:spacing w:after="0"/>
              <w:jc w:val="center"/>
              <w:rPr>
                <w:rFonts w:cs="Arial"/>
                <w:bCs/>
                <w:szCs w:val="24"/>
              </w:rPr>
            </w:pPr>
            <w:r>
              <w:rPr>
                <w:rFonts w:cs="Arial"/>
                <w:bCs/>
                <w:szCs w:val="24"/>
              </w:rPr>
              <w:t>0.3</w:t>
            </w:r>
            <w:r w:rsidRPr="005B3562">
              <w:rPr>
                <w:rFonts w:cs="Arial"/>
                <w:bCs/>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AC40FC" w:rsidRPr="005B3562" w:rsidRDefault="00AC40FC" w:rsidP="00A57D87">
            <w:pPr>
              <w:spacing w:after="0"/>
              <w:jc w:val="center"/>
              <w:rPr>
                <w:rFonts w:cs="Arial"/>
                <w:bCs/>
                <w:szCs w:val="24"/>
              </w:rPr>
            </w:pPr>
            <w:r>
              <w:rPr>
                <w:rFonts w:cs="Arial"/>
                <w:bCs/>
                <w:szCs w:val="24"/>
              </w:rPr>
              <w:t>6.4</w:t>
            </w:r>
            <w:r w:rsidRPr="005B3562">
              <w:rPr>
                <w:rFonts w:cs="Arial"/>
                <w:bCs/>
                <w:szCs w:val="24"/>
              </w:rPr>
              <w:t>%</w:t>
            </w:r>
          </w:p>
        </w:tc>
      </w:tr>
      <w:tr w:rsidR="00AC40FC" w:rsidRPr="00D40C7B" w:rsidTr="00A57D87">
        <w:trPr>
          <w:trHeight w:val="255"/>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40FC" w:rsidRPr="005B3562" w:rsidRDefault="00AC40FC" w:rsidP="00A57D87">
            <w:pPr>
              <w:spacing w:after="0"/>
              <w:jc w:val="left"/>
              <w:rPr>
                <w:rFonts w:cs="Arial"/>
                <w:b/>
                <w:bCs/>
                <w:szCs w:val="24"/>
              </w:rPr>
            </w:pPr>
            <w:r w:rsidRPr="005B3562">
              <w:rPr>
                <w:rFonts w:cs="Arial"/>
                <w:bCs/>
                <w:szCs w:val="24"/>
              </w:rPr>
              <w:t>Source: DN 17-148</w:t>
            </w:r>
          </w:p>
        </w:tc>
      </w:tr>
    </w:tbl>
    <w:p w:rsidR="00AC40FC" w:rsidRPr="0085037C" w:rsidRDefault="00AC40FC" w:rsidP="00A57D87">
      <w:pPr>
        <w:pStyle w:val="Normal-aftertable"/>
        <w:rPr>
          <w:rFonts w:eastAsia="Calibri"/>
        </w:rPr>
      </w:pPr>
      <w:r>
        <w:rPr>
          <w:rFonts w:eastAsia="Calibri"/>
        </w:rPr>
        <w:t>Based on this data, PPL EUS Supply Chain has identified few vendors in the Minority Owned and Persons with Disability Owned categories.</w:t>
      </w:r>
    </w:p>
    <w:p w:rsidR="00AC40FC" w:rsidRPr="00A75FD3" w:rsidRDefault="00AC40FC" w:rsidP="00A57D87">
      <w:pPr>
        <w:pStyle w:val="Findings"/>
      </w:pPr>
      <w:r w:rsidRPr="00A75FD3">
        <w:t xml:space="preserve">The number of contracts awarded to Minority-owned and Women-owned vendors </w:t>
      </w:r>
      <w:r w:rsidRPr="00A57D87">
        <w:t>has</w:t>
      </w:r>
      <w:r w:rsidRPr="00A75FD3">
        <w:t xml:space="preserve"> t</w:t>
      </w:r>
      <w:r>
        <w:t xml:space="preserve">rended positively since 2010.  </w:t>
      </w:r>
      <w:r w:rsidRPr="00A75FD3">
        <w:t>Overall</w:t>
      </w:r>
      <w:r>
        <w:t>,</w:t>
      </w:r>
      <w:r w:rsidRPr="00A75FD3">
        <w:t xml:space="preserve"> the number of total contracts awarded to diverse vendors has declined since 2010.</w:t>
      </w:r>
    </w:p>
    <w:p w:rsidR="00AC40FC" w:rsidRDefault="00AC40FC" w:rsidP="00A57D87">
      <w:r>
        <w:t>PPL EUS Supply Chain tracks the number of contracts awarded to diverse vendors.  The table below shows these numbers over the last five years.</w:t>
      </w:r>
    </w:p>
    <w:p w:rsidR="00AC40FC" w:rsidRDefault="00AC40FC" w:rsidP="002B3172">
      <w:pPr>
        <w:pStyle w:val="Caption"/>
      </w:pPr>
      <w:bookmarkStart w:id="288" w:name="_Toc462648472"/>
      <w:bookmarkStart w:id="289" w:name="_Toc464553094"/>
      <w:r>
        <w:t xml:space="preserve">Exhibit </w:t>
      </w:r>
      <w:fldSimple w:instr=" STYLEREF 1 \s ">
        <w:r w:rsidR="00A24205">
          <w:rPr>
            <w:noProof/>
          </w:rPr>
          <w:t>XIV</w:t>
        </w:r>
      </w:fldSimple>
      <w:r w:rsidR="00264A1B">
        <w:noBreakHyphen/>
      </w:r>
      <w:fldSimple w:instr=" SEQ Exhibit \* ARABIC \s 1 ">
        <w:r w:rsidR="00A24205">
          <w:rPr>
            <w:noProof/>
          </w:rPr>
          <w:t>7</w:t>
        </w:r>
      </w:fldSimple>
      <w:r>
        <w:br/>
        <w:t>Count of PPL EU Diverse Vendor Contracts Awarded 2010–2015</w:t>
      </w:r>
      <w:bookmarkEnd w:id="288"/>
      <w:bookmarkEnd w:id="289"/>
    </w:p>
    <w:tbl>
      <w:tblPr>
        <w:tblW w:w="9378" w:type="dxa"/>
        <w:jc w:val="center"/>
        <w:tblLook w:val="04A0"/>
      </w:tblPr>
      <w:tblGrid>
        <w:gridCol w:w="1359"/>
        <w:gridCol w:w="1178"/>
        <w:gridCol w:w="1099"/>
        <w:gridCol w:w="1099"/>
        <w:gridCol w:w="1099"/>
        <w:gridCol w:w="1125"/>
        <w:gridCol w:w="979"/>
        <w:gridCol w:w="1440"/>
      </w:tblGrid>
      <w:tr w:rsidR="00AC40FC" w:rsidRPr="000D1DAF" w:rsidTr="00BB665B">
        <w:trPr>
          <w:trHeight w:val="323"/>
          <w:jc w:val="center"/>
        </w:trPr>
        <w:tc>
          <w:tcPr>
            <w:tcW w:w="1359" w:type="dxa"/>
            <w:tcBorders>
              <w:top w:val="single" w:sz="4" w:space="0" w:color="auto"/>
              <w:left w:val="single" w:sz="4" w:space="0" w:color="auto"/>
              <w:bottom w:val="single" w:sz="4" w:space="0" w:color="auto"/>
              <w:right w:val="single" w:sz="4" w:space="0" w:color="auto"/>
            </w:tcBorders>
            <w:shd w:val="clear" w:color="000000" w:fill="A5CD7E"/>
            <w:noWrap/>
            <w:vAlign w:val="center"/>
            <w:hideMark/>
          </w:tcPr>
          <w:p w:rsidR="00AC40FC" w:rsidRPr="000D1DAF" w:rsidRDefault="00AC40FC" w:rsidP="00D6083E">
            <w:pPr>
              <w:spacing w:before="80" w:after="80"/>
              <w:jc w:val="center"/>
              <w:rPr>
                <w:rFonts w:cs="Arial"/>
                <w:b/>
                <w:bCs/>
                <w:sz w:val="20"/>
                <w:szCs w:val="20"/>
              </w:rPr>
            </w:pPr>
            <w:r>
              <w:rPr>
                <w:rFonts w:cs="Arial"/>
                <w:b/>
                <w:bCs/>
                <w:sz w:val="20"/>
                <w:szCs w:val="20"/>
              </w:rPr>
              <w:t>Contract Categories</w:t>
            </w:r>
          </w:p>
        </w:tc>
        <w:tc>
          <w:tcPr>
            <w:tcW w:w="1178" w:type="dxa"/>
            <w:tcBorders>
              <w:top w:val="single" w:sz="4" w:space="0" w:color="auto"/>
              <w:left w:val="nil"/>
              <w:bottom w:val="single" w:sz="4" w:space="0" w:color="auto"/>
              <w:right w:val="single" w:sz="4" w:space="0" w:color="auto"/>
            </w:tcBorders>
            <w:shd w:val="clear" w:color="000000" w:fill="A5CD7E"/>
            <w:noWrap/>
            <w:vAlign w:val="center"/>
            <w:hideMark/>
          </w:tcPr>
          <w:p w:rsidR="00AC40FC" w:rsidRPr="000D1DAF" w:rsidRDefault="00AC40FC" w:rsidP="00D6083E">
            <w:pPr>
              <w:spacing w:before="80" w:after="80"/>
              <w:jc w:val="center"/>
              <w:rPr>
                <w:rFonts w:cs="Arial"/>
                <w:b/>
                <w:bCs/>
                <w:sz w:val="20"/>
                <w:szCs w:val="20"/>
              </w:rPr>
            </w:pPr>
            <w:r w:rsidRPr="000D1DAF">
              <w:rPr>
                <w:rFonts w:cs="Arial"/>
                <w:b/>
                <w:bCs/>
                <w:sz w:val="20"/>
                <w:szCs w:val="20"/>
              </w:rPr>
              <w:t>2010</w:t>
            </w:r>
          </w:p>
        </w:tc>
        <w:tc>
          <w:tcPr>
            <w:tcW w:w="1099" w:type="dxa"/>
            <w:tcBorders>
              <w:top w:val="single" w:sz="4" w:space="0" w:color="auto"/>
              <w:left w:val="nil"/>
              <w:bottom w:val="single" w:sz="4" w:space="0" w:color="auto"/>
              <w:right w:val="single" w:sz="4" w:space="0" w:color="auto"/>
            </w:tcBorders>
            <w:shd w:val="clear" w:color="000000" w:fill="A5CD7E"/>
            <w:noWrap/>
            <w:vAlign w:val="center"/>
            <w:hideMark/>
          </w:tcPr>
          <w:p w:rsidR="00AC40FC" w:rsidRPr="000D1DAF" w:rsidRDefault="00AC40FC" w:rsidP="00D6083E">
            <w:pPr>
              <w:spacing w:before="80" w:after="80"/>
              <w:jc w:val="center"/>
              <w:rPr>
                <w:rFonts w:cs="Arial"/>
                <w:b/>
                <w:bCs/>
                <w:sz w:val="20"/>
                <w:szCs w:val="20"/>
              </w:rPr>
            </w:pPr>
            <w:r w:rsidRPr="000D1DAF">
              <w:rPr>
                <w:rFonts w:cs="Arial"/>
                <w:b/>
                <w:bCs/>
                <w:sz w:val="20"/>
                <w:szCs w:val="20"/>
              </w:rPr>
              <w:t>2011</w:t>
            </w:r>
          </w:p>
        </w:tc>
        <w:tc>
          <w:tcPr>
            <w:tcW w:w="1099" w:type="dxa"/>
            <w:tcBorders>
              <w:top w:val="single" w:sz="4" w:space="0" w:color="auto"/>
              <w:left w:val="nil"/>
              <w:bottom w:val="single" w:sz="4" w:space="0" w:color="auto"/>
              <w:right w:val="single" w:sz="4" w:space="0" w:color="auto"/>
            </w:tcBorders>
            <w:shd w:val="clear" w:color="000000" w:fill="A5CD7E"/>
            <w:noWrap/>
            <w:vAlign w:val="center"/>
            <w:hideMark/>
          </w:tcPr>
          <w:p w:rsidR="00AC40FC" w:rsidRPr="000D1DAF" w:rsidRDefault="00AC40FC" w:rsidP="00D6083E">
            <w:pPr>
              <w:spacing w:before="80" w:after="80"/>
              <w:jc w:val="center"/>
              <w:rPr>
                <w:rFonts w:cs="Arial"/>
                <w:b/>
                <w:bCs/>
                <w:sz w:val="20"/>
                <w:szCs w:val="20"/>
              </w:rPr>
            </w:pPr>
            <w:r w:rsidRPr="000D1DAF">
              <w:rPr>
                <w:rFonts w:cs="Arial"/>
                <w:b/>
                <w:bCs/>
                <w:sz w:val="20"/>
                <w:szCs w:val="20"/>
              </w:rPr>
              <w:t>2012</w:t>
            </w:r>
          </w:p>
        </w:tc>
        <w:tc>
          <w:tcPr>
            <w:tcW w:w="1099" w:type="dxa"/>
            <w:tcBorders>
              <w:top w:val="single" w:sz="4" w:space="0" w:color="auto"/>
              <w:left w:val="nil"/>
              <w:bottom w:val="single" w:sz="4" w:space="0" w:color="auto"/>
              <w:right w:val="single" w:sz="4" w:space="0" w:color="auto"/>
            </w:tcBorders>
            <w:shd w:val="clear" w:color="000000" w:fill="A5CD7E"/>
            <w:noWrap/>
            <w:vAlign w:val="center"/>
            <w:hideMark/>
          </w:tcPr>
          <w:p w:rsidR="00AC40FC" w:rsidRPr="000D1DAF" w:rsidRDefault="00AC40FC" w:rsidP="00D6083E">
            <w:pPr>
              <w:spacing w:before="80" w:after="80"/>
              <w:jc w:val="center"/>
              <w:rPr>
                <w:rFonts w:cs="Arial"/>
                <w:b/>
                <w:bCs/>
                <w:sz w:val="20"/>
                <w:szCs w:val="20"/>
              </w:rPr>
            </w:pPr>
            <w:r w:rsidRPr="000D1DAF">
              <w:rPr>
                <w:rFonts w:cs="Arial"/>
                <w:b/>
                <w:bCs/>
                <w:sz w:val="20"/>
                <w:szCs w:val="20"/>
              </w:rPr>
              <w:t>2013</w:t>
            </w:r>
          </w:p>
        </w:tc>
        <w:tc>
          <w:tcPr>
            <w:tcW w:w="1125" w:type="dxa"/>
            <w:tcBorders>
              <w:top w:val="single" w:sz="4" w:space="0" w:color="auto"/>
              <w:left w:val="nil"/>
              <w:bottom w:val="single" w:sz="4" w:space="0" w:color="auto"/>
              <w:right w:val="single" w:sz="4" w:space="0" w:color="auto"/>
            </w:tcBorders>
            <w:shd w:val="clear" w:color="000000" w:fill="A5CD7E"/>
            <w:noWrap/>
            <w:vAlign w:val="center"/>
            <w:hideMark/>
          </w:tcPr>
          <w:p w:rsidR="00AC40FC" w:rsidRPr="000D1DAF" w:rsidRDefault="00AC40FC" w:rsidP="00D6083E">
            <w:pPr>
              <w:spacing w:before="80" w:after="80"/>
              <w:jc w:val="center"/>
              <w:rPr>
                <w:rFonts w:cs="Arial"/>
                <w:b/>
                <w:bCs/>
                <w:sz w:val="20"/>
                <w:szCs w:val="20"/>
              </w:rPr>
            </w:pPr>
            <w:r w:rsidRPr="000D1DAF">
              <w:rPr>
                <w:rFonts w:cs="Arial"/>
                <w:b/>
                <w:bCs/>
                <w:sz w:val="20"/>
                <w:szCs w:val="20"/>
              </w:rPr>
              <w:t>2014</w:t>
            </w:r>
          </w:p>
        </w:tc>
        <w:tc>
          <w:tcPr>
            <w:tcW w:w="979" w:type="dxa"/>
            <w:tcBorders>
              <w:top w:val="single" w:sz="4" w:space="0" w:color="auto"/>
              <w:left w:val="nil"/>
              <w:bottom w:val="single" w:sz="4" w:space="0" w:color="auto"/>
              <w:right w:val="single" w:sz="4" w:space="0" w:color="auto"/>
            </w:tcBorders>
            <w:shd w:val="clear" w:color="000000" w:fill="A5CD7E"/>
            <w:vAlign w:val="center"/>
          </w:tcPr>
          <w:p w:rsidR="00AC40FC" w:rsidRPr="000D1DAF" w:rsidRDefault="00AC40FC" w:rsidP="00D6083E">
            <w:pPr>
              <w:spacing w:before="80" w:after="80"/>
              <w:jc w:val="center"/>
              <w:rPr>
                <w:rFonts w:cs="Arial"/>
                <w:b/>
                <w:bCs/>
                <w:sz w:val="20"/>
                <w:szCs w:val="20"/>
              </w:rPr>
            </w:pPr>
            <w:r>
              <w:rPr>
                <w:rFonts w:cs="Arial"/>
                <w:b/>
                <w:bCs/>
                <w:sz w:val="20"/>
                <w:szCs w:val="20"/>
              </w:rPr>
              <w:t>2015</w:t>
            </w:r>
          </w:p>
        </w:tc>
        <w:tc>
          <w:tcPr>
            <w:tcW w:w="1440" w:type="dxa"/>
            <w:tcBorders>
              <w:top w:val="single" w:sz="4" w:space="0" w:color="auto"/>
              <w:left w:val="single" w:sz="4" w:space="0" w:color="auto"/>
              <w:bottom w:val="single" w:sz="4" w:space="0" w:color="auto"/>
              <w:right w:val="single" w:sz="4" w:space="0" w:color="auto"/>
            </w:tcBorders>
            <w:shd w:val="clear" w:color="000000" w:fill="A5CD7E"/>
            <w:vAlign w:val="center"/>
            <w:hideMark/>
          </w:tcPr>
          <w:p w:rsidR="00AC40FC" w:rsidRPr="000D1DAF" w:rsidRDefault="00AC40FC" w:rsidP="00D6083E">
            <w:pPr>
              <w:spacing w:before="80" w:after="80"/>
              <w:jc w:val="center"/>
              <w:rPr>
                <w:rFonts w:cs="Arial"/>
                <w:b/>
                <w:bCs/>
                <w:sz w:val="20"/>
                <w:szCs w:val="20"/>
              </w:rPr>
            </w:pPr>
            <w:r w:rsidRPr="000D1DAF">
              <w:rPr>
                <w:rFonts w:cs="Arial"/>
                <w:b/>
                <w:bCs/>
                <w:sz w:val="20"/>
                <w:szCs w:val="20"/>
              </w:rPr>
              <w:t>Compound Growth</w:t>
            </w:r>
          </w:p>
        </w:tc>
      </w:tr>
      <w:tr w:rsidR="00AC40FC" w:rsidRPr="000D1DAF" w:rsidTr="00BB665B">
        <w:trPr>
          <w:trHeight w:val="422"/>
          <w:jc w:val="center"/>
        </w:trPr>
        <w:tc>
          <w:tcPr>
            <w:tcW w:w="1359" w:type="dxa"/>
            <w:tcBorders>
              <w:top w:val="nil"/>
              <w:left w:val="single" w:sz="4" w:space="0" w:color="auto"/>
              <w:bottom w:val="single" w:sz="4" w:space="0" w:color="auto"/>
              <w:right w:val="single" w:sz="4" w:space="0" w:color="auto"/>
            </w:tcBorders>
            <w:shd w:val="clear" w:color="auto" w:fill="auto"/>
            <w:noWrap/>
            <w:vAlign w:val="center"/>
            <w:hideMark/>
          </w:tcPr>
          <w:p w:rsidR="00AC40FC" w:rsidRPr="00E1561C" w:rsidRDefault="00AC40FC" w:rsidP="00A57D87">
            <w:pPr>
              <w:spacing w:after="0"/>
              <w:jc w:val="center"/>
              <w:rPr>
                <w:rFonts w:cs="Arial"/>
                <w:bCs/>
                <w:sz w:val="20"/>
                <w:szCs w:val="20"/>
              </w:rPr>
            </w:pPr>
            <w:r w:rsidRPr="00E1561C">
              <w:rPr>
                <w:rFonts w:cs="Arial"/>
                <w:bCs/>
                <w:sz w:val="20"/>
                <w:szCs w:val="20"/>
              </w:rPr>
              <w:t>Minority Owned</w:t>
            </w:r>
          </w:p>
        </w:tc>
        <w:tc>
          <w:tcPr>
            <w:tcW w:w="1178" w:type="dxa"/>
            <w:tcBorders>
              <w:top w:val="nil"/>
              <w:left w:val="nil"/>
              <w:bottom w:val="single" w:sz="4" w:space="0" w:color="auto"/>
              <w:right w:val="single" w:sz="4" w:space="0" w:color="auto"/>
            </w:tcBorders>
            <w:shd w:val="clear" w:color="auto" w:fill="auto"/>
            <w:noWrap/>
            <w:vAlign w:val="center"/>
            <w:hideMark/>
          </w:tcPr>
          <w:p w:rsidR="00AC40FC" w:rsidRPr="000D1DAF" w:rsidRDefault="00AC40FC" w:rsidP="00A57D87">
            <w:pPr>
              <w:spacing w:after="0"/>
              <w:jc w:val="center"/>
              <w:rPr>
                <w:rFonts w:cs="Arial"/>
                <w:sz w:val="20"/>
                <w:szCs w:val="20"/>
              </w:rPr>
            </w:pPr>
            <w:r w:rsidRPr="000D1DAF">
              <w:rPr>
                <w:rFonts w:cs="Arial"/>
                <w:sz w:val="20"/>
                <w:szCs w:val="20"/>
              </w:rPr>
              <w:t>7</w:t>
            </w:r>
          </w:p>
        </w:tc>
        <w:tc>
          <w:tcPr>
            <w:tcW w:w="1099" w:type="dxa"/>
            <w:tcBorders>
              <w:top w:val="nil"/>
              <w:left w:val="nil"/>
              <w:bottom w:val="single" w:sz="4" w:space="0" w:color="auto"/>
              <w:right w:val="single" w:sz="4" w:space="0" w:color="auto"/>
            </w:tcBorders>
            <w:shd w:val="clear" w:color="auto" w:fill="auto"/>
            <w:noWrap/>
            <w:vAlign w:val="center"/>
            <w:hideMark/>
          </w:tcPr>
          <w:p w:rsidR="00AC40FC" w:rsidRPr="000D1DAF" w:rsidRDefault="00AC40FC" w:rsidP="00A57D87">
            <w:pPr>
              <w:spacing w:after="0"/>
              <w:jc w:val="center"/>
              <w:rPr>
                <w:rFonts w:cs="Arial"/>
                <w:sz w:val="20"/>
                <w:szCs w:val="20"/>
              </w:rPr>
            </w:pPr>
            <w:r w:rsidRPr="000D1DAF">
              <w:rPr>
                <w:rFonts w:cs="Arial"/>
                <w:sz w:val="20"/>
                <w:szCs w:val="20"/>
              </w:rPr>
              <w:t>7</w:t>
            </w:r>
          </w:p>
        </w:tc>
        <w:tc>
          <w:tcPr>
            <w:tcW w:w="1099" w:type="dxa"/>
            <w:tcBorders>
              <w:top w:val="nil"/>
              <w:left w:val="nil"/>
              <w:bottom w:val="single" w:sz="4" w:space="0" w:color="auto"/>
              <w:right w:val="single" w:sz="4" w:space="0" w:color="auto"/>
            </w:tcBorders>
            <w:shd w:val="clear" w:color="auto" w:fill="auto"/>
            <w:noWrap/>
            <w:vAlign w:val="center"/>
            <w:hideMark/>
          </w:tcPr>
          <w:p w:rsidR="00AC40FC" w:rsidRPr="000D1DAF" w:rsidRDefault="00AC40FC" w:rsidP="00A57D87">
            <w:pPr>
              <w:spacing w:after="0"/>
              <w:jc w:val="center"/>
              <w:rPr>
                <w:rFonts w:cs="Arial"/>
                <w:sz w:val="20"/>
                <w:szCs w:val="20"/>
              </w:rPr>
            </w:pPr>
            <w:r w:rsidRPr="000D1DAF">
              <w:rPr>
                <w:rFonts w:cs="Arial"/>
                <w:sz w:val="20"/>
                <w:szCs w:val="20"/>
              </w:rPr>
              <w:t>35</w:t>
            </w:r>
          </w:p>
        </w:tc>
        <w:tc>
          <w:tcPr>
            <w:tcW w:w="1099" w:type="dxa"/>
            <w:tcBorders>
              <w:top w:val="nil"/>
              <w:left w:val="nil"/>
              <w:bottom w:val="single" w:sz="4" w:space="0" w:color="auto"/>
              <w:right w:val="single" w:sz="4" w:space="0" w:color="auto"/>
            </w:tcBorders>
            <w:shd w:val="clear" w:color="auto" w:fill="auto"/>
            <w:noWrap/>
            <w:vAlign w:val="center"/>
            <w:hideMark/>
          </w:tcPr>
          <w:p w:rsidR="00AC40FC" w:rsidRPr="000D1DAF" w:rsidRDefault="00AC40FC" w:rsidP="00A57D87">
            <w:pPr>
              <w:spacing w:after="0"/>
              <w:jc w:val="center"/>
              <w:rPr>
                <w:rFonts w:cs="Arial"/>
                <w:sz w:val="20"/>
                <w:szCs w:val="20"/>
              </w:rPr>
            </w:pPr>
            <w:r w:rsidRPr="000D1DAF">
              <w:rPr>
                <w:rFonts w:cs="Arial"/>
                <w:sz w:val="20"/>
                <w:szCs w:val="20"/>
              </w:rPr>
              <w:t>189</w:t>
            </w:r>
          </w:p>
        </w:tc>
        <w:tc>
          <w:tcPr>
            <w:tcW w:w="1125" w:type="dxa"/>
            <w:tcBorders>
              <w:top w:val="nil"/>
              <w:left w:val="nil"/>
              <w:bottom w:val="single" w:sz="4" w:space="0" w:color="auto"/>
              <w:right w:val="single" w:sz="4" w:space="0" w:color="auto"/>
            </w:tcBorders>
            <w:shd w:val="clear" w:color="auto" w:fill="auto"/>
            <w:noWrap/>
            <w:vAlign w:val="center"/>
            <w:hideMark/>
          </w:tcPr>
          <w:p w:rsidR="00AC40FC" w:rsidRPr="000D1DAF" w:rsidRDefault="00AC40FC" w:rsidP="00A57D87">
            <w:pPr>
              <w:spacing w:after="0"/>
              <w:jc w:val="center"/>
              <w:rPr>
                <w:rFonts w:cs="Arial"/>
                <w:sz w:val="20"/>
                <w:szCs w:val="20"/>
              </w:rPr>
            </w:pPr>
            <w:r w:rsidRPr="000D1DAF">
              <w:rPr>
                <w:rFonts w:cs="Arial"/>
                <w:sz w:val="20"/>
                <w:szCs w:val="20"/>
              </w:rPr>
              <w:t>20</w:t>
            </w:r>
          </w:p>
        </w:tc>
        <w:tc>
          <w:tcPr>
            <w:tcW w:w="979" w:type="dxa"/>
            <w:tcBorders>
              <w:top w:val="single" w:sz="4" w:space="0" w:color="auto"/>
              <w:left w:val="nil"/>
              <w:bottom w:val="single" w:sz="4" w:space="0" w:color="auto"/>
              <w:right w:val="single" w:sz="4" w:space="0" w:color="auto"/>
            </w:tcBorders>
            <w:vAlign w:val="center"/>
          </w:tcPr>
          <w:p w:rsidR="00AC40FC" w:rsidRPr="000D1DAF" w:rsidRDefault="00AC40FC" w:rsidP="00A57D87">
            <w:pPr>
              <w:spacing w:after="0"/>
              <w:jc w:val="center"/>
              <w:rPr>
                <w:rFonts w:cs="Arial"/>
                <w:color w:val="000000"/>
                <w:sz w:val="20"/>
                <w:szCs w:val="20"/>
              </w:rPr>
            </w:pPr>
            <w:r>
              <w:rPr>
                <w:rFonts w:cs="Arial"/>
                <w:color w:val="000000"/>
                <w:sz w:val="20"/>
                <w:szCs w:val="20"/>
              </w:rPr>
              <w:t>13</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AC40FC" w:rsidRPr="000D1DAF" w:rsidRDefault="00AC40FC" w:rsidP="00A57D87">
            <w:pPr>
              <w:spacing w:after="0"/>
              <w:jc w:val="center"/>
              <w:rPr>
                <w:rFonts w:cs="Arial"/>
                <w:color w:val="000000"/>
                <w:sz w:val="20"/>
                <w:szCs w:val="20"/>
              </w:rPr>
            </w:pPr>
            <w:r>
              <w:rPr>
                <w:rFonts w:cs="Arial"/>
                <w:color w:val="000000"/>
                <w:sz w:val="20"/>
                <w:szCs w:val="20"/>
              </w:rPr>
              <w:t>13.18</w:t>
            </w:r>
            <w:r w:rsidRPr="000D1DAF">
              <w:rPr>
                <w:rFonts w:cs="Arial"/>
                <w:color w:val="000000"/>
                <w:sz w:val="20"/>
                <w:szCs w:val="20"/>
              </w:rPr>
              <w:t>%</w:t>
            </w:r>
          </w:p>
        </w:tc>
      </w:tr>
      <w:tr w:rsidR="00AC40FC" w:rsidRPr="000D1DAF" w:rsidTr="00BB665B">
        <w:trPr>
          <w:trHeight w:val="255"/>
          <w:jc w:val="center"/>
        </w:trPr>
        <w:tc>
          <w:tcPr>
            <w:tcW w:w="1359" w:type="dxa"/>
            <w:tcBorders>
              <w:top w:val="nil"/>
              <w:left w:val="single" w:sz="4" w:space="0" w:color="auto"/>
              <w:bottom w:val="single" w:sz="4" w:space="0" w:color="auto"/>
              <w:right w:val="single" w:sz="4" w:space="0" w:color="auto"/>
            </w:tcBorders>
            <w:shd w:val="clear" w:color="auto" w:fill="auto"/>
            <w:noWrap/>
            <w:vAlign w:val="center"/>
            <w:hideMark/>
          </w:tcPr>
          <w:p w:rsidR="00AC40FC" w:rsidRPr="00E1561C" w:rsidRDefault="00AC40FC" w:rsidP="00A57D87">
            <w:pPr>
              <w:spacing w:after="0"/>
              <w:jc w:val="center"/>
              <w:rPr>
                <w:rFonts w:cs="Arial"/>
                <w:bCs/>
                <w:sz w:val="20"/>
                <w:szCs w:val="20"/>
              </w:rPr>
            </w:pPr>
            <w:r w:rsidRPr="00E1561C">
              <w:rPr>
                <w:rFonts w:cs="Arial"/>
                <w:bCs/>
                <w:sz w:val="20"/>
                <w:szCs w:val="20"/>
              </w:rPr>
              <w:t>Woman Owned</w:t>
            </w:r>
          </w:p>
        </w:tc>
        <w:tc>
          <w:tcPr>
            <w:tcW w:w="1178" w:type="dxa"/>
            <w:tcBorders>
              <w:top w:val="nil"/>
              <w:left w:val="nil"/>
              <w:bottom w:val="single" w:sz="4" w:space="0" w:color="auto"/>
              <w:right w:val="single" w:sz="4" w:space="0" w:color="auto"/>
            </w:tcBorders>
            <w:shd w:val="clear" w:color="auto" w:fill="auto"/>
            <w:noWrap/>
            <w:vAlign w:val="center"/>
            <w:hideMark/>
          </w:tcPr>
          <w:p w:rsidR="00AC40FC" w:rsidRPr="000D1DAF" w:rsidRDefault="00AC40FC" w:rsidP="00A57D87">
            <w:pPr>
              <w:spacing w:after="0"/>
              <w:jc w:val="center"/>
              <w:rPr>
                <w:rFonts w:cs="Arial"/>
                <w:sz w:val="20"/>
                <w:szCs w:val="20"/>
              </w:rPr>
            </w:pPr>
            <w:r w:rsidRPr="000D1DAF">
              <w:rPr>
                <w:rFonts w:cs="Arial"/>
                <w:sz w:val="20"/>
                <w:szCs w:val="20"/>
              </w:rPr>
              <w:t>25</w:t>
            </w:r>
          </w:p>
        </w:tc>
        <w:tc>
          <w:tcPr>
            <w:tcW w:w="1099" w:type="dxa"/>
            <w:tcBorders>
              <w:top w:val="nil"/>
              <w:left w:val="nil"/>
              <w:bottom w:val="single" w:sz="4" w:space="0" w:color="auto"/>
              <w:right w:val="single" w:sz="4" w:space="0" w:color="auto"/>
            </w:tcBorders>
            <w:shd w:val="clear" w:color="auto" w:fill="auto"/>
            <w:noWrap/>
            <w:vAlign w:val="center"/>
            <w:hideMark/>
          </w:tcPr>
          <w:p w:rsidR="00AC40FC" w:rsidRPr="000D1DAF" w:rsidRDefault="00AC40FC" w:rsidP="00A57D87">
            <w:pPr>
              <w:spacing w:after="0"/>
              <w:jc w:val="center"/>
              <w:rPr>
                <w:rFonts w:cs="Arial"/>
                <w:sz w:val="20"/>
                <w:szCs w:val="20"/>
              </w:rPr>
            </w:pPr>
            <w:r w:rsidRPr="000D1DAF">
              <w:rPr>
                <w:rFonts w:cs="Arial"/>
                <w:sz w:val="20"/>
                <w:szCs w:val="20"/>
              </w:rPr>
              <w:t>24</w:t>
            </w:r>
          </w:p>
        </w:tc>
        <w:tc>
          <w:tcPr>
            <w:tcW w:w="1099" w:type="dxa"/>
            <w:tcBorders>
              <w:top w:val="nil"/>
              <w:left w:val="nil"/>
              <w:bottom w:val="single" w:sz="4" w:space="0" w:color="auto"/>
              <w:right w:val="single" w:sz="4" w:space="0" w:color="auto"/>
            </w:tcBorders>
            <w:shd w:val="clear" w:color="auto" w:fill="auto"/>
            <w:noWrap/>
            <w:vAlign w:val="center"/>
            <w:hideMark/>
          </w:tcPr>
          <w:p w:rsidR="00AC40FC" w:rsidRPr="000D1DAF" w:rsidRDefault="00AC40FC" w:rsidP="00A57D87">
            <w:pPr>
              <w:spacing w:after="0"/>
              <w:jc w:val="center"/>
              <w:rPr>
                <w:rFonts w:cs="Arial"/>
                <w:sz w:val="20"/>
                <w:szCs w:val="20"/>
              </w:rPr>
            </w:pPr>
            <w:r w:rsidRPr="000D1DAF">
              <w:rPr>
                <w:rFonts w:cs="Arial"/>
                <w:sz w:val="20"/>
                <w:szCs w:val="20"/>
              </w:rPr>
              <w:t>37</w:t>
            </w:r>
          </w:p>
        </w:tc>
        <w:tc>
          <w:tcPr>
            <w:tcW w:w="1099" w:type="dxa"/>
            <w:tcBorders>
              <w:top w:val="nil"/>
              <w:left w:val="nil"/>
              <w:bottom w:val="single" w:sz="4" w:space="0" w:color="auto"/>
              <w:right w:val="single" w:sz="4" w:space="0" w:color="auto"/>
            </w:tcBorders>
            <w:shd w:val="clear" w:color="auto" w:fill="auto"/>
            <w:noWrap/>
            <w:vAlign w:val="center"/>
            <w:hideMark/>
          </w:tcPr>
          <w:p w:rsidR="00AC40FC" w:rsidRPr="000D1DAF" w:rsidRDefault="00AC40FC" w:rsidP="00A57D87">
            <w:pPr>
              <w:spacing w:after="0"/>
              <w:jc w:val="center"/>
              <w:rPr>
                <w:rFonts w:cs="Arial"/>
                <w:sz w:val="20"/>
                <w:szCs w:val="20"/>
              </w:rPr>
            </w:pPr>
            <w:r w:rsidRPr="000D1DAF">
              <w:rPr>
                <w:rFonts w:cs="Arial"/>
                <w:sz w:val="20"/>
                <w:szCs w:val="20"/>
              </w:rPr>
              <w:t>34</w:t>
            </w:r>
          </w:p>
        </w:tc>
        <w:tc>
          <w:tcPr>
            <w:tcW w:w="1125" w:type="dxa"/>
            <w:tcBorders>
              <w:top w:val="nil"/>
              <w:left w:val="nil"/>
              <w:bottom w:val="single" w:sz="4" w:space="0" w:color="auto"/>
              <w:right w:val="single" w:sz="4" w:space="0" w:color="auto"/>
            </w:tcBorders>
            <w:shd w:val="clear" w:color="auto" w:fill="auto"/>
            <w:noWrap/>
            <w:vAlign w:val="center"/>
            <w:hideMark/>
          </w:tcPr>
          <w:p w:rsidR="00AC40FC" w:rsidRPr="000D1DAF" w:rsidRDefault="00AC40FC" w:rsidP="00A57D87">
            <w:pPr>
              <w:spacing w:after="0"/>
              <w:jc w:val="center"/>
              <w:rPr>
                <w:rFonts w:cs="Arial"/>
                <w:sz w:val="20"/>
                <w:szCs w:val="20"/>
              </w:rPr>
            </w:pPr>
            <w:r w:rsidRPr="000D1DAF">
              <w:rPr>
                <w:rFonts w:cs="Arial"/>
                <w:sz w:val="20"/>
                <w:szCs w:val="20"/>
              </w:rPr>
              <w:t>20</w:t>
            </w:r>
          </w:p>
        </w:tc>
        <w:tc>
          <w:tcPr>
            <w:tcW w:w="979" w:type="dxa"/>
            <w:tcBorders>
              <w:top w:val="single" w:sz="4" w:space="0" w:color="auto"/>
              <w:left w:val="nil"/>
              <w:bottom w:val="single" w:sz="4" w:space="0" w:color="auto"/>
              <w:right w:val="single" w:sz="4" w:space="0" w:color="auto"/>
            </w:tcBorders>
            <w:vAlign w:val="center"/>
          </w:tcPr>
          <w:p w:rsidR="00AC40FC" w:rsidRPr="000D1DAF" w:rsidRDefault="00AC40FC" w:rsidP="00A57D87">
            <w:pPr>
              <w:spacing w:after="0"/>
              <w:jc w:val="center"/>
              <w:rPr>
                <w:rFonts w:cs="Arial"/>
                <w:color w:val="000000"/>
                <w:sz w:val="20"/>
                <w:szCs w:val="20"/>
              </w:rPr>
            </w:pPr>
            <w:r>
              <w:rPr>
                <w:rFonts w:cs="Arial"/>
                <w:color w:val="000000"/>
                <w:sz w:val="20"/>
                <w:szCs w:val="20"/>
              </w:rPr>
              <w:t>46</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AC40FC" w:rsidRPr="000D1DAF" w:rsidRDefault="00AC40FC" w:rsidP="00A57D87">
            <w:pPr>
              <w:spacing w:after="0"/>
              <w:jc w:val="center"/>
              <w:rPr>
                <w:rFonts w:cs="Arial"/>
                <w:color w:val="000000"/>
                <w:sz w:val="20"/>
                <w:szCs w:val="20"/>
              </w:rPr>
            </w:pPr>
            <w:r>
              <w:rPr>
                <w:rFonts w:cs="Arial"/>
                <w:color w:val="000000"/>
                <w:sz w:val="20"/>
                <w:szCs w:val="20"/>
              </w:rPr>
              <w:t>12.97</w:t>
            </w:r>
            <w:r w:rsidRPr="000D1DAF">
              <w:rPr>
                <w:rFonts w:cs="Arial"/>
                <w:color w:val="000000"/>
                <w:sz w:val="20"/>
                <w:szCs w:val="20"/>
              </w:rPr>
              <w:t>%</w:t>
            </w:r>
          </w:p>
        </w:tc>
      </w:tr>
      <w:tr w:rsidR="00AC40FC" w:rsidRPr="000D1DAF" w:rsidTr="00BB665B">
        <w:trPr>
          <w:trHeight w:val="255"/>
          <w:jc w:val="center"/>
        </w:trPr>
        <w:tc>
          <w:tcPr>
            <w:tcW w:w="1359" w:type="dxa"/>
            <w:tcBorders>
              <w:top w:val="nil"/>
              <w:left w:val="single" w:sz="4" w:space="0" w:color="auto"/>
              <w:bottom w:val="single" w:sz="4" w:space="0" w:color="auto"/>
              <w:right w:val="single" w:sz="4" w:space="0" w:color="auto"/>
            </w:tcBorders>
            <w:shd w:val="clear" w:color="auto" w:fill="auto"/>
            <w:noWrap/>
            <w:vAlign w:val="center"/>
            <w:hideMark/>
          </w:tcPr>
          <w:p w:rsidR="00AC40FC" w:rsidRPr="00E1561C" w:rsidRDefault="00AC40FC" w:rsidP="00A57D87">
            <w:pPr>
              <w:spacing w:after="0"/>
              <w:jc w:val="center"/>
              <w:rPr>
                <w:rFonts w:cs="Arial"/>
                <w:bCs/>
                <w:sz w:val="20"/>
                <w:szCs w:val="20"/>
              </w:rPr>
            </w:pPr>
            <w:r>
              <w:rPr>
                <w:rFonts w:cs="Arial"/>
                <w:bCs/>
                <w:sz w:val="20"/>
                <w:szCs w:val="20"/>
              </w:rPr>
              <w:t>Persons with Disability</w:t>
            </w:r>
          </w:p>
        </w:tc>
        <w:tc>
          <w:tcPr>
            <w:tcW w:w="1178" w:type="dxa"/>
            <w:tcBorders>
              <w:top w:val="nil"/>
              <w:left w:val="nil"/>
              <w:bottom w:val="single" w:sz="4" w:space="0" w:color="auto"/>
              <w:right w:val="single" w:sz="4" w:space="0" w:color="auto"/>
            </w:tcBorders>
            <w:shd w:val="clear" w:color="auto" w:fill="auto"/>
            <w:noWrap/>
            <w:vAlign w:val="center"/>
            <w:hideMark/>
          </w:tcPr>
          <w:p w:rsidR="00AC40FC" w:rsidRPr="000D1DAF" w:rsidRDefault="00AC40FC" w:rsidP="00A57D87">
            <w:pPr>
              <w:spacing w:after="0"/>
              <w:jc w:val="center"/>
              <w:rPr>
                <w:rFonts w:cs="Arial"/>
                <w:sz w:val="20"/>
                <w:szCs w:val="20"/>
              </w:rPr>
            </w:pPr>
            <w:r w:rsidRPr="000D1DAF">
              <w:rPr>
                <w:rFonts w:cs="Arial"/>
                <w:sz w:val="20"/>
                <w:szCs w:val="20"/>
              </w:rPr>
              <w:t>1</w:t>
            </w:r>
          </w:p>
        </w:tc>
        <w:tc>
          <w:tcPr>
            <w:tcW w:w="1099" w:type="dxa"/>
            <w:tcBorders>
              <w:top w:val="nil"/>
              <w:left w:val="nil"/>
              <w:bottom w:val="single" w:sz="4" w:space="0" w:color="auto"/>
              <w:right w:val="single" w:sz="4" w:space="0" w:color="auto"/>
            </w:tcBorders>
            <w:shd w:val="clear" w:color="auto" w:fill="auto"/>
            <w:noWrap/>
            <w:vAlign w:val="center"/>
            <w:hideMark/>
          </w:tcPr>
          <w:p w:rsidR="00AC40FC" w:rsidRPr="000D1DAF" w:rsidRDefault="00AC40FC" w:rsidP="00A57D87">
            <w:pPr>
              <w:spacing w:after="0"/>
              <w:jc w:val="center"/>
              <w:rPr>
                <w:rFonts w:cs="Arial"/>
                <w:sz w:val="20"/>
                <w:szCs w:val="20"/>
              </w:rPr>
            </w:pPr>
            <w:r w:rsidRPr="000D1DAF">
              <w:rPr>
                <w:rFonts w:cs="Arial"/>
                <w:sz w:val="20"/>
                <w:szCs w:val="20"/>
              </w:rPr>
              <w:t>1</w:t>
            </w:r>
          </w:p>
        </w:tc>
        <w:tc>
          <w:tcPr>
            <w:tcW w:w="1099" w:type="dxa"/>
            <w:tcBorders>
              <w:top w:val="nil"/>
              <w:left w:val="nil"/>
              <w:bottom w:val="single" w:sz="4" w:space="0" w:color="auto"/>
              <w:right w:val="single" w:sz="4" w:space="0" w:color="auto"/>
            </w:tcBorders>
            <w:shd w:val="clear" w:color="auto" w:fill="auto"/>
            <w:noWrap/>
            <w:vAlign w:val="center"/>
            <w:hideMark/>
          </w:tcPr>
          <w:p w:rsidR="00AC40FC" w:rsidRPr="000D1DAF" w:rsidRDefault="00AC40FC" w:rsidP="00A57D87">
            <w:pPr>
              <w:spacing w:after="0"/>
              <w:jc w:val="center"/>
              <w:rPr>
                <w:rFonts w:cs="Arial"/>
                <w:sz w:val="20"/>
                <w:szCs w:val="20"/>
              </w:rPr>
            </w:pPr>
            <w:r w:rsidRPr="000D1DAF">
              <w:rPr>
                <w:rFonts w:cs="Arial"/>
                <w:sz w:val="20"/>
                <w:szCs w:val="20"/>
              </w:rPr>
              <w:t>0</w:t>
            </w:r>
          </w:p>
        </w:tc>
        <w:tc>
          <w:tcPr>
            <w:tcW w:w="1099" w:type="dxa"/>
            <w:tcBorders>
              <w:top w:val="nil"/>
              <w:left w:val="nil"/>
              <w:bottom w:val="single" w:sz="4" w:space="0" w:color="auto"/>
              <w:right w:val="single" w:sz="4" w:space="0" w:color="auto"/>
            </w:tcBorders>
            <w:shd w:val="clear" w:color="auto" w:fill="auto"/>
            <w:noWrap/>
            <w:vAlign w:val="center"/>
            <w:hideMark/>
          </w:tcPr>
          <w:p w:rsidR="00AC40FC" w:rsidRPr="000D1DAF" w:rsidRDefault="00AC40FC" w:rsidP="00A57D87">
            <w:pPr>
              <w:spacing w:after="0"/>
              <w:jc w:val="center"/>
              <w:rPr>
                <w:rFonts w:cs="Arial"/>
                <w:sz w:val="20"/>
                <w:szCs w:val="20"/>
              </w:rPr>
            </w:pPr>
            <w:r w:rsidRPr="000D1DAF">
              <w:rPr>
                <w:rFonts w:cs="Arial"/>
                <w:sz w:val="20"/>
                <w:szCs w:val="20"/>
              </w:rPr>
              <w:t>0</w:t>
            </w:r>
          </w:p>
        </w:tc>
        <w:tc>
          <w:tcPr>
            <w:tcW w:w="1125" w:type="dxa"/>
            <w:tcBorders>
              <w:top w:val="nil"/>
              <w:left w:val="nil"/>
              <w:bottom w:val="single" w:sz="4" w:space="0" w:color="auto"/>
              <w:right w:val="single" w:sz="4" w:space="0" w:color="auto"/>
            </w:tcBorders>
            <w:shd w:val="clear" w:color="auto" w:fill="auto"/>
            <w:noWrap/>
            <w:vAlign w:val="center"/>
            <w:hideMark/>
          </w:tcPr>
          <w:p w:rsidR="00AC40FC" w:rsidRPr="000D1DAF" w:rsidRDefault="00AC40FC" w:rsidP="00A57D87">
            <w:pPr>
              <w:spacing w:after="0"/>
              <w:jc w:val="center"/>
              <w:rPr>
                <w:rFonts w:cs="Arial"/>
                <w:sz w:val="20"/>
                <w:szCs w:val="20"/>
              </w:rPr>
            </w:pPr>
            <w:r w:rsidRPr="000D1DAF">
              <w:rPr>
                <w:rFonts w:cs="Arial"/>
                <w:sz w:val="20"/>
                <w:szCs w:val="20"/>
              </w:rPr>
              <w:t>1</w:t>
            </w:r>
          </w:p>
        </w:tc>
        <w:tc>
          <w:tcPr>
            <w:tcW w:w="979" w:type="dxa"/>
            <w:tcBorders>
              <w:top w:val="single" w:sz="4" w:space="0" w:color="auto"/>
              <w:left w:val="nil"/>
              <w:bottom w:val="single" w:sz="4" w:space="0" w:color="auto"/>
              <w:right w:val="single" w:sz="4" w:space="0" w:color="auto"/>
            </w:tcBorders>
            <w:vAlign w:val="center"/>
          </w:tcPr>
          <w:p w:rsidR="00AC40FC" w:rsidRPr="000D1DAF" w:rsidRDefault="00AC40FC" w:rsidP="00A57D87">
            <w:pPr>
              <w:spacing w:after="0"/>
              <w:jc w:val="center"/>
              <w:rPr>
                <w:rFonts w:cs="Arial"/>
                <w:color w:val="000000"/>
                <w:sz w:val="20"/>
                <w:szCs w:val="20"/>
              </w:rPr>
            </w:pPr>
            <w:r>
              <w:rPr>
                <w:rFonts w:cs="Arial"/>
                <w:color w:val="000000"/>
                <w:sz w:val="20"/>
                <w:szCs w:val="20"/>
              </w:rPr>
              <w:t>1</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AC40FC" w:rsidRPr="000D1DAF" w:rsidRDefault="00AC40FC" w:rsidP="00A57D87">
            <w:pPr>
              <w:spacing w:after="0"/>
              <w:jc w:val="center"/>
              <w:rPr>
                <w:rFonts w:cs="Arial"/>
                <w:color w:val="000000"/>
                <w:sz w:val="20"/>
                <w:szCs w:val="20"/>
              </w:rPr>
            </w:pPr>
            <w:r w:rsidRPr="000D1DAF">
              <w:rPr>
                <w:rFonts w:cs="Arial"/>
                <w:color w:val="000000"/>
                <w:sz w:val="20"/>
                <w:szCs w:val="20"/>
              </w:rPr>
              <w:t>0.0%</w:t>
            </w:r>
          </w:p>
        </w:tc>
      </w:tr>
      <w:tr w:rsidR="00AC40FC" w:rsidRPr="000D1DAF" w:rsidTr="00BB665B">
        <w:trPr>
          <w:trHeight w:val="255"/>
          <w:jc w:val="center"/>
        </w:trPr>
        <w:tc>
          <w:tcPr>
            <w:tcW w:w="1359" w:type="dxa"/>
            <w:tcBorders>
              <w:top w:val="nil"/>
              <w:left w:val="single" w:sz="4" w:space="0" w:color="auto"/>
              <w:bottom w:val="single" w:sz="4" w:space="0" w:color="auto"/>
              <w:right w:val="single" w:sz="4" w:space="0" w:color="auto"/>
            </w:tcBorders>
            <w:shd w:val="clear" w:color="auto" w:fill="auto"/>
            <w:noWrap/>
            <w:vAlign w:val="center"/>
            <w:hideMark/>
          </w:tcPr>
          <w:p w:rsidR="00AC40FC" w:rsidRPr="00E1561C" w:rsidRDefault="00AC40FC" w:rsidP="00A57D87">
            <w:pPr>
              <w:spacing w:after="0"/>
              <w:jc w:val="center"/>
              <w:rPr>
                <w:rFonts w:cs="Arial"/>
                <w:bCs/>
                <w:sz w:val="20"/>
                <w:szCs w:val="20"/>
              </w:rPr>
            </w:pPr>
            <w:r>
              <w:rPr>
                <w:rFonts w:cs="Arial"/>
                <w:bCs/>
                <w:sz w:val="20"/>
                <w:szCs w:val="20"/>
              </w:rPr>
              <w:t>Other Diverse</w:t>
            </w:r>
            <w:r w:rsidRPr="00A75FD3">
              <w:rPr>
                <w:rFonts w:cs="Arial"/>
                <w:b/>
                <w:bCs/>
                <w:sz w:val="20"/>
                <w:szCs w:val="20"/>
              </w:rPr>
              <w:t>*</w:t>
            </w:r>
          </w:p>
        </w:tc>
        <w:tc>
          <w:tcPr>
            <w:tcW w:w="1178" w:type="dxa"/>
            <w:tcBorders>
              <w:top w:val="nil"/>
              <w:left w:val="nil"/>
              <w:bottom w:val="single" w:sz="4" w:space="0" w:color="auto"/>
              <w:right w:val="single" w:sz="4" w:space="0" w:color="auto"/>
            </w:tcBorders>
            <w:shd w:val="clear" w:color="auto" w:fill="auto"/>
            <w:noWrap/>
            <w:vAlign w:val="center"/>
            <w:hideMark/>
          </w:tcPr>
          <w:p w:rsidR="00AC40FC" w:rsidRPr="000D1DAF" w:rsidRDefault="00AC40FC" w:rsidP="00A57D87">
            <w:pPr>
              <w:spacing w:after="0"/>
              <w:jc w:val="center"/>
              <w:rPr>
                <w:rFonts w:cs="Arial"/>
                <w:sz w:val="20"/>
                <w:szCs w:val="20"/>
              </w:rPr>
            </w:pPr>
            <w:r>
              <w:rPr>
                <w:rFonts w:cs="Arial"/>
                <w:sz w:val="20"/>
                <w:szCs w:val="20"/>
              </w:rPr>
              <w:t>260</w:t>
            </w:r>
          </w:p>
        </w:tc>
        <w:tc>
          <w:tcPr>
            <w:tcW w:w="1099" w:type="dxa"/>
            <w:tcBorders>
              <w:top w:val="nil"/>
              <w:left w:val="nil"/>
              <w:bottom w:val="single" w:sz="4" w:space="0" w:color="auto"/>
              <w:right w:val="single" w:sz="4" w:space="0" w:color="auto"/>
            </w:tcBorders>
            <w:shd w:val="clear" w:color="auto" w:fill="auto"/>
            <w:noWrap/>
            <w:vAlign w:val="center"/>
            <w:hideMark/>
          </w:tcPr>
          <w:p w:rsidR="00AC40FC" w:rsidRPr="000D1DAF" w:rsidRDefault="00AC40FC" w:rsidP="00A57D87">
            <w:pPr>
              <w:spacing w:after="0"/>
              <w:jc w:val="center"/>
              <w:rPr>
                <w:rFonts w:cs="Arial"/>
                <w:sz w:val="20"/>
                <w:szCs w:val="20"/>
              </w:rPr>
            </w:pPr>
            <w:r>
              <w:rPr>
                <w:rFonts w:cs="Arial"/>
                <w:sz w:val="20"/>
                <w:szCs w:val="20"/>
              </w:rPr>
              <w:t>188</w:t>
            </w:r>
          </w:p>
        </w:tc>
        <w:tc>
          <w:tcPr>
            <w:tcW w:w="1099" w:type="dxa"/>
            <w:tcBorders>
              <w:top w:val="nil"/>
              <w:left w:val="nil"/>
              <w:bottom w:val="single" w:sz="4" w:space="0" w:color="auto"/>
              <w:right w:val="single" w:sz="4" w:space="0" w:color="auto"/>
            </w:tcBorders>
            <w:shd w:val="clear" w:color="auto" w:fill="auto"/>
            <w:noWrap/>
            <w:vAlign w:val="center"/>
            <w:hideMark/>
          </w:tcPr>
          <w:p w:rsidR="00AC40FC" w:rsidRPr="000D1DAF" w:rsidRDefault="00AC40FC" w:rsidP="00A57D87">
            <w:pPr>
              <w:spacing w:after="0"/>
              <w:jc w:val="center"/>
              <w:rPr>
                <w:rFonts w:cs="Arial"/>
                <w:sz w:val="20"/>
                <w:szCs w:val="20"/>
              </w:rPr>
            </w:pPr>
            <w:r>
              <w:rPr>
                <w:rFonts w:cs="Arial"/>
                <w:sz w:val="20"/>
                <w:szCs w:val="20"/>
              </w:rPr>
              <w:t>285</w:t>
            </w:r>
          </w:p>
        </w:tc>
        <w:tc>
          <w:tcPr>
            <w:tcW w:w="1099" w:type="dxa"/>
            <w:tcBorders>
              <w:top w:val="nil"/>
              <w:left w:val="nil"/>
              <w:bottom w:val="single" w:sz="4" w:space="0" w:color="auto"/>
              <w:right w:val="single" w:sz="4" w:space="0" w:color="auto"/>
            </w:tcBorders>
            <w:shd w:val="clear" w:color="auto" w:fill="auto"/>
            <w:noWrap/>
            <w:vAlign w:val="center"/>
            <w:hideMark/>
          </w:tcPr>
          <w:p w:rsidR="00AC40FC" w:rsidRPr="000D1DAF" w:rsidRDefault="00AC40FC" w:rsidP="00A57D87">
            <w:pPr>
              <w:spacing w:after="0"/>
              <w:jc w:val="center"/>
              <w:rPr>
                <w:rFonts w:cs="Arial"/>
                <w:sz w:val="20"/>
                <w:szCs w:val="20"/>
              </w:rPr>
            </w:pPr>
            <w:r>
              <w:rPr>
                <w:rFonts w:cs="Arial"/>
                <w:sz w:val="20"/>
                <w:szCs w:val="20"/>
              </w:rPr>
              <w:t>302</w:t>
            </w:r>
          </w:p>
        </w:tc>
        <w:tc>
          <w:tcPr>
            <w:tcW w:w="1125" w:type="dxa"/>
            <w:tcBorders>
              <w:top w:val="nil"/>
              <w:left w:val="nil"/>
              <w:bottom w:val="single" w:sz="4" w:space="0" w:color="auto"/>
              <w:right w:val="single" w:sz="4" w:space="0" w:color="auto"/>
            </w:tcBorders>
            <w:shd w:val="clear" w:color="auto" w:fill="auto"/>
            <w:noWrap/>
            <w:vAlign w:val="center"/>
            <w:hideMark/>
          </w:tcPr>
          <w:p w:rsidR="00AC40FC" w:rsidRPr="000D1DAF" w:rsidRDefault="00AC40FC" w:rsidP="00A57D87">
            <w:pPr>
              <w:spacing w:after="0"/>
              <w:jc w:val="center"/>
              <w:rPr>
                <w:rFonts w:cs="Arial"/>
                <w:sz w:val="20"/>
                <w:szCs w:val="20"/>
              </w:rPr>
            </w:pPr>
            <w:r>
              <w:rPr>
                <w:rFonts w:cs="Arial"/>
                <w:sz w:val="20"/>
                <w:szCs w:val="20"/>
              </w:rPr>
              <w:t>366</w:t>
            </w:r>
          </w:p>
        </w:tc>
        <w:tc>
          <w:tcPr>
            <w:tcW w:w="979" w:type="dxa"/>
            <w:tcBorders>
              <w:top w:val="single" w:sz="4" w:space="0" w:color="auto"/>
              <w:left w:val="nil"/>
              <w:bottom w:val="single" w:sz="4" w:space="0" w:color="auto"/>
              <w:right w:val="single" w:sz="4" w:space="0" w:color="auto"/>
            </w:tcBorders>
            <w:vAlign w:val="center"/>
          </w:tcPr>
          <w:p w:rsidR="00AC40FC" w:rsidRDefault="00AC40FC" w:rsidP="00A57D87">
            <w:pPr>
              <w:spacing w:after="0"/>
              <w:jc w:val="center"/>
              <w:rPr>
                <w:rFonts w:cs="Arial"/>
                <w:color w:val="000000"/>
                <w:sz w:val="20"/>
                <w:szCs w:val="20"/>
              </w:rPr>
            </w:pPr>
            <w:r>
              <w:rPr>
                <w:rFonts w:cs="Arial"/>
                <w:color w:val="000000"/>
                <w:sz w:val="20"/>
                <w:szCs w:val="20"/>
              </w:rPr>
              <w:t>209</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AC40FC" w:rsidRPr="000D1DAF" w:rsidRDefault="00AC40FC" w:rsidP="00A57D87">
            <w:pPr>
              <w:spacing w:after="0"/>
              <w:jc w:val="center"/>
              <w:rPr>
                <w:rFonts w:cs="Arial"/>
                <w:color w:val="000000"/>
                <w:sz w:val="20"/>
                <w:szCs w:val="20"/>
              </w:rPr>
            </w:pPr>
            <w:r>
              <w:rPr>
                <w:rFonts w:cs="Arial"/>
                <w:color w:val="000000"/>
                <w:sz w:val="20"/>
                <w:szCs w:val="20"/>
              </w:rPr>
              <w:t>-4.27%</w:t>
            </w:r>
          </w:p>
        </w:tc>
      </w:tr>
      <w:tr w:rsidR="00AC40FC" w:rsidRPr="000D1DAF" w:rsidTr="00BB665B">
        <w:trPr>
          <w:trHeight w:val="255"/>
          <w:jc w:val="center"/>
        </w:trPr>
        <w:tc>
          <w:tcPr>
            <w:tcW w:w="1359" w:type="dxa"/>
            <w:tcBorders>
              <w:top w:val="nil"/>
              <w:left w:val="single" w:sz="4" w:space="0" w:color="auto"/>
              <w:bottom w:val="single" w:sz="4" w:space="0" w:color="auto"/>
              <w:right w:val="single" w:sz="4" w:space="0" w:color="auto"/>
            </w:tcBorders>
            <w:shd w:val="clear" w:color="auto" w:fill="auto"/>
            <w:noWrap/>
            <w:vAlign w:val="center"/>
            <w:hideMark/>
          </w:tcPr>
          <w:p w:rsidR="00AC40FC" w:rsidRPr="000D1DAF" w:rsidRDefault="00AC40FC" w:rsidP="00A57D87">
            <w:pPr>
              <w:spacing w:after="0"/>
              <w:jc w:val="center"/>
              <w:rPr>
                <w:rFonts w:cs="Arial"/>
                <w:b/>
                <w:bCs/>
                <w:sz w:val="20"/>
                <w:szCs w:val="20"/>
              </w:rPr>
            </w:pPr>
            <w:r w:rsidRPr="000D1DAF">
              <w:rPr>
                <w:rFonts w:cs="Arial"/>
                <w:b/>
                <w:bCs/>
                <w:sz w:val="20"/>
                <w:szCs w:val="20"/>
              </w:rPr>
              <w:t>TOTAL:</w:t>
            </w:r>
          </w:p>
        </w:tc>
        <w:tc>
          <w:tcPr>
            <w:tcW w:w="1178" w:type="dxa"/>
            <w:tcBorders>
              <w:top w:val="nil"/>
              <w:left w:val="nil"/>
              <w:bottom w:val="single" w:sz="4" w:space="0" w:color="auto"/>
              <w:right w:val="single" w:sz="4" w:space="0" w:color="auto"/>
            </w:tcBorders>
            <w:shd w:val="clear" w:color="auto" w:fill="auto"/>
            <w:noWrap/>
            <w:vAlign w:val="center"/>
            <w:hideMark/>
          </w:tcPr>
          <w:p w:rsidR="00AC40FC" w:rsidRPr="000D1DAF" w:rsidRDefault="00AC40FC" w:rsidP="00A57D87">
            <w:pPr>
              <w:spacing w:after="0"/>
              <w:jc w:val="center"/>
              <w:rPr>
                <w:rFonts w:cs="Arial"/>
                <w:b/>
                <w:bCs/>
                <w:sz w:val="20"/>
                <w:szCs w:val="20"/>
              </w:rPr>
            </w:pPr>
            <w:r w:rsidRPr="000D1DAF">
              <w:rPr>
                <w:rFonts w:cs="Arial"/>
                <w:b/>
                <w:bCs/>
                <w:sz w:val="20"/>
                <w:szCs w:val="20"/>
              </w:rPr>
              <w:t>293</w:t>
            </w:r>
          </w:p>
        </w:tc>
        <w:tc>
          <w:tcPr>
            <w:tcW w:w="1099" w:type="dxa"/>
            <w:tcBorders>
              <w:top w:val="nil"/>
              <w:left w:val="nil"/>
              <w:bottom w:val="single" w:sz="4" w:space="0" w:color="auto"/>
              <w:right w:val="single" w:sz="4" w:space="0" w:color="auto"/>
            </w:tcBorders>
            <w:shd w:val="clear" w:color="auto" w:fill="auto"/>
            <w:noWrap/>
            <w:vAlign w:val="center"/>
            <w:hideMark/>
          </w:tcPr>
          <w:p w:rsidR="00AC40FC" w:rsidRPr="000D1DAF" w:rsidRDefault="00AC40FC" w:rsidP="00A57D87">
            <w:pPr>
              <w:spacing w:after="0"/>
              <w:jc w:val="center"/>
              <w:rPr>
                <w:rFonts w:cs="Arial"/>
                <w:b/>
                <w:bCs/>
                <w:sz w:val="20"/>
                <w:szCs w:val="20"/>
              </w:rPr>
            </w:pPr>
            <w:r w:rsidRPr="000D1DAF">
              <w:rPr>
                <w:rFonts w:cs="Arial"/>
                <w:b/>
                <w:bCs/>
                <w:sz w:val="20"/>
                <w:szCs w:val="20"/>
              </w:rPr>
              <w:t>220</w:t>
            </w:r>
          </w:p>
        </w:tc>
        <w:tc>
          <w:tcPr>
            <w:tcW w:w="1099" w:type="dxa"/>
            <w:tcBorders>
              <w:top w:val="nil"/>
              <w:left w:val="nil"/>
              <w:bottom w:val="single" w:sz="4" w:space="0" w:color="auto"/>
              <w:right w:val="single" w:sz="4" w:space="0" w:color="auto"/>
            </w:tcBorders>
            <w:shd w:val="clear" w:color="auto" w:fill="auto"/>
            <w:noWrap/>
            <w:vAlign w:val="center"/>
            <w:hideMark/>
          </w:tcPr>
          <w:p w:rsidR="00AC40FC" w:rsidRPr="000D1DAF" w:rsidRDefault="00AC40FC" w:rsidP="00A57D87">
            <w:pPr>
              <w:spacing w:after="0"/>
              <w:jc w:val="center"/>
              <w:rPr>
                <w:rFonts w:cs="Arial"/>
                <w:b/>
                <w:bCs/>
                <w:sz w:val="20"/>
                <w:szCs w:val="20"/>
              </w:rPr>
            </w:pPr>
            <w:r w:rsidRPr="000D1DAF">
              <w:rPr>
                <w:rFonts w:cs="Arial"/>
                <w:b/>
                <w:bCs/>
                <w:sz w:val="20"/>
                <w:szCs w:val="20"/>
              </w:rPr>
              <w:t>357</w:t>
            </w:r>
          </w:p>
        </w:tc>
        <w:tc>
          <w:tcPr>
            <w:tcW w:w="1099" w:type="dxa"/>
            <w:tcBorders>
              <w:top w:val="nil"/>
              <w:left w:val="nil"/>
              <w:bottom w:val="single" w:sz="4" w:space="0" w:color="auto"/>
              <w:right w:val="single" w:sz="4" w:space="0" w:color="auto"/>
            </w:tcBorders>
            <w:shd w:val="clear" w:color="auto" w:fill="auto"/>
            <w:noWrap/>
            <w:vAlign w:val="center"/>
            <w:hideMark/>
          </w:tcPr>
          <w:p w:rsidR="00AC40FC" w:rsidRPr="000D1DAF" w:rsidRDefault="00AC40FC" w:rsidP="00A57D87">
            <w:pPr>
              <w:spacing w:after="0"/>
              <w:jc w:val="center"/>
              <w:rPr>
                <w:rFonts w:cs="Arial"/>
                <w:b/>
                <w:bCs/>
                <w:sz w:val="20"/>
                <w:szCs w:val="20"/>
              </w:rPr>
            </w:pPr>
            <w:r w:rsidRPr="000D1DAF">
              <w:rPr>
                <w:rFonts w:cs="Arial"/>
                <w:b/>
                <w:bCs/>
                <w:sz w:val="20"/>
                <w:szCs w:val="20"/>
              </w:rPr>
              <w:t>525</w:t>
            </w:r>
          </w:p>
        </w:tc>
        <w:tc>
          <w:tcPr>
            <w:tcW w:w="1125" w:type="dxa"/>
            <w:tcBorders>
              <w:top w:val="nil"/>
              <w:left w:val="nil"/>
              <w:bottom w:val="single" w:sz="4" w:space="0" w:color="auto"/>
              <w:right w:val="single" w:sz="4" w:space="0" w:color="auto"/>
            </w:tcBorders>
            <w:shd w:val="clear" w:color="auto" w:fill="auto"/>
            <w:noWrap/>
            <w:vAlign w:val="center"/>
            <w:hideMark/>
          </w:tcPr>
          <w:p w:rsidR="00AC40FC" w:rsidRPr="000D1DAF" w:rsidRDefault="00AC40FC" w:rsidP="00A57D87">
            <w:pPr>
              <w:spacing w:after="0"/>
              <w:jc w:val="center"/>
              <w:rPr>
                <w:rFonts w:cs="Arial"/>
                <w:b/>
                <w:bCs/>
                <w:sz w:val="20"/>
                <w:szCs w:val="20"/>
              </w:rPr>
            </w:pPr>
            <w:r w:rsidRPr="000D1DAF">
              <w:rPr>
                <w:rFonts w:cs="Arial"/>
                <w:b/>
                <w:bCs/>
                <w:sz w:val="20"/>
                <w:szCs w:val="20"/>
              </w:rPr>
              <w:t>407</w:t>
            </w:r>
          </w:p>
        </w:tc>
        <w:tc>
          <w:tcPr>
            <w:tcW w:w="979" w:type="dxa"/>
            <w:tcBorders>
              <w:top w:val="single" w:sz="4" w:space="0" w:color="auto"/>
              <w:left w:val="nil"/>
              <w:bottom w:val="single" w:sz="4" w:space="0" w:color="auto"/>
              <w:right w:val="single" w:sz="4" w:space="0" w:color="auto"/>
            </w:tcBorders>
            <w:vAlign w:val="center"/>
          </w:tcPr>
          <w:p w:rsidR="00AC40FC" w:rsidRPr="000D1DAF" w:rsidRDefault="00AC40FC" w:rsidP="00A57D87">
            <w:pPr>
              <w:spacing w:after="0"/>
              <w:jc w:val="center"/>
              <w:rPr>
                <w:rFonts w:cs="Arial"/>
                <w:b/>
                <w:bCs/>
                <w:color w:val="000000"/>
                <w:sz w:val="20"/>
                <w:szCs w:val="20"/>
              </w:rPr>
            </w:pPr>
            <w:r>
              <w:rPr>
                <w:rFonts w:cs="Arial"/>
                <w:b/>
                <w:bCs/>
                <w:color w:val="000000"/>
                <w:sz w:val="20"/>
                <w:szCs w:val="20"/>
              </w:rPr>
              <w:t>269</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AC40FC" w:rsidRPr="000D1DAF" w:rsidRDefault="00AC40FC" w:rsidP="00A57D87">
            <w:pPr>
              <w:spacing w:after="0"/>
              <w:jc w:val="center"/>
              <w:rPr>
                <w:rFonts w:cs="Arial"/>
                <w:b/>
                <w:bCs/>
                <w:color w:val="000000"/>
                <w:sz w:val="20"/>
                <w:szCs w:val="20"/>
              </w:rPr>
            </w:pPr>
            <w:r>
              <w:rPr>
                <w:rFonts w:cs="Arial"/>
                <w:b/>
                <w:bCs/>
                <w:color w:val="000000"/>
                <w:sz w:val="20"/>
                <w:szCs w:val="20"/>
              </w:rPr>
              <w:t>-1.69</w:t>
            </w:r>
            <w:r w:rsidRPr="000D1DAF">
              <w:rPr>
                <w:rFonts w:cs="Arial"/>
                <w:b/>
                <w:bCs/>
                <w:color w:val="000000"/>
                <w:sz w:val="20"/>
                <w:szCs w:val="20"/>
              </w:rPr>
              <w:t>%</w:t>
            </w:r>
          </w:p>
        </w:tc>
      </w:tr>
      <w:tr w:rsidR="00AC40FC" w:rsidRPr="000D1DAF" w:rsidTr="00A57D87">
        <w:trPr>
          <w:trHeight w:val="255"/>
          <w:jc w:val="center"/>
        </w:trPr>
        <w:tc>
          <w:tcPr>
            <w:tcW w:w="9378" w:type="dxa"/>
            <w:gridSpan w:val="8"/>
            <w:tcBorders>
              <w:top w:val="single" w:sz="4" w:space="0" w:color="auto"/>
              <w:left w:val="single" w:sz="4" w:space="0" w:color="auto"/>
              <w:bottom w:val="single" w:sz="4" w:space="0" w:color="auto"/>
              <w:right w:val="single" w:sz="4" w:space="0" w:color="auto"/>
            </w:tcBorders>
            <w:vAlign w:val="center"/>
          </w:tcPr>
          <w:p w:rsidR="00AC40FC" w:rsidRPr="00A75FD3" w:rsidRDefault="00AC40FC" w:rsidP="00A57D87">
            <w:pPr>
              <w:spacing w:after="0"/>
              <w:jc w:val="left"/>
              <w:rPr>
                <w:rFonts w:cs="Arial"/>
                <w:sz w:val="20"/>
                <w:szCs w:val="20"/>
              </w:rPr>
            </w:pPr>
            <w:r w:rsidRPr="00A75FD3">
              <w:rPr>
                <w:rFonts w:cs="Arial"/>
                <w:b/>
                <w:sz w:val="20"/>
                <w:szCs w:val="20"/>
              </w:rPr>
              <w:t xml:space="preserve">* </w:t>
            </w:r>
            <w:r>
              <w:rPr>
                <w:rFonts w:cs="Arial"/>
                <w:sz w:val="20"/>
                <w:szCs w:val="20"/>
              </w:rPr>
              <w:t>Includes Small Business, Veteran and HUB contract categories</w:t>
            </w:r>
          </w:p>
        </w:tc>
      </w:tr>
      <w:tr w:rsidR="00AC40FC" w:rsidRPr="000D1DAF" w:rsidTr="00A57D87">
        <w:trPr>
          <w:trHeight w:val="255"/>
          <w:jc w:val="center"/>
        </w:trPr>
        <w:tc>
          <w:tcPr>
            <w:tcW w:w="9378" w:type="dxa"/>
            <w:gridSpan w:val="8"/>
            <w:tcBorders>
              <w:top w:val="single" w:sz="4" w:space="0" w:color="auto"/>
              <w:left w:val="single" w:sz="4" w:space="0" w:color="auto"/>
              <w:bottom w:val="single" w:sz="4" w:space="0" w:color="auto"/>
              <w:right w:val="single" w:sz="4" w:space="0" w:color="auto"/>
            </w:tcBorders>
            <w:vAlign w:val="center"/>
          </w:tcPr>
          <w:p w:rsidR="00AC40FC" w:rsidRPr="000D1DAF" w:rsidRDefault="00AC40FC" w:rsidP="00A57D87">
            <w:pPr>
              <w:spacing w:after="0"/>
              <w:jc w:val="left"/>
              <w:rPr>
                <w:rFonts w:cs="Arial"/>
                <w:sz w:val="20"/>
                <w:szCs w:val="20"/>
              </w:rPr>
            </w:pPr>
            <w:r w:rsidRPr="000D1DAF">
              <w:rPr>
                <w:rFonts w:cs="Arial"/>
                <w:sz w:val="20"/>
                <w:szCs w:val="20"/>
              </w:rPr>
              <w:t>Source: DN 17-149</w:t>
            </w:r>
          </w:p>
        </w:tc>
      </w:tr>
    </w:tbl>
    <w:p w:rsidR="00AC40FC" w:rsidRDefault="00AC40FC" w:rsidP="00A57D87">
      <w:pPr>
        <w:pStyle w:val="Normal-aftertable"/>
      </w:pPr>
      <w:r w:rsidRPr="00B741EC">
        <w:t>The number of con</w:t>
      </w:r>
      <w:r>
        <w:t xml:space="preserve">tracts awarded to active Minority Owned vendors has declined since 2013 and the number of contracts awarded to Women Owned vendors increased in 2015.  There were two years with no Persons with Disability Owned vendors and only one contract was awarded to Persons with Disability Owned </w:t>
      </w:r>
      <w:r w:rsidRPr="00B741EC">
        <w:t xml:space="preserve">vendors </w:t>
      </w:r>
      <w:r>
        <w:t>in the other four years</w:t>
      </w:r>
      <w:r w:rsidRPr="00B741EC">
        <w:t xml:space="preserve">. </w:t>
      </w:r>
      <w:r>
        <w:t xml:space="preserve"> It is noteworthy that the overall number of total contracts awarded to diverse vendors has varied considerably over the period but declined since 2010.</w:t>
      </w:r>
    </w:p>
    <w:p w:rsidR="00AC40FC" w:rsidRDefault="00AC40FC" w:rsidP="00BB665B">
      <w:pPr>
        <w:pStyle w:val="Heading-forToC"/>
      </w:pPr>
      <w:bookmarkStart w:id="290" w:name="_Toc462647889"/>
      <w:bookmarkStart w:id="291" w:name="_Toc464552128"/>
      <w:r>
        <w:lastRenderedPageBreak/>
        <w:t>Recommendations</w:t>
      </w:r>
      <w:bookmarkEnd w:id="290"/>
      <w:bookmarkEnd w:id="291"/>
    </w:p>
    <w:p w:rsidR="00AC40FC" w:rsidRDefault="00AC40FC" w:rsidP="004F00E5">
      <w:pPr>
        <w:pStyle w:val="Findings"/>
        <w:numPr>
          <w:ilvl w:val="0"/>
          <w:numId w:val="130"/>
        </w:numPr>
      </w:pPr>
      <w:r>
        <w:t xml:space="preserve">Identify and correct the cause of inconsistencies and errors in the diversity expenditure report and track Persons with Disability Owned business spend for reporting purposes.  (See Finding 2) </w:t>
      </w:r>
    </w:p>
    <w:p w:rsidR="00AC40FC" w:rsidRDefault="00AC40FC" w:rsidP="00A57D87">
      <w:r>
        <w:t>PPL EUS Supply Chain should establish a coding methodology that would account for diversity categories that meet the needs of PUC and SGA reporting requirements, specifically including a Persons with Disability Owned category.  It is also suggested that PPL EUS Supply Chain work collaboratively with PPL EUS Accounting to ensure consistency in coding and resultant reporting.  This coding methodology will need to take into account the fact that some vendors will need to be categorized in multiple categories, e.g. person with disability, minority and female.</w:t>
      </w:r>
    </w:p>
    <w:p w:rsidR="00AC40FC" w:rsidRDefault="00AC40FC" w:rsidP="00A57D87">
      <w:pPr>
        <w:pStyle w:val="Findings"/>
      </w:pPr>
      <w:r>
        <w:t>Analyze the effectiveness of each vendor diversity outreach effort, set appropriate diverse spend goals in each category, and implement initiatives to achieve the goals.  (See Findings 3, 4, and 5)</w:t>
      </w:r>
    </w:p>
    <w:p w:rsidR="00AC40FC" w:rsidRDefault="00AC40FC" w:rsidP="00A57D87">
      <w:r>
        <w:t>Once vendors have been consistently and accurately categorized, PPL EU Supply Chain can establish a baseline from which to establish appropriate goals and measure future progress.  It is recommended that PPL EUS Supply Chain begin tracking its vendor outreach activities to accurately understand the diversity of vendors it is bringing into its system and whether or not diverse vendors exist that provide a particular service or good for which PPL EU has established a need.  Once the level of available vendors is accurately determined, goals can be appropriately established for vendor recruitment and vendor spend.  In addition, tracking of vendors awarded versus those considered will help determine if efforts are resulting in the achievement of goals.</w:t>
      </w:r>
    </w:p>
    <w:p w:rsidR="00AC40FC" w:rsidRPr="000751E4" w:rsidRDefault="00AC40FC" w:rsidP="004F00E5">
      <w:pPr>
        <w:pStyle w:val="Heading2"/>
        <w:numPr>
          <w:ilvl w:val="0"/>
          <w:numId w:val="112"/>
        </w:numPr>
      </w:pPr>
      <w:bookmarkStart w:id="292" w:name="_Toc462647890"/>
      <w:bookmarkStart w:id="293" w:name="_Toc464552129"/>
      <w:r w:rsidRPr="000751E4">
        <w:t>employee diversity</w:t>
      </w:r>
      <w:bookmarkEnd w:id="292"/>
      <w:bookmarkEnd w:id="293"/>
    </w:p>
    <w:p w:rsidR="00AC40FC" w:rsidRDefault="00AC40FC" w:rsidP="00BB665B">
      <w:pPr>
        <w:pStyle w:val="Heading-forToC"/>
      </w:pPr>
      <w:bookmarkStart w:id="294" w:name="_Toc462647891"/>
      <w:bookmarkStart w:id="295" w:name="_Toc464552130"/>
      <w:r>
        <w:t>background</w:t>
      </w:r>
      <w:bookmarkEnd w:id="294"/>
      <w:bookmarkEnd w:id="295"/>
    </w:p>
    <w:p w:rsidR="00AC40FC" w:rsidRDefault="00AC40FC">
      <w:r>
        <w:t>The PUC requires major jurisdictional utility companies operating in the Commonwealth, such as PPL EU, to implement an employee diversity program to improve its level of diversity in the workplace.</w:t>
      </w:r>
    </w:p>
    <w:p w:rsidR="00AC40FC" w:rsidRDefault="00AC40FC">
      <w:r>
        <w:t>The PPL EUS Human Resources (HR) unit responsible for the Employee Diversity Program is shown in the following chart.</w:t>
      </w:r>
    </w:p>
    <w:p w:rsidR="00AC40FC" w:rsidRDefault="00AC40FC" w:rsidP="002B3172">
      <w:pPr>
        <w:pStyle w:val="Caption"/>
      </w:pPr>
      <w:bookmarkStart w:id="296" w:name="_Toc462648473"/>
      <w:bookmarkStart w:id="297" w:name="_Toc464553095"/>
      <w:r>
        <w:lastRenderedPageBreak/>
        <w:t xml:space="preserve">Exhibit </w:t>
      </w:r>
      <w:fldSimple w:instr=" STYLEREF 1 \s ">
        <w:r w:rsidR="00A24205">
          <w:rPr>
            <w:noProof/>
          </w:rPr>
          <w:t>XIV</w:t>
        </w:r>
      </w:fldSimple>
      <w:r w:rsidR="00264A1B">
        <w:noBreakHyphen/>
      </w:r>
      <w:fldSimple w:instr=" SEQ Exhibit \* ARABIC \s 1 ">
        <w:r w:rsidR="00A24205">
          <w:rPr>
            <w:noProof/>
          </w:rPr>
          <w:t>8</w:t>
        </w:r>
      </w:fldSimple>
      <w:r>
        <w:br/>
        <w:t>PPL EUS Human Resources – Employee Diversity Responsibility</w:t>
      </w:r>
      <w:bookmarkEnd w:id="296"/>
      <w:bookmarkEnd w:id="297"/>
    </w:p>
    <w:p w:rsidR="00AC40FC" w:rsidRDefault="00AC40FC" w:rsidP="00A57D87">
      <w:r>
        <w:rPr>
          <w:noProof/>
        </w:rPr>
        <w:drawing>
          <wp:inline distT="0" distB="0" distL="0" distR="0">
            <wp:extent cx="5943600" cy="2552065"/>
            <wp:effectExtent l="0" t="0" r="0" b="63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PL-EUS_HR-Empl-Diversity_page71_v2.jpg"/>
                    <pic:cNvPicPr/>
                  </pic:nvPicPr>
                  <pic:blipFill>
                    <a:blip r:embed="rId8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2552065"/>
                    </a:xfrm>
                    <a:prstGeom prst="rect">
                      <a:avLst/>
                    </a:prstGeom>
                  </pic:spPr>
                </pic:pic>
              </a:graphicData>
            </a:graphic>
          </wp:inline>
        </w:drawing>
      </w:r>
    </w:p>
    <w:p w:rsidR="00AC40FC" w:rsidRDefault="00AC40FC" w:rsidP="00A57D87">
      <w:r w:rsidRPr="00EB5AF7">
        <w:t xml:space="preserve">Source: DN </w:t>
      </w:r>
      <w:r>
        <w:t xml:space="preserve">01-071 </w:t>
      </w:r>
    </w:p>
    <w:p w:rsidR="00AC40FC" w:rsidRDefault="00AC40FC" w:rsidP="00A57D87">
      <w:pPr>
        <w:rPr>
          <w:rFonts w:cs="Arial"/>
          <w:szCs w:val="24"/>
        </w:rPr>
      </w:pPr>
      <w:r>
        <w:rPr>
          <w:rFonts w:cs="Arial"/>
          <w:szCs w:val="24"/>
        </w:rPr>
        <w:t>A Human Resources Manager and three staff members are responsible for implementation of the employee diversity program for PPL EU.</w:t>
      </w:r>
    </w:p>
    <w:p w:rsidR="00AC40FC" w:rsidRDefault="00AC40FC" w:rsidP="00A57D87">
      <w:pPr>
        <w:rPr>
          <w:rFonts w:cs="Arial"/>
          <w:szCs w:val="24"/>
        </w:rPr>
      </w:pPr>
      <w:r>
        <w:rPr>
          <w:rFonts w:cs="Arial"/>
          <w:szCs w:val="24"/>
        </w:rPr>
        <w:t>Employee diversity initiatives are broken into four areas: career awareness and workforce readiness, good faith efforts, employee training, and recruitment.</w:t>
      </w:r>
    </w:p>
    <w:p w:rsidR="00AC40FC" w:rsidRPr="006D1B9D" w:rsidRDefault="00AC40FC" w:rsidP="00A57D87">
      <w:pPr>
        <w:pStyle w:val="Heading40"/>
      </w:pPr>
      <w:r>
        <w:t>Career Awareness and Workforce Readiness</w:t>
      </w:r>
    </w:p>
    <w:p w:rsidR="00AC40FC" w:rsidRDefault="00AC40FC" w:rsidP="00A57D87">
      <w:pPr>
        <w:rPr>
          <w:rFonts w:cs="Arial"/>
          <w:szCs w:val="24"/>
        </w:rPr>
      </w:pPr>
      <w:r>
        <w:rPr>
          <w:rFonts w:cs="Arial"/>
          <w:szCs w:val="24"/>
        </w:rPr>
        <w:t>In support of PPL’s corporate outreach initiatives PPL EUS HR conducts outreach efforts to strengthen career awareness and workforce readiness for diverse youth.  Specifically, PPL EUS HR participated in the following programs during 2014:</w:t>
      </w:r>
    </w:p>
    <w:p w:rsidR="00AC40FC" w:rsidRDefault="00AC40FC" w:rsidP="004F00E5">
      <w:pPr>
        <w:pStyle w:val="Numbering"/>
        <w:numPr>
          <w:ilvl w:val="0"/>
          <w:numId w:val="91"/>
        </w:numPr>
      </w:pPr>
      <w:r>
        <w:t>Co-sponsored the Thaddeus Stevens TechGyrls Summer Camp for middle school girls (grades 4–9) to introduce them to careers in technical fields.</w:t>
      </w:r>
    </w:p>
    <w:p w:rsidR="00AC40FC" w:rsidRDefault="00AC40FC" w:rsidP="004F00E5">
      <w:pPr>
        <w:pStyle w:val="Numbering"/>
        <w:numPr>
          <w:ilvl w:val="0"/>
          <w:numId w:val="91"/>
        </w:numPr>
      </w:pPr>
      <w:r>
        <w:t xml:space="preserve">Sponsored and presented at the Villanova VIEW program for high school inner city females; sponsored Futuros Empresarios, a community initiative of The Hispanic Chamber of Commerce of the Lehigh Valley; in these programs PPL EU partners with local colleges, universities, businesses, and other private sponsors to deliver educational, comprehensive life skills and entrepreneurial training to high school students of the Lehigh Valley and surrounding areas.  </w:t>
      </w:r>
    </w:p>
    <w:p w:rsidR="00AC40FC" w:rsidRDefault="00AC40FC" w:rsidP="004F00E5">
      <w:pPr>
        <w:pStyle w:val="Numbering"/>
        <w:numPr>
          <w:ilvl w:val="0"/>
          <w:numId w:val="91"/>
        </w:numPr>
      </w:pPr>
      <w:r>
        <w:t>Sponsored and supported the Multi-cultural Leadership Conference for 150 diverse high school leaders from three Pennsylvania counties.</w:t>
      </w:r>
    </w:p>
    <w:p w:rsidR="00AC40FC" w:rsidRDefault="00AC40FC" w:rsidP="004F00E5">
      <w:pPr>
        <w:pStyle w:val="Numbering"/>
        <w:numPr>
          <w:ilvl w:val="0"/>
          <w:numId w:val="91"/>
        </w:numPr>
      </w:pPr>
      <w:r>
        <w:t>Sponsored and attended the Noche de Gala event at the local William Allen High School.  The Noche de Gala event is held by the Latino Leadership Club at the William Allen High School.</w:t>
      </w:r>
    </w:p>
    <w:p w:rsidR="00AC40FC" w:rsidRDefault="00AC40FC" w:rsidP="004F00E5">
      <w:pPr>
        <w:pStyle w:val="Numbering"/>
        <w:numPr>
          <w:ilvl w:val="0"/>
          <w:numId w:val="91"/>
        </w:numPr>
      </w:pPr>
      <w:r>
        <w:t>Participated in a new Career Pathways Program at Liberty High School and a Career Days presentation for five middle school classes at Parkland Middle School.</w:t>
      </w:r>
    </w:p>
    <w:p w:rsidR="00AC40FC" w:rsidRDefault="00AC40FC" w:rsidP="004F00E5">
      <w:pPr>
        <w:pStyle w:val="Numbering"/>
        <w:numPr>
          <w:ilvl w:val="0"/>
          <w:numId w:val="91"/>
        </w:numPr>
      </w:pPr>
      <w:r>
        <w:lastRenderedPageBreak/>
        <w:t>Introduced new book scholarships for Upward Bound students, conducted a PPL information session, and was the sole corporate sponsor for the 50</w:t>
      </w:r>
      <w:r w:rsidRPr="0068228A">
        <w:rPr>
          <w:vertAlign w:val="superscript"/>
        </w:rPr>
        <w:t>th</w:t>
      </w:r>
      <w:r>
        <w:t xml:space="preserve"> Anniversary of the Upward Bound Program at East Stroudsburg University.</w:t>
      </w:r>
    </w:p>
    <w:p w:rsidR="00AC40FC" w:rsidRDefault="00AC40FC" w:rsidP="004F00E5">
      <w:pPr>
        <w:pStyle w:val="Numbering"/>
        <w:numPr>
          <w:ilvl w:val="0"/>
          <w:numId w:val="91"/>
        </w:numPr>
      </w:pPr>
      <w:r>
        <w:t>Sponsored a team to participate in the Da Vinci Ice Cream Wars, a program for area companies to participate in as a way of supporting the Da Vinci Science Center in Allentown, PA.</w:t>
      </w:r>
    </w:p>
    <w:p w:rsidR="00AC40FC" w:rsidRDefault="00AC40FC" w:rsidP="00A57D87">
      <w:pPr>
        <w:pStyle w:val="Heading40"/>
      </w:pPr>
      <w:r w:rsidRPr="00BB3D94">
        <w:t>Good Faith Efforts</w:t>
      </w:r>
    </w:p>
    <w:p w:rsidR="00AC40FC" w:rsidRDefault="00AC40FC" w:rsidP="00A57D87">
      <w:pPr>
        <w:rPr>
          <w:rFonts w:cs="Arial"/>
          <w:szCs w:val="24"/>
        </w:rPr>
      </w:pPr>
      <w:r>
        <w:rPr>
          <w:rFonts w:cs="Arial"/>
          <w:szCs w:val="24"/>
        </w:rPr>
        <w:t>PPL EU has adopted the PPL SC core values which include employee commitment and diversity as a driver of its diversity program.  To ensure the work environment and workplace practices support diversity, PPL EU has an equal employment opportunity policy that prohibits discrimination in employment decisions on the basis of protected class status.  In addition, PPL EU has agreed with the local union to incorporate a non-discrimination clause into its labor agreement which indicates that the Company and union will continue their policy of being an equal employment opportunity employer and non-discriminatory against individuals because of race, gender, national origin, veteran status, disability, and other relevant protected classes.</w:t>
      </w:r>
    </w:p>
    <w:p w:rsidR="00AC40FC" w:rsidRDefault="00AC40FC" w:rsidP="00A57D87">
      <w:pPr>
        <w:rPr>
          <w:rFonts w:cs="Arial"/>
          <w:szCs w:val="24"/>
        </w:rPr>
      </w:pPr>
      <w:r>
        <w:rPr>
          <w:rFonts w:cs="Arial"/>
          <w:szCs w:val="24"/>
        </w:rPr>
        <w:t>PPL SC HR has instituted the Business Resource Group (BRG) Leadership Roundtable and BRG Steering Committee to increase diversity awareness throughout PPL.  In total, these groups are comprised of 26 employees including nine executives with the President of PPL EU being one of those executives.  The BRG Leadership Roundtable and Steering Committee charter nine BRG subgroups whose mission is to support and encourage diversity and inclusion, provide a means for employees with similar interests to work on projects and issues, offer personal and professional development opportunities, and pursue community outreach.  The nine BRG subgroups are:</w:t>
      </w:r>
    </w:p>
    <w:p w:rsidR="00AC40FC" w:rsidRDefault="00AC40FC" w:rsidP="00A57D87">
      <w:pPr>
        <w:pStyle w:val="Bullet"/>
      </w:pPr>
      <w:r>
        <w:t>African American Business Resource Group</w:t>
      </w:r>
    </w:p>
    <w:p w:rsidR="00AC40FC" w:rsidRDefault="00AC40FC" w:rsidP="00A57D87">
      <w:pPr>
        <w:pStyle w:val="Bullet"/>
      </w:pPr>
      <w:r>
        <w:t>Asian Connection for Employees</w:t>
      </w:r>
    </w:p>
    <w:p w:rsidR="00AC40FC" w:rsidRDefault="00AC40FC" w:rsidP="00A57D87">
      <w:pPr>
        <w:pStyle w:val="Bullet"/>
      </w:pPr>
      <w:r>
        <w:t>Christian Business Resource Group</w:t>
      </w:r>
    </w:p>
    <w:p w:rsidR="00AC40FC" w:rsidRDefault="00AC40FC" w:rsidP="00A57D87">
      <w:pPr>
        <w:pStyle w:val="Bullet"/>
      </w:pPr>
      <w:r>
        <w:t>Gay and Lesbian Organization in the Workplace</w:t>
      </w:r>
    </w:p>
    <w:p w:rsidR="00AC40FC" w:rsidRDefault="00AC40FC" w:rsidP="00A57D87">
      <w:pPr>
        <w:pStyle w:val="Bullet"/>
      </w:pPr>
      <w:r>
        <w:t>Latino Employee Alliance for Diversity</w:t>
      </w:r>
    </w:p>
    <w:p w:rsidR="00AC40FC" w:rsidRDefault="00AC40FC" w:rsidP="00A57D87">
      <w:pPr>
        <w:pStyle w:val="Bullet"/>
      </w:pPr>
      <w:r>
        <w:t>PPL Tomorrow</w:t>
      </w:r>
    </w:p>
    <w:p w:rsidR="00AC40FC" w:rsidRDefault="00AC40FC" w:rsidP="00A57D87">
      <w:pPr>
        <w:pStyle w:val="Bullet"/>
      </w:pPr>
      <w:r>
        <w:t>PPL Women’s Network</w:t>
      </w:r>
    </w:p>
    <w:p w:rsidR="00AC40FC" w:rsidRDefault="00AC40FC" w:rsidP="00A57D87">
      <w:pPr>
        <w:pStyle w:val="Bullet"/>
      </w:pPr>
      <w:r>
        <w:t>PPL VETS</w:t>
      </w:r>
    </w:p>
    <w:p w:rsidR="00AC40FC" w:rsidRDefault="00AC40FC" w:rsidP="00A57D87">
      <w:pPr>
        <w:pStyle w:val="Bullet"/>
      </w:pPr>
      <w:r>
        <w:t>Reach (Employees with disabilities)</w:t>
      </w:r>
    </w:p>
    <w:p w:rsidR="00AC40FC" w:rsidRDefault="00AC40FC">
      <w:pPr>
        <w:pStyle w:val="Heading40"/>
      </w:pPr>
      <w:r>
        <w:t>Employee Training</w:t>
      </w:r>
    </w:p>
    <w:p w:rsidR="00AC40FC" w:rsidRDefault="00AC40FC" w:rsidP="00A57D87">
      <w:r>
        <w:t xml:space="preserve">PPL Services HR currently provides Prevention of Harassment and Discrimination training and Diversity Awareness training to all employees on an annual basis.  PPL EU is exploring a relationship with a third party training vendor to provide unconscious bias training to build on the prevention of harassment, discrimination, and diversity awareness training that is already offered.  Unconscious bias is an implicit bias that people have based on the processing of information to make quick, sometimes flight or fight, decisions.  Unconscious bias training allows for people to become more aware of their implicit biases in the hopes that these biases can be more effectively managed in </w:t>
      </w:r>
      <w:r>
        <w:lastRenderedPageBreak/>
        <w:t>the workplace.  The incorporation of the unconscious bias training is intended to assist the organization to advance from awareness to inclusion of a diverse workforce.</w:t>
      </w:r>
    </w:p>
    <w:p w:rsidR="00AC40FC" w:rsidRDefault="00AC40FC">
      <w:pPr>
        <w:pStyle w:val="Heading40"/>
        <w:jc w:val="both"/>
      </w:pPr>
      <w:r w:rsidRPr="00001BA8">
        <w:t>Recruitment</w:t>
      </w:r>
    </w:p>
    <w:p w:rsidR="00AC40FC" w:rsidRDefault="00AC40FC" w:rsidP="00A57D87">
      <w:r>
        <w:t>Both PPL SC and PPL EUS HR perform recruiting services for PPL EU.  All recruitment sources, such as the PPL website, Internet job boards, and newspaper advertisements include a statement explaining PPL’s commitment to Affirmative Action and external recruitment agencies are advised of PPL EU’s interest in creating diverse candidate pools for all positions.</w:t>
      </w:r>
      <w:r>
        <w:rPr>
          <w:highlight w:val="yellow"/>
        </w:rPr>
        <w:t xml:space="preserve"> </w:t>
      </w:r>
    </w:p>
    <w:p w:rsidR="00AC40FC" w:rsidRPr="00E95022" w:rsidRDefault="00AC40FC" w:rsidP="00A57D87">
      <w:pPr>
        <w:rPr>
          <w:rFonts w:cs="Arial"/>
          <w:szCs w:val="24"/>
        </w:rPr>
      </w:pPr>
      <w:r w:rsidRPr="00E95022">
        <w:rPr>
          <w:rFonts w:cs="Arial"/>
          <w:szCs w:val="24"/>
        </w:rPr>
        <w:t xml:space="preserve">In 2014, </w:t>
      </w:r>
      <w:r>
        <w:rPr>
          <w:rFonts w:cs="Arial"/>
          <w:szCs w:val="24"/>
        </w:rPr>
        <w:t>HR</w:t>
      </w:r>
      <w:r w:rsidRPr="00E95022">
        <w:rPr>
          <w:rFonts w:cs="Arial"/>
          <w:szCs w:val="24"/>
        </w:rPr>
        <w:t xml:space="preserve"> participated in the following diverse community </w:t>
      </w:r>
      <w:r>
        <w:rPr>
          <w:rFonts w:cs="Arial"/>
          <w:szCs w:val="24"/>
        </w:rPr>
        <w:t xml:space="preserve">organizations and </w:t>
      </w:r>
      <w:r w:rsidRPr="00E95022">
        <w:rPr>
          <w:rFonts w:cs="Arial"/>
          <w:szCs w:val="24"/>
        </w:rPr>
        <w:t xml:space="preserve">events as a means of reaching a diverse minority candidate pool: </w:t>
      </w:r>
    </w:p>
    <w:p w:rsidR="00AC40FC" w:rsidRDefault="00AC40FC">
      <w:pPr>
        <w:pStyle w:val="Bullet"/>
      </w:pPr>
      <w:r>
        <w:t xml:space="preserve">Organizations: </w:t>
      </w:r>
      <w:r w:rsidRPr="00E95022">
        <w:t>Latino Leadership Alliance, NAACP’s American Association of Blacks in Energy, PA Diversity Network (LGBT), Women’s Leadership Initiative, L</w:t>
      </w:r>
      <w:r>
        <w:t xml:space="preserve">ehigh </w:t>
      </w:r>
      <w:r w:rsidRPr="00E95022">
        <w:t>V</w:t>
      </w:r>
      <w:r>
        <w:t>alley (LV) Society of Women Engineers (</w:t>
      </w:r>
      <w:r w:rsidRPr="00E95022">
        <w:t>SWE</w:t>
      </w:r>
      <w:r>
        <w:t>)</w:t>
      </w:r>
      <w:r w:rsidRPr="00E95022">
        <w:t>, Hispanic Center of LV, Valley Youth House, Urban League, and Hispanic American Organization</w:t>
      </w:r>
    </w:p>
    <w:p w:rsidR="00AC40FC" w:rsidRDefault="00AC40FC">
      <w:pPr>
        <w:pStyle w:val="Bullet"/>
      </w:pPr>
      <w:r w:rsidRPr="00E95022">
        <w:t>C</w:t>
      </w:r>
      <w:r>
        <w:t xml:space="preserve">enter for </w:t>
      </w:r>
      <w:r w:rsidRPr="00E95022">
        <w:t>E</w:t>
      </w:r>
      <w:r>
        <w:t xml:space="preserve">nergy </w:t>
      </w:r>
      <w:r w:rsidRPr="00E95022">
        <w:t>W</w:t>
      </w:r>
      <w:r>
        <w:t xml:space="preserve">orkforce </w:t>
      </w:r>
      <w:r w:rsidRPr="00E95022">
        <w:t>D</w:t>
      </w:r>
      <w:r>
        <w:t>evelopment (CEWD)</w:t>
      </w:r>
      <w:r w:rsidRPr="00E95022">
        <w:t xml:space="preserve"> Annual Summit – Energy companies partnering on diversity</w:t>
      </w:r>
    </w:p>
    <w:p w:rsidR="00AC40FC" w:rsidRDefault="00AC40FC">
      <w:pPr>
        <w:pStyle w:val="Bullet"/>
      </w:pPr>
      <w:r w:rsidRPr="00E95022">
        <w:t xml:space="preserve">National Society of Hispanic MBA (NSHMBA) Conference </w:t>
      </w:r>
      <w:r>
        <w:t>and</w:t>
      </w:r>
      <w:r w:rsidRPr="00E95022">
        <w:t xml:space="preserve"> Career Expo</w:t>
      </w:r>
    </w:p>
    <w:p w:rsidR="00AC40FC" w:rsidRDefault="00AC40FC">
      <w:pPr>
        <w:pStyle w:val="Bullet"/>
      </w:pPr>
      <w:r w:rsidRPr="00E95022">
        <w:t xml:space="preserve">National Society of Black Engineers (NSBE) Conference </w:t>
      </w:r>
      <w:r>
        <w:t>C</w:t>
      </w:r>
      <w:r w:rsidRPr="00E95022">
        <w:t xml:space="preserve">areer </w:t>
      </w:r>
      <w:r>
        <w:t>F</w:t>
      </w:r>
      <w:r w:rsidRPr="00E95022">
        <w:t xml:space="preserve">air booth </w:t>
      </w:r>
    </w:p>
    <w:p w:rsidR="00AC40FC" w:rsidRDefault="00AC40FC">
      <w:pPr>
        <w:pStyle w:val="Bullet"/>
      </w:pPr>
      <w:r w:rsidRPr="00E95022">
        <w:t>American Association of Blacks in Energy (AABE) Career Fair and Conference</w:t>
      </w:r>
    </w:p>
    <w:p w:rsidR="00AC40FC" w:rsidRDefault="00AC40FC">
      <w:pPr>
        <w:pStyle w:val="Normal-aftertable"/>
      </w:pPr>
      <w:r w:rsidRPr="00E95022">
        <w:t xml:space="preserve">In 2014, </w:t>
      </w:r>
      <w:r>
        <w:t>PPL EUS HR</w:t>
      </w:r>
      <w:r w:rsidRPr="00E95022">
        <w:t xml:space="preserve"> undertook the following recruitment activities as a means of reaching a veteran candidate pool</w:t>
      </w:r>
      <w:r>
        <w:t>:</w:t>
      </w:r>
      <w:r w:rsidRPr="00E95022">
        <w:t xml:space="preserve">  </w:t>
      </w:r>
    </w:p>
    <w:p w:rsidR="00AC40FC" w:rsidRDefault="00AC40FC">
      <w:pPr>
        <w:pStyle w:val="Bullet"/>
      </w:pPr>
      <w:r w:rsidRPr="00E95022">
        <w:t>Participated in six career fairs and transition assistance program events.</w:t>
      </w:r>
    </w:p>
    <w:p w:rsidR="00AC40FC" w:rsidRDefault="00AC40FC">
      <w:pPr>
        <w:pStyle w:val="Bullet"/>
      </w:pPr>
      <w:r>
        <w:t>A</w:t>
      </w:r>
      <w:r w:rsidRPr="00E95022">
        <w:t>ttended four Orion milita</w:t>
      </w:r>
      <w:r>
        <w:t>ry hiring conferences and West P</w:t>
      </w:r>
      <w:r w:rsidRPr="00E95022">
        <w:t>oint Military Officer job fair events.</w:t>
      </w:r>
    </w:p>
    <w:p w:rsidR="00AC40FC" w:rsidRDefault="00AC40FC">
      <w:pPr>
        <w:pStyle w:val="Bullet"/>
      </w:pPr>
      <w:r>
        <w:t>Supported the Helmets to Hardhats program in which employers and unions agree to utilize the services of the Center for Military Recruitment, Assessment, and Veterans Employment</w:t>
      </w:r>
    </w:p>
    <w:p w:rsidR="00AC40FC" w:rsidRDefault="00AC40FC">
      <w:pPr>
        <w:pStyle w:val="Bullet"/>
      </w:pPr>
      <w:r>
        <w:t>Utilized the Career Page military translator which matches military jobs to PPL EU opportunities, thereby assisting veterans’ transition to civilian jobs</w:t>
      </w:r>
    </w:p>
    <w:p w:rsidR="00AC40FC" w:rsidRDefault="00AC40FC">
      <w:pPr>
        <w:pStyle w:val="Normal-aftertable"/>
      </w:pPr>
      <w:r>
        <w:t xml:space="preserve">In addition to the veteran recruitment activities listed above, PPL EU </w:t>
      </w:r>
      <w:r w:rsidRPr="00D15C76">
        <w:t>is one of nine corporate sponsors of “Troops to Energy” and was recognized by GI Jobs Magazine as</w:t>
      </w:r>
      <w:r>
        <w:t xml:space="preserve"> a</w:t>
      </w:r>
      <w:r w:rsidRPr="00D15C76">
        <w:t xml:space="preserve"> Military Friendly Employer in 2014.</w:t>
      </w:r>
    </w:p>
    <w:p w:rsidR="00AC40FC" w:rsidRDefault="00AC40FC" w:rsidP="00A57D87">
      <w:r w:rsidRPr="00EE7238">
        <w:t>Traditionally, PPL</w:t>
      </w:r>
      <w:r>
        <w:t xml:space="preserve"> EU</w:t>
      </w:r>
      <w:r w:rsidRPr="00EE7238">
        <w:t xml:space="preserve"> has sought women and minority students through networking with professional associations such as SWE, the Society of Hispanic Professional Engineers (SHPE</w:t>
      </w:r>
      <w:r>
        <w:t>)</w:t>
      </w:r>
      <w:r w:rsidRPr="00EE7238">
        <w:t xml:space="preserve">, and NSBE.  To expand this type of recruitment effort, </w:t>
      </w:r>
      <w:r>
        <w:t>PPL EUS HR</w:t>
      </w:r>
      <w:r w:rsidRPr="00EE7238">
        <w:t xml:space="preserve"> started working with the Urban League of Philadelphia and the Upward Bound Program at East Stroudsburg University in 2014.</w:t>
      </w:r>
    </w:p>
    <w:p w:rsidR="00AC40FC" w:rsidRDefault="00AC40FC" w:rsidP="00A57D87">
      <w:r>
        <w:t xml:space="preserve">PPL EU’s diversity recruitment effort also includes a focus on college and university students through participation in numerous diversity events as well as providing contributions toward scholarships. </w:t>
      </w:r>
      <w:r w:rsidRPr="00CE1C28">
        <w:t xml:space="preserve"> </w:t>
      </w:r>
      <w:r>
        <w:t xml:space="preserve">In addition, the Senior Human Resource Consultant </w:t>
      </w:r>
      <w:r>
        <w:lastRenderedPageBreak/>
        <w:t>serves on the Bargaining Unit Scholarship Committee for recruiting qualified diverse candidates for Line Technician training positions.</w:t>
      </w:r>
    </w:p>
    <w:p w:rsidR="00AC40FC" w:rsidRDefault="00AC40FC" w:rsidP="00A57D87">
      <w:pPr>
        <w:rPr>
          <w:rFonts w:cs="Arial"/>
          <w:szCs w:val="24"/>
        </w:rPr>
      </w:pPr>
      <w:r w:rsidRPr="009448BD">
        <w:rPr>
          <w:rFonts w:cs="Arial"/>
          <w:szCs w:val="24"/>
        </w:rPr>
        <w:t>PPL EU supports PPL</w:t>
      </w:r>
      <w:r>
        <w:rPr>
          <w:rFonts w:cs="Arial"/>
          <w:szCs w:val="24"/>
        </w:rPr>
        <w:t xml:space="preserve"> SC</w:t>
      </w:r>
      <w:r w:rsidRPr="009448BD">
        <w:rPr>
          <w:rFonts w:cs="Arial"/>
          <w:szCs w:val="24"/>
        </w:rPr>
        <w:t xml:space="preserve">’s Internship Program as evidenced by the internships provided in 2014 </w:t>
      </w:r>
      <w:r>
        <w:rPr>
          <w:rFonts w:cs="Arial"/>
          <w:szCs w:val="24"/>
        </w:rPr>
        <w:t>and 2015 shown in the table</w:t>
      </w:r>
      <w:r w:rsidRPr="009448BD">
        <w:rPr>
          <w:rFonts w:cs="Arial"/>
          <w:szCs w:val="24"/>
        </w:rPr>
        <w:t xml:space="preserve"> below:</w:t>
      </w:r>
    </w:p>
    <w:p w:rsidR="00AC40FC" w:rsidRPr="009448BD" w:rsidRDefault="00AC40FC" w:rsidP="002B3172">
      <w:pPr>
        <w:pStyle w:val="Caption"/>
      </w:pPr>
      <w:bookmarkStart w:id="298" w:name="_Toc462648474"/>
      <w:bookmarkStart w:id="299" w:name="_Toc464553096"/>
      <w:r>
        <w:t xml:space="preserve">Exhibit </w:t>
      </w:r>
      <w:fldSimple w:instr=" STYLEREF 1 \s ">
        <w:r w:rsidR="00A24205">
          <w:rPr>
            <w:noProof/>
          </w:rPr>
          <w:t>XIV</w:t>
        </w:r>
      </w:fldSimple>
      <w:r w:rsidR="00264A1B">
        <w:noBreakHyphen/>
      </w:r>
      <w:fldSimple w:instr=" SEQ Exhibit \* ARABIC \s 1 ">
        <w:r w:rsidR="00A24205">
          <w:rPr>
            <w:noProof/>
          </w:rPr>
          <w:t>9</w:t>
        </w:r>
      </w:fldSimple>
      <w:r>
        <w:br/>
        <w:t xml:space="preserve">PPL and PPL EU </w:t>
      </w:r>
      <w:r w:rsidRPr="009448BD">
        <w:t>Inter</w:t>
      </w:r>
      <w:r>
        <w:t>n</w:t>
      </w:r>
      <w:r w:rsidRPr="009448BD">
        <w:t>ships in 2014</w:t>
      </w:r>
      <w:r>
        <w:t xml:space="preserve"> and 2015</w:t>
      </w:r>
      <w:bookmarkEnd w:id="298"/>
      <w:bookmarkEnd w:id="2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15" w:type="dxa"/>
          <w:bottom w:w="14" w:type="dxa"/>
          <w:right w:w="115" w:type="dxa"/>
        </w:tblCellMar>
        <w:tblLook w:val="04A0"/>
      </w:tblPr>
      <w:tblGrid>
        <w:gridCol w:w="1697"/>
        <w:gridCol w:w="1524"/>
        <w:gridCol w:w="1141"/>
        <w:gridCol w:w="1211"/>
        <w:gridCol w:w="1524"/>
        <w:gridCol w:w="1166"/>
        <w:gridCol w:w="1193"/>
      </w:tblGrid>
      <w:tr w:rsidR="00AC40FC" w:rsidRPr="00184FF7" w:rsidTr="00D6083E">
        <w:trPr>
          <w:cantSplit/>
          <w:trHeight w:val="138"/>
          <w:tblHeader/>
          <w:jc w:val="center"/>
        </w:trPr>
        <w:tc>
          <w:tcPr>
            <w:tcW w:w="1536" w:type="dxa"/>
            <w:vMerge w:val="restart"/>
            <w:shd w:val="clear" w:color="auto" w:fill="A5CD7E"/>
            <w:vAlign w:val="center"/>
          </w:tcPr>
          <w:p w:rsidR="00AC40FC" w:rsidRDefault="00AC40FC" w:rsidP="00D6083E">
            <w:pPr>
              <w:spacing w:before="120"/>
              <w:jc w:val="center"/>
              <w:rPr>
                <w:b/>
              </w:rPr>
            </w:pPr>
            <w:r>
              <w:rPr>
                <w:b/>
              </w:rPr>
              <w:t>Organization</w:t>
            </w:r>
          </w:p>
        </w:tc>
        <w:tc>
          <w:tcPr>
            <w:tcW w:w="3876" w:type="dxa"/>
            <w:gridSpan w:val="3"/>
            <w:shd w:val="clear" w:color="auto" w:fill="A5CD7E"/>
            <w:vAlign w:val="center"/>
          </w:tcPr>
          <w:p w:rsidR="00AC40FC" w:rsidRDefault="00AC40FC" w:rsidP="00D6083E">
            <w:pPr>
              <w:spacing w:before="60" w:after="60"/>
              <w:jc w:val="center"/>
              <w:rPr>
                <w:b/>
              </w:rPr>
            </w:pPr>
            <w:r>
              <w:rPr>
                <w:b/>
              </w:rPr>
              <w:t>2014</w:t>
            </w:r>
          </w:p>
        </w:tc>
        <w:tc>
          <w:tcPr>
            <w:tcW w:w="3883" w:type="dxa"/>
            <w:gridSpan w:val="3"/>
            <w:shd w:val="clear" w:color="auto" w:fill="A5CD7E"/>
            <w:vAlign w:val="center"/>
          </w:tcPr>
          <w:p w:rsidR="00AC40FC" w:rsidRDefault="00AC40FC" w:rsidP="00D6083E">
            <w:pPr>
              <w:spacing w:before="60" w:after="60"/>
              <w:jc w:val="center"/>
              <w:rPr>
                <w:b/>
              </w:rPr>
            </w:pPr>
            <w:r>
              <w:rPr>
                <w:b/>
              </w:rPr>
              <w:t>2015</w:t>
            </w:r>
          </w:p>
        </w:tc>
      </w:tr>
      <w:tr w:rsidR="00AC40FC" w:rsidRPr="00184FF7" w:rsidTr="00A57D87">
        <w:trPr>
          <w:cantSplit/>
          <w:trHeight w:val="573"/>
          <w:tblHeader/>
          <w:jc w:val="center"/>
        </w:trPr>
        <w:tc>
          <w:tcPr>
            <w:tcW w:w="1536" w:type="dxa"/>
            <w:vMerge/>
            <w:shd w:val="clear" w:color="auto" w:fill="A5CD7E"/>
            <w:vAlign w:val="center"/>
          </w:tcPr>
          <w:p w:rsidR="00AC40FC" w:rsidRPr="00184FF7" w:rsidRDefault="00AC40FC" w:rsidP="00D6083E">
            <w:pPr>
              <w:spacing w:before="120"/>
              <w:jc w:val="center"/>
              <w:rPr>
                <w:b/>
              </w:rPr>
            </w:pPr>
          </w:p>
        </w:tc>
        <w:tc>
          <w:tcPr>
            <w:tcW w:w="1524" w:type="dxa"/>
            <w:shd w:val="clear" w:color="auto" w:fill="A5CD7E"/>
            <w:vAlign w:val="center"/>
          </w:tcPr>
          <w:p w:rsidR="00AC40FC" w:rsidRPr="00184FF7" w:rsidRDefault="00AC40FC" w:rsidP="00D6083E">
            <w:pPr>
              <w:spacing w:before="120"/>
              <w:jc w:val="center"/>
              <w:rPr>
                <w:b/>
              </w:rPr>
            </w:pPr>
            <w:r>
              <w:rPr>
                <w:b/>
              </w:rPr>
              <w:t>Total Internships</w:t>
            </w:r>
          </w:p>
        </w:tc>
        <w:tc>
          <w:tcPr>
            <w:tcW w:w="1141" w:type="dxa"/>
            <w:shd w:val="clear" w:color="auto" w:fill="A5CD7E"/>
            <w:vAlign w:val="center"/>
          </w:tcPr>
          <w:p w:rsidR="00AC40FC" w:rsidRPr="00184FF7" w:rsidRDefault="00AC40FC" w:rsidP="00D6083E">
            <w:pPr>
              <w:spacing w:before="120"/>
              <w:jc w:val="center"/>
              <w:rPr>
                <w:b/>
              </w:rPr>
            </w:pPr>
            <w:r>
              <w:rPr>
                <w:b/>
              </w:rPr>
              <w:t>Percent Female</w:t>
            </w:r>
          </w:p>
        </w:tc>
        <w:tc>
          <w:tcPr>
            <w:tcW w:w="1211" w:type="dxa"/>
            <w:shd w:val="clear" w:color="auto" w:fill="A5CD7E"/>
            <w:vAlign w:val="center"/>
          </w:tcPr>
          <w:p w:rsidR="00AC40FC" w:rsidRPr="00184FF7" w:rsidRDefault="00AC40FC" w:rsidP="00D6083E">
            <w:pPr>
              <w:spacing w:before="120"/>
              <w:jc w:val="center"/>
              <w:rPr>
                <w:b/>
              </w:rPr>
            </w:pPr>
            <w:r>
              <w:rPr>
                <w:b/>
              </w:rPr>
              <w:t>Percent Minority</w:t>
            </w:r>
          </w:p>
        </w:tc>
        <w:tc>
          <w:tcPr>
            <w:tcW w:w="1524" w:type="dxa"/>
            <w:shd w:val="clear" w:color="auto" w:fill="A5CD7E"/>
            <w:vAlign w:val="center"/>
          </w:tcPr>
          <w:p w:rsidR="00AC40FC" w:rsidRDefault="00AC40FC" w:rsidP="00D6083E">
            <w:pPr>
              <w:spacing w:before="120"/>
              <w:jc w:val="center"/>
              <w:rPr>
                <w:b/>
              </w:rPr>
            </w:pPr>
            <w:r>
              <w:rPr>
                <w:b/>
              </w:rPr>
              <w:t>Total Internships</w:t>
            </w:r>
          </w:p>
        </w:tc>
        <w:tc>
          <w:tcPr>
            <w:tcW w:w="1166" w:type="dxa"/>
            <w:shd w:val="clear" w:color="auto" w:fill="A5CD7E"/>
            <w:vAlign w:val="center"/>
          </w:tcPr>
          <w:p w:rsidR="00AC40FC" w:rsidRDefault="00AC40FC" w:rsidP="00D6083E">
            <w:pPr>
              <w:spacing w:before="120"/>
              <w:jc w:val="center"/>
              <w:rPr>
                <w:b/>
              </w:rPr>
            </w:pPr>
            <w:r>
              <w:rPr>
                <w:b/>
              </w:rPr>
              <w:t>Percent Female</w:t>
            </w:r>
          </w:p>
        </w:tc>
        <w:tc>
          <w:tcPr>
            <w:tcW w:w="1193" w:type="dxa"/>
            <w:shd w:val="clear" w:color="auto" w:fill="A5CD7E"/>
            <w:vAlign w:val="center"/>
          </w:tcPr>
          <w:p w:rsidR="00AC40FC" w:rsidRDefault="00AC40FC" w:rsidP="00D6083E">
            <w:pPr>
              <w:spacing w:before="120"/>
              <w:jc w:val="center"/>
              <w:rPr>
                <w:b/>
              </w:rPr>
            </w:pPr>
            <w:r>
              <w:rPr>
                <w:b/>
              </w:rPr>
              <w:t>Percent Minority</w:t>
            </w:r>
          </w:p>
        </w:tc>
      </w:tr>
      <w:tr w:rsidR="00AC40FC" w:rsidTr="00A57D87">
        <w:trPr>
          <w:trHeight w:val="174"/>
          <w:jc w:val="center"/>
        </w:trPr>
        <w:tc>
          <w:tcPr>
            <w:tcW w:w="1536" w:type="dxa"/>
            <w:vAlign w:val="center"/>
          </w:tcPr>
          <w:p w:rsidR="00AC40FC" w:rsidRDefault="00AC40FC" w:rsidP="00A57D87">
            <w:pPr>
              <w:spacing w:after="0"/>
              <w:jc w:val="center"/>
            </w:pPr>
            <w:r>
              <w:t>PPL SC</w:t>
            </w:r>
          </w:p>
        </w:tc>
        <w:tc>
          <w:tcPr>
            <w:tcW w:w="1524" w:type="dxa"/>
            <w:vAlign w:val="center"/>
          </w:tcPr>
          <w:p w:rsidR="00AC40FC" w:rsidRDefault="00AC40FC" w:rsidP="00A57D87">
            <w:pPr>
              <w:spacing w:after="0"/>
              <w:jc w:val="center"/>
            </w:pPr>
            <w:r>
              <w:t>130</w:t>
            </w:r>
          </w:p>
        </w:tc>
        <w:tc>
          <w:tcPr>
            <w:tcW w:w="1141" w:type="dxa"/>
          </w:tcPr>
          <w:p w:rsidR="00AC40FC" w:rsidRDefault="00AC40FC" w:rsidP="00A57D87">
            <w:pPr>
              <w:spacing w:after="0"/>
              <w:jc w:val="center"/>
            </w:pPr>
            <w:r>
              <w:t>33%</w:t>
            </w:r>
          </w:p>
        </w:tc>
        <w:tc>
          <w:tcPr>
            <w:tcW w:w="1211" w:type="dxa"/>
          </w:tcPr>
          <w:p w:rsidR="00AC40FC" w:rsidRDefault="00AC40FC" w:rsidP="00A57D87">
            <w:pPr>
              <w:spacing w:after="0"/>
              <w:jc w:val="center"/>
            </w:pPr>
            <w:r>
              <w:t>12%</w:t>
            </w:r>
          </w:p>
        </w:tc>
        <w:tc>
          <w:tcPr>
            <w:tcW w:w="1524" w:type="dxa"/>
          </w:tcPr>
          <w:p w:rsidR="00AC40FC" w:rsidRDefault="00AC40FC" w:rsidP="00A57D87">
            <w:pPr>
              <w:spacing w:after="0"/>
              <w:jc w:val="center"/>
            </w:pPr>
            <w:r>
              <w:t>5</w:t>
            </w:r>
          </w:p>
        </w:tc>
        <w:tc>
          <w:tcPr>
            <w:tcW w:w="1166" w:type="dxa"/>
          </w:tcPr>
          <w:p w:rsidR="00AC40FC" w:rsidRDefault="00AC40FC" w:rsidP="00A57D87">
            <w:pPr>
              <w:spacing w:after="0"/>
              <w:jc w:val="center"/>
            </w:pPr>
            <w:r>
              <w:t>20%</w:t>
            </w:r>
          </w:p>
        </w:tc>
        <w:tc>
          <w:tcPr>
            <w:tcW w:w="1193" w:type="dxa"/>
          </w:tcPr>
          <w:p w:rsidR="00AC40FC" w:rsidRDefault="00AC40FC" w:rsidP="00A57D87">
            <w:pPr>
              <w:spacing w:after="0"/>
              <w:jc w:val="center"/>
            </w:pPr>
            <w:r>
              <w:t>0%</w:t>
            </w:r>
          </w:p>
        </w:tc>
      </w:tr>
      <w:tr w:rsidR="00AC40FC" w:rsidTr="00A57D87">
        <w:trPr>
          <w:trHeight w:val="219"/>
          <w:jc w:val="center"/>
        </w:trPr>
        <w:tc>
          <w:tcPr>
            <w:tcW w:w="1536" w:type="dxa"/>
            <w:vAlign w:val="center"/>
          </w:tcPr>
          <w:p w:rsidR="00AC40FC" w:rsidRDefault="00AC40FC" w:rsidP="00A57D87">
            <w:pPr>
              <w:spacing w:after="0"/>
              <w:jc w:val="center"/>
            </w:pPr>
            <w:r>
              <w:t>PPL EU</w:t>
            </w:r>
          </w:p>
        </w:tc>
        <w:tc>
          <w:tcPr>
            <w:tcW w:w="1524" w:type="dxa"/>
            <w:vAlign w:val="center"/>
          </w:tcPr>
          <w:p w:rsidR="00AC40FC" w:rsidRDefault="00AC40FC" w:rsidP="00A57D87">
            <w:pPr>
              <w:spacing w:after="0"/>
              <w:jc w:val="center"/>
            </w:pPr>
            <w:r>
              <w:t>34</w:t>
            </w:r>
          </w:p>
        </w:tc>
        <w:tc>
          <w:tcPr>
            <w:tcW w:w="1141" w:type="dxa"/>
          </w:tcPr>
          <w:p w:rsidR="00AC40FC" w:rsidRDefault="00AC40FC" w:rsidP="00A57D87">
            <w:pPr>
              <w:spacing w:after="0"/>
              <w:jc w:val="center"/>
            </w:pPr>
            <w:r>
              <w:t>38%</w:t>
            </w:r>
          </w:p>
        </w:tc>
        <w:tc>
          <w:tcPr>
            <w:tcW w:w="1211" w:type="dxa"/>
          </w:tcPr>
          <w:p w:rsidR="00AC40FC" w:rsidRDefault="00AC40FC" w:rsidP="00A57D87">
            <w:pPr>
              <w:spacing w:after="0"/>
              <w:jc w:val="center"/>
            </w:pPr>
            <w:r>
              <w:t>6%</w:t>
            </w:r>
          </w:p>
        </w:tc>
        <w:tc>
          <w:tcPr>
            <w:tcW w:w="1524" w:type="dxa"/>
          </w:tcPr>
          <w:p w:rsidR="00AC40FC" w:rsidRDefault="00AC40FC" w:rsidP="00A57D87">
            <w:pPr>
              <w:spacing w:after="0"/>
              <w:jc w:val="center"/>
            </w:pPr>
            <w:r>
              <w:t>39</w:t>
            </w:r>
          </w:p>
        </w:tc>
        <w:tc>
          <w:tcPr>
            <w:tcW w:w="1166" w:type="dxa"/>
          </w:tcPr>
          <w:p w:rsidR="00AC40FC" w:rsidRDefault="00AC40FC" w:rsidP="00A57D87">
            <w:pPr>
              <w:spacing w:after="0"/>
              <w:jc w:val="center"/>
            </w:pPr>
            <w:r>
              <w:t>44%</w:t>
            </w:r>
          </w:p>
        </w:tc>
        <w:tc>
          <w:tcPr>
            <w:tcW w:w="1193" w:type="dxa"/>
          </w:tcPr>
          <w:p w:rsidR="00AC40FC" w:rsidRDefault="00AC40FC" w:rsidP="00A57D87">
            <w:pPr>
              <w:spacing w:after="0"/>
              <w:jc w:val="center"/>
            </w:pPr>
            <w:r>
              <w:t>28%</w:t>
            </w:r>
          </w:p>
        </w:tc>
      </w:tr>
      <w:tr w:rsidR="00AC40FC" w:rsidTr="00A57D87">
        <w:trPr>
          <w:trHeight w:val="84"/>
          <w:jc w:val="center"/>
        </w:trPr>
        <w:tc>
          <w:tcPr>
            <w:tcW w:w="9295" w:type="dxa"/>
            <w:gridSpan w:val="7"/>
            <w:vAlign w:val="center"/>
          </w:tcPr>
          <w:p w:rsidR="00AC40FC" w:rsidRDefault="00AC40FC" w:rsidP="00A57D87">
            <w:pPr>
              <w:spacing w:after="0"/>
              <w:jc w:val="left"/>
            </w:pPr>
            <w:r>
              <w:t>Source: DN 17-122</w:t>
            </w:r>
          </w:p>
        </w:tc>
      </w:tr>
    </w:tbl>
    <w:p w:rsidR="00AC40FC" w:rsidRDefault="00AC40FC" w:rsidP="00BB665B">
      <w:pPr>
        <w:pStyle w:val="Normal-aftertable"/>
        <w:rPr>
          <w:rFonts w:ascii="Arial Bold" w:hAnsi="Arial Bold"/>
          <w:b/>
          <w:caps/>
        </w:rPr>
      </w:pPr>
      <w:r w:rsidRPr="009448BD">
        <w:t>PPL EU</w:t>
      </w:r>
      <w:r>
        <w:t xml:space="preserve"> improved the percentage of total internships awarded to minorities and females from 2014 to 2015.  Internships are used as a recruiting method and are being utilized to assist with employee diversity within PPE EU and PPL SC.</w:t>
      </w:r>
    </w:p>
    <w:p w:rsidR="00AC40FC" w:rsidRDefault="00AC40FC" w:rsidP="00BB665B">
      <w:pPr>
        <w:pStyle w:val="Heading-forToC"/>
      </w:pPr>
      <w:bookmarkStart w:id="300" w:name="_Toc462647892"/>
      <w:bookmarkStart w:id="301" w:name="_Toc464552131"/>
      <w:r w:rsidRPr="000715D2">
        <w:t>Findings</w:t>
      </w:r>
      <w:bookmarkEnd w:id="300"/>
      <w:bookmarkEnd w:id="301"/>
    </w:p>
    <w:p w:rsidR="00AC40FC" w:rsidRDefault="00AC40FC" w:rsidP="004F00E5">
      <w:pPr>
        <w:pStyle w:val="Findings"/>
        <w:numPr>
          <w:ilvl w:val="0"/>
          <w:numId w:val="131"/>
        </w:numPr>
      </w:pPr>
      <w:r>
        <w:t>Employee diversity outreach efforts are numerous with mechanisms in place to create an inclusive environment for employees.</w:t>
      </w:r>
    </w:p>
    <w:p w:rsidR="00AC40FC" w:rsidRDefault="00AC40FC" w:rsidP="00A57D87">
      <w:r>
        <w:t>PPL EUS HR has developed diversity outreach efforts to target minorities and females in the relevant labor markets.  These efforts reach out to a broad spectrum of minorities and reach youth through adults.  The Business Resource Groups exist to build and maintain an inclusive culture within PPL EU which assists with the retention of minorities and females.</w:t>
      </w:r>
    </w:p>
    <w:p w:rsidR="00AC40FC" w:rsidRPr="003D7CA4" w:rsidRDefault="00AC40FC" w:rsidP="00A57D87">
      <w:pPr>
        <w:pStyle w:val="Findings"/>
      </w:pPr>
      <w:r>
        <w:t>T</w:t>
      </w:r>
      <w:r w:rsidRPr="003D7CA4">
        <w:t xml:space="preserve">he </w:t>
      </w:r>
      <w:r>
        <w:t xml:space="preserve">mix of </w:t>
      </w:r>
      <w:r w:rsidRPr="003D7CA4">
        <w:t xml:space="preserve">PPL EU minority and female employees </w:t>
      </w:r>
      <w:r>
        <w:t>is comparable to the PPL EU</w:t>
      </w:r>
      <w:r w:rsidRPr="003D7CA4">
        <w:t xml:space="preserve"> labor market</w:t>
      </w:r>
      <w:r>
        <w:t>.</w:t>
      </w:r>
    </w:p>
    <w:p w:rsidR="00AC40FC" w:rsidRDefault="00AC40FC" w:rsidP="00A57D87">
      <w:r>
        <w:t>A comparison of minority employee diversity compared to PPL EU’s labor market is shown in the table below:</w:t>
      </w:r>
    </w:p>
    <w:p w:rsidR="00AC40FC" w:rsidRPr="00A96750" w:rsidRDefault="00AC40FC" w:rsidP="002B3172">
      <w:pPr>
        <w:pStyle w:val="Caption"/>
      </w:pPr>
      <w:bookmarkStart w:id="302" w:name="_Toc462648475"/>
      <w:bookmarkStart w:id="303" w:name="_Toc464553097"/>
      <w:r>
        <w:t xml:space="preserve">Exhibit </w:t>
      </w:r>
      <w:fldSimple w:instr=" STYLEREF 1 \s ">
        <w:r w:rsidR="00A24205">
          <w:rPr>
            <w:noProof/>
          </w:rPr>
          <w:t>XIV</w:t>
        </w:r>
      </w:fldSimple>
      <w:r w:rsidR="00264A1B">
        <w:noBreakHyphen/>
      </w:r>
      <w:fldSimple w:instr=" SEQ Exhibit \* ARABIC \s 1 ">
        <w:r w:rsidR="00A24205">
          <w:rPr>
            <w:noProof/>
          </w:rPr>
          <w:t>10</w:t>
        </w:r>
      </w:fldSimple>
      <w:r>
        <w:br/>
        <w:t>Comparis</w:t>
      </w:r>
      <w:r w:rsidR="00B7713A">
        <w:t>on of PPL EU Minority Employees</w:t>
      </w:r>
      <w:r>
        <w:br/>
        <w:t>to the Labor Market 2013</w:t>
      </w:r>
      <w:bookmarkEnd w:id="302"/>
      <w:bookmarkEnd w:id="30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15" w:type="dxa"/>
          <w:bottom w:w="14" w:type="dxa"/>
          <w:right w:w="115" w:type="dxa"/>
        </w:tblCellMar>
        <w:tblLook w:val="04A0"/>
      </w:tblPr>
      <w:tblGrid>
        <w:gridCol w:w="5345"/>
        <w:gridCol w:w="764"/>
      </w:tblGrid>
      <w:tr w:rsidR="00AC40FC" w:rsidRPr="00F4727C" w:rsidTr="00A57D87">
        <w:trPr>
          <w:cantSplit/>
          <w:tblHeader/>
          <w:jc w:val="center"/>
        </w:trPr>
        <w:tc>
          <w:tcPr>
            <w:tcW w:w="5345" w:type="dxa"/>
            <w:shd w:val="clear" w:color="auto" w:fill="A5CD7E"/>
          </w:tcPr>
          <w:p w:rsidR="00AC40FC" w:rsidRDefault="00AC40FC" w:rsidP="00D6083E">
            <w:pPr>
              <w:spacing w:before="120"/>
              <w:jc w:val="center"/>
              <w:rPr>
                <w:b/>
              </w:rPr>
            </w:pPr>
            <w:r>
              <w:rPr>
                <w:b/>
              </w:rPr>
              <w:t>Category</w:t>
            </w:r>
          </w:p>
        </w:tc>
        <w:tc>
          <w:tcPr>
            <w:tcW w:w="764" w:type="dxa"/>
            <w:shd w:val="clear" w:color="auto" w:fill="A5CD7E"/>
          </w:tcPr>
          <w:p w:rsidR="00AC40FC" w:rsidRDefault="00AC40FC" w:rsidP="00D6083E">
            <w:pPr>
              <w:spacing w:before="120"/>
              <w:jc w:val="center"/>
              <w:rPr>
                <w:b/>
              </w:rPr>
            </w:pPr>
            <w:r>
              <w:rPr>
                <w:b/>
              </w:rPr>
              <w:t>2013</w:t>
            </w:r>
          </w:p>
        </w:tc>
      </w:tr>
      <w:tr w:rsidR="00AC40FC" w:rsidTr="00A57D87">
        <w:trPr>
          <w:jc w:val="center"/>
        </w:trPr>
        <w:tc>
          <w:tcPr>
            <w:tcW w:w="5345" w:type="dxa"/>
            <w:vAlign w:val="center"/>
          </w:tcPr>
          <w:p w:rsidR="00AC40FC" w:rsidRDefault="00AC40FC" w:rsidP="00A57D87">
            <w:pPr>
              <w:spacing w:after="0"/>
              <w:jc w:val="center"/>
            </w:pPr>
            <w:r>
              <w:t>PPL EU Employees Percent</w:t>
            </w:r>
            <w:r w:rsidRPr="00FF6FC5">
              <w:t xml:space="preserve"> Minority</w:t>
            </w:r>
          </w:p>
        </w:tc>
        <w:tc>
          <w:tcPr>
            <w:tcW w:w="764" w:type="dxa"/>
            <w:vAlign w:val="center"/>
          </w:tcPr>
          <w:p w:rsidR="00AC40FC" w:rsidRDefault="00AC40FC" w:rsidP="00A57D87">
            <w:pPr>
              <w:spacing w:after="0"/>
              <w:jc w:val="center"/>
            </w:pPr>
            <w:r>
              <w:t>8%</w:t>
            </w:r>
          </w:p>
        </w:tc>
      </w:tr>
      <w:tr w:rsidR="00AC40FC" w:rsidTr="00A57D87">
        <w:trPr>
          <w:trHeight w:val="204"/>
          <w:jc w:val="center"/>
        </w:trPr>
        <w:tc>
          <w:tcPr>
            <w:tcW w:w="5345" w:type="dxa"/>
            <w:vAlign w:val="center"/>
          </w:tcPr>
          <w:p w:rsidR="00AC40FC" w:rsidRDefault="00AC40FC" w:rsidP="00A57D87">
            <w:pPr>
              <w:spacing w:after="0"/>
              <w:jc w:val="center"/>
            </w:pPr>
            <w:r>
              <w:t>Labor Market Percent</w:t>
            </w:r>
            <w:r w:rsidRPr="00FF6FC5">
              <w:t xml:space="preserve"> Minority</w:t>
            </w:r>
          </w:p>
        </w:tc>
        <w:tc>
          <w:tcPr>
            <w:tcW w:w="764" w:type="dxa"/>
            <w:vAlign w:val="center"/>
          </w:tcPr>
          <w:p w:rsidR="00AC40FC" w:rsidRDefault="00AC40FC" w:rsidP="00A57D87">
            <w:pPr>
              <w:spacing w:after="0"/>
              <w:jc w:val="center"/>
            </w:pPr>
            <w:r>
              <w:t>9%</w:t>
            </w:r>
          </w:p>
        </w:tc>
      </w:tr>
      <w:tr w:rsidR="00AC40FC" w:rsidTr="00A57D87">
        <w:trPr>
          <w:trHeight w:val="123"/>
          <w:jc w:val="center"/>
        </w:trPr>
        <w:tc>
          <w:tcPr>
            <w:tcW w:w="6109" w:type="dxa"/>
            <w:gridSpan w:val="2"/>
          </w:tcPr>
          <w:p w:rsidR="00AC40FC" w:rsidRDefault="00AC40FC" w:rsidP="00A57D87">
            <w:pPr>
              <w:pStyle w:val="Normal-aftertable"/>
              <w:spacing w:before="0" w:after="0"/>
            </w:pPr>
            <w:r>
              <w:t>Sources: DN 17-139; DN 17-128; DN 17-144</w:t>
            </w:r>
          </w:p>
        </w:tc>
      </w:tr>
    </w:tbl>
    <w:p w:rsidR="00AC40FC" w:rsidRDefault="00AC40FC" w:rsidP="00A57D87">
      <w:pPr>
        <w:pStyle w:val="Normal-aftertable"/>
      </w:pPr>
      <w:r>
        <w:t xml:space="preserve">This comparison demonstrates that minority representation in the workforce is reasonably comparable to the labor market. </w:t>
      </w:r>
    </w:p>
    <w:p w:rsidR="00AC40FC" w:rsidRPr="00C332AA" w:rsidRDefault="00AC40FC" w:rsidP="00A57D87">
      <w:pPr>
        <w:pStyle w:val="Findings"/>
      </w:pPr>
      <w:r>
        <w:lastRenderedPageBreak/>
        <w:t xml:space="preserve">PPL EU </w:t>
      </w:r>
      <w:r w:rsidRPr="00A57D87">
        <w:t>has</w:t>
      </w:r>
      <w:r>
        <w:t xml:space="preserve"> improved the application rate for minorities and females in 2015 reversing recent decline.</w:t>
      </w:r>
    </w:p>
    <w:p w:rsidR="00AC40FC" w:rsidRDefault="00AC40FC" w:rsidP="00A57D87">
      <w:r>
        <w:t>The application rate for minorities and females over the last five years is shown in the table below:</w:t>
      </w:r>
    </w:p>
    <w:p w:rsidR="00AC40FC" w:rsidRDefault="00AC40FC" w:rsidP="002B3172">
      <w:pPr>
        <w:pStyle w:val="Caption"/>
      </w:pPr>
      <w:bookmarkStart w:id="304" w:name="_Toc462648476"/>
      <w:bookmarkStart w:id="305" w:name="_Toc464553098"/>
      <w:r>
        <w:t xml:space="preserve">Exhibit </w:t>
      </w:r>
      <w:fldSimple w:instr=" STYLEREF 1 \s ">
        <w:r w:rsidR="00A24205">
          <w:rPr>
            <w:noProof/>
          </w:rPr>
          <w:t>XIV</w:t>
        </w:r>
      </w:fldSimple>
      <w:r w:rsidR="00264A1B">
        <w:noBreakHyphen/>
      </w:r>
      <w:fldSimple w:instr=" SEQ Exhibit \* ARABIC \s 1 ">
        <w:r w:rsidR="00A24205">
          <w:rPr>
            <w:noProof/>
          </w:rPr>
          <w:t>11</w:t>
        </w:r>
      </w:fldSimple>
      <w:r>
        <w:br/>
      </w:r>
      <w:r w:rsidRPr="00C6346F">
        <w:t>Application Rates for Minorities and Females 2011</w:t>
      </w:r>
      <w:r>
        <w:t>–</w:t>
      </w:r>
      <w:r w:rsidRPr="00C6346F">
        <w:t>201</w:t>
      </w:r>
      <w:r>
        <w:t>5</w:t>
      </w:r>
      <w:bookmarkEnd w:id="304"/>
      <w:bookmarkEnd w:id="305"/>
    </w:p>
    <w:tbl>
      <w:tblPr>
        <w:tblW w:w="8270" w:type="dxa"/>
        <w:jc w:val="center"/>
        <w:tblCellMar>
          <w:top w:w="14" w:type="dxa"/>
          <w:left w:w="115" w:type="dxa"/>
          <w:bottom w:w="14" w:type="dxa"/>
          <w:right w:w="115" w:type="dxa"/>
        </w:tblCellMar>
        <w:tblLook w:val="04A0"/>
      </w:tblPr>
      <w:tblGrid>
        <w:gridCol w:w="2617"/>
        <w:gridCol w:w="1130"/>
        <w:gridCol w:w="1130"/>
        <w:gridCol w:w="1127"/>
        <w:gridCol w:w="1133"/>
        <w:gridCol w:w="1133"/>
      </w:tblGrid>
      <w:tr w:rsidR="00AC40FC" w:rsidRPr="00D6083E" w:rsidTr="00A57D87">
        <w:trPr>
          <w:cantSplit/>
          <w:trHeight w:val="309"/>
          <w:tblHeader/>
          <w:jc w:val="center"/>
        </w:trPr>
        <w:tc>
          <w:tcPr>
            <w:tcW w:w="2617" w:type="dxa"/>
            <w:tcBorders>
              <w:top w:val="single" w:sz="4" w:space="0" w:color="auto"/>
              <w:left w:val="single" w:sz="4" w:space="0" w:color="auto"/>
              <w:bottom w:val="single" w:sz="4" w:space="0" w:color="auto"/>
              <w:right w:val="single" w:sz="4" w:space="0" w:color="auto"/>
            </w:tcBorders>
            <w:shd w:val="clear" w:color="auto" w:fill="A5CD7E"/>
            <w:vAlign w:val="center"/>
            <w:hideMark/>
          </w:tcPr>
          <w:p w:rsidR="00AC40FC" w:rsidRPr="00D6083E" w:rsidRDefault="00AC40FC" w:rsidP="00D6083E">
            <w:pPr>
              <w:spacing w:before="120"/>
              <w:jc w:val="center"/>
              <w:rPr>
                <w:b/>
              </w:rPr>
            </w:pPr>
            <w:r w:rsidRPr="00D6083E">
              <w:rPr>
                <w:b/>
              </w:rPr>
              <w:t>Category</w:t>
            </w:r>
          </w:p>
        </w:tc>
        <w:tc>
          <w:tcPr>
            <w:tcW w:w="1130" w:type="dxa"/>
            <w:tcBorders>
              <w:top w:val="single" w:sz="4" w:space="0" w:color="auto"/>
              <w:left w:val="nil"/>
              <w:bottom w:val="single" w:sz="4" w:space="0" w:color="auto"/>
              <w:right w:val="single" w:sz="4" w:space="0" w:color="auto"/>
            </w:tcBorders>
            <w:shd w:val="clear" w:color="auto" w:fill="A5CD7E"/>
            <w:vAlign w:val="center"/>
            <w:hideMark/>
          </w:tcPr>
          <w:p w:rsidR="00AC40FC" w:rsidRPr="00D6083E" w:rsidRDefault="00AC40FC" w:rsidP="00D6083E">
            <w:pPr>
              <w:spacing w:before="120"/>
              <w:jc w:val="center"/>
              <w:rPr>
                <w:b/>
              </w:rPr>
            </w:pPr>
            <w:r w:rsidRPr="00D6083E">
              <w:rPr>
                <w:b/>
              </w:rPr>
              <w:t>2011</w:t>
            </w:r>
          </w:p>
        </w:tc>
        <w:tc>
          <w:tcPr>
            <w:tcW w:w="1130" w:type="dxa"/>
            <w:tcBorders>
              <w:top w:val="single" w:sz="4" w:space="0" w:color="auto"/>
              <w:left w:val="nil"/>
              <w:bottom w:val="single" w:sz="4" w:space="0" w:color="auto"/>
              <w:right w:val="single" w:sz="4" w:space="0" w:color="auto"/>
            </w:tcBorders>
            <w:shd w:val="clear" w:color="auto" w:fill="A5CD7E"/>
            <w:vAlign w:val="center"/>
            <w:hideMark/>
          </w:tcPr>
          <w:p w:rsidR="00AC40FC" w:rsidRPr="00D6083E" w:rsidRDefault="00AC40FC" w:rsidP="00D6083E">
            <w:pPr>
              <w:spacing w:before="120"/>
              <w:jc w:val="center"/>
              <w:rPr>
                <w:b/>
              </w:rPr>
            </w:pPr>
            <w:r w:rsidRPr="00D6083E">
              <w:rPr>
                <w:b/>
              </w:rPr>
              <w:t>2012</w:t>
            </w:r>
          </w:p>
        </w:tc>
        <w:tc>
          <w:tcPr>
            <w:tcW w:w="1127" w:type="dxa"/>
            <w:tcBorders>
              <w:top w:val="single" w:sz="4" w:space="0" w:color="auto"/>
              <w:left w:val="nil"/>
              <w:bottom w:val="single" w:sz="4" w:space="0" w:color="auto"/>
              <w:right w:val="single" w:sz="4" w:space="0" w:color="auto"/>
            </w:tcBorders>
            <w:shd w:val="clear" w:color="auto" w:fill="A5CD7E"/>
            <w:vAlign w:val="center"/>
            <w:hideMark/>
          </w:tcPr>
          <w:p w:rsidR="00AC40FC" w:rsidRPr="00D6083E" w:rsidRDefault="00AC40FC" w:rsidP="00D6083E">
            <w:pPr>
              <w:spacing w:before="120"/>
              <w:jc w:val="center"/>
              <w:rPr>
                <w:b/>
              </w:rPr>
            </w:pPr>
            <w:r w:rsidRPr="00D6083E">
              <w:rPr>
                <w:b/>
              </w:rPr>
              <w:t>2013</w:t>
            </w:r>
          </w:p>
        </w:tc>
        <w:tc>
          <w:tcPr>
            <w:tcW w:w="1133" w:type="dxa"/>
            <w:tcBorders>
              <w:top w:val="single" w:sz="4" w:space="0" w:color="auto"/>
              <w:left w:val="nil"/>
              <w:bottom w:val="single" w:sz="4" w:space="0" w:color="auto"/>
              <w:right w:val="single" w:sz="4" w:space="0" w:color="auto"/>
            </w:tcBorders>
            <w:shd w:val="clear" w:color="auto" w:fill="A5CD7E"/>
            <w:vAlign w:val="center"/>
            <w:hideMark/>
          </w:tcPr>
          <w:p w:rsidR="00AC40FC" w:rsidRPr="00D6083E" w:rsidRDefault="00AC40FC" w:rsidP="00D6083E">
            <w:pPr>
              <w:spacing w:before="120"/>
              <w:jc w:val="center"/>
              <w:rPr>
                <w:b/>
              </w:rPr>
            </w:pPr>
            <w:r w:rsidRPr="00D6083E">
              <w:rPr>
                <w:b/>
              </w:rPr>
              <w:t>2014</w:t>
            </w:r>
          </w:p>
        </w:tc>
        <w:tc>
          <w:tcPr>
            <w:tcW w:w="1133" w:type="dxa"/>
            <w:tcBorders>
              <w:top w:val="single" w:sz="4" w:space="0" w:color="auto"/>
              <w:left w:val="nil"/>
              <w:bottom w:val="single" w:sz="4" w:space="0" w:color="auto"/>
              <w:right w:val="single" w:sz="4" w:space="0" w:color="auto"/>
            </w:tcBorders>
            <w:shd w:val="clear" w:color="auto" w:fill="A5CD7E"/>
            <w:vAlign w:val="center"/>
          </w:tcPr>
          <w:p w:rsidR="00AC40FC" w:rsidRPr="00D6083E" w:rsidRDefault="00AC40FC" w:rsidP="00D6083E">
            <w:pPr>
              <w:spacing w:before="120"/>
              <w:jc w:val="center"/>
              <w:rPr>
                <w:b/>
              </w:rPr>
            </w:pPr>
            <w:r w:rsidRPr="00D6083E">
              <w:rPr>
                <w:b/>
              </w:rPr>
              <w:t>2015</w:t>
            </w:r>
          </w:p>
        </w:tc>
      </w:tr>
      <w:tr w:rsidR="00AC40FC" w:rsidRPr="00C6346F" w:rsidTr="00A57D87">
        <w:trPr>
          <w:trHeight w:val="229"/>
          <w:jc w:val="center"/>
        </w:trPr>
        <w:tc>
          <w:tcPr>
            <w:tcW w:w="2617" w:type="dxa"/>
            <w:tcBorders>
              <w:top w:val="nil"/>
              <w:left w:val="single" w:sz="4" w:space="0" w:color="auto"/>
              <w:bottom w:val="single" w:sz="4" w:space="0" w:color="auto"/>
              <w:right w:val="single" w:sz="4" w:space="0" w:color="auto"/>
            </w:tcBorders>
            <w:shd w:val="clear" w:color="auto" w:fill="auto"/>
            <w:vAlign w:val="center"/>
            <w:hideMark/>
          </w:tcPr>
          <w:p w:rsidR="00AC40FC" w:rsidRPr="00C6346F" w:rsidRDefault="00AC40FC" w:rsidP="00A57D87">
            <w:pPr>
              <w:spacing w:after="0"/>
              <w:rPr>
                <w:rFonts w:cs="Arial"/>
                <w:szCs w:val="24"/>
              </w:rPr>
            </w:pPr>
            <w:r w:rsidRPr="00C6346F">
              <w:rPr>
                <w:rFonts w:cs="Arial"/>
                <w:szCs w:val="24"/>
              </w:rPr>
              <w:t>Percent Minority</w:t>
            </w:r>
          </w:p>
        </w:tc>
        <w:tc>
          <w:tcPr>
            <w:tcW w:w="1130" w:type="dxa"/>
            <w:tcBorders>
              <w:top w:val="nil"/>
              <w:left w:val="nil"/>
              <w:bottom w:val="single" w:sz="4" w:space="0" w:color="auto"/>
              <w:right w:val="single" w:sz="4" w:space="0" w:color="auto"/>
            </w:tcBorders>
            <w:shd w:val="clear" w:color="auto" w:fill="auto"/>
            <w:vAlign w:val="center"/>
            <w:hideMark/>
          </w:tcPr>
          <w:p w:rsidR="00AC40FC" w:rsidRPr="00C6346F" w:rsidRDefault="00AC40FC" w:rsidP="00A57D87">
            <w:pPr>
              <w:spacing w:after="0"/>
              <w:jc w:val="right"/>
              <w:rPr>
                <w:rFonts w:cs="Arial"/>
                <w:szCs w:val="24"/>
              </w:rPr>
            </w:pPr>
            <w:r w:rsidRPr="00C6346F">
              <w:rPr>
                <w:rFonts w:cs="Arial"/>
                <w:szCs w:val="24"/>
              </w:rPr>
              <w:t>15.1%</w:t>
            </w:r>
          </w:p>
        </w:tc>
        <w:tc>
          <w:tcPr>
            <w:tcW w:w="1130" w:type="dxa"/>
            <w:tcBorders>
              <w:top w:val="nil"/>
              <w:left w:val="nil"/>
              <w:bottom w:val="single" w:sz="4" w:space="0" w:color="auto"/>
              <w:right w:val="single" w:sz="4" w:space="0" w:color="auto"/>
            </w:tcBorders>
            <w:shd w:val="clear" w:color="auto" w:fill="auto"/>
            <w:vAlign w:val="center"/>
            <w:hideMark/>
          </w:tcPr>
          <w:p w:rsidR="00AC40FC" w:rsidRPr="00C6346F" w:rsidRDefault="00AC40FC" w:rsidP="00A57D87">
            <w:pPr>
              <w:spacing w:after="0"/>
              <w:jc w:val="right"/>
              <w:rPr>
                <w:rFonts w:cs="Arial"/>
                <w:szCs w:val="24"/>
              </w:rPr>
            </w:pPr>
            <w:r w:rsidRPr="00C6346F">
              <w:rPr>
                <w:rFonts w:cs="Arial"/>
                <w:szCs w:val="24"/>
              </w:rPr>
              <w:t>13.5%</w:t>
            </w:r>
          </w:p>
        </w:tc>
        <w:tc>
          <w:tcPr>
            <w:tcW w:w="1127" w:type="dxa"/>
            <w:tcBorders>
              <w:top w:val="nil"/>
              <w:left w:val="nil"/>
              <w:bottom w:val="single" w:sz="4" w:space="0" w:color="auto"/>
              <w:right w:val="single" w:sz="4" w:space="0" w:color="auto"/>
            </w:tcBorders>
            <w:shd w:val="clear" w:color="auto" w:fill="auto"/>
            <w:vAlign w:val="center"/>
            <w:hideMark/>
          </w:tcPr>
          <w:p w:rsidR="00AC40FC" w:rsidRPr="00C6346F" w:rsidRDefault="00AC40FC" w:rsidP="00A57D87">
            <w:pPr>
              <w:spacing w:after="0"/>
              <w:jc w:val="right"/>
              <w:rPr>
                <w:rFonts w:cs="Arial"/>
                <w:szCs w:val="24"/>
              </w:rPr>
            </w:pPr>
            <w:r w:rsidRPr="00C6346F">
              <w:rPr>
                <w:rFonts w:cs="Arial"/>
                <w:szCs w:val="24"/>
              </w:rPr>
              <w:t>13.1%</w:t>
            </w:r>
          </w:p>
        </w:tc>
        <w:tc>
          <w:tcPr>
            <w:tcW w:w="1133" w:type="dxa"/>
            <w:tcBorders>
              <w:top w:val="nil"/>
              <w:left w:val="nil"/>
              <w:bottom w:val="single" w:sz="4" w:space="0" w:color="auto"/>
              <w:right w:val="single" w:sz="4" w:space="0" w:color="auto"/>
            </w:tcBorders>
            <w:shd w:val="clear" w:color="auto" w:fill="auto"/>
            <w:vAlign w:val="center"/>
            <w:hideMark/>
          </w:tcPr>
          <w:p w:rsidR="00AC40FC" w:rsidRPr="00C6346F" w:rsidRDefault="00AC40FC" w:rsidP="00A57D87">
            <w:pPr>
              <w:spacing w:after="0"/>
              <w:jc w:val="right"/>
              <w:rPr>
                <w:rFonts w:cs="Arial"/>
                <w:szCs w:val="24"/>
              </w:rPr>
            </w:pPr>
            <w:r w:rsidRPr="00C6346F">
              <w:rPr>
                <w:rFonts w:cs="Arial"/>
                <w:szCs w:val="24"/>
              </w:rPr>
              <w:t>17.6%</w:t>
            </w:r>
          </w:p>
        </w:tc>
        <w:tc>
          <w:tcPr>
            <w:tcW w:w="1133" w:type="dxa"/>
            <w:tcBorders>
              <w:top w:val="nil"/>
              <w:left w:val="nil"/>
              <w:bottom w:val="single" w:sz="4" w:space="0" w:color="auto"/>
              <w:right w:val="single" w:sz="4" w:space="0" w:color="auto"/>
            </w:tcBorders>
          </w:tcPr>
          <w:p w:rsidR="00AC40FC" w:rsidRPr="00C6346F" w:rsidRDefault="00AC40FC" w:rsidP="00A57D87">
            <w:pPr>
              <w:spacing w:after="0"/>
              <w:jc w:val="right"/>
              <w:rPr>
                <w:rFonts w:cs="Arial"/>
                <w:szCs w:val="24"/>
              </w:rPr>
            </w:pPr>
            <w:r>
              <w:rPr>
                <w:rFonts w:cs="Arial"/>
                <w:szCs w:val="24"/>
              </w:rPr>
              <w:t>22.8%</w:t>
            </w:r>
          </w:p>
        </w:tc>
      </w:tr>
      <w:tr w:rsidR="00AC40FC" w:rsidRPr="00C6346F" w:rsidTr="00A57D87">
        <w:trPr>
          <w:trHeight w:val="256"/>
          <w:jc w:val="center"/>
        </w:trPr>
        <w:tc>
          <w:tcPr>
            <w:tcW w:w="2617" w:type="dxa"/>
            <w:tcBorders>
              <w:top w:val="nil"/>
              <w:left w:val="single" w:sz="4" w:space="0" w:color="auto"/>
              <w:bottom w:val="single" w:sz="4" w:space="0" w:color="auto"/>
              <w:right w:val="single" w:sz="4" w:space="0" w:color="auto"/>
            </w:tcBorders>
            <w:shd w:val="clear" w:color="auto" w:fill="auto"/>
            <w:vAlign w:val="center"/>
            <w:hideMark/>
          </w:tcPr>
          <w:p w:rsidR="00AC40FC" w:rsidRPr="00C6346F" w:rsidRDefault="00AC40FC" w:rsidP="00A57D87">
            <w:pPr>
              <w:spacing w:after="0"/>
              <w:rPr>
                <w:rFonts w:cs="Arial"/>
                <w:szCs w:val="24"/>
              </w:rPr>
            </w:pPr>
            <w:r w:rsidRPr="00C6346F">
              <w:rPr>
                <w:rFonts w:cs="Arial"/>
                <w:szCs w:val="24"/>
              </w:rPr>
              <w:t>Percent Non-Minority</w:t>
            </w:r>
          </w:p>
        </w:tc>
        <w:tc>
          <w:tcPr>
            <w:tcW w:w="1130" w:type="dxa"/>
            <w:tcBorders>
              <w:top w:val="nil"/>
              <w:left w:val="nil"/>
              <w:bottom w:val="single" w:sz="4" w:space="0" w:color="auto"/>
              <w:right w:val="single" w:sz="4" w:space="0" w:color="auto"/>
            </w:tcBorders>
            <w:shd w:val="clear" w:color="auto" w:fill="auto"/>
            <w:vAlign w:val="center"/>
            <w:hideMark/>
          </w:tcPr>
          <w:p w:rsidR="00AC40FC" w:rsidRPr="00C6346F" w:rsidRDefault="00AC40FC" w:rsidP="00A57D87">
            <w:pPr>
              <w:spacing w:after="0"/>
              <w:jc w:val="right"/>
              <w:rPr>
                <w:rFonts w:cs="Arial"/>
                <w:szCs w:val="24"/>
              </w:rPr>
            </w:pPr>
            <w:r w:rsidRPr="00C6346F">
              <w:rPr>
                <w:rFonts w:cs="Arial"/>
                <w:szCs w:val="24"/>
              </w:rPr>
              <w:t>84.9%</w:t>
            </w:r>
          </w:p>
        </w:tc>
        <w:tc>
          <w:tcPr>
            <w:tcW w:w="1130" w:type="dxa"/>
            <w:tcBorders>
              <w:top w:val="nil"/>
              <w:left w:val="nil"/>
              <w:bottom w:val="single" w:sz="4" w:space="0" w:color="auto"/>
              <w:right w:val="single" w:sz="4" w:space="0" w:color="auto"/>
            </w:tcBorders>
            <w:shd w:val="clear" w:color="auto" w:fill="auto"/>
            <w:vAlign w:val="center"/>
            <w:hideMark/>
          </w:tcPr>
          <w:p w:rsidR="00AC40FC" w:rsidRPr="00C6346F" w:rsidRDefault="00AC40FC" w:rsidP="00A57D87">
            <w:pPr>
              <w:spacing w:after="0"/>
              <w:jc w:val="right"/>
              <w:rPr>
                <w:rFonts w:cs="Arial"/>
                <w:szCs w:val="24"/>
              </w:rPr>
            </w:pPr>
            <w:r w:rsidRPr="00C6346F">
              <w:rPr>
                <w:rFonts w:cs="Arial"/>
                <w:szCs w:val="24"/>
              </w:rPr>
              <w:t>86.5%</w:t>
            </w:r>
          </w:p>
        </w:tc>
        <w:tc>
          <w:tcPr>
            <w:tcW w:w="1127" w:type="dxa"/>
            <w:tcBorders>
              <w:top w:val="nil"/>
              <w:left w:val="nil"/>
              <w:bottom w:val="single" w:sz="4" w:space="0" w:color="auto"/>
              <w:right w:val="single" w:sz="4" w:space="0" w:color="auto"/>
            </w:tcBorders>
            <w:shd w:val="clear" w:color="auto" w:fill="auto"/>
            <w:vAlign w:val="center"/>
            <w:hideMark/>
          </w:tcPr>
          <w:p w:rsidR="00AC40FC" w:rsidRPr="00C6346F" w:rsidRDefault="00AC40FC" w:rsidP="00A57D87">
            <w:pPr>
              <w:spacing w:after="0"/>
              <w:jc w:val="right"/>
              <w:rPr>
                <w:rFonts w:cs="Arial"/>
                <w:szCs w:val="24"/>
              </w:rPr>
            </w:pPr>
            <w:r w:rsidRPr="00C6346F">
              <w:rPr>
                <w:rFonts w:cs="Arial"/>
                <w:szCs w:val="24"/>
              </w:rPr>
              <w:t>86.9%</w:t>
            </w:r>
          </w:p>
        </w:tc>
        <w:tc>
          <w:tcPr>
            <w:tcW w:w="1133" w:type="dxa"/>
            <w:tcBorders>
              <w:top w:val="nil"/>
              <w:left w:val="nil"/>
              <w:bottom w:val="single" w:sz="4" w:space="0" w:color="auto"/>
              <w:right w:val="single" w:sz="4" w:space="0" w:color="auto"/>
            </w:tcBorders>
            <w:shd w:val="clear" w:color="auto" w:fill="auto"/>
            <w:vAlign w:val="center"/>
            <w:hideMark/>
          </w:tcPr>
          <w:p w:rsidR="00AC40FC" w:rsidRPr="00C6346F" w:rsidRDefault="00AC40FC" w:rsidP="00A57D87">
            <w:pPr>
              <w:spacing w:after="0"/>
              <w:jc w:val="right"/>
              <w:rPr>
                <w:rFonts w:cs="Arial"/>
                <w:szCs w:val="24"/>
              </w:rPr>
            </w:pPr>
            <w:r w:rsidRPr="00C6346F">
              <w:rPr>
                <w:rFonts w:cs="Arial"/>
                <w:szCs w:val="24"/>
              </w:rPr>
              <w:t>82.4%</w:t>
            </w:r>
          </w:p>
        </w:tc>
        <w:tc>
          <w:tcPr>
            <w:tcW w:w="1133" w:type="dxa"/>
            <w:tcBorders>
              <w:top w:val="nil"/>
              <w:left w:val="nil"/>
              <w:bottom w:val="single" w:sz="4" w:space="0" w:color="auto"/>
              <w:right w:val="single" w:sz="4" w:space="0" w:color="auto"/>
            </w:tcBorders>
          </w:tcPr>
          <w:p w:rsidR="00AC40FC" w:rsidRPr="00C6346F" w:rsidRDefault="00AC40FC" w:rsidP="00A57D87">
            <w:pPr>
              <w:spacing w:after="0"/>
              <w:jc w:val="right"/>
              <w:rPr>
                <w:rFonts w:cs="Arial"/>
                <w:szCs w:val="24"/>
              </w:rPr>
            </w:pPr>
            <w:r>
              <w:rPr>
                <w:rFonts w:cs="Arial"/>
                <w:szCs w:val="24"/>
              </w:rPr>
              <w:t>77.2%</w:t>
            </w:r>
          </w:p>
        </w:tc>
      </w:tr>
      <w:tr w:rsidR="00AC40FC" w:rsidRPr="00C6346F" w:rsidTr="00A57D87">
        <w:trPr>
          <w:trHeight w:val="193"/>
          <w:jc w:val="center"/>
        </w:trPr>
        <w:tc>
          <w:tcPr>
            <w:tcW w:w="2617" w:type="dxa"/>
            <w:tcBorders>
              <w:top w:val="nil"/>
              <w:left w:val="single" w:sz="4" w:space="0" w:color="auto"/>
              <w:bottom w:val="single" w:sz="4" w:space="0" w:color="auto"/>
              <w:right w:val="single" w:sz="4" w:space="0" w:color="auto"/>
            </w:tcBorders>
            <w:shd w:val="clear" w:color="auto" w:fill="FFFFFF" w:themeFill="background1"/>
            <w:vAlign w:val="center"/>
            <w:hideMark/>
          </w:tcPr>
          <w:p w:rsidR="00AC40FC" w:rsidRPr="00C6346F" w:rsidRDefault="00AC40FC" w:rsidP="00A57D87">
            <w:pPr>
              <w:spacing w:after="0"/>
              <w:rPr>
                <w:rFonts w:cs="Arial"/>
                <w:szCs w:val="24"/>
              </w:rPr>
            </w:pPr>
            <w:r w:rsidRPr="00C6346F">
              <w:rPr>
                <w:rFonts w:cs="Arial"/>
                <w:szCs w:val="24"/>
              </w:rPr>
              <w:t>Percent Female</w:t>
            </w:r>
          </w:p>
        </w:tc>
        <w:tc>
          <w:tcPr>
            <w:tcW w:w="1130" w:type="dxa"/>
            <w:tcBorders>
              <w:top w:val="nil"/>
              <w:left w:val="nil"/>
              <w:bottom w:val="single" w:sz="4" w:space="0" w:color="auto"/>
              <w:right w:val="single" w:sz="4" w:space="0" w:color="auto"/>
            </w:tcBorders>
            <w:shd w:val="clear" w:color="auto" w:fill="FFFFFF" w:themeFill="background1"/>
            <w:vAlign w:val="center"/>
            <w:hideMark/>
          </w:tcPr>
          <w:p w:rsidR="00AC40FC" w:rsidRPr="00C6346F" w:rsidRDefault="00AC40FC" w:rsidP="00A57D87">
            <w:pPr>
              <w:spacing w:after="0"/>
              <w:jc w:val="right"/>
              <w:rPr>
                <w:rFonts w:cs="Arial"/>
                <w:szCs w:val="24"/>
              </w:rPr>
            </w:pPr>
            <w:r w:rsidRPr="00C6346F">
              <w:rPr>
                <w:rFonts w:cs="Arial"/>
                <w:szCs w:val="24"/>
              </w:rPr>
              <w:t>20.9%</w:t>
            </w:r>
          </w:p>
        </w:tc>
        <w:tc>
          <w:tcPr>
            <w:tcW w:w="1130" w:type="dxa"/>
            <w:tcBorders>
              <w:top w:val="nil"/>
              <w:left w:val="nil"/>
              <w:bottom w:val="single" w:sz="4" w:space="0" w:color="auto"/>
              <w:right w:val="single" w:sz="4" w:space="0" w:color="auto"/>
            </w:tcBorders>
            <w:shd w:val="clear" w:color="auto" w:fill="FFFFFF" w:themeFill="background1"/>
            <w:vAlign w:val="center"/>
            <w:hideMark/>
          </w:tcPr>
          <w:p w:rsidR="00AC40FC" w:rsidRPr="00C6346F" w:rsidRDefault="00AC40FC" w:rsidP="00A57D87">
            <w:pPr>
              <w:spacing w:after="0"/>
              <w:jc w:val="right"/>
              <w:rPr>
                <w:rFonts w:cs="Arial"/>
                <w:szCs w:val="24"/>
              </w:rPr>
            </w:pPr>
            <w:r w:rsidRPr="00C6346F">
              <w:rPr>
                <w:rFonts w:cs="Arial"/>
                <w:szCs w:val="24"/>
              </w:rPr>
              <w:t>19.5%</w:t>
            </w:r>
          </w:p>
        </w:tc>
        <w:tc>
          <w:tcPr>
            <w:tcW w:w="1127" w:type="dxa"/>
            <w:tcBorders>
              <w:top w:val="nil"/>
              <w:left w:val="nil"/>
              <w:bottom w:val="single" w:sz="4" w:space="0" w:color="auto"/>
              <w:right w:val="single" w:sz="4" w:space="0" w:color="auto"/>
            </w:tcBorders>
            <w:shd w:val="clear" w:color="auto" w:fill="FFFFFF" w:themeFill="background1"/>
            <w:vAlign w:val="center"/>
            <w:hideMark/>
          </w:tcPr>
          <w:p w:rsidR="00AC40FC" w:rsidRPr="00C6346F" w:rsidRDefault="00AC40FC" w:rsidP="00A57D87">
            <w:pPr>
              <w:spacing w:after="0"/>
              <w:jc w:val="right"/>
              <w:rPr>
                <w:rFonts w:cs="Arial"/>
                <w:szCs w:val="24"/>
              </w:rPr>
            </w:pPr>
            <w:r w:rsidRPr="00C6346F">
              <w:rPr>
                <w:rFonts w:cs="Arial"/>
                <w:szCs w:val="24"/>
              </w:rPr>
              <w:t>14.7%</w:t>
            </w:r>
          </w:p>
        </w:tc>
        <w:tc>
          <w:tcPr>
            <w:tcW w:w="1133" w:type="dxa"/>
            <w:tcBorders>
              <w:top w:val="nil"/>
              <w:left w:val="nil"/>
              <w:bottom w:val="single" w:sz="4" w:space="0" w:color="auto"/>
              <w:right w:val="single" w:sz="4" w:space="0" w:color="auto"/>
            </w:tcBorders>
            <w:shd w:val="clear" w:color="auto" w:fill="FFFFFF" w:themeFill="background1"/>
            <w:vAlign w:val="center"/>
            <w:hideMark/>
          </w:tcPr>
          <w:p w:rsidR="00AC40FC" w:rsidRPr="00C6346F" w:rsidRDefault="00AC40FC" w:rsidP="00A57D87">
            <w:pPr>
              <w:spacing w:after="0"/>
              <w:jc w:val="right"/>
              <w:rPr>
                <w:rFonts w:cs="Arial"/>
                <w:szCs w:val="24"/>
              </w:rPr>
            </w:pPr>
            <w:r w:rsidRPr="00C6346F">
              <w:rPr>
                <w:rFonts w:cs="Arial"/>
                <w:szCs w:val="24"/>
              </w:rPr>
              <w:t>12.7%</w:t>
            </w:r>
          </w:p>
        </w:tc>
        <w:tc>
          <w:tcPr>
            <w:tcW w:w="1133" w:type="dxa"/>
            <w:tcBorders>
              <w:top w:val="nil"/>
              <w:left w:val="nil"/>
              <w:bottom w:val="single" w:sz="4" w:space="0" w:color="auto"/>
              <w:right w:val="single" w:sz="4" w:space="0" w:color="auto"/>
            </w:tcBorders>
            <w:shd w:val="clear" w:color="auto" w:fill="FFFFFF" w:themeFill="background1"/>
          </w:tcPr>
          <w:p w:rsidR="00AC40FC" w:rsidRPr="00C6346F" w:rsidRDefault="00AC40FC" w:rsidP="00A57D87">
            <w:pPr>
              <w:spacing w:after="0"/>
              <w:jc w:val="right"/>
              <w:rPr>
                <w:rFonts w:cs="Arial"/>
                <w:szCs w:val="24"/>
              </w:rPr>
            </w:pPr>
            <w:r>
              <w:rPr>
                <w:rFonts w:cs="Arial"/>
                <w:szCs w:val="24"/>
              </w:rPr>
              <w:t>25.5%</w:t>
            </w:r>
          </w:p>
        </w:tc>
      </w:tr>
      <w:tr w:rsidR="00AC40FC" w:rsidRPr="00C6346F" w:rsidTr="00A57D87">
        <w:trPr>
          <w:trHeight w:val="139"/>
          <w:jc w:val="center"/>
        </w:trPr>
        <w:tc>
          <w:tcPr>
            <w:tcW w:w="2617" w:type="dxa"/>
            <w:tcBorders>
              <w:top w:val="nil"/>
              <w:left w:val="single" w:sz="4" w:space="0" w:color="auto"/>
              <w:bottom w:val="single" w:sz="4" w:space="0" w:color="auto"/>
              <w:right w:val="single" w:sz="4" w:space="0" w:color="auto"/>
            </w:tcBorders>
            <w:shd w:val="clear" w:color="auto" w:fill="FFFFFF" w:themeFill="background1"/>
            <w:vAlign w:val="center"/>
            <w:hideMark/>
          </w:tcPr>
          <w:p w:rsidR="00AC40FC" w:rsidRPr="00C6346F" w:rsidRDefault="00AC40FC" w:rsidP="00A57D87">
            <w:pPr>
              <w:spacing w:after="0"/>
              <w:rPr>
                <w:rFonts w:cs="Arial"/>
                <w:szCs w:val="24"/>
              </w:rPr>
            </w:pPr>
            <w:r w:rsidRPr="00C6346F">
              <w:rPr>
                <w:rFonts w:cs="Arial"/>
                <w:szCs w:val="24"/>
              </w:rPr>
              <w:t>Percent Male</w:t>
            </w:r>
          </w:p>
        </w:tc>
        <w:tc>
          <w:tcPr>
            <w:tcW w:w="1130" w:type="dxa"/>
            <w:tcBorders>
              <w:top w:val="nil"/>
              <w:left w:val="nil"/>
              <w:bottom w:val="single" w:sz="4" w:space="0" w:color="auto"/>
              <w:right w:val="single" w:sz="4" w:space="0" w:color="auto"/>
            </w:tcBorders>
            <w:shd w:val="clear" w:color="auto" w:fill="FFFFFF" w:themeFill="background1"/>
            <w:vAlign w:val="center"/>
            <w:hideMark/>
          </w:tcPr>
          <w:p w:rsidR="00AC40FC" w:rsidRPr="00C6346F" w:rsidRDefault="00AC40FC" w:rsidP="00A57D87">
            <w:pPr>
              <w:spacing w:after="0"/>
              <w:jc w:val="right"/>
              <w:rPr>
                <w:rFonts w:cs="Arial"/>
                <w:szCs w:val="24"/>
              </w:rPr>
            </w:pPr>
            <w:r w:rsidRPr="00C6346F">
              <w:rPr>
                <w:rFonts w:cs="Arial"/>
                <w:szCs w:val="24"/>
              </w:rPr>
              <w:t>79.1%</w:t>
            </w:r>
          </w:p>
        </w:tc>
        <w:tc>
          <w:tcPr>
            <w:tcW w:w="1130" w:type="dxa"/>
            <w:tcBorders>
              <w:top w:val="nil"/>
              <w:left w:val="nil"/>
              <w:bottom w:val="single" w:sz="4" w:space="0" w:color="auto"/>
              <w:right w:val="single" w:sz="4" w:space="0" w:color="auto"/>
            </w:tcBorders>
            <w:shd w:val="clear" w:color="auto" w:fill="FFFFFF" w:themeFill="background1"/>
            <w:vAlign w:val="center"/>
            <w:hideMark/>
          </w:tcPr>
          <w:p w:rsidR="00AC40FC" w:rsidRPr="00C6346F" w:rsidRDefault="00AC40FC" w:rsidP="00A57D87">
            <w:pPr>
              <w:spacing w:after="0"/>
              <w:jc w:val="right"/>
              <w:rPr>
                <w:rFonts w:cs="Arial"/>
                <w:szCs w:val="24"/>
              </w:rPr>
            </w:pPr>
            <w:r w:rsidRPr="00C6346F">
              <w:rPr>
                <w:rFonts w:cs="Arial"/>
                <w:szCs w:val="24"/>
              </w:rPr>
              <w:t>80.5%</w:t>
            </w:r>
          </w:p>
        </w:tc>
        <w:tc>
          <w:tcPr>
            <w:tcW w:w="1127" w:type="dxa"/>
            <w:tcBorders>
              <w:top w:val="nil"/>
              <w:left w:val="nil"/>
              <w:bottom w:val="single" w:sz="4" w:space="0" w:color="auto"/>
              <w:right w:val="single" w:sz="4" w:space="0" w:color="auto"/>
            </w:tcBorders>
            <w:shd w:val="clear" w:color="auto" w:fill="FFFFFF" w:themeFill="background1"/>
            <w:vAlign w:val="center"/>
            <w:hideMark/>
          </w:tcPr>
          <w:p w:rsidR="00AC40FC" w:rsidRPr="00C6346F" w:rsidRDefault="00AC40FC" w:rsidP="00A57D87">
            <w:pPr>
              <w:spacing w:after="0"/>
              <w:jc w:val="right"/>
              <w:rPr>
                <w:rFonts w:cs="Arial"/>
                <w:szCs w:val="24"/>
              </w:rPr>
            </w:pPr>
            <w:r w:rsidRPr="00C6346F">
              <w:rPr>
                <w:rFonts w:cs="Arial"/>
                <w:szCs w:val="24"/>
              </w:rPr>
              <w:t>85.3%</w:t>
            </w:r>
          </w:p>
        </w:tc>
        <w:tc>
          <w:tcPr>
            <w:tcW w:w="1133" w:type="dxa"/>
            <w:tcBorders>
              <w:top w:val="nil"/>
              <w:left w:val="nil"/>
              <w:bottom w:val="single" w:sz="4" w:space="0" w:color="auto"/>
              <w:right w:val="single" w:sz="4" w:space="0" w:color="auto"/>
            </w:tcBorders>
            <w:shd w:val="clear" w:color="auto" w:fill="FFFFFF" w:themeFill="background1"/>
            <w:vAlign w:val="center"/>
            <w:hideMark/>
          </w:tcPr>
          <w:p w:rsidR="00AC40FC" w:rsidRPr="00C6346F" w:rsidRDefault="00AC40FC" w:rsidP="00A57D87">
            <w:pPr>
              <w:spacing w:after="0"/>
              <w:jc w:val="right"/>
              <w:rPr>
                <w:rFonts w:cs="Arial"/>
                <w:szCs w:val="24"/>
              </w:rPr>
            </w:pPr>
            <w:r w:rsidRPr="00C6346F">
              <w:rPr>
                <w:rFonts w:cs="Arial"/>
                <w:szCs w:val="24"/>
              </w:rPr>
              <w:t>87.3%</w:t>
            </w:r>
          </w:p>
        </w:tc>
        <w:tc>
          <w:tcPr>
            <w:tcW w:w="1133" w:type="dxa"/>
            <w:tcBorders>
              <w:top w:val="nil"/>
              <w:left w:val="nil"/>
              <w:bottom w:val="single" w:sz="4" w:space="0" w:color="auto"/>
              <w:right w:val="single" w:sz="4" w:space="0" w:color="auto"/>
            </w:tcBorders>
            <w:shd w:val="clear" w:color="auto" w:fill="FFFFFF" w:themeFill="background1"/>
          </w:tcPr>
          <w:p w:rsidR="00AC40FC" w:rsidRPr="00C6346F" w:rsidRDefault="00AC40FC" w:rsidP="00A57D87">
            <w:pPr>
              <w:spacing w:after="0"/>
              <w:jc w:val="right"/>
              <w:rPr>
                <w:rFonts w:cs="Arial"/>
                <w:szCs w:val="24"/>
              </w:rPr>
            </w:pPr>
            <w:r>
              <w:rPr>
                <w:rFonts w:cs="Arial"/>
                <w:szCs w:val="24"/>
              </w:rPr>
              <w:t>74.5%</w:t>
            </w:r>
          </w:p>
        </w:tc>
      </w:tr>
      <w:tr w:rsidR="00AC40FC" w:rsidRPr="00C6346F" w:rsidTr="00A57D87">
        <w:trPr>
          <w:trHeight w:val="274"/>
          <w:jc w:val="center"/>
        </w:trPr>
        <w:tc>
          <w:tcPr>
            <w:tcW w:w="8270" w:type="dxa"/>
            <w:gridSpan w:val="6"/>
            <w:tcBorders>
              <w:top w:val="nil"/>
              <w:left w:val="single" w:sz="4" w:space="0" w:color="auto"/>
              <w:bottom w:val="single" w:sz="4" w:space="0" w:color="auto"/>
              <w:right w:val="single" w:sz="4" w:space="0" w:color="auto"/>
            </w:tcBorders>
            <w:shd w:val="clear" w:color="auto" w:fill="auto"/>
            <w:vAlign w:val="center"/>
            <w:hideMark/>
          </w:tcPr>
          <w:p w:rsidR="00AC40FC" w:rsidRDefault="00AC40FC" w:rsidP="00A57D87">
            <w:pPr>
              <w:spacing w:after="0"/>
              <w:rPr>
                <w:rFonts w:cs="Arial"/>
                <w:szCs w:val="24"/>
              </w:rPr>
            </w:pPr>
            <w:r>
              <w:rPr>
                <w:rFonts w:cs="Arial"/>
                <w:szCs w:val="24"/>
              </w:rPr>
              <w:t>Source</w:t>
            </w:r>
            <w:r w:rsidRPr="00C6346F">
              <w:rPr>
                <w:rFonts w:cs="Arial"/>
                <w:szCs w:val="24"/>
              </w:rPr>
              <w:t>: DN 17-133</w:t>
            </w:r>
          </w:p>
        </w:tc>
      </w:tr>
      <w:tr w:rsidR="00AC40FC" w:rsidRPr="00C6346F" w:rsidTr="00A57D87">
        <w:trPr>
          <w:trHeight w:val="418"/>
          <w:jc w:val="center"/>
        </w:trPr>
        <w:tc>
          <w:tcPr>
            <w:tcW w:w="8270" w:type="dxa"/>
            <w:gridSpan w:val="6"/>
            <w:tcBorders>
              <w:top w:val="nil"/>
              <w:left w:val="nil"/>
              <w:bottom w:val="nil"/>
              <w:right w:val="nil"/>
            </w:tcBorders>
            <w:shd w:val="clear" w:color="auto" w:fill="auto"/>
            <w:hideMark/>
          </w:tcPr>
          <w:p w:rsidR="00AC40FC" w:rsidRPr="00C6346F" w:rsidRDefault="00AC40FC" w:rsidP="00A57D87">
            <w:pPr>
              <w:spacing w:after="0"/>
              <w:jc w:val="left"/>
              <w:rPr>
                <w:rFonts w:cs="Arial"/>
                <w:szCs w:val="24"/>
              </w:rPr>
            </w:pPr>
            <w:r w:rsidRPr="00C6346F">
              <w:rPr>
                <w:rFonts w:cs="Arial"/>
                <w:szCs w:val="24"/>
              </w:rPr>
              <w:t>Note:  Percentages do not reflect those applicants who chose not to disclose minority or gender status.</w:t>
            </w:r>
          </w:p>
        </w:tc>
      </w:tr>
    </w:tbl>
    <w:p w:rsidR="00AC40FC" w:rsidRDefault="00AC40FC" w:rsidP="00A57D87">
      <w:pPr>
        <w:pStyle w:val="Normal-aftertable"/>
      </w:pPr>
      <w:r>
        <w:t xml:space="preserve">The data shows that the application rates for minorities and females have improved in 2015.  </w:t>
      </w:r>
    </w:p>
    <w:p w:rsidR="00AC40FC" w:rsidRPr="00C332AA" w:rsidRDefault="00AC40FC" w:rsidP="00A57D87">
      <w:pPr>
        <w:pStyle w:val="Findings"/>
      </w:pPr>
      <w:r w:rsidRPr="00A57D87">
        <w:t>In</w:t>
      </w:r>
      <w:r>
        <w:t xml:space="preserve"> 2015, n</w:t>
      </w:r>
      <w:r w:rsidRPr="00C332AA">
        <w:t xml:space="preserve">ew </w:t>
      </w:r>
      <w:r>
        <w:t>h</w:t>
      </w:r>
      <w:r w:rsidRPr="00C332AA">
        <w:t xml:space="preserve">ire </w:t>
      </w:r>
      <w:r>
        <w:t>r</w:t>
      </w:r>
      <w:r w:rsidRPr="00C332AA">
        <w:t xml:space="preserve">ates </w:t>
      </w:r>
      <w:r>
        <w:t>for minorities and females have improved, reversing a declining trend since 2012.</w:t>
      </w:r>
    </w:p>
    <w:p w:rsidR="00AC40FC" w:rsidRDefault="00AC40FC" w:rsidP="00A57D87">
      <w:r>
        <w:t>PPL EU has experienced the following new hire rates for minorities and females over the last five years as shown in the table below:</w:t>
      </w:r>
    </w:p>
    <w:p w:rsidR="00AC40FC" w:rsidRDefault="00AC40FC" w:rsidP="002B3172">
      <w:pPr>
        <w:pStyle w:val="Caption"/>
      </w:pPr>
      <w:bookmarkStart w:id="306" w:name="_Toc462648477"/>
      <w:bookmarkStart w:id="307" w:name="_Toc464553099"/>
      <w:r>
        <w:t xml:space="preserve">Exhibit </w:t>
      </w:r>
      <w:fldSimple w:instr=" STYLEREF 1 \s ">
        <w:r w:rsidR="00A24205">
          <w:rPr>
            <w:noProof/>
          </w:rPr>
          <w:t>XIV</w:t>
        </w:r>
      </w:fldSimple>
      <w:r w:rsidR="00264A1B">
        <w:noBreakHyphen/>
      </w:r>
      <w:fldSimple w:instr=" SEQ Exhibit \* ARABIC \s 1 ">
        <w:r w:rsidR="00A24205">
          <w:rPr>
            <w:noProof/>
          </w:rPr>
          <w:t>12</w:t>
        </w:r>
      </w:fldSimple>
      <w:r>
        <w:br/>
      </w:r>
      <w:r w:rsidRPr="00C6346F">
        <w:t>New Hire Rates for Minorities and Females 2011</w:t>
      </w:r>
      <w:r>
        <w:t>–</w:t>
      </w:r>
      <w:r w:rsidRPr="00C6346F">
        <w:t>201</w:t>
      </w:r>
      <w:r>
        <w:t>5</w:t>
      </w:r>
      <w:bookmarkEnd w:id="306"/>
      <w:bookmarkEnd w:id="307"/>
    </w:p>
    <w:tbl>
      <w:tblPr>
        <w:tblW w:w="8284" w:type="dxa"/>
        <w:jc w:val="center"/>
        <w:tblCellMar>
          <w:top w:w="14" w:type="dxa"/>
          <w:left w:w="115" w:type="dxa"/>
          <w:bottom w:w="14" w:type="dxa"/>
          <w:right w:w="115" w:type="dxa"/>
        </w:tblCellMar>
        <w:tblLook w:val="04A0"/>
      </w:tblPr>
      <w:tblGrid>
        <w:gridCol w:w="2617"/>
        <w:gridCol w:w="1130"/>
        <w:gridCol w:w="1130"/>
        <w:gridCol w:w="1130"/>
        <w:gridCol w:w="1130"/>
        <w:gridCol w:w="1147"/>
      </w:tblGrid>
      <w:tr w:rsidR="00AC40FC" w:rsidRPr="00D6083E" w:rsidTr="00A57D87">
        <w:trPr>
          <w:cantSplit/>
          <w:trHeight w:val="201"/>
          <w:tblHeader/>
          <w:jc w:val="center"/>
        </w:trPr>
        <w:tc>
          <w:tcPr>
            <w:tcW w:w="2617" w:type="dxa"/>
            <w:tcBorders>
              <w:top w:val="single" w:sz="4" w:space="0" w:color="auto"/>
              <w:left w:val="single" w:sz="4" w:space="0" w:color="auto"/>
              <w:bottom w:val="single" w:sz="4" w:space="0" w:color="auto"/>
              <w:right w:val="single" w:sz="4" w:space="0" w:color="auto"/>
            </w:tcBorders>
            <w:shd w:val="clear" w:color="auto" w:fill="A5CD7E"/>
            <w:vAlign w:val="center"/>
            <w:hideMark/>
          </w:tcPr>
          <w:p w:rsidR="00AC40FC" w:rsidRPr="00D6083E" w:rsidRDefault="00AC40FC" w:rsidP="00D6083E">
            <w:pPr>
              <w:spacing w:before="120"/>
              <w:jc w:val="center"/>
              <w:rPr>
                <w:b/>
              </w:rPr>
            </w:pPr>
            <w:r w:rsidRPr="00D6083E">
              <w:rPr>
                <w:b/>
              </w:rPr>
              <w:t>Category</w:t>
            </w:r>
          </w:p>
        </w:tc>
        <w:tc>
          <w:tcPr>
            <w:tcW w:w="1130" w:type="dxa"/>
            <w:tcBorders>
              <w:top w:val="single" w:sz="4" w:space="0" w:color="auto"/>
              <w:left w:val="nil"/>
              <w:bottom w:val="single" w:sz="4" w:space="0" w:color="auto"/>
              <w:right w:val="single" w:sz="4" w:space="0" w:color="auto"/>
            </w:tcBorders>
            <w:shd w:val="clear" w:color="auto" w:fill="A5CD7E"/>
            <w:vAlign w:val="center"/>
            <w:hideMark/>
          </w:tcPr>
          <w:p w:rsidR="00AC40FC" w:rsidRPr="00D6083E" w:rsidRDefault="00AC40FC" w:rsidP="00D6083E">
            <w:pPr>
              <w:spacing w:before="120"/>
              <w:jc w:val="center"/>
              <w:rPr>
                <w:b/>
              </w:rPr>
            </w:pPr>
            <w:r w:rsidRPr="00D6083E">
              <w:rPr>
                <w:b/>
              </w:rPr>
              <w:t>2011</w:t>
            </w:r>
          </w:p>
        </w:tc>
        <w:tc>
          <w:tcPr>
            <w:tcW w:w="1130" w:type="dxa"/>
            <w:tcBorders>
              <w:top w:val="single" w:sz="4" w:space="0" w:color="auto"/>
              <w:left w:val="nil"/>
              <w:bottom w:val="single" w:sz="4" w:space="0" w:color="auto"/>
              <w:right w:val="single" w:sz="4" w:space="0" w:color="auto"/>
            </w:tcBorders>
            <w:shd w:val="clear" w:color="auto" w:fill="A5CD7E"/>
            <w:vAlign w:val="center"/>
            <w:hideMark/>
          </w:tcPr>
          <w:p w:rsidR="00AC40FC" w:rsidRPr="00D6083E" w:rsidRDefault="00AC40FC" w:rsidP="00D6083E">
            <w:pPr>
              <w:spacing w:before="120"/>
              <w:jc w:val="center"/>
              <w:rPr>
                <w:b/>
              </w:rPr>
            </w:pPr>
            <w:r w:rsidRPr="00D6083E">
              <w:rPr>
                <w:b/>
              </w:rPr>
              <w:t>2012</w:t>
            </w:r>
          </w:p>
        </w:tc>
        <w:tc>
          <w:tcPr>
            <w:tcW w:w="1130" w:type="dxa"/>
            <w:tcBorders>
              <w:top w:val="single" w:sz="4" w:space="0" w:color="auto"/>
              <w:left w:val="nil"/>
              <w:bottom w:val="single" w:sz="4" w:space="0" w:color="auto"/>
              <w:right w:val="single" w:sz="4" w:space="0" w:color="auto"/>
            </w:tcBorders>
            <w:shd w:val="clear" w:color="auto" w:fill="A5CD7E"/>
            <w:vAlign w:val="center"/>
            <w:hideMark/>
          </w:tcPr>
          <w:p w:rsidR="00AC40FC" w:rsidRPr="00D6083E" w:rsidRDefault="00AC40FC" w:rsidP="00D6083E">
            <w:pPr>
              <w:spacing w:before="120"/>
              <w:jc w:val="center"/>
              <w:rPr>
                <w:b/>
              </w:rPr>
            </w:pPr>
            <w:r w:rsidRPr="00D6083E">
              <w:rPr>
                <w:b/>
              </w:rPr>
              <w:t>2013</w:t>
            </w:r>
          </w:p>
        </w:tc>
        <w:tc>
          <w:tcPr>
            <w:tcW w:w="1130" w:type="dxa"/>
            <w:tcBorders>
              <w:top w:val="single" w:sz="4" w:space="0" w:color="auto"/>
              <w:left w:val="nil"/>
              <w:bottom w:val="single" w:sz="4" w:space="0" w:color="auto"/>
              <w:right w:val="single" w:sz="4" w:space="0" w:color="auto"/>
            </w:tcBorders>
            <w:shd w:val="clear" w:color="auto" w:fill="A5CD7E"/>
            <w:vAlign w:val="center"/>
            <w:hideMark/>
          </w:tcPr>
          <w:p w:rsidR="00AC40FC" w:rsidRPr="00D6083E" w:rsidRDefault="00AC40FC" w:rsidP="00D6083E">
            <w:pPr>
              <w:spacing w:before="120"/>
              <w:jc w:val="center"/>
              <w:rPr>
                <w:b/>
              </w:rPr>
            </w:pPr>
            <w:r w:rsidRPr="00D6083E">
              <w:rPr>
                <w:b/>
              </w:rPr>
              <w:t>2014</w:t>
            </w:r>
          </w:p>
        </w:tc>
        <w:tc>
          <w:tcPr>
            <w:tcW w:w="1147" w:type="dxa"/>
            <w:tcBorders>
              <w:top w:val="single" w:sz="4" w:space="0" w:color="auto"/>
              <w:left w:val="nil"/>
              <w:bottom w:val="single" w:sz="4" w:space="0" w:color="auto"/>
              <w:right w:val="single" w:sz="4" w:space="0" w:color="auto"/>
            </w:tcBorders>
            <w:shd w:val="clear" w:color="auto" w:fill="A5CD7E"/>
            <w:vAlign w:val="center"/>
          </w:tcPr>
          <w:p w:rsidR="00AC40FC" w:rsidRPr="00D6083E" w:rsidRDefault="00AC40FC" w:rsidP="00D6083E">
            <w:pPr>
              <w:spacing w:before="120"/>
              <w:jc w:val="center"/>
              <w:rPr>
                <w:b/>
              </w:rPr>
            </w:pPr>
            <w:r w:rsidRPr="00D6083E">
              <w:rPr>
                <w:b/>
              </w:rPr>
              <w:t>2015</w:t>
            </w:r>
          </w:p>
        </w:tc>
      </w:tr>
      <w:tr w:rsidR="00AC40FC" w:rsidRPr="00C6346F" w:rsidTr="00A57D87">
        <w:trPr>
          <w:trHeight w:val="184"/>
          <w:jc w:val="center"/>
        </w:trPr>
        <w:tc>
          <w:tcPr>
            <w:tcW w:w="2617" w:type="dxa"/>
            <w:tcBorders>
              <w:top w:val="nil"/>
              <w:left w:val="single" w:sz="4" w:space="0" w:color="auto"/>
              <w:bottom w:val="single" w:sz="4" w:space="0" w:color="auto"/>
              <w:right w:val="single" w:sz="4" w:space="0" w:color="auto"/>
            </w:tcBorders>
            <w:shd w:val="clear" w:color="auto" w:fill="auto"/>
            <w:vAlign w:val="center"/>
            <w:hideMark/>
          </w:tcPr>
          <w:p w:rsidR="00AC40FC" w:rsidRPr="00C6346F" w:rsidRDefault="00AC40FC" w:rsidP="00A57D87">
            <w:pPr>
              <w:spacing w:after="0"/>
              <w:rPr>
                <w:rFonts w:cs="Arial"/>
                <w:szCs w:val="24"/>
              </w:rPr>
            </w:pPr>
            <w:r w:rsidRPr="00C6346F">
              <w:rPr>
                <w:rFonts w:cs="Arial"/>
                <w:szCs w:val="24"/>
              </w:rPr>
              <w:t>Percent Minority</w:t>
            </w:r>
          </w:p>
        </w:tc>
        <w:tc>
          <w:tcPr>
            <w:tcW w:w="1130" w:type="dxa"/>
            <w:tcBorders>
              <w:top w:val="nil"/>
              <w:left w:val="nil"/>
              <w:bottom w:val="single" w:sz="4" w:space="0" w:color="auto"/>
              <w:right w:val="single" w:sz="4" w:space="0" w:color="auto"/>
            </w:tcBorders>
            <w:shd w:val="clear" w:color="auto" w:fill="auto"/>
            <w:vAlign w:val="center"/>
            <w:hideMark/>
          </w:tcPr>
          <w:p w:rsidR="00AC40FC" w:rsidRPr="00C6346F" w:rsidRDefault="00AC40FC" w:rsidP="00A57D87">
            <w:pPr>
              <w:spacing w:after="0"/>
              <w:jc w:val="right"/>
              <w:rPr>
                <w:rFonts w:cs="Arial"/>
                <w:szCs w:val="24"/>
              </w:rPr>
            </w:pPr>
            <w:r w:rsidRPr="00C6346F">
              <w:rPr>
                <w:rFonts w:cs="Arial"/>
                <w:szCs w:val="24"/>
              </w:rPr>
              <w:t>10.5%</w:t>
            </w:r>
          </w:p>
        </w:tc>
        <w:tc>
          <w:tcPr>
            <w:tcW w:w="1130" w:type="dxa"/>
            <w:tcBorders>
              <w:top w:val="nil"/>
              <w:left w:val="nil"/>
              <w:bottom w:val="single" w:sz="4" w:space="0" w:color="auto"/>
              <w:right w:val="single" w:sz="4" w:space="0" w:color="auto"/>
            </w:tcBorders>
            <w:shd w:val="clear" w:color="auto" w:fill="auto"/>
            <w:vAlign w:val="center"/>
            <w:hideMark/>
          </w:tcPr>
          <w:p w:rsidR="00AC40FC" w:rsidRPr="00C6346F" w:rsidRDefault="00AC40FC" w:rsidP="00A57D87">
            <w:pPr>
              <w:spacing w:after="0"/>
              <w:jc w:val="right"/>
              <w:rPr>
                <w:rFonts w:cs="Arial"/>
                <w:szCs w:val="24"/>
              </w:rPr>
            </w:pPr>
            <w:r w:rsidRPr="00C6346F">
              <w:rPr>
                <w:rFonts w:cs="Arial"/>
                <w:szCs w:val="24"/>
              </w:rPr>
              <w:t>13.5%</w:t>
            </w:r>
          </w:p>
        </w:tc>
        <w:tc>
          <w:tcPr>
            <w:tcW w:w="1130" w:type="dxa"/>
            <w:tcBorders>
              <w:top w:val="nil"/>
              <w:left w:val="nil"/>
              <w:bottom w:val="single" w:sz="4" w:space="0" w:color="auto"/>
              <w:right w:val="single" w:sz="4" w:space="0" w:color="auto"/>
            </w:tcBorders>
            <w:shd w:val="clear" w:color="auto" w:fill="auto"/>
            <w:vAlign w:val="center"/>
            <w:hideMark/>
          </w:tcPr>
          <w:p w:rsidR="00AC40FC" w:rsidRPr="00C6346F" w:rsidRDefault="00AC40FC" w:rsidP="00A57D87">
            <w:pPr>
              <w:spacing w:after="0"/>
              <w:jc w:val="right"/>
              <w:rPr>
                <w:rFonts w:cs="Arial"/>
                <w:szCs w:val="24"/>
              </w:rPr>
            </w:pPr>
            <w:r w:rsidRPr="00C6346F">
              <w:rPr>
                <w:rFonts w:cs="Arial"/>
                <w:szCs w:val="24"/>
              </w:rPr>
              <w:t>13.2%</w:t>
            </w:r>
          </w:p>
        </w:tc>
        <w:tc>
          <w:tcPr>
            <w:tcW w:w="1130" w:type="dxa"/>
            <w:tcBorders>
              <w:top w:val="nil"/>
              <w:left w:val="nil"/>
              <w:bottom w:val="single" w:sz="4" w:space="0" w:color="auto"/>
              <w:right w:val="single" w:sz="4" w:space="0" w:color="auto"/>
            </w:tcBorders>
            <w:shd w:val="clear" w:color="auto" w:fill="auto"/>
            <w:vAlign w:val="center"/>
            <w:hideMark/>
          </w:tcPr>
          <w:p w:rsidR="00AC40FC" w:rsidRPr="00C6346F" w:rsidRDefault="00AC40FC" w:rsidP="00A57D87">
            <w:pPr>
              <w:spacing w:after="0"/>
              <w:jc w:val="right"/>
              <w:rPr>
                <w:rFonts w:cs="Arial"/>
                <w:szCs w:val="24"/>
              </w:rPr>
            </w:pPr>
            <w:r w:rsidRPr="00C6346F">
              <w:rPr>
                <w:rFonts w:cs="Arial"/>
                <w:szCs w:val="24"/>
              </w:rPr>
              <w:t>10.9%</w:t>
            </w:r>
          </w:p>
        </w:tc>
        <w:tc>
          <w:tcPr>
            <w:tcW w:w="1147" w:type="dxa"/>
            <w:tcBorders>
              <w:top w:val="nil"/>
              <w:left w:val="nil"/>
              <w:bottom w:val="single" w:sz="4" w:space="0" w:color="auto"/>
              <w:right w:val="single" w:sz="4" w:space="0" w:color="auto"/>
            </w:tcBorders>
          </w:tcPr>
          <w:p w:rsidR="00AC40FC" w:rsidRPr="00C6346F" w:rsidRDefault="00AC40FC" w:rsidP="00A57D87">
            <w:pPr>
              <w:spacing w:after="0"/>
              <w:jc w:val="right"/>
              <w:rPr>
                <w:rFonts w:cs="Arial"/>
                <w:szCs w:val="24"/>
              </w:rPr>
            </w:pPr>
            <w:r>
              <w:rPr>
                <w:rFonts w:cs="Arial"/>
                <w:szCs w:val="24"/>
              </w:rPr>
              <w:t>23.9%</w:t>
            </w:r>
          </w:p>
        </w:tc>
      </w:tr>
      <w:tr w:rsidR="00AC40FC" w:rsidRPr="00C6346F" w:rsidTr="00A57D87">
        <w:trPr>
          <w:trHeight w:val="229"/>
          <w:jc w:val="center"/>
        </w:trPr>
        <w:tc>
          <w:tcPr>
            <w:tcW w:w="2617" w:type="dxa"/>
            <w:tcBorders>
              <w:top w:val="nil"/>
              <w:left w:val="single" w:sz="4" w:space="0" w:color="auto"/>
              <w:bottom w:val="single" w:sz="4" w:space="0" w:color="auto"/>
              <w:right w:val="single" w:sz="4" w:space="0" w:color="auto"/>
            </w:tcBorders>
            <w:shd w:val="clear" w:color="auto" w:fill="auto"/>
            <w:vAlign w:val="center"/>
            <w:hideMark/>
          </w:tcPr>
          <w:p w:rsidR="00AC40FC" w:rsidRPr="00C6346F" w:rsidRDefault="00AC40FC" w:rsidP="00A57D87">
            <w:pPr>
              <w:spacing w:after="0"/>
              <w:rPr>
                <w:rFonts w:cs="Arial"/>
                <w:szCs w:val="24"/>
              </w:rPr>
            </w:pPr>
            <w:r w:rsidRPr="00C6346F">
              <w:rPr>
                <w:rFonts w:cs="Arial"/>
                <w:szCs w:val="24"/>
              </w:rPr>
              <w:t>Percent Non-Minority</w:t>
            </w:r>
          </w:p>
        </w:tc>
        <w:tc>
          <w:tcPr>
            <w:tcW w:w="1130" w:type="dxa"/>
            <w:tcBorders>
              <w:top w:val="nil"/>
              <w:left w:val="nil"/>
              <w:bottom w:val="single" w:sz="4" w:space="0" w:color="auto"/>
              <w:right w:val="single" w:sz="4" w:space="0" w:color="auto"/>
            </w:tcBorders>
            <w:shd w:val="clear" w:color="auto" w:fill="auto"/>
            <w:vAlign w:val="center"/>
            <w:hideMark/>
          </w:tcPr>
          <w:p w:rsidR="00AC40FC" w:rsidRPr="00C6346F" w:rsidRDefault="00AC40FC" w:rsidP="00A57D87">
            <w:pPr>
              <w:spacing w:after="0"/>
              <w:jc w:val="right"/>
              <w:rPr>
                <w:rFonts w:cs="Arial"/>
                <w:szCs w:val="24"/>
              </w:rPr>
            </w:pPr>
            <w:r w:rsidRPr="00C6346F">
              <w:rPr>
                <w:rFonts w:cs="Arial"/>
                <w:szCs w:val="24"/>
              </w:rPr>
              <w:t>89.5%</w:t>
            </w:r>
          </w:p>
        </w:tc>
        <w:tc>
          <w:tcPr>
            <w:tcW w:w="1130" w:type="dxa"/>
            <w:tcBorders>
              <w:top w:val="nil"/>
              <w:left w:val="nil"/>
              <w:bottom w:val="single" w:sz="4" w:space="0" w:color="auto"/>
              <w:right w:val="single" w:sz="4" w:space="0" w:color="auto"/>
            </w:tcBorders>
            <w:shd w:val="clear" w:color="auto" w:fill="auto"/>
            <w:vAlign w:val="center"/>
            <w:hideMark/>
          </w:tcPr>
          <w:p w:rsidR="00AC40FC" w:rsidRPr="00C6346F" w:rsidRDefault="00AC40FC" w:rsidP="00A57D87">
            <w:pPr>
              <w:spacing w:after="0"/>
              <w:jc w:val="right"/>
              <w:rPr>
                <w:rFonts w:cs="Arial"/>
                <w:szCs w:val="24"/>
              </w:rPr>
            </w:pPr>
            <w:r w:rsidRPr="00C6346F">
              <w:rPr>
                <w:rFonts w:cs="Arial"/>
                <w:szCs w:val="24"/>
              </w:rPr>
              <w:t>86.5%</w:t>
            </w:r>
          </w:p>
        </w:tc>
        <w:tc>
          <w:tcPr>
            <w:tcW w:w="1130" w:type="dxa"/>
            <w:tcBorders>
              <w:top w:val="nil"/>
              <w:left w:val="nil"/>
              <w:bottom w:val="single" w:sz="4" w:space="0" w:color="auto"/>
              <w:right w:val="single" w:sz="4" w:space="0" w:color="auto"/>
            </w:tcBorders>
            <w:shd w:val="clear" w:color="auto" w:fill="auto"/>
            <w:vAlign w:val="center"/>
            <w:hideMark/>
          </w:tcPr>
          <w:p w:rsidR="00AC40FC" w:rsidRPr="00C6346F" w:rsidRDefault="00AC40FC" w:rsidP="00A57D87">
            <w:pPr>
              <w:spacing w:after="0"/>
              <w:jc w:val="right"/>
              <w:rPr>
                <w:rFonts w:cs="Arial"/>
                <w:szCs w:val="24"/>
              </w:rPr>
            </w:pPr>
            <w:r w:rsidRPr="00C6346F">
              <w:rPr>
                <w:rFonts w:cs="Arial"/>
                <w:szCs w:val="24"/>
              </w:rPr>
              <w:t>86.8%</w:t>
            </w:r>
          </w:p>
        </w:tc>
        <w:tc>
          <w:tcPr>
            <w:tcW w:w="1130" w:type="dxa"/>
            <w:tcBorders>
              <w:top w:val="nil"/>
              <w:left w:val="nil"/>
              <w:bottom w:val="single" w:sz="4" w:space="0" w:color="auto"/>
              <w:right w:val="single" w:sz="4" w:space="0" w:color="auto"/>
            </w:tcBorders>
            <w:shd w:val="clear" w:color="auto" w:fill="auto"/>
            <w:vAlign w:val="center"/>
            <w:hideMark/>
          </w:tcPr>
          <w:p w:rsidR="00AC40FC" w:rsidRPr="00C6346F" w:rsidRDefault="00AC40FC" w:rsidP="00A57D87">
            <w:pPr>
              <w:spacing w:after="0"/>
              <w:jc w:val="right"/>
              <w:rPr>
                <w:rFonts w:cs="Arial"/>
                <w:szCs w:val="24"/>
              </w:rPr>
            </w:pPr>
            <w:r w:rsidRPr="00C6346F">
              <w:rPr>
                <w:rFonts w:cs="Arial"/>
                <w:szCs w:val="24"/>
              </w:rPr>
              <w:t>89.1%</w:t>
            </w:r>
          </w:p>
        </w:tc>
        <w:tc>
          <w:tcPr>
            <w:tcW w:w="1147" w:type="dxa"/>
            <w:tcBorders>
              <w:top w:val="nil"/>
              <w:left w:val="nil"/>
              <w:bottom w:val="single" w:sz="4" w:space="0" w:color="auto"/>
              <w:right w:val="single" w:sz="4" w:space="0" w:color="auto"/>
            </w:tcBorders>
          </w:tcPr>
          <w:p w:rsidR="00AC40FC" w:rsidRPr="00C6346F" w:rsidRDefault="00AC40FC" w:rsidP="00A57D87">
            <w:pPr>
              <w:spacing w:after="0"/>
              <w:jc w:val="right"/>
              <w:rPr>
                <w:rFonts w:cs="Arial"/>
                <w:szCs w:val="24"/>
              </w:rPr>
            </w:pPr>
            <w:r>
              <w:rPr>
                <w:rFonts w:cs="Arial"/>
                <w:szCs w:val="24"/>
              </w:rPr>
              <w:t>76.1%</w:t>
            </w:r>
          </w:p>
        </w:tc>
      </w:tr>
      <w:tr w:rsidR="00AC40FC" w:rsidRPr="00C6346F" w:rsidTr="00A57D87">
        <w:trPr>
          <w:trHeight w:val="193"/>
          <w:jc w:val="center"/>
        </w:trPr>
        <w:tc>
          <w:tcPr>
            <w:tcW w:w="2617" w:type="dxa"/>
            <w:tcBorders>
              <w:top w:val="nil"/>
              <w:left w:val="single" w:sz="4" w:space="0" w:color="auto"/>
              <w:bottom w:val="single" w:sz="4" w:space="0" w:color="auto"/>
              <w:right w:val="single" w:sz="4" w:space="0" w:color="auto"/>
            </w:tcBorders>
            <w:shd w:val="clear" w:color="auto" w:fill="FFFFFF" w:themeFill="background1"/>
            <w:vAlign w:val="center"/>
            <w:hideMark/>
          </w:tcPr>
          <w:p w:rsidR="00AC40FC" w:rsidRPr="00C6346F" w:rsidRDefault="00AC40FC" w:rsidP="00A57D87">
            <w:pPr>
              <w:spacing w:after="0"/>
              <w:rPr>
                <w:rFonts w:cs="Arial"/>
                <w:szCs w:val="24"/>
              </w:rPr>
            </w:pPr>
            <w:r w:rsidRPr="00C6346F">
              <w:rPr>
                <w:rFonts w:cs="Arial"/>
                <w:szCs w:val="24"/>
              </w:rPr>
              <w:t>Percent Female</w:t>
            </w:r>
          </w:p>
        </w:tc>
        <w:tc>
          <w:tcPr>
            <w:tcW w:w="1130" w:type="dxa"/>
            <w:tcBorders>
              <w:top w:val="nil"/>
              <w:left w:val="nil"/>
              <w:bottom w:val="single" w:sz="4" w:space="0" w:color="auto"/>
              <w:right w:val="single" w:sz="4" w:space="0" w:color="auto"/>
            </w:tcBorders>
            <w:shd w:val="clear" w:color="auto" w:fill="FFFFFF" w:themeFill="background1"/>
            <w:vAlign w:val="center"/>
            <w:hideMark/>
          </w:tcPr>
          <w:p w:rsidR="00AC40FC" w:rsidRPr="00C6346F" w:rsidRDefault="00AC40FC" w:rsidP="00A57D87">
            <w:pPr>
              <w:spacing w:after="0"/>
              <w:jc w:val="right"/>
              <w:rPr>
                <w:rFonts w:cs="Arial"/>
                <w:szCs w:val="24"/>
              </w:rPr>
            </w:pPr>
            <w:r w:rsidRPr="00C6346F">
              <w:rPr>
                <w:rFonts w:cs="Arial"/>
                <w:szCs w:val="24"/>
              </w:rPr>
              <w:t>16.5%</w:t>
            </w:r>
          </w:p>
        </w:tc>
        <w:tc>
          <w:tcPr>
            <w:tcW w:w="1130" w:type="dxa"/>
            <w:tcBorders>
              <w:top w:val="nil"/>
              <w:left w:val="nil"/>
              <w:bottom w:val="single" w:sz="4" w:space="0" w:color="auto"/>
              <w:right w:val="single" w:sz="4" w:space="0" w:color="auto"/>
            </w:tcBorders>
            <w:shd w:val="clear" w:color="auto" w:fill="FFFFFF" w:themeFill="background1"/>
            <w:vAlign w:val="center"/>
            <w:hideMark/>
          </w:tcPr>
          <w:p w:rsidR="00AC40FC" w:rsidRPr="00C6346F" w:rsidRDefault="00AC40FC" w:rsidP="00A57D87">
            <w:pPr>
              <w:spacing w:after="0"/>
              <w:jc w:val="right"/>
              <w:rPr>
                <w:rFonts w:cs="Arial"/>
                <w:szCs w:val="24"/>
              </w:rPr>
            </w:pPr>
            <w:r w:rsidRPr="00C6346F">
              <w:rPr>
                <w:rFonts w:cs="Arial"/>
                <w:szCs w:val="24"/>
              </w:rPr>
              <w:t>31.0%</w:t>
            </w:r>
          </w:p>
        </w:tc>
        <w:tc>
          <w:tcPr>
            <w:tcW w:w="1130" w:type="dxa"/>
            <w:tcBorders>
              <w:top w:val="nil"/>
              <w:left w:val="nil"/>
              <w:bottom w:val="single" w:sz="4" w:space="0" w:color="auto"/>
              <w:right w:val="single" w:sz="4" w:space="0" w:color="auto"/>
            </w:tcBorders>
            <w:shd w:val="clear" w:color="auto" w:fill="FFFFFF" w:themeFill="background1"/>
            <w:vAlign w:val="center"/>
            <w:hideMark/>
          </w:tcPr>
          <w:p w:rsidR="00AC40FC" w:rsidRPr="00C6346F" w:rsidRDefault="00AC40FC" w:rsidP="00A57D87">
            <w:pPr>
              <w:spacing w:after="0"/>
              <w:jc w:val="right"/>
              <w:rPr>
                <w:rFonts w:cs="Arial"/>
                <w:szCs w:val="24"/>
              </w:rPr>
            </w:pPr>
            <w:r w:rsidRPr="00C6346F">
              <w:rPr>
                <w:rFonts w:cs="Arial"/>
                <w:szCs w:val="24"/>
              </w:rPr>
              <w:t>18.4%</w:t>
            </w:r>
          </w:p>
        </w:tc>
        <w:tc>
          <w:tcPr>
            <w:tcW w:w="1130" w:type="dxa"/>
            <w:tcBorders>
              <w:top w:val="nil"/>
              <w:left w:val="nil"/>
              <w:bottom w:val="single" w:sz="4" w:space="0" w:color="auto"/>
              <w:right w:val="single" w:sz="4" w:space="0" w:color="auto"/>
            </w:tcBorders>
            <w:shd w:val="clear" w:color="auto" w:fill="FFFFFF" w:themeFill="background1"/>
            <w:vAlign w:val="center"/>
            <w:hideMark/>
          </w:tcPr>
          <w:p w:rsidR="00AC40FC" w:rsidRPr="00C6346F" w:rsidRDefault="00AC40FC" w:rsidP="00A57D87">
            <w:pPr>
              <w:spacing w:after="0"/>
              <w:jc w:val="right"/>
              <w:rPr>
                <w:rFonts w:cs="Arial"/>
                <w:szCs w:val="24"/>
              </w:rPr>
            </w:pPr>
            <w:r w:rsidRPr="00C6346F">
              <w:rPr>
                <w:rFonts w:cs="Arial"/>
                <w:szCs w:val="24"/>
              </w:rPr>
              <w:t>13.0%</w:t>
            </w:r>
          </w:p>
        </w:tc>
        <w:tc>
          <w:tcPr>
            <w:tcW w:w="1147" w:type="dxa"/>
            <w:tcBorders>
              <w:top w:val="nil"/>
              <w:left w:val="nil"/>
              <w:bottom w:val="single" w:sz="4" w:space="0" w:color="auto"/>
              <w:right w:val="single" w:sz="4" w:space="0" w:color="auto"/>
            </w:tcBorders>
            <w:shd w:val="clear" w:color="auto" w:fill="FFFFFF" w:themeFill="background1"/>
          </w:tcPr>
          <w:p w:rsidR="00AC40FC" w:rsidRPr="00C6346F" w:rsidRDefault="00AC40FC" w:rsidP="00A57D87">
            <w:pPr>
              <w:spacing w:after="0"/>
              <w:jc w:val="right"/>
              <w:rPr>
                <w:rFonts w:cs="Arial"/>
                <w:szCs w:val="24"/>
              </w:rPr>
            </w:pPr>
            <w:r>
              <w:rPr>
                <w:rFonts w:cs="Arial"/>
                <w:szCs w:val="24"/>
              </w:rPr>
              <w:t>28.2%</w:t>
            </w:r>
          </w:p>
        </w:tc>
      </w:tr>
      <w:tr w:rsidR="00AC40FC" w:rsidRPr="00C6346F" w:rsidTr="00A57D87">
        <w:trPr>
          <w:trHeight w:val="184"/>
          <w:jc w:val="center"/>
        </w:trPr>
        <w:tc>
          <w:tcPr>
            <w:tcW w:w="2617" w:type="dxa"/>
            <w:tcBorders>
              <w:top w:val="nil"/>
              <w:left w:val="single" w:sz="4" w:space="0" w:color="auto"/>
              <w:bottom w:val="single" w:sz="4" w:space="0" w:color="auto"/>
              <w:right w:val="single" w:sz="4" w:space="0" w:color="auto"/>
            </w:tcBorders>
            <w:shd w:val="clear" w:color="auto" w:fill="FFFFFF" w:themeFill="background1"/>
            <w:vAlign w:val="center"/>
            <w:hideMark/>
          </w:tcPr>
          <w:p w:rsidR="00AC40FC" w:rsidRPr="00C6346F" w:rsidRDefault="00AC40FC" w:rsidP="00A57D87">
            <w:pPr>
              <w:spacing w:after="0"/>
              <w:rPr>
                <w:rFonts w:cs="Arial"/>
                <w:szCs w:val="24"/>
              </w:rPr>
            </w:pPr>
            <w:r w:rsidRPr="00C6346F">
              <w:rPr>
                <w:rFonts w:cs="Arial"/>
                <w:szCs w:val="24"/>
              </w:rPr>
              <w:t>Percent Male</w:t>
            </w:r>
          </w:p>
        </w:tc>
        <w:tc>
          <w:tcPr>
            <w:tcW w:w="1130" w:type="dxa"/>
            <w:tcBorders>
              <w:top w:val="nil"/>
              <w:left w:val="nil"/>
              <w:bottom w:val="single" w:sz="4" w:space="0" w:color="auto"/>
              <w:right w:val="single" w:sz="4" w:space="0" w:color="auto"/>
            </w:tcBorders>
            <w:shd w:val="clear" w:color="auto" w:fill="FFFFFF" w:themeFill="background1"/>
            <w:vAlign w:val="center"/>
            <w:hideMark/>
          </w:tcPr>
          <w:p w:rsidR="00AC40FC" w:rsidRPr="00C6346F" w:rsidRDefault="00AC40FC" w:rsidP="00A57D87">
            <w:pPr>
              <w:spacing w:after="0"/>
              <w:jc w:val="right"/>
              <w:rPr>
                <w:rFonts w:cs="Arial"/>
                <w:szCs w:val="24"/>
              </w:rPr>
            </w:pPr>
            <w:r w:rsidRPr="00C6346F">
              <w:rPr>
                <w:rFonts w:cs="Arial"/>
                <w:szCs w:val="24"/>
              </w:rPr>
              <w:t>83.5%</w:t>
            </w:r>
          </w:p>
        </w:tc>
        <w:tc>
          <w:tcPr>
            <w:tcW w:w="1130" w:type="dxa"/>
            <w:tcBorders>
              <w:top w:val="nil"/>
              <w:left w:val="nil"/>
              <w:bottom w:val="single" w:sz="4" w:space="0" w:color="auto"/>
              <w:right w:val="single" w:sz="4" w:space="0" w:color="auto"/>
            </w:tcBorders>
            <w:shd w:val="clear" w:color="auto" w:fill="FFFFFF" w:themeFill="background1"/>
            <w:vAlign w:val="center"/>
            <w:hideMark/>
          </w:tcPr>
          <w:p w:rsidR="00AC40FC" w:rsidRPr="00C6346F" w:rsidRDefault="00AC40FC" w:rsidP="00A57D87">
            <w:pPr>
              <w:spacing w:after="0"/>
              <w:jc w:val="right"/>
              <w:rPr>
                <w:rFonts w:cs="Arial"/>
                <w:szCs w:val="24"/>
              </w:rPr>
            </w:pPr>
            <w:r w:rsidRPr="00C6346F">
              <w:rPr>
                <w:rFonts w:cs="Arial"/>
                <w:szCs w:val="24"/>
              </w:rPr>
              <w:t>69.0%</w:t>
            </w:r>
          </w:p>
        </w:tc>
        <w:tc>
          <w:tcPr>
            <w:tcW w:w="1130" w:type="dxa"/>
            <w:tcBorders>
              <w:top w:val="nil"/>
              <w:left w:val="nil"/>
              <w:bottom w:val="single" w:sz="4" w:space="0" w:color="auto"/>
              <w:right w:val="single" w:sz="4" w:space="0" w:color="auto"/>
            </w:tcBorders>
            <w:shd w:val="clear" w:color="auto" w:fill="FFFFFF" w:themeFill="background1"/>
            <w:vAlign w:val="center"/>
            <w:hideMark/>
          </w:tcPr>
          <w:p w:rsidR="00AC40FC" w:rsidRPr="00C6346F" w:rsidRDefault="00AC40FC" w:rsidP="00A57D87">
            <w:pPr>
              <w:spacing w:after="0"/>
              <w:jc w:val="right"/>
              <w:rPr>
                <w:rFonts w:cs="Arial"/>
                <w:szCs w:val="24"/>
              </w:rPr>
            </w:pPr>
            <w:r w:rsidRPr="00C6346F">
              <w:rPr>
                <w:rFonts w:cs="Arial"/>
                <w:szCs w:val="24"/>
              </w:rPr>
              <w:t>81.6%</w:t>
            </w:r>
          </w:p>
        </w:tc>
        <w:tc>
          <w:tcPr>
            <w:tcW w:w="1130" w:type="dxa"/>
            <w:tcBorders>
              <w:top w:val="nil"/>
              <w:left w:val="nil"/>
              <w:bottom w:val="single" w:sz="4" w:space="0" w:color="auto"/>
              <w:right w:val="single" w:sz="4" w:space="0" w:color="auto"/>
            </w:tcBorders>
            <w:shd w:val="clear" w:color="auto" w:fill="FFFFFF" w:themeFill="background1"/>
            <w:vAlign w:val="center"/>
            <w:hideMark/>
          </w:tcPr>
          <w:p w:rsidR="00AC40FC" w:rsidRPr="00C6346F" w:rsidRDefault="00AC40FC" w:rsidP="00A57D87">
            <w:pPr>
              <w:spacing w:after="0"/>
              <w:jc w:val="right"/>
              <w:rPr>
                <w:rFonts w:cs="Arial"/>
                <w:szCs w:val="24"/>
              </w:rPr>
            </w:pPr>
            <w:r w:rsidRPr="00C6346F">
              <w:rPr>
                <w:rFonts w:cs="Arial"/>
                <w:szCs w:val="24"/>
              </w:rPr>
              <w:t>87.0%</w:t>
            </w:r>
          </w:p>
        </w:tc>
        <w:tc>
          <w:tcPr>
            <w:tcW w:w="1147" w:type="dxa"/>
            <w:tcBorders>
              <w:top w:val="nil"/>
              <w:left w:val="nil"/>
              <w:bottom w:val="single" w:sz="4" w:space="0" w:color="auto"/>
              <w:right w:val="single" w:sz="4" w:space="0" w:color="auto"/>
            </w:tcBorders>
            <w:shd w:val="clear" w:color="auto" w:fill="FFFFFF" w:themeFill="background1"/>
          </w:tcPr>
          <w:p w:rsidR="00AC40FC" w:rsidRPr="00C6346F" w:rsidRDefault="00AC40FC" w:rsidP="00A57D87">
            <w:pPr>
              <w:spacing w:after="0"/>
              <w:jc w:val="right"/>
              <w:rPr>
                <w:rFonts w:cs="Arial"/>
                <w:szCs w:val="24"/>
              </w:rPr>
            </w:pPr>
            <w:r>
              <w:rPr>
                <w:rFonts w:cs="Arial"/>
                <w:szCs w:val="24"/>
              </w:rPr>
              <w:t>71.8%</w:t>
            </w:r>
          </w:p>
        </w:tc>
      </w:tr>
      <w:tr w:rsidR="00AC40FC" w:rsidRPr="00C6346F" w:rsidTr="00A57D87">
        <w:trPr>
          <w:trHeight w:val="229"/>
          <w:jc w:val="center"/>
        </w:trPr>
        <w:tc>
          <w:tcPr>
            <w:tcW w:w="8284" w:type="dxa"/>
            <w:gridSpan w:val="6"/>
            <w:tcBorders>
              <w:top w:val="nil"/>
              <w:left w:val="single" w:sz="4" w:space="0" w:color="auto"/>
              <w:bottom w:val="single" w:sz="4" w:space="0" w:color="auto"/>
              <w:right w:val="single" w:sz="4" w:space="0" w:color="auto"/>
            </w:tcBorders>
            <w:shd w:val="clear" w:color="auto" w:fill="auto"/>
            <w:vAlign w:val="center"/>
            <w:hideMark/>
          </w:tcPr>
          <w:p w:rsidR="00AC40FC" w:rsidRPr="00C6346F" w:rsidRDefault="00AC40FC" w:rsidP="00A57D87">
            <w:pPr>
              <w:spacing w:after="0"/>
              <w:rPr>
                <w:rFonts w:cs="Arial"/>
                <w:szCs w:val="24"/>
              </w:rPr>
            </w:pPr>
            <w:r w:rsidRPr="00C6346F">
              <w:rPr>
                <w:rFonts w:cs="Arial"/>
                <w:szCs w:val="24"/>
              </w:rPr>
              <w:t>S</w:t>
            </w:r>
            <w:r>
              <w:rPr>
                <w:rFonts w:cs="Arial"/>
                <w:szCs w:val="24"/>
              </w:rPr>
              <w:t>ource</w:t>
            </w:r>
            <w:r w:rsidRPr="00C6346F">
              <w:rPr>
                <w:rFonts w:cs="Arial"/>
                <w:szCs w:val="24"/>
              </w:rPr>
              <w:t>: DN 17-133</w:t>
            </w:r>
          </w:p>
        </w:tc>
      </w:tr>
    </w:tbl>
    <w:p w:rsidR="00AC40FC" w:rsidRPr="00AF66F9" w:rsidRDefault="00AC40FC" w:rsidP="00A57D87">
      <w:pPr>
        <w:pStyle w:val="Normal-aftertable"/>
      </w:pPr>
      <w:r>
        <w:t xml:space="preserve">The data show that the new hire rates for minorities and females were in decline since 2012 yet this declining trend was reversed in 2015.  </w:t>
      </w:r>
    </w:p>
    <w:p w:rsidR="00AC40FC" w:rsidRPr="00C332AA" w:rsidRDefault="00AC40FC" w:rsidP="00A57D87">
      <w:pPr>
        <w:pStyle w:val="Findings"/>
      </w:pPr>
      <w:r w:rsidRPr="00A57D87">
        <w:t>Promotion</w:t>
      </w:r>
      <w:r w:rsidRPr="00C332AA">
        <w:t xml:space="preserve"> </w:t>
      </w:r>
      <w:r>
        <w:t>r</w:t>
      </w:r>
      <w:r w:rsidRPr="00C332AA">
        <w:t xml:space="preserve">ates </w:t>
      </w:r>
      <w:r>
        <w:t>for minorities and females have improved in 2015 reversing a declining trend since 2012.</w:t>
      </w:r>
    </w:p>
    <w:p w:rsidR="00AC40FC" w:rsidRDefault="00AC40FC" w:rsidP="00A57D87">
      <w:r>
        <w:t>As noted in PPL EU’s AAP information, promotion and retention rates for minorities and females</w:t>
      </w:r>
      <w:r w:rsidDel="009C57A8">
        <w:t xml:space="preserve"> </w:t>
      </w:r>
      <w:r>
        <w:t>are shown in the table below:</w:t>
      </w:r>
    </w:p>
    <w:p w:rsidR="00AC40FC" w:rsidRDefault="00AC40FC">
      <w:pPr>
        <w:spacing w:after="0"/>
        <w:jc w:val="left"/>
        <w:rPr>
          <w:b/>
          <w:bCs/>
          <w:szCs w:val="18"/>
        </w:rPr>
      </w:pPr>
      <w:r>
        <w:br w:type="page"/>
      </w:r>
    </w:p>
    <w:p w:rsidR="00AC40FC" w:rsidRDefault="00AC40FC" w:rsidP="002B3172">
      <w:pPr>
        <w:pStyle w:val="Caption"/>
      </w:pPr>
      <w:bookmarkStart w:id="308" w:name="_Toc462648478"/>
      <w:bookmarkStart w:id="309" w:name="_Toc464553100"/>
      <w:r>
        <w:lastRenderedPageBreak/>
        <w:t xml:space="preserve">Exhibit </w:t>
      </w:r>
      <w:fldSimple w:instr=" STYLEREF 1 \s ">
        <w:r w:rsidR="00A24205">
          <w:rPr>
            <w:noProof/>
          </w:rPr>
          <w:t>XIV</w:t>
        </w:r>
      </w:fldSimple>
      <w:r w:rsidR="00264A1B">
        <w:noBreakHyphen/>
      </w:r>
      <w:fldSimple w:instr=" SEQ Exhibit \* ARABIC \s 1 ">
        <w:r w:rsidR="00A24205">
          <w:rPr>
            <w:noProof/>
          </w:rPr>
          <w:t>13</w:t>
        </w:r>
      </w:fldSimple>
      <w:r>
        <w:br/>
      </w:r>
      <w:r w:rsidRPr="00C6346F">
        <w:t>Promotion Rates for Minorities and Females 2011</w:t>
      </w:r>
      <w:r>
        <w:t>–</w:t>
      </w:r>
      <w:r w:rsidRPr="00C6346F">
        <w:t>201</w:t>
      </w:r>
      <w:r>
        <w:t>5</w:t>
      </w:r>
      <w:bookmarkEnd w:id="308"/>
      <w:bookmarkEnd w:id="309"/>
    </w:p>
    <w:tbl>
      <w:tblPr>
        <w:tblW w:w="8286" w:type="dxa"/>
        <w:jc w:val="center"/>
        <w:tblCellMar>
          <w:top w:w="14" w:type="dxa"/>
          <w:left w:w="115" w:type="dxa"/>
          <w:bottom w:w="14" w:type="dxa"/>
          <w:right w:w="115" w:type="dxa"/>
        </w:tblCellMar>
        <w:tblLook w:val="04A0"/>
      </w:tblPr>
      <w:tblGrid>
        <w:gridCol w:w="2592"/>
        <w:gridCol w:w="1199"/>
        <w:gridCol w:w="1116"/>
        <w:gridCol w:w="1116"/>
        <w:gridCol w:w="1116"/>
        <w:gridCol w:w="1147"/>
      </w:tblGrid>
      <w:tr w:rsidR="00AC40FC" w:rsidRPr="00D6083E" w:rsidTr="00582143">
        <w:trPr>
          <w:cantSplit/>
          <w:trHeight w:val="174"/>
          <w:tblHeader/>
          <w:jc w:val="center"/>
        </w:trPr>
        <w:tc>
          <w:tcPr>
            <w:tcW w:w="2592" w:type="dxa"/>
            <w:tcBorders>
              <w:top w:val="single" w:sz="4" w:space="0" w:color="auto"/>
              <w:left w:val="single" w:sz="4" w:space="0" w:color="auto"/>
              <w:bottom w:val="single" w:sz="4" w:space="0" w:color="auto"/>
              <w:right w:val="single" w:sz="4" w:space="0" w:color="auto"/>
            </w:tcBorders>
            <w:shd w:val="clear" w:color="auto" w:fill="A5CD7E"/>
            <w:vAlign w:val="center"/>
            <w:hideMark/>
          </w:tcPr>
          <w:p w:rsidR="00AC40FC" w:rsidRPr="00D6083E" w:rsidRDefault="00AC40FC" w:rsidP="00D6083E">
            <w:pPr>
              <w:spacing w:before="120"/>
              <w:jc w:val="center"/>
              <w:rPr>
                <w:b/>
              </w:rPr>
            </w:pPr>
            <w:r w:rsidRPr="00D6083E">
              <w:rPr>
                <w:b/>
              </w:rPr>
              <w:t>Category</w:t>
            </w:r>
          </w:p>
        </w:tc>
        <w:tc>
          <w:tcPr>
            <w:tcW w:w="1199" w:type="dxa"/>
            <w:tcBorders>
              <w:top w:val="single" w:sz="4" w:space="0" w:color="auto"/>
              <w:left w:val="nil"/>
              <w:bottom w:val="single" w:sz="4" w:space="0" w:color="auto"/>
              <w:right w:val="single" w:sz="4" w:space="0" w:color="auto"/>
            </w:tcBorders>
            <w:shd w:val="clear" w:color="auto" w:fill="A5CD7E"/>
            <w:vAlign w:val="center"/>
            <w:hideMark/>
          </w:tcPr>
          <w:p w:rsidR="00AC40FC" w:rsidRPr="00D6083E" w:rsidRDefault="00AC40FC" w:rsidP="00D6083E">
            <w:pPr>
              <w:spacing w:before="120"/>
              <w:jc w:val="center"/>
              <w:rPr>
                <w:b/>
              </w:rPr>
            </w:pPr>
            <w:r w:rsidRPr="00D6083E">
              <w:rPr>
                <w:b/>
              </w:rPr>
              <w:t>2011</w:t>
            </w:r>
          </w:p>
        </w:tc>
        <w:tc>
          <w:tcPr>
            <w:tcW w:w="1116" w:type="dxa"/>
            <w:tcBorders>
              <w:top w:val="single" w:sz="4" w:space="0" w:color="auto"/>
              <w:left w:val="nil"/>
              <w:bottom w:val="single" w:sz="4" w:space="0" w:color="auto"/>
              <w:right w:val="single" w:sz="4" w:space="0" w:color="auto"/>
            </w:tcBorders>
            <w:shd w:val="clear" w:color="auto" w:fill="A5CD7E"/>
            <w:vAlign w:val="center"/>
            <w:hideMark/>
          </w:tcPr>
          <w:p w:rsidR="00AC40FC" w:rsidRPr="00D6083E" w:rsidRDefault="00AC40FC" w:rsidP="00D6083E">
            <w:pPr>
              <w:spacing w:before="120"/>
              <w:jc w:val="center"/>
              <w:rPr>
                <w:b/>
              </w:rPr>
            </w:pPr>
            <w:r w:rsidRPr="00D6083E">
              <w:rPr>
                <w:b/>
              </w:rPr>
              <w:t>2012</w:t>
            </w:r>
          </w:p>
        </w:tc>
        <w:tc>
          <w:tcPr>
            <w:tcW w:w="1116" w:type="dxa"/>
            <w:tcBorders>
              <w:top w:val="single" w:sz="4" w:space="0" w:color="auto"/>
              <w:left w:val="nil"/>
              <w:bottom w:val="single" w:sz="4" w:space="0" w:color="auto"/>
              <w:right w:val="single" w:sz="4" w:space="0" w:color="auto"/>
            </w:tcBorders>
            <w:shd w:val="clear" w:color="auto" w:fill="A5CD7E"/>
            <w:vAlign w:val="center"/>
            <w:hideMark/>
          </w:tcPr>
          <w:p w:rsidR="00AC40FC" w:rsidRPr="00D6083E" w:rsidRDefault="00AC40FC" w:rsidP="00D6083E">
            <w:pPr>
              <w:spacing w:before="120"/>
              <w:jc w:val="center"/>
              <w:rPr>
                <w:b/>
              </w:rPr>
            </w:pPr>
            <w:r w:rsidRPr="00D6083E">
              <w:rPr>
                <w:b/>
              </w:rPr>
              <w:t>2013</w:t>
            </w:r>
          </w:p>
        </w:tc>
        <w:tc>
          <w:tcPr>
            <w:tcW w:w="1116" w:type="dxa"/>
            <w:tcBorders>
              <w:top w:val="single" w:sz="4" w:space="0" w:color="auto"/>
              <w:left w:val="nil"/>
              <w:bottom w:val="single" w:sz="4" w:space="0" w:color="auto"/>
              <w:right w:val="single" w:sz="4" w:space="0" w:color="auto"/>
            </w:tcBorders>
            <w:shd w:val="clear" w:color="auto" w:fill="A5CD7E"/>
            <w:vAlign w:val="center"/>
            <w:hideMark/>
          </w:tcPr>
          <w:p w:rsidR="00AC40FC" w:rsidRPr="00D6083E" w:rsidRDefault="00AC40FC" w:rsidP="00D6083E">
            <w:pPr>
              <w:spacing w:before="120"/>
              <w:jc w:val="center"/>
              <w:rPr>
                <w:b/>
              </w:rPr>
            </w:pPr>
            <w:r w:rsidRPr="00D6083E">
              <w:rPr>
                <w:b/>
              </w:rPr>
              <w:t>2014</w:t>
            </w:r>
          </w:p>
        </w:tc>
        <w:tc>
          <w:tcPr>
            <w:tcW w:w="1147" w:type="dxa"/>
            <w:tcBorders>
              <w:top w:val="single" w:sz="4" w:space="0" w:color="auto"/>
              <w:left w:val="nil"/>
              <w:bottom w:val="single" w:sz="4" w:space="0" w:color="auto"/>
              <w:right w:val="single" w:sz="4" w:space="0" w:color="auto"/>
            </w:tcBorders>
            <w:shd w:val="clear" w:color="auto" w:fill="A5CD7E"/>
            <w:vAlign w:val="center"/>
          </w:tcPr>
          <w:p w:rsidR="00AC40FC" w:rsidRPr="00D6083E" w:rsidRDefault="00AC40FC" w:rsidP="00D6083E">
            <w:pPr>
              <w:spacing w:before="120"/>
              <w:jc w:val="center"/>
              <w:rPr>
                <w:b/>
              </w:rPr>
            </w:pPr>
            <w:r w:rsidRPr="00D6083E">
              <w:rPr>
                <w:b/>
              </w:rPr>
              <w:t>2015</w:t>
            </w:r>
          </w:p>
        </w:tc>
      </w:tr>
      <w:tr w:rsidR="00AC40FC" w:rsidRPr="00C6346F" w:rsidTr="00A57D87">
        <w:trPr>
          <w:trHeight w:val="184"/>
          <w:jc w:val="center"/>
        </w:trPr>
        <w:tc>
          <w:tcPr>
            <w:tcW w:w="2592" w:type="dxa"/>
            <w:tcBorders>
              <w:top w:val="nil"/>
              <w:left w:val="single" w:sz="4" w:space="0" w:color="auto"/>
              <w:bottom w:val="single" w:sz="4" w:space="0" w:color="auto"/>
              <w:right w:val="single" w:sz="4" w:space="0" w:color="auto"/>
            </w:tcBorders>
            <w:shd w:val="clear" w:color="auto" w:fill="auto"/>
            <w:vAlign w:val="center"/>
            <w:hideMark/>
          </w:tcPr>
          <w:p w:rsidR="00AC40FC" w:rsidRPr="00C6346F" w:rsidRDefault="00AC40FC" w:rsidP="00A57D87">
            <w:pPr>
              <w:spacing w:after="0"/>
              <w:rPr>
                <w:rFonts w:cs="Arial"/>
                <w:szCs w:val="24"/>
              </w:rPr>
            </w:pPr>
            <w:r w:rsidRPr="00C6346F">
              <w:rPr>
                <w:rFonts w:cs="Arial"/>
                <w:szCs w:val="24"/>
              </w:rPr>
              <w:t>Percent Minority</w:t>
            </w:r>
          </w:p>
        </w:tc>
        <w:tc>
          <w:tcPr>
            <w:tcW w:w="1199" w:type="dxa"/>
            <w:tcBorders>
              <w:top w:val="nil"/>
              <w:left w:val="nil"/>
              <w:bottom w:val="single" w:sz="4" w:space="0" w:color="auto"/>
              <w:right w:val="single" w:sz="4" w:space="0" w:color="auto"/>
            </w:tcBorders>
            <w:shd w:val="clear" w:color="auto" w:fill="auto"/>
            <w:vAlign w:val="center"/>
            <w:hideMark/>
          </w:tcPr>
          <w:p w:rsidR="00AC40FC" w:rsidRPr="00C6346F" w:rsidRDefault="00AC40FC" w:rsidP="00A57D87">
            <w:pPr>
              <w:spacing w:after="0"/>
              <w:jc w:val="right"/>
              <w:rPr>
                <w:rFonts w:cs="Arial"/>
                <w:szCs w:val="24"/>
              </w:rPr>
            </w:pPr>
            <w:r w:rsidRPr="00C6346F">
              <w:rPr>
                <w:rFonts w:cs="Arial"/>
                <w:szCs w:val="24"/>
              </w:rPr>
              <w:t>4.7%</w:t>
            </w:r>
          </w:p>
        </w:tc>
        <w:tc>
          <w:tcPr>
            <w:tcW w:w="1116" w:type="dxa"/>
            <w:tcBorders>
              <w:top w:val="nil"/>
              <w:left w:val="nil"/>
              <w:bottom w:val="single" w:sz="4" w:space="0" w:color="auto"/>
              <w:right w:val="single" w:sz="4" w:space="0" w:color="auto"/>
            </w:tcBorders>
            <w:shd w:val="clear" w:color="auto" w:fill="auto"/>
            <w:vAlign w:val="center"/>
            <w:hideMark/>
          </w:tcPr>
          <w:p w:rsidR="00AC40FC" w:rsidRPr="00C6346F" w:rsidRDefault="00AC40FC" w:rsidP="00A57D87">
            <w:pPr>
              <w:spacing w:after="0"/>
              <w:jc w:val="right"/>
              <w:rPr>
                <w:rFonts w:cs="Arial"/>
                <w:szCs w:val="24"/>
              </w:rPr>
            </w:pPr>
            <w:r w:rsidRPr="00C6346F">
              <w:rPr>
                <w:rFonts w:cs="Arial"/>
                <w:szCs w:val="24"/>
              </w:rPr>
              <w:t>5.5%</w:t>
            </w:r>
          </w:p>
        </w:tc>
        <w:tc>
          <w:tcPr>
            <w:tcW w:w="1116" w:type="dxa"/>
            <w:tcBorders>
              <w:top w:val="nil"/>
              <w:left w:val="nil"/>
              <w:bottom w:val="single" w:sz="4" w:space="0" w:color="auto"/>
              <w:right w:val="single" w:sz="4" w:space="0" w:color="auto"/>
            </w:tcBorders>
            <w:shd w:val="clear" w:color="auto" w:fill="auto"/>
            <w:vAlign w:val="center"/>
            <w:hideMark/>
          </w:tcPr>
          <w:p w:rsidR="00AC40FC" w:rsidRPr="00C6346F" w:rsidRDefault="00AC40FC" w:rsidP="00A57D87">
            <w:pPr>
              <w:spacing w:after="0"/>
              <w:jc w:val="right"/>
              <w:rPr>
                <w:rFonts w:cs="Arial"/>
                <w:szCs w:val="24"/>
              </w:rPr>
            </w:pPr>
            <w:r w:rsidRPr="00C6346F">
              <w:rPr>
                <w:rFonts w:cs="Arial"/>
                <w:szCs w:val="24"/>
              </w:rPr>
              <w:t>5.3%</w:t>
            </w:r>
          </w:p>
        </w:tc>
        <w:tc>
          <w:tcPr>
            <w:tcW w:w="1116" w:type="dxa"/>
            <w:tcBorders>
              <w:top w:val="nil"/>
              <w:left w:val="nil"/>
              <w:bottom w:val="single" w:sz="4" w:space="0" w:color="auto"/>
              <w:right w:val="single" w:sz="4" w:space="0" w:color="auto"/>
            </w:tcBorders>
            <w:shd w:val="clear" w:color="auto" w:fill="auto"/>
            <w:vAlign w:val="center"/>
            <w:hideMark/>
          </w:tcPr>
          <w:p w:rsidR="00AC40FC" w:rsidRPr="00C6346F" w:rsidRDefault="00AC40FC" w:rsidP="00A57D87">
            <w:pPr>
              <w:spacing w:after="0"/>
              <w:jc w:val="right"/>
              <w:rPr>
                <w:rFonts w:cs="Arial"/>
                <w:szCs w:val="24"/>
              </w:rPr>
            </w:pPr>
            <w:r w:rsidRPr="00C6346F">
              <w:rPr>
                <w:rFonts w:cs="Arial"/>
                <w:szCs w:val="24"/>
              </w:rPr>
              <w:t>5.0%</w:t>
            </w:r>
          </w:p>
        </w:tc>
        <w:tc>
          <w:tcPr>
            <w:tcW w:w="1147" w:type="dxa"/>
            <w:tcBorders>
              <w:top w:val="nil"/>
              <w:left w:val="nil"/>
              <w:bottom w:val="single" w:sz="4" w:space="0" w:color="auto"/>
              <w:right w:val="single" w:sz="4" w:space="0" w:color="auto"/>
            </w:tcBorders>
          </w:tcPr>
          <w:p w:rsidR="00AC40FC" w:rsidRPr="00C6346F" w:rsidRDefault="00AC40FC" w:rsidP="00A57D87">
            <w:pPr>
              <w:spacing w:after="0"/>
              <w:jc w:val="right"/>
              <w:rPr>
                <w:rFonts w:cs="Arial"/>
                <w:szCs w:val="24"/>
              </w:rPr>
            </w:pPr>
            <w:r>
              <w:rPr>
                <w:rFonts w:cs="Arial"/>
                <w:szCs w:val="24"/>
              </w:rPr>
              <w:t>8.9%</w:t>
            </w:r>
          </w:p>
        </w:tc>
      </w:tr>
      <w:tr w:rsidR="00AC40FC" w:rsidRPr="00C6346F" w:rsidTr="00A57D87">
        <w:trPr>
          <w:trHeight w:val="66"/>
          <w:jc w:val="center"/>
        </w:trPr>
        <w:tc>
          <w:tcPr>
            <w:tcW w:w="2592" w:type="dxa"/>
            <w:tcBorders>
              <w:top w:val="nil"/>
              <w:left w:val="single" w:sz="4" w:space="0" w:color="auto"/>
              <w:bottom w:val="single" w:sz="4" w:space="0" w:color="auto"/>
              <w:right w:val="single" w:sz="4" w:space="0" w:color="auto"/>
            </w:tcBorders>
            <w:shd w:val="clear" w:color="auto" w:fill="auto"/>
            <w:vAlign w:val="center"/>
            <w:hideMark/>
          </w:tcPr>
          <w:p w:rsidR="00AC40FC" w:rsidRPr="00C6346F" w:rsidRDefault="00AC40FC" w:rsidP="00A57D87">
            <w:pPr>
              <w:spacing w:after="0"/>
              <w:rPr>
                <w:rFonts w:cs="Arial"/>
                <w:szCs w:val="24"/>
              </w:rPr>
            </w:pPr>
            <w:r w:rsidRPr="00C6346F">
              <w:rPr>
                <w:rFonts w:cs="Arial"/>
                <w:szCs w:val="24"/>
              </w:rPr>
              <w:t>Percent Non-Minority</w:t>
            </w:r>
          </w:p>
        </w:tc>
        <w:tc>
          <w:tcPr>
            <w:tcW w:w="1199" w:type="dxa"/>
            <w:tcBorders>
              <w:top w:val="nil"/>
              <w:left w:val="nil"/>
              <w:bottom w:val="single" w:sz="4" w:space="0" w:color="auto"/>
              <w:right w:val="single" w:sz="4" w:space="0" w:color="auto"/>
            </w:tcBorders>
            <w:shd w:val="clear" w:color="auto" w:fill="auto"/>
            <w:vAlign w:val="center"/>
            <w:hideMark/>
          </w:tcPr>
          <w:p w:rsidR="00AC40FC" w:rsidRPr="00C6346F" w:rsidRDefault="00AC40FC" w:rsidP="00A57D87">
            <w:pPr>
              <w:spacing w:after="0"/>
              <w:jc w:val="right"/>
              <w:rPr>
                <w:rFonts w:cs="Arial"/>
                <w:szCs w:val="24"/>
              </w:rPr>
            </w:pPr>
            <w:r w:rsidRPr="00C6346F">
              <w:rPr>
                <w:rFonts w:cs="Arial"/>
                <w:szCs w:val="24"/>
              </w:rPr>
              <w:t>95.3%</w:t>
            </w:r>
          </w:p>
        </w:tc>
        <w:tc>
          <w:tcPr>
            <w:tcW w:w="1116" w:type="dxa"/>
            <w:tcBorders>
              <w:top w:val="nil"/>
              <w:left w:val="nil"/>
              <w:bottom w:val="single" w:sz="4" w:space="0" w:color="auto"/>
              <w:right w:val="single" w:sz="4" w:space="0" w:color="auto"/>
            </w:tcBorders>
            <w:shd w:val="clear" w:color="auto" w:fill="auto"/>
            <w:vAlign w:val="center"/>
            <w:hideMark/>
          </w:tcPr>
          <w:p w:rsidR="00AC40FC" w:rsidRPr="00C6346F" w:rsidRDefault="00AC40FC" w:rsidP="00A57D87">
            <w:pPr>
              <w:spacing w:after="0"/>
              <w:jc w:val="right"/>
              <w:rPr>
                <w:rFonts w:cs="Arial"/>
                <w:szCs w:val="24"/>
              </w:rPr>
            </w:pPr>
            <w:r w:rsidRPr="00C6346F">
              <w:rPr>
                <w:rFonts w:cs="Arial"/>
                <w:szCs w:val="24"/>
              </w:rPr>
              <w:t>94.5%</w:t>
            </w:r>
          </w:p>
        </w:tc>
        <w:tc>
          <w:tcPr>
            <w:tcW w:w="1116" w:type="dxa"/>
            <w:tcBorders>
              <w:top w:val="nil"/>
              <w:left w:val="nil"/>
              <w:bottom w:val="single" w:sz="4" w:space="0" w:color="auto"/>
              <w:right w:val="single" w:sz="4" w:space="0" w:color="auto"/>
            </w:tcBorders>
            <w:shd w:val="clear" w:color="auto" w:fill="auto"/>
            <w:vAlign w:val="center"/>
            <w:hideMark/>
          </w:tcPr>
          <w:p w:rsidR="00AC40FC" w:rsidRPr="00C6346F" w:rsidRDefault="00AC40FC" w:rsidP="00A57D87">
            <w:pPr>
              <w:spacing w:after="0"/>
              <w:jc w:val="right"/>
              <w:rPr>
                <w:rFonts w:cs="Arial"/>
                <w:szCs w:val="24"/>
              </w:rPr>
            </w:pPr>
            <w:r w:rsidRPr="00C6346F">
              <w:rPr>
                <w:rFonts w:cs="Arial"/>
                <w:szCs w:val="24"/>
              </w:rPr>
              <w:t>94.7%</w:t>
            </w:r>
          </w:p>
        </w:tc>
        <w:tc>
          <w:tcPr>
            <w:tcW w:w="1116" w:type="dxa"/>
            <w:tcBorders>
              <w:top w:val="nil"/>
              <w:left w:val="nil"/>
              <w:bottom w:val="single" w:sz="4" w:space="0" w:color="auto"/>
              <w:right w:val="single" w:sz="4" w:space="0" w:color="auto"/>
            </w:tcBorders>
            <w:shd w:val="clear" w:color="auto" w:fill="auto"/>
            <w:vAlign w:val="center"/>
            <w:hideMark/>
          </w:tcPr>
          <w:p w:rsidR="00AC40FC" w:rsidRPr="00C6346F" w:rsidRDefault="00AC40FC" w:rsidP="00A57D87">
            <w:pPr>
              <w:spacing w:after="0"/>
              <w:jc w:val="right"/>
              <w:rPr>
                <w:rFonts w:cs="Arial"/>
                <w:szCs w:val="24"/>
              </w:rPr>
            </w:pPr>
            <w:r w:rsidRPr="00C6346F">
              <w:rPr>
                <w:rFonts w:cs="Arial"/>
                <w:szCs w:val="24"/>
              </w:rPr>
              <w:t>95.0%</w:t>
            </w:r>
          </w:p>
        </w:tc>
        <w:tc>
          <w:tcPr>
            <w:tcW w:w="1147" w:type="dxa"/>
            <w:tcBorders>
              <w:top w:val="nil"/>
              <w:left w:val="nil"/>
              <w:bottom w:val="single" w:sz="4" w:space="0" w:color="auto"/>
              <w:right w:val="single" w:sz="4" w:space="0" w:color="auto"/>
            </w:tcBorders>
          </w:tcPr>
          <w:p w:rsidR="00AC40FC" w:rsidRPr="00C6346F" w:rsidRDefault="00AC40FC" w:rsidP="00A57D87">
            <w:pPr>
              <w:spacing w:after="0"/>
              <w:jc w:val="right"/>
              <w:rPr>
                <w:rFonts w:cs="Arial"/>
                <w:szCs w:val="24"/>
              </w:rPr>
            </w:pPr>
            <w:r>
              <w:rPr>
                <w:rFonts w:cs="Arial"/>
                <w:szCs w:val="24"/>
              </w:rPr>
              <w:t>91.1%</w:t>
            </w:r>
          </w:p>
        </w:tc>
      </w:tr>
      <w:tr w:rsidR="00AC40FC" w:rsidRPr="00C6346F" w:rsidTr="00A57D87">
        <w:trPr>
          <w:trHeight w:val="66"/>
          <w:jc w:val="center"/>
        </w:trPr>
        <w:tc>
          <w:tcPr>
            <w:tcW w:w="2592" w:type="dxa"/>
            <w:tcBorders>
              <w:top w:val="nil"/>
              <w:left w:val="single" w:sz="4" w:space="0" w:color="auto"/>
              <w:bottom w:val="single" w:sz="4" w:space="0" w:color="auto"/>
              <w:right w:val="single" w:sz="4" w:space="0" w:color="auto"/>
            </w:tcBorders>
            <w:shd w:val="clear" w:color="auto" w:fill="FFFFFF" w:themeFill="background1"/>
            <w:vAlign w:val="center"/>
            <w:hideMark/>
          </w:tcPr>
          <w:p w:rsidR="00AC40FC" w:rsidRPr="00C6346F" w:rsidRDefault="00AC40FC" w:rsidP="00A57D87">
            <w:pPr>
              <w:spacing w:after="0"/>
              <w:rPr>
                <w:rFonts w:cs="Arial"/>
                <w:szCs w:val="24"/>
              </w:rPr>
            </w:pPr>
            <w:r w:rsidRPr="00C6346F">
              <w:rPr>
                <w:rFonts w:cs="Arial"/>
                <w:szCs w:val="24"/>
              </w:rPr>
              <w:t>Percent Female</w:t>
            </w:r>
          </w:p>
        </w:tc>
        <w:tc>
          <w:tcPr>
            <w:tcW w:w="1199" w:type="dxa"/>
            <w:tcBorders>
              <w:top w:val="nil"/>
              <w:left w:val="nil"/>
              <w:bottom w:val="single" w:sz="4" w:space="0" w:color="auto"/>
              <w:right w:val="single" w:sz="4" w:space="0" w:color="auto"/>
            </w:tcBorders>
            <w:shd w:val="clear" w:color="auto" w:fill="FFFFFF" w:themeFill="background1"/>
            <w:vAlign w:val="center"/>
            <w:hideMark/>
          </w:tcPr>
          <w:p w:rsidR="00AC40FC" w:rsidRPr="00C6346F" w:rsidRDefault="00AC40FC" w:rsidP="00A57D87">
            <w:pPr>
              <w:spacing w:after="0"/>
              <w:jc w:val="right"/>
              <w:rPr>
                <w:rFonts w:cs="Arial"/>
                <w:szCs w:val="24"/>
              </w:rPr>
            </w:pPr>
            <w:r w:rsidRPr="00C6346F">
              <w:rPr>
                <w:rFonts w:cs="Arial"/>
                <w:szCs w:val="24"/>
              </w:rPr>
              <w:t>15.0%</w:t>
            </w:r>
          </w:p>
        </w:tc>
        <w:tc>
          <w:tcPr>
            <w:tcW w:w="1116" w:type="dxa"/>
            <w:tcBorders>
              <w:top w:val="nil"/>
              <w:left w:val="nil"/>
              <w:bottom w:val="single" w:sz="4" w:space="0" w:color="auto"/>
              <w:right w:val="single" w:sz="4" w:space="0" w:color="auto"/>
            </w:tcBorders>
            <w:shd w:val="clear" w:color="auto" w:fill="FFFFFF" w:themeFill="background1"/>
            <w:vAlign w:val="center"/>
            <w:hideMark/>
          </w:tcPr>
          <w:p w:rsidR="00AC40FC" w:rsidRPr="00C6346F" w:rsidRDefault="00AC40FC" w:rsidP="00A57D87">
            <w:pPr>
              <w:spacing w:after="0"/>
              <w:jc w:val="right"/>
              <w:rPr>
                <w:rFonts w:cs="Arial"/>
                <w:szCs w:val="24"/>
              </w:rPr>
            </w:pPr>
            <w:r w:rsidRPr="00C6346F">
              <w:rPr>
                <w:rFonts w:cs="Arial"/>
                <w:szCs w:val="24"/>
              </w:rPr>
              <w:t>15.7%</w:t>
            </w:r>
          </w:p>
        </w:tc>
        <w:tc>
          <w:tcPr>
            <w:tcW w:w="1116" w:type="dxa"/>
            <w:tcBorders>
              <w:top w:val="nil"/>
              <w:left w:val="nil"/>
              <w:bottom w:val="single" w:sz="4" w:space="0" w:color="auto"/>
              <w:right w:val="single" w:sz="4" w:space="0" w:color="auto"/>
            </w:tcBorders>
            <w:shd w:val="clear" w:color="auto" w:fill="FFFFFF" w:themeFill="background1"/>
            <w:vAlign w:val="center"/>
            <w:hideMark/>
          </w:tcPr>
          <w:p w:rsidR="00AC40FC" w:rsidRPr="00C6346F" w:rsidRDefault="00AC40FC" w:rsidP="00A57D87">
            <w:pPr>
              <w:spacing w:after="0"/>
              <w:jc w:val="right"/>
              <w:rPr>
                <w:rFonts w:cs="Arial"/>
                <w:szCs w:val="24"/>
              </w:rPr>
            </w:pPr>
            <w:r w:rsidRPr="00C6346F">
              <w:rPr>
                <w:rFonts w:cs="Arial"/>
                <w:szCs w:val="24"/>
              </w:rPr>
              <w:t>13.7%</w:t>
            </w:r>
          </w:p>
        </w:tc>
        <w:tc>
          <w:tcPr>
            <w:tcW w:w="1116" w:type="dxa"/>
            <w:tcBorders>
              <w:top w:val="nil"/>
              <w:left w:val="nil"/>
              <w:bottom w:val="single" w:sz="4" w:space="0" w:color="auto"/>
              <w:right w:val="single" w:sz="4" w:space="0" w:color="auto"/>
            </w:tcBorders>
            <w:shd w:val="clear" w:color="auto" w:fill="FFFFFF" w:themeFill="background1"/>
            <w:vAlign w:val="center"/>
            <w:hideMark/>
          </w:tcPr>
          <w:p w:rsidR="00AC40FC" w:rsidRPr="00C6346F" w:rsidRDefault="00AC40FC" w:rsidP="00A57D87">
            <w:pPr>
              <w:spacing w:after="0"/>
              <w:jc w:val="right"/>
              <w:rPr>
                <w:rFonts w:cs="Arial"/>
                <w:szCs w:val="24"/>
              </w:rPr>
            </w:pPr>
            <w:r w:rsidRPr="00C6346F">
              <w:rPr>
                <w:rFonts w:cs="Arial"/>
                <w:szCs w:val="24"/>
              </w:rPr>
              <w:t>7.4%</w:t>
            </w:r>
          </w:p>
        </w:tc>
        <w:tc>
          <w:tcPr>
            <w:tcW w:w="1147" w:type="dxa"/>
            <w:tcBorders>
              <w:top w:val="nil"/>
              <w:left w:val="nil"/>
              <w:bottom w:val="single" w:sz="4" w:space="0" w:color="auto"/>
              <w:right w:val="single" w:sz="4" w:space="0" w:color="auto"/>
            </w:tcBorders>
            <w:shd w:val="clear" w:color="auto" w:fill="FFFFFF" w:themeFill="background1"/>
          </w:tcPr>
          <w:p w:rsidR="00AC40FC" w:rsidRPr="00C6346F" w:rsidRDefault="00AC40FC" w:rsidP="00A57D87">
            <w:pPr>
              <w:spacing w:after="0"/>
              <w:jc w:val="right"/>
              <w:rPr>
                <w:rFonts w:cs="Arial"/>
                <w:szCs w:val="24"/>
              </w:rPr>
            </w:pPr>
            <w:r>
              <w:rPr>
                <w:rFonts w:cs="Arial"/>
                <w:szCs w:val="24"/>
              </w:rPr>
              <w:t>36.3%</w:t>
            </w:r>
          </w:p>
        </w:tc>
      </w:tr>
      <w:tr w:rsidR="00AC40FC" w:rsidRPr="00C6346F" w:rsidTr="00A57D87">
        <w:trPr>
          <w:trHeight w:val="121"/>
          <w:jc w:val="center"/>
        </w:trPr>
        <w:tc>
          <w:tcPr>
            <w:tcW w:w="2592" w:type="dxa"/>
            <w:tcBorders>
              <w:top w:val="nil"/>
              <w:left w:val="single" w:sz="4" w:space="0" w:color="auto"/>
              <w:bottom w:val="single" w:sz="4" w:space="0" w:color="auto"/>
              <w:right w:val="single" w:sz="4" w:space="0" w:color="auto"/>
            </w:tcBorders>
            <w:shd w:val="clear" w:color="auto" w:fill="FFFFFF" w:themeFill="background1"/>
            <w:vAlign w:val="center"/>
            <w:hideMark/>
          </w:tcPr>
          <w:p w:rsidR="00AC40FC" w:rsidRPr="00C6346F" w:rsidRDefault="00AC40FC" w:rsidP="00A57D87">
            <w:pPr>
              <w:spacing w:after="0"/>
              <w:rPr>
                <w:rFonts w:cs="Arial"/>
                <w:szCs w:val="24"/>
              </w:rPr>
            </w:pPr>
            <w:r w:rsidRPr="00C6346F">
              <w:rPr>
                <w:rFonts w:cs="Arial"/>
                <w:szCs w:val="24"/>
              </w:rPr>
              <w:t>Percent Male</w:t>
            </w:r>
          </w:p>
        </w:tc>
        <w:tc>
          <w:tcPr>
            <w:tcW w:w="1199" w:type="dxa"/>
            <w:tcBorders>
              <w:top w:val="nil"/>
              <w:left w:val="nil"/>
              <w:bottom w:val="single" w:sz="4" w:space="0" w:color="auto"/>
              <w:right w:val="single" w:sz="4" w:space="0" w:color="auto"/>
            </w:tcBorders>
            <w:shd w:val="clear" w:color="auto" w:fill="FFFFFF" w:themeFill="background1"/>
            <w:vAlign w:val="center"/>
            <w:hideMark/>
          </w:tcPr>
          <w:p w:rsidR="00AC40FC" w:rsidRPr="00C6346F" w:rsidRDefault="00AC40FC" w:rsidP="00A57D87">
            <w:pPr>
              <w:spacing w:after="0"/>
              <w:jc w:val="right"/>
              <w:rPr>
                <w:rFonts w:cs="Arial"/>
                <w:szCs w:val="24"/>
              </w:rPr>
            </w:pPr>
            <w:r w:rsidRPr="00C6346F">
              <w:rPr>
                <w:rFonts w:cs="Arial"/>
                <w:szCs w:val="24"/>
              </w:rPr>
              <w:t>85.0%</w:t>
            </w:r>
          </w:p>
        </w:tc>
        <w:tc>
          <w:tcPr>
            <w:tcW w:w="1116" w:type="dxa"/>
            <w:tcBorders>
              <w:top w:val="nil"/>
              <w:left w:val="nil"/>
              <w:bottom w:val="single" w:sz="4" w:space="0" w:color="auto"/>
              <w:right w:val="single" w:sz="4" w:space="0" w:color="auto"/>
            </w:tcBorders>
            <w:shd w:val="clear" w:color="auto" w:fill="FFFFFF" w:themeFill="background1"/>
            <w:vAlign w:val="center"/>
            <w:hideMark/>
          </w:tcPr>
          <w:p w:rsidR="00AC40FC" w:rsidRPr="00C6346F" w:rsidRDefault="00AC40FC" w:rsidP="00A57D87">
            <w:pPr>
              <w:spacing w:after="0"/>
              <w:jc w:val="right"/>
              <w:rPr>
                <w:rFonts w:cs="Arial"/>
                <w:szCs w:val="24"/>
              </w:rPr>
            </w:pPr>
            <w:r w:rsidRPr="00C6346F">
              <w:rPr>
                <w:rFonts w:cs="Arial"/>
                <w:szCs w:val="24"/>
              </w:rPr>
              <w:t>84.3%</w:t>
            </w:r>
          </w:p>
        </w:tc>
        <w:tc>
          <w:tcPr>
            <w:tcW w:w="1116" w:type="dxa"/>
            <w:tcBorders>
              <w:top w:val="nil"/>
              <w:left w:val="nil"/>
              <w:bottom w:val="single" w:sz="4" w:space="0" w:color="auto"/>
              <w:right w:val="single" w:sz="4" w:space="0" w:color="auto"/>
            </w:tcBorders>
            <w:shd w:val="clear" w:color="auto" w:fill="FFFFFF" w:themeFill="background1"/>
            <w:vAlign w:val="center"/>
            <w:hideMark/>
          </w:tcPr>
          <w:p w:rsidR="00AC40FC" w:rsidRPr="00C6346F" w:rsidRDefault="00AC40FC" w:rsidP="00A57D87">
            <w:pPr>
              <w:spacing w:after="0"/>
              <w:jc w:val="right"/>
              <w:rPr>
                <w:rFonts w:cs="Arial"/>
                <w:szCs w:val="24"/>
              </w:rPr>
            </w:pPr>
            <w:r w:rsidRPr="00C6346F">
              <w:rPr>
                <w:rFonts w:cs="Arial"/>
                <w:szCs w:val="24"/>
              </w:rPr>
              <w:t>86.3%</w:t>
            </w:r>
          </w:p>
        </w:tc>
        <w:tc>
          <w:tcPr>
            <w:tcW w:w="1116" w:type="dxa"/>
            <w:tcBorders>
              <w:top w:val="nil"/>
              <w:left w:val="nil"/>
              <w:bottom w:val="single" w:sz="4" w:space="0" w:color="auto"/>
              <w:right w:val="single" w:sz="4" w:space="0" w:color="auto"/>
            </w:tcBorders>
            <w:shd w:val="clear" w:color="auto" w:fill="FFFFFF" w:themeFill="background1"/>
            <w:vAlign w:val="center"/>
            <w:hideMark/>
          </w:tcPr>
          <w:p w:rsidR="00AC40FC" w:rsidRPr="00C6346F" w:rsidRDefault="00AC40FC" w:rsidP="00A57D87">
            <w:pPr>
              <w:spacing w:after="0"/>
              <w:jc w:val="right"/>
              <w:rPr>
                <w:rFonts w:cs="Arial"/>
                <w:szCs w:val="24"/>
              </w:rPr>
            </w:pPr>
            <w:r w:rsidRPr="00C6346F">
              <w:rPr>
                <w:rFonts w:cs="Arial"/>
                <w:szCs w:val="24"/>
              </w:rPr>
              <w:t>92.6%</w:t>
            </w:r>
          </w:p>
        </w:tc>
        <w:tc>
          <w:tcPr>
            <w:tcW w:w="1147" w:type="dxa"/>
            <w:tcBorders>
              <w:top w:val="nil"/>
              <w:left w:val="nil"/>
              <w:bottom w:val="single" w:sz="4" w:space="0" w:color="auto"/>
              <w:right w:val="single" w:sz="4" w:space="0" w:color="auto"/>
            </w:tcBorders>
            <w:shd w:val="clear" w:color="auto" w:fill="FFFFFF" w:themeFill="background1"/>
          </w:tcPr>
          <w:p w:rsidR="00AC40FC" w:rsidRPr="00C6346F" w:rsidRDefault="00AC40FC" w:rsidP="00A57D87">
            <w:pPr>
              <w:spacing w:after="0"/>
              <w:jc w:val="right"/>
              <w:rPr>
                <w:rFonts w:cs="Arial"/>
                <w:szCs w:val="24"/>
              </w:rPr>
            </w:pPr>
            <w:r>
              <w:rPr>
                <w:rFonts w:cs="Arial"/>
                <w:szCs w:val="24"/>
              </w:rPr>
              <w:t>63.7%</w:t>
            </w:r>
          </w:p>
        </w:tc>
      </w:tr>
      <w:tr w:rsidR="00AC40FC" w:rsidRPr="00C6346F" w:rsidTr="00A57D87">
        <w:trPr>
          <w:trHeight w:val="94"/>
          <w:jc w:val="center"/>
        </w:trPr>
        <w:tc>
          <w:tcPr>
            <w:tcW w:w="8286" w:type="dxa"/>
            <w:gridSpan w:val="6"/>
            <w:tcBorders>
              <w:top w:val="nil"/>
              <w:left w:val="single" w:sz="4" w:space="0" w:color="auto"/>
              <w:bottom w:val="single" w:sz="4" w:space="0" w:color="auto"/>
              <w:right w:val="single" w:sz="4" w:space="0" w:color="auto"/>
            </w:tcBorders>
            <w:shd w:val="clear" w:color="auto" w:fill="auto"/>
            <w:vAlign w:val="center"/>
            <w:hideMark/>
          </w:tcPr>
          <w:p w:rsidR="00AC40FC" w:rsidRPr="00C6346F" w:rsidRDefault="00AC40FC" w:rsidP="00A57D87">
            <w:pPr>
              <w:spacing w:after="0"/>
              <w:rPr>
                <w:rFonts w:cs="Arial"/>
                <w:szCs w:val="24"/>
              </w:rPr>
            </w:pPr>
            <w:r w:rsidRPr="00C6346F">
              <w:rPr>
                <w:rFonts w:cs="Arial"/>
                <w:szCs w:val="24"/>
              </w:rPr>
              <w:t>S</w:t>
            </w:r>
            <w:r>
              <w:rPr>
                <w:rFonts w:cs="Arial"/>
                <w:szCs w:val="24"/>
              </w:rPr>
              <w:t>ource</w:t>
            </w:r>
            <w:r w:rsidRPr="00C6346F">
              <w:rPr>
                <w:rFonts w:cs="Arial"/>
                <w:szCs w:val="24"/>
              </w:rPr>
              <w:t>: DN 17-133</w:t>
            </w:r>
          </w:p>
        </w:tc>
      </w:tr>
    </w:tbl>
    <w:p w:rsidR="00AC40FC" w:rsidRPr="00AD76B9" w:rsidRDefault="00AC40FC" w:rsidP="00A57D87">
      <w:pPr>
        <w:pStyle w:val="Normal-aftertable"/>
      </w:pPr>
      <w:r>
        <w:t>This data show that the promotion rates for minorities and females have both improved in 2015, reversing a trend of decline since 2012.</w:t>
      </w:r>
    </w:p>
    <w:p w:rsidR="00AC40FC" w:rsidRPr="00A2485A" w:rsidRDefault="00AC40FC" w:rsidP="00582143">
      <w:pPr>
        <w:pStyle w:val="Findings"/>
      </w:pPr>
      <w:r w:rsidRPr="00582143">
        <w:t>Involuntary</w:t>
      </w:r>
      <w:r w:rsidRPr="00A2485A">
        <w:t xml:space="preserve"> </w:t>
      </w:r>
      <w:r>
        <w:t xml:space="preserve">and voluntary </w:t>
      </w:r>
      <w:r w:rsidRPr="00A2485A">
        <w:t xml:space="preserve">termination rates for minorities </w:t>
      </w:r>
      <w:r>
        <w:t xml:space="preserve">have declined in 2015 while involuntary and </w:t>
      </w:r>
      <w:r w:rsidRPr="00A2485A">
        <w:t xml:space="preserve">voluntary terminations for females have </w:t>
      </w:r>
      <w:r>
        <w:t>increased in 2015</w:t>
      </w:r>
      <w:r w:rsidRPr="00A2485A">
        <w:t>.</w:t>
      </w:r>
    </w:p>
    <w:p w:rsidR="00AC40FC" w:rsidRDefault="00AC40FC" w:rsidP="00A57D87">
      <w:r>
        <w:t>The tables below outline the aggregate termination rates for minorities and females as well as the breakdown of involuntary and voluntary termination rates for minorities and females.</w:t>
      </w:r>
    </w:p>
    <w:p w:rsidR="00AC40FC" w:rsidRDefault="00AC40FC" w:rsidP="002B3172">
      <w:pPr>
        <w:pStyle w:val="Caption"/>
      </w:pPr>
      <w:bookmarkStart w:id="310" w:name="_Toc462648479"/>
      <w:bookmarkStart w:id="311" w:name="_Toc464553101"/>
      <w:r>
        <w:t xml:space="preserve">Exhibit </w:t>
      </w:r>
      <w:fldSimple w:instr=" STYLEREF 1 \s ">
        <w:r w:rsidR="00A24205">
          <w:rPr>
            <w:noProof/>
          </w:rPr>
          <w:t>XIV</w:t>
        </w:r>
      </w:fldSimple>
      <w:r w:rsidR="00264A1B">
        <w:noBreakHyphen/>
      </w:r>
      <w:fldSimple w:instr=" SEQ Exhibit \* ARABIC \s 1 ">
        <w:r w:rsidR="00A24205">
          <w:rPr>
            <w:noProof/>
          </w:rPr>
          <w:t>14</w:t>
        </w:r>
      </w:fldSimple>
      <w:r>
        <w:br/>
      </w:r>
      <w:r w:rsidRPr="0028346E">
        <w:t>Aggregate Termination R</w:t>
      </w:r>
      <w:r w:rsidR="00B7713A">
        <w:t>ates for Minorities and Females</w:t>
      </w:r>
      <w:r>
        <w:br/>
      </w:r>
      <w:r w:rsidRPr="0028346E">
        <w:t>2011</w:t>
      </w:r>
      <w:r>
        <w:t>–</w:t>
      </w:r>
      <w:r w:rsidRPr="0028346E">
        <w:t>201</w:t>
      </w:r>
      <w:r>
        <w:t>5</w:t>
      </w:r>
      <w:bookmarkEnd w:id="310"/>
      <w:bookmarkEnd w:id="311"/>
    </w:p>
    <w:tbl>
      <w:tblPr>
        <w:tblW w:w="8145" w:type="dxa"/>
        <w:jc w:val="center"/>
        <w:tblCellMar>
          <w:top w:w="14" w:type="dxa"/>
          <w:left w:w="115" w:type="dxa"/>
          <w:bottom w:w="14" w:type="dxa"/>
          <w:right w:w="115" w:type="dxa"/>
        </w:tblCellMar>
        <w:tblLook w:val="04A0"/>
      </w:tblPr>
      <w:tblGrid>
        <w:gridCol w:w="2621"/>
        <w:gridCol w:w="1051"/>
        <w:gridCol w:w="1109"/>
        <w:gridCol w:w="1109"/>
        <w:gridCol w:w="1109"/>
        <w:gridCol w:w="1138"/>
        <w:gridCol w:w="8"/>
      </w:tblGrid>
      <w:tr w:rsidR="00AC40FC" w:rsidRPr="00D6083E" w:rsidTr="00582143">
        <w:trPr>
          <w:gridAfter w:val="1"/>
          <w:wAfter w:w="8" w:type="dxa"/>
          <w:cantSplit/>
          <w:trHeight w:val="315"/>
          <w:tblHeader/>
          <w:jc w:val="center"/>
        </w:trPr>
        <w:tc>
          <w:tcPr>
            <w:tcW w:w="2621" w:type="dxa"/>
            <w:tcBorders>
              <w:top w:val="single" w:sz="4" w:space="0" w:color="auto"/>
              <w:left w:val="single" w:sz="4" w:space="0" w:color="auto"/>
              <w:bottom w:val="single" w:sz="4" w:space="0" w:color="auto"/>
              <w:right w:val="single" w:sz="4" w:space="0" w:color="auto"/>
            </w:tcBorders>
            <w:shd w:val="clear" w:color="auto" w:fill="A5CD7E"/>
            <w:vAlign w:val="center"/>
            <w:hideMark/>
          </w:tcPr>
          <w:p w:rsidR="00AC40FC" w:rsidRPr="00D6083E" w:rsidRDefault="00AC40FC" w:rsidP="00D6083E">
            <w:pPr>
              <w:spacing w:before="120"/>
              <w:jc w:val="center"/>
              <w:rPr>
                <w:b/>
              </w:rPr>
            </w:pPr>
            <w:r w:rsidRPr="00D6083E">
              <w:rPr>
                <w:b/>
              </w:rPr>
              <w:t xml:space="preserve">Category </w:t>
            </w:r>
          </w:p>
        </w:tc>
        <w:tc>
          <w:tcPr>
            <w:tcW w:w="1051" w:type="dxa"/>
            <w:tcBorders>
              <w:top w:val="single" w:sz="4" w:space="0" w:color="auto"/>
              <w:left w:val="nil"/>
              <w:bottom w:val="single" w:sz="4" w:space="0" w:color="auto"/>
              <w:right w:val="single" w:sz="4" w:space="0" w:color="auto"/>
            </w:tcBorders>
            <w:shd w:val="clear" w:color="auto" w:fill="A5CD7E"/>
            <w:vAlign w:val="center"/>
            <w:hideMark/>
          </w:tcPr>
          <w:p w:rsidR="00AC40FC" w:rsidRPr="00D6083E" w:rsidRDefault="00AC40FC" w:rsidP="00D6083E">
            <w:pPr>
              <w:spacing w:before="120"/>
              <w:jc w:val="center"/>
              <w:rPr>
                <w:b/>
              </w:rPr>
            </w:pPr>
            <w:r w:rsidRPr="00D6083E">
              <w:rPr>
                <w:b/>
              </w:rPr>
              <w:t>2011</w:t>
            </w:r>
          </w:p>
        </w:tc>
        <w:tc>
          <w:tcPr>
            <w:tcW w:w="1109" w:type="dxa"/>
            <w:tcBorders>
              <w:top w:val="single" w:sz="4" w:space="0" w:color="auto"/>
              <w:left w:val="nil"/>
              <w:bottom w:val="single" w:sz="4" w:space="0" w:color="auto"/>
              <w:right w:val="single" w:sz="4" w:space="0" w:color="auto"/>
            </w:tcBorders>
            <w:shd w:val="clear" w:color="auto" w:fill="A5CD7E"/>
            <w:vAlign w:val="center"/>
            <w:hideMark/>
          </w:tcPr>
          <w:p w:rsidR="00AC40FC" w:rsidRPr="00D6083E" w:rsidRDefault="00AC40FC" w:rsidP="00D6083E">
            <w:pPr>
              <w:spacing w:before="120"/>
              <w:jc w:val="center"/>
              <w:rPr>
                <w:b/>
              </w:rPr>
            </w:pPr>
            <w:r w:rsidRPr="00D6083E">
              <w:rPr>
                <w:b/>
              </w:rPr>
              <w:t>2012</w:t>
            </w:r>
          </w:p>
        </w:tc>
        <w:tc>
          <w:tcPr>
            <w:tcW w:w="1109" w:type="dxa"/>
            <w:tcBorders>
              <w:top w:val="single" w:sz="4" w:space="0" w:color="auto"/>
              <w:left w:val="nil"/>
              <w:bottom w:val="single" w:sz="4" w:space="0" w:color="auto"/>
              <w:right w:val="single" w:sz="4" w:space="0" w:color="auto"/>
            </w:tcBorders>
            <w:shd w:val="clear" w:color="auto" w:fill="A5CD7E"/>
            <w:vAlign w:val="center"/>
            <w:hideMark/>
          </w:tcPr>
          <w:p w:rsidR="00AC40FC" w:rsidRPr="00D6083E" w:rsidRDefault="00AC40FC" w:rsidP="00D6083E">
            <w:pPr>
              <w:spacing w:before="120"/>
              <w:jc w:val="center"/>
              <w:rPr>
                <w:b/>
              </w:rPr>
            </w:pPr>
            <w:r w:rsidRPr="00D6083E">
              <w:rPr>
                <w:b/>
              </w:rPr>
              <w:t>2013</w:t>
            </w:r>
          </w:p>
        </w:tc>
        <w:tc>
          <w:tcPr>
            <w:tcW w:w="1109" w:type="dxa"/>
            <w:tcBorders>
              <w:top w:val="single" w:sz="4" w:space="0" w:color="auto"/>
              <w:left w:val="nil"/>
              <w:bottom w:val="single" w:sz="4" w:space="0" w:color="auto"/>
              <w:right w:val="single" w:sz="4" w:space="0" w:color="auto"/>
            </w:tcBorders>
            <w:shd w:val="clear" w:color="auto" w:fill="A5CD7E"/>
            <w:vAlign w:val="center"/>
            <w:hideMark/>
          </w:tcPr>
          <w:p w:rsidR="00AC40FC" w:rsidRPr="00D6083E" w:rsidRDefault="00AC40FC" w:rsidP="00D6083E">
            <w:pPr>
              <w:spacing w:before="120"/>
              <w:jc w:val="center"/>
              <w:rPr>
                <w:b/>
              </w:rPr>
            </w:pPr>
            <w:r w:rsidRPr="00D6083E">
              <w:rPr>
                <w:b/>
              </w:rPr>
              <w:t>2014</w:t>
            </w:r>
          </w:p>
        </w:tc>
        <w:tc>
          <w:tcPr>
            <w:tcW w:w="1138" w:type="dxa"/>
            <w:tcBorders>
              <w:top w:val="single" w:sz="4" w:space="0" w:color="auto"/>
              <w:left w:val="nil"/>
              <w:bottom w:val="single" w:sz="4" w:space="0" w:color="auto"/>
              <w:right w:val="single" w:sz="4" w:space="0" w:color="auto"/>
            </w:tcBorders>
            <w:shd w:val="clear" w:color="auto" w:fill="A5CD7E"/>
            <w:vAlign w:val="center"/>
          </w:tcPr>
          <w:p w:rsidR="00AC40FC" w:rsidRPr="00D6083E" w:rsidRDefault="00AC40FC" w:rsidP="00D6083E">
            <w:pPr>
              <w:spacing w:before="120"/>
              <w:jc w:val="center"/>
              <w:rPr>
                <w:b/>
              </w:rPr>
            </w:pPr>
            <w:r w:rsidRPr="00D6083E">
              <w:rPr>
                <w:b/>
              </w:rPr>
              <w:t>2015</w:t>
            </w:r>
          </w:p>
        </w:tc>
      </w:tr>
      <w:tr w:rsidR="00AC40FC" w:rsidRPr="0028346E" w:rsidTr="00A57D87">
        <w:trPr>
          <w:gridAfter w:val="1"/>
          <w:wAfter w:w="8" w:type="dxa"/>
          <w:trHeight w:val="242"/>
          <w:jc w:val="center"/>
        </w:trPr>
        <w:tc>
          <w:tcPr>
            <w:tcW w:w="2621" w:type="dxa"/>
            <w:tcBorders>
              <w:top w:val="nil"/>
              <w:left w:val="single" w:sz="4" w:space="0" w:color="auto"/>
              <w:bottom w:val="single" w:sz="4" w:space="0" w:color="auto"/>
              <w:right w:val="single" w:sz="4" w:space="0" w:color="auto"/>
            </w:tcBorders>
            <w:shd w:val="clear" w:color="auto" w:fill="auto"/>
            <w:vAlign w:val="center"/>
            <w:hideMark/>
          </w:tcPr>
          <w:p w:rsidR="00AC40FC" w:rsidRPr="0028346E" w:rsidRDefault="00AC40FC" w:rsidP="00A57D87">
            <w:pPr>
              <w:spacing w:after="0"/>
              <w:rPr>
                <w:rFonts w:cs="Arial"/>
                <w:szCs w:val="24"/>
              </w:rPr>
            </w:pPr>
            <w:r w:rsidRPr="0028346E">
              <w:rPr>
                <w:rFonts w:cs="Arial"/>
                <w:szCs w:val="24"/>
              </w:rPr>
              <w:t>Percent Minority</w:t>
            </w:r>
          </w:p>
        </w:tc>
        <w:tc>
          <w:tcPr>
            <w:tcW w:w="1051" w:type="dxa"/>
            <w:tcBorders>
              <w:top w:val="nil"/>
              <w:left w:val="nil"/>
              <w:bottom w:val="single" w:sz="4" w:space="0" w:color="auto"/>
              <w:right w:val="single" w:sz="4" w:space="0" w:color="auto"/>
            </w:tcBorders>
            <w:shd w:val="clear" w:color="auto" w:fill="auto"/>
            <w:vAlign w:val="center"/>
            <w:hideMark/>
          </w:tcPr>
          <w:p w:rsidR="00AC40FC" w:rsidRPr="0028346E" w:rsidRDefault="00AC40FC" w:rsidP="00A57D87">
            <w:pPr>
              <w:spacing w:after="0"/>
              <w:jc w:val="right"/>
              <w:rPr>
                <w:rFonts w:cs="Arial"/>
                <w:szCs w:val="24"/>
              </w:rPr>
            </w:pPr>
            <w:r w:rsidRPr="0028346E">
              <w:rPr>
                <w:rFonts w:cs="Arial"/>
                <w:szCs w:val="24"/>
              </w:rPr>
              <w:t>7.5%</w:t>
            </w:r>
          </w:p>
        </w:tc>
        <w:tc>
          <w:tcPr>
            <w:tcW w:w="1109" w:type="dxa"/>
            <w:tcBorders>
              <w:top w:val="nil"/>
              <w:left w:val="nil"/>
              <w:bottom w:val="single" w:sz="4" w:space="0" w:color="auto"/>
              <w:right w:val="single" w:sz="4" w:space="0" w:color="auto"/>
            </w:tcBorders>
            <w:shd w:val="clear" w:color="auto" w:fill="auto"/>
            <w:vAlign w:val="center"/>
            <w:hideMark/>
          </w:tcPr>
          <w:p w:rsidR="00AC40FC" w:rsidRPr="0028346E" w:rsidRDefault="00AC40FC" w:rsidP="00A57D87">
            <w:pPr>
              <w:spacing w:after="0"/>
              <w:jc w:val="right"/>
              <w:rPr>
                <w:rFonts w:cs="Arial"/>
                <w:szCs w:val="24"/>
              </w:rPr>
            </w:pPr>
            <w:r w:rsidRPr="0028346E">
              <w:rPr>
                <w:rFonts w:cs="Arial"/>
                <w:szCs w:val="24"/>
              </w:rPr>
              <w:t>7.3%</w:t>
            </w:r>
          </w:p>
        </w:tc>
        <w:tc>
          <w:tcPr>
            <w:tcW w:w="1109" w:type="dxa"/>
            <w:tcBorders>
              <w:top w:val="nil"/>
              <w:left w:val="nil"/>
              <w:bottom w:val="single" w:sz="4" w:space="0" w:color="auto"/>
              <w:right w:val="single" w:sz="4" w:space="0" w:color="auto"/>
            </w:tcBorders>
            <w:shd w:val="clear" w:color="auto" w:fill="auto"/>
            <w:vAlign w:val="center"/>
            <w:hideMark/>
          </w:tcPr>
          <w:p w:rsidR="00AC40FC" w:rsidRPr="0028346E" w:rsidRDefault="00AC40FC" w:rsidP="00A57D87">
            <w:pPr>
              <w:spacing w:after="0"/>
              <w:jc w:val="right"/>
              <w:rPr>
                <w:rFonts w:cs="Arial"/>
                <w:szCs w:val="24"/>
              </w:rPr>
            </w:pPr>
            <w:r w:rsidRPr="0028346E">
              <w:rPr>
                <w:rFonts w:cs="Arial"/>
                <w:szCs w:val="24"/>
              </w:rPr>
              <w:t>12.3%</w:t>
            </w:r>
          </w:p>
        </w:tc>
        <w:tc>
          <w:tcPr>
            <w:tcW w:w="1109" w:type="dxa"/>
            <w:tcBorders>
              <w:top w:val="nil"/>
              <w:left w:val="nil"/>
              <w:bottom w:val="single" w:sz="4" w:space="0" w:color="auto"/>
              <w:right w:val="single" w:sz="4" w:space="0" w:color="auto"/>
            </w:tcBorders>
            <w:shd w:val="clear" w:color="auto" w:fill="auto"/>
            <w:vAlign w:val="center"/>
            <w:hideMark/>
          </w:tcPr>
          <w:p w:rsidR="00AC40FC" w:rsidRPr="0028346E" w:rsidRDefault="00AC40FC" w:rsidP="00A57D87">
            <w:pPr>
              <w:spacing w:after="0"/>
              <w:jc w:val="right"/>
              <w:rPr>
                <w:rFonts w:cs="Arial"/>
                <w:szCs w:val="24"/>
              </w:rPr>
            </w:pPr>
            <w:r w:rsidRPr="0028346E">
              <w:rPr>
                <w:rFonts w:cs="Arial"/>
                <w:szCs w:val="24"/>
              </w:rPr>
              <w:t>8.7%</w:t>
            </w:r>
          </w:p>
        </w:tc>
        <w:tc>
          <w:tcPr>
            <w:tcW w:w="1138" w:type="dxa"/>
            <w:tcBorders>
              <w:top w:val="nil"/>
              <w:left w:val="nil"/>
              <w:bottom w:val="single" w:sz="4" w:space="0" w:color="auto"/>
              <w:right w:val="single" w:sz="4" w:space="0" w:color="auto"/>
            </w:tcBorders>
          </w:tcPr>
          <w:p w:rsidR="00AC40FC" w:rsidRPr="0028346E" w:rsidRDefault="00AC40FC" w:rsidP="00A57D87">
            <w:pPr>
              <w:spacing w:after="0"/>
              <w:jc w:val="right"/>
              <w:rPr>
                <w:rFonts w:cs="Arial"/>
                <w:szCs w:val="24"/>
              </w:rPr>
            </w:pPr>
            <w:r>
              <w:rPr>
                <w:rFonts w:cs="Arial"/>
                <w:szCs w:val="24"/>
              </w:rPr>
              <w:t>8.3%</w:t>
            </w:r>
          </w:p>
        </w:tc>
      </w:tr>
      <w:tr w:rsidR="00AC40FC" w:rsidRPr="0028346E" w:rsidTr="00A57D87">
        <w:trPr>
          <w:gridAfter w:val="1"/>
          <w:wAfter w:w="8" w:type="dxa"/>
          <w:trHeight w:val="215"/>
          <w:jc w:val="center"/>
        </w:trPr>
        <w:tc>
          <w:tcPr>
            <w:tcW w:w="2621" w:type="dxa"/>
            <w:tcBorders>
              <w:top w:val="nil"/>
              <w:left w:val="single" w:sz="4" w:space="0" w:color="auto"/>
              <w:bottom w:val="single" w:sz="4" w:space="0" w:color="auto"/>
              <w:right w:val="single" w:sz="4" w:space="0" w:color="auto"/>
            </w:tcBorders>
            <w:shd w:val="clear" w:color="auto" w:fill="auto"/>
            <w:vAlign w:val="center"/>
            <w:hideMark/>
          </w:tcPr>
          <w:p w:rsidR="00AC40FC" w:rsidRPr="0028346E" w:rsidRDefault="00AC40FC" w:rsidP="00A57D87">
            <w:pPr>
              <w:spacing w:after="0"/>
              <w:rPr>
                <w:rFonts w:cs="Arial"/>
                <w:szCs w:val="24"/>
              </w:rPr>
            </w:pPr>
            <w:r w:rsidRPr="0028346E">
              <w:rPr>
                <w:rFonts w:cs="Arial"/>
                <w:szCs w:val="24"/>
              </w:rPr>
              <w:t>Percent Non-Minority</w:t>
            </w:r>
          </w:p>
        </w:tc>
        <w:tc>
          <w:tcPr>
            <w:tcW w:w="1051" w:type="dxa"/>
            <w:tcBorders>
              <w:top w:val="nil"/>
              <w:left w:val="nil"/>
              <w:bottom w:val="single" w:sz="4" w:space="0" w:color="auto"/>
              <w:right w:val="single" w:sz="4" w:space="0" w:color="auto"/>
            </w:tcBorders>
            <w:shd w:val="clear" w:color="auto" w:fill="auto"/>
            <w:vAlign w:val="center"/>
            <w:hideMark/>
          </w:tcPr>
          <w:p w:rsidR="00AC40FC" w:rsidRPr="0028346E" w:rsidRDefault="00AC40FC" w:rsidP="00A57D87">
            <w:pPr>
              <w:spacing w:after="0"/>
              <w:jc w:val="right"/>
              <w:rPr>
                <w:rFonts w:cs="Arial"/>
                <w:szCs w:val="24"/>
              </w:rPr>
            </w:pPr>
            <w:r w:rsidRPr="0028346E">
              <w:rPr>
                <w:rFonts w:cs="Arial"/>
                <w:szCs w:val="24"/>
              </w:rPr>
              <w:t>92.5%</w:t>
            </w:r>
          </w:p>
        </w:tc>
        <w:tc>
          <w:tcPr>
            <w:tcW w:w="1109" w:type="dxa"/>
            <w:tcBorders>
              <w:top w:val="nil"/>
              <w:left w:val="nil"/>
              <w:bottom w:val="single" w:sz="4" w:space="0" w:color="auto"/>
              <w:right w:val="single" w:sz="4" w:space="0" w:color="auto"/>
            </w:tcBorders>
            <w:shd w:val="clear" w:color="auto" w:fill="auto"/>
            <w:vAlign w:val="center"/>
            <w:hideMark/>
          </w:tcPr>
          <w:p w:rsidR="00AC40FC" w:rsidRPr="0028346E" w:rsidRDefault="00AC40FC" w:rsidP="00A57D87">
            <w:pPr>
              <w:spacing w:after="0"/>
              <w:jc w:val="right"/>
              <w:rPr>
                <w:rFonts w:cs="Arial"/>
                <w:szCs w:val="24"/>
              </w:rPr>
            </w:pPr>
            <w:r w:rsidRPr="0028346E">
              <w:rPr>
                <w:rFonts w:cs="Arial"/>
                <w:szCs w:val="24"/>
              </w:rPr>
              <w:t>92.7%</w:t>
            </w:r>
          </w:p>
        </w:tc>
        <w:tc>
          <w:tcPr>
            <w:tcW w:w="1109" w:type="dxa"/>
            <w:tcBorders>
              <w:top w:val="nil"/>
              <w:left w:val="nil"/>
              <w:bottom w:val="single" w:sz="4" w:space="0" w:color="auto"/>
              <w:right w:val="single" w:sz="4" w:space="0" w:color="auto"/>
            </w:tcBorders>
            <w:shd w:val="clear" w:color="auto" w:fill="auto"/>
            <w:vAlign w:val="center"/>
            <w:hideMark/>
          </w:tcPr>
          <w:p w:rsidR="00AC40FC" w:rsidRPr="0028346E" w:rsidRDefault="00AC40FC" w:rsidP="00A57D87">
            <w:pPr>
              <w:spacing w:after="0"/>
              <w:jc w:val="right"/>
              <w:rPr>
                <w:rFonts w:cs="Arial"/>
                <w:szCs w:val="24"/>
              </w:rPr>
            </w:pPr>
            <w:r w:rsidRPr="0028346E">
              <w:rPr>
                <w:rFonts w:cs="Arial"/>
                <w:szCs w:val="24"/>
              </w:rPr>
              <w:t>87.7%</w:t>
            </w:r>
          </w:p>
        </w:tc>
        <w:tc>
          <w:tcPr>
            <w:tcW w:w="1109" w:type="dxa"/>
            <w:tcBorders>
              <w:top w:val="nil"/>
              <w:left w:val="nil"/>
              <w:bottom w:val="single" w:sz="4" w:space="0" w:color="auto"/>
              <w:right w:val="single" w:sz="4" w:space="0" w:color="auto"/>
            </w:tcBorders>
            <w:shd w:val="clear" w:color="auto" w:fill="auto"/>
            <w:vAlign w:val="center"/>
            <w:hideMark/>
          </w:tcPr>
          <w:p w:rsidR="00AC40FC" w:rsidRPr="0028346E" w:rsidRDefault="00AC40FC" w:rsidP="00A57D87">
            <w:pPr>
              <w:spacing w:after="0"/>
              <w:jc w:val="right"/>
              <w:rPr>
                <w:rFonts w:cs="Arial"/>
                <w:szCs w:val="24"/>
              </w:rPr>
            </w:pPr>
            <w:r w:rsidRPr="0028346E">
              <w:rPr>
                <w:rFonts w:cs="Arial"/>
                <w:szCs w:val="24"/>
              </w:rPr>
              <w:t>91.3%</w:t>
            </w:r>
          </w:p>
        </w:tc>
        <w:tc>
          <w:tcPr>
            <w:tcW w:w="1138" w:type="dxa"/>
            <w:tcBorders>
              <w:top w:val="nil"/>
              <w:left w:val="nil"/>
              <w:bottom w:val="single" w:sz="4" w:space="0" w:color="auto"/>
              <w:right w:val="single" w:sz="4" w:space="0" w:color="auto"/>
            </w:tcBorders>
          </w:tcPr>
          <w:p w:rsidR="00AC40FC" w:rsidRPr="0028346E" w:rsidRDefault="00AC40FC" w:rsidP="00A57D87">
            <w:pPr>
              <w:spacing w:after="0"/>
              <w:jc w:val="right"/>
              <w:rPr>
                <w:rFonts w:cs="Arial"/>
                <w:szCs w:val="24"/>
              </w:rPr>
            </w:pPr>
            <w:r>
              <w:rPr>
                <w:rFonts w:cs="Arial"/>
                <w:szCs w:val="24"/>
              </w:rPr>
              <w:t>91.7%</w:t>
            </w:r>
          </w:p>
        </w:tc>
      </w:tr>
      <w:tr w:rsidR="00AC40FC" w:rsidRPr="0028346E" w:rsidTr="00A57D87">
        <w:trPr>
          <w:gridAfter w:val="1"/>
          <w:wAfter w:w="8" w:type="dxa"/>
          <w:trHeight w:val="197"/>
          <w:jc w:val="center"/>
        </w:trPr>
        <w:tc>
          <w:tcPr>
            <w:tcW w:w="2621" w:type="dxa"/>
            <w:tcBorders>
              <w:top w:val="nil"/>
              <w:left w:val="single" w:sz="4" w:space="0" w:color="auto"/>
              <w:bottom w:val="single" w:sz="4" w:space="0" w:color="auto"/>
              <w:right w:val="single" w:sz="4" w:space="0" w:color="auto"/>
            </w:tcBorders>
            <w:shd w:val="clear" w:color="auto" w:fill="FFFFFF" w:themeFill="background1"/>
            <w:vAlign w:val="center"/>
            <w:hideMark/>
          </w:tcPr>
          <w:p w:rsidR="00AC40FC" w:rsidRPr="0028346E" w:rsidRDefault="00AC40FC" w:rsidP="00A57D87">
            <w:pPr>
              <w:spacing w:after="0"/>
              <w:rPr>
                <w:rFonts w:cs="Arial"/>
                <w:szCs w:val="24"/>
              </w:rPr>
            </w:pPr>
            <w:r w:rsidRPr="0028346E">
              <w:rPr>
                <w:rFonts w:cs="Arial"/>
                <w:szCs w:val="24"/>
              </w:rPr>
              <w:t>Percent Female</w:t>
            </w:r>
          </w:p>
        </w:tc>
        <w:tc>
          <w:tcPr>
            <w:tcW w:w="1051" w:type="dxa"/>
            <w:tcBorders>
              <w:top w:val="nil"/>
              <w:left w:val="nil"/>
              <w:bottom w:val="single" w:sz="4" w:space="0" w:color="auto"/>
              <w:right w:val="single" w:sz="4" w:space="0" w:color="auto"/>
            </w:tcBorders>
            <w:shd w:val="clear" w:color="auto" w:fill="FFFFFF" w:themeFill="background1"/>
            <w:vAlign w:val="center"/>
            <w:hideMark/>
          </w:tcPr>
          <w:p w:rsidR="00AC40FC" w:rsidRPr="0028346E" w:rsidRDefault="00AC40FC" w:rsidP="00A57D87">
            <w:pPr>
              <w:spacing w:after="0"/>
              <w:jc w:val="right"/>
              <w:rPr>
                <w:rFonts w:cs="Arial"/>
                <w:szCs w:val="24"/>
              </w:rPr>
            </w:pPr>
            <w:r w:rsidRPr="0028346E">
              <w:rPr>
                <w:rFonts w:cs="Arial"/>
                <w:szCs w:val="24"/>
              </w:rPr>
              <w:t>19.9%</w:t>
            </w:r>
          </w:p>
        </w:tc>
        <w:tc>
          <w:tcPr>
            <w:tcW w:w="1109" w:type="dxa"/>
            <w:tcBorders>
              <w:top w:val="nil"/>
              <w:left w:val="nil"/>
              <w:bottom w:val="single" w:sz="4" w:space="0" w:color="auto"/>
              <w:right w:val="single" w:sz="4" w:space="0" w:color="auto"/>
            </w:tcBorders>
            <w:shd w:val="clear" w:color="auto" w:fill="FFFFFF" w:themeFill="background1"/>
            <w:vAlign w:val="center"/>
            <w:hideMark/>
          </w:tcPr>
          <w:p w:rsidR="00AC40FC" w:rsidRPr="0028346E" w:rsidRDefault="00AC40FC" w:rsidP="00A57D87">
            <w:pPr>
              <w:spacing w:after="0"/>
              <w:jc w:val="right"/>
              <w:rPr>
                <w:rFonts w:cs="Arial"/>
                <w:szCs w:val="24"/>
              </w:rPr>
            </w:pPr>
            <w:r w:rsidRPr="0028346E">
              <w:rPr>
                <w:rFonts w:cs="Arial"/>
                <w:szCs w:val="24"/>
              </w:rPr>
              <w:t>17.2%</w:t>
            </w:r>
          </w:p>
        </w:tc>
        <w:tc>
          <w:tcPr>
            <w:tcW w:w="1109" w:type="dxa"/>
            <w:tcBorders>
              <w:top w:val="nil"/>
              <w:left w:val="nil"/>
              <w:bottom w:val="single" w:sz="4" w:space="0" w:color="auto"/>
              <w:right w:val="single" w:sz="4" w:space="0" w:color="auto"/>
            </w:tcBorders>
            <w:shd w:val="clear" w:color="auto" w:fill="FFFFFF" w:themeFill="background1"/>
            <w:vAlign w:val="center"/>
            <w:hideMark/>
          </w:tcPr>
          <w:p w:rsidR="00AC40FC" w:rsidRPr="0028346E" w:rsidRDefault="00AC40FC" w:rsidP="00A57D87">
            <w:pPr>
              <w:spacing w:after="0"/>
              <w:jc w:val="right"/>
              <w:rPr>
                <w:rFonts w:cs="Arial"/>
                <w:szCs w:val="24"/>
              </w:rPr>
            </w:pPr>
            <w:r w:rsidRPr="0028346E">
              <w:rPr>
                <w:rFonts w:cs="Arial"/>
                <w:szCs w:val="24"/>
              </w:rPr>
              <w:t>24.1%</w:t>
            </w:r>
          </w:p>
        </w:tc>
        <w:tc>
          <w:tcPr>
            <w:tcW w:w="1109" w:type="dxa"/>
            <w:tcBorders>
              <w:top w:val="nil"/>
              <w:left w:val="nil"/>
              <w:bottom w:val="single" w:sz="4" w:space="0" w:color="auto"/>
              <w:right w:val="single" w:sz="4" w:space="0" w:color="auto"/>
            </w:tcBorders>
            <w:shd w:val="clear" w:color="auto" w:fill="FFFFFF" w:themeFill="background1"/>
            <w:vAlign w:val="center"/>
            <w:hideMark/>
          </w:tcPr>
          <w:p w:rsidR="00AC40FC" w:rsidRPr="0028346E" w:rsidRDefault="00AC40FC" w:rsidP="00A57D87">
            <w:pPr>
              <w:spacing w:after="0"/>
              <w:jc w:val="right"/>
              <w:rPr>
                <w:rFonts w:cs="Arial"/>
                <w:szCs w:val="24"/>
              </w:rPr>
            </w:pPr>
            <w:r w:rsidRPr="0028346E">
              <w:rPr>
                <w:rFonts w:cs="Arial"/>
                <w:szCs w:val="24"/>
              </w:rPr>
              <w:t>23.6%</w:t>
            </w:r>
          </w:p>
        </w:tc>
        <w:tc>
          <w:tcPr>
            <w:tcW w:w="1138" w:type="dxa"/>
            <w:tcBorders>
              <w:top w:val="nil"/>
              <w:left w:val="nil"/>
              <w:bottom w:val="single" w:sz="4" w:space="0" w:color="auto"/>
              <w:right w:val="single" w:sz="4" w:space="0" w:color="auto"/>
            </w:tcBorders>
            <w:shd w:val="clear" w:color="auto" w:fill="FFFFFF" w:themeFill="background1"/>
          </w:tcPr>
          <w:p w:rsidR="00AC40FC" w:rsidRPr="0028346E" w:rsidRDefault="00AC40FC" w:rsidP="00A57D87">
            <w:pPr>
              <w:spacing w:after="0"/>
              <w:jc w:val="right"/>
              <w:rPr>
                <w:rFonts w:cs="Arial"/>
                <w:szCs w:val="24"/>
              </w:rPr>
            </w:pPr>
            <w:r>
              <w:rPr>
                <w:rFonts w:cs="Arial"/>
                <w:szCs w:val="24"/>
              </w:rPr>
              <w:t>32.7%</w:t>
            </w:r>
          </w:p>
        </w:tc>
      </w:tr>
      <w:tr w:rsidR="00AC40FC" w:rsidRPr="0028346E" w:rsidTr="00A57D87">
        <w:trPr>
          <w:gridAfter w:val="1"/>
          <w:wAfter w:w="8" w:type="dxa"/>
          <w:trHeight w:val="98"/>
          <w:jc w:val="center"/>
        </w:trPr>
        <w:tc>
          <w:tcPr>
            <w:tcW w:w="2621" w:type="dxa"/>
            <w:tcBorders>
              <w:top w:val="nil"/>
              <w:left w:val="single" w:sz="4" w:space="0" w:color="auto"/>
              <w:bottom w:val="single" w:sz="4" w:space="0" w:color="auto"/>
              <w:right w:val="single" w:sz="4" w:space="0" w:color="auto"/>
            </w:tcBorders>
            <w:shd w:val="clear" w:color="auto" w:fill="FFFFFF" w:themeFill="background1"/>
            <w:vAlign w:val="center"/>
            <w:hideMark/>
          </w:tcPr>
          <w:p w:rsidR="00AC40FC" w:rsidRPr="0028346E" w:rsidRDefault="00AC40FC" w:rsidP="00A57D87">
            <w:pPr>
              <w:spacing w:after="0"/>
              <w:rPr>
                <w:rFonts w:cs="Arial"/>
                <w:szCs w:val="24"/>
              </w:rPr>
            </w:pPr>
            <w:r w:rsidRPr="0028346E">
              <w:rPr>
                <w:rFonts w:cs="Arial"/>
                <w:szCs w:val="24"/>
              </w:rPr>
              <w:t>Percent Male</w:t>
            </w:r>
          </w:p>
        </w:tc>
        <w:tc>
          <w:tcPr>
            <w:tcW w:w="1051" w:type="dxa"/>
            <w:tcBorders>
              <w:top w:val="nil"/>
              <w:left w:val="nil"/>
              <w:bottom w:val="single" w:sz="4" w:space="0" w:color="auto"/>
              <w:right w:val="single" w:sz="4" w:space="0" w:color="auto"/>
            </w:tcBorders>
            <w:shd w:val="clear" w:color="auto" w:fill="FFFFFF" w:themeFill="background1"/>
            <w:vAlign w:val="center"/>
            <w:hideMark/>
          </w:tcPr>
          <w:p w:rsidR="00AC40FC" w:rsidRPr="0028346E" w:rsidRDefault="00AC40FC" w:rsidP="00A57D87">
            <w:pPr>
              <w:spacing w:after="0"/>
              <w:jc w:val="right"/>
              <w:rPr>
                <w:rFonts w:cs="Arial"/>
                <w:szCs w:val="24"/>
              </w:rPr>
            </w:pPr>
            <w:r w:rsidRPr="0028346E">
              <w:rPr>
                <w:rFonts w:cs="Arial"/>
                <w:szCs w:val="24"/>
              </w:rPr>
              <w:t>80.1%</w:t>
            </w:r>
          </w:p>
        </w:tc>
        <w:tc>
          <w:tcPr>
            <w:tcW w:w="1109" w:type="dxa"/>
            <w:tcBorders>
              <w:top w:val="nil"/>
              <w:left w:val="nil"/>
              <w:bottom w:val="single" w:sz="4" w:space="0" w:color="auto"/>
              <w:right w:val="single" w:sz="4" w:space="0" w:color="auto"/>
            </w:tcBorders>
            <w:shd w:val="clear" w:color="auto" w:fill="FFFFFF" w:themeFill="background1"/>
            <w:vAlign w:val="center"/>
            <w:hideMark/>
          </w:tcPr>
          <w:p w:rsidR="00AC40FC" w:rsidRPr="0028346E" w:rsidRDefault="00AC40FC" w:rsidP="00A57D87">
            <w:pPr>
              <w:spacing w:after="0"/>
              <w:jc w:val="right"/>
              <w:rPr>
                <w:rFonts w:cs="Arial"/>
                <w:szCs w:val="24"/>
              </w:rPr>
            </w:pPr>
            <w:r w:rsidRPr="0028346E">
              <w:rPr>
                <w:rFonts w:cs="Arial"/>
                <w:szCs w:val="24"/>
              </w:rPr>
              <w:t>82.8%</w:t>
            </w:r>
          </w:p>
        </w:tc>
        <w:tc>
          <w:tcPr>
            <w:tcW w:w="1109" w:type="dxa"/>
            <w:tcBorders>
              <w:top w:val="nil"/>
              <w:left w:val="nil"/>
              <w:bottom w:val="single" w:sz="4" w:space="0" w:color="auto"/>
              <w:right w:val="single" w:sz="4" w:space="0" w:color="auto"/>
            </w:tcBorders>
            <w:shd w:val="clear" w:color="auto" w:fill="FFFFFF" w:themeFill="background1"/>
            <w:vAlign w:val="center"/>
            <w:hideMark/>
          </w:tcPr>
          <w:p w:rsidR="00AC40FC" w:rsidRPr="0028346E" w:rsidRDefault="00AC40FC" w:rsidP="00A57D87">
            <w:pPr>
              <w:spacing w:after="0"/>
              <w:jc w:val="right"/>
              <w:rPr>
                <w:rFonts w:cs="Arial"/>
                <w:szCs w:val="24"/>
              </w:rPr>
            </w:pPr>
            <w:r w:rsidRPr="0028346E">
              <w:rPr>
                <w:rFonts w:cs="Arial"/>
                <w:szCs w:val="24"/>
              </w:rPr>
              <w:t>75.9%</w:t>
            </w:r>
          </w:p>
        </w:tc>
        <w:tc>
          <w:tcPr>
            <w:tcW w:w="1109" w:type="dxa"/>
            <w:tcBorders>
              <w:top w:val="nil"/>
              <w:left w:val="nil"/>
              <w:bottom w:val="single" w:sz="4" w:space="0" w:color="auto"/>
              <w:right w:val="single" w:sz="4" w:space="0" w:color="auto"/>
            </w:tcBorders>
            <w:shd w:val="clear" w:color="auto" w:fill="FFFFFF" w:themeFill="background1"/>
            <w:vAlign w:val="center"/>
            <w:hideMark/>
          </w:tcPr>
          <w:p w:rsidR="00AC40FC" w:rsidRPr="0028346E" w:rsidRDefault="00AC40FC" w:rsidP="00A57D87">
            <w:pPr>
              <w:spacing w:after="0"/>
              <w:jc w:val="right"/>
              <w:rPr>
                <w:rFonts w:cs="Arial"/>
                <w:szCs w:val="24"/>
              </w:rPr>
            </w:pPr>
            <w:r w:rsidRPr="0028346E">
              <w:rPr>
                <w:rFonts w:cs="Arial"/>
                <w:szCs w:val="24"/>
              </w:rPr>
              <w:t>76.4%</w:t>
            </w:r>
          </w:p>
        </w:tc>
        <w:tc>
          <w:tcPr>
            <w:tcW w:w="1138" w:type="dxa"/>
            <w:tcBorders>
              <w:top w:val="nil"/>
              <w:left w:val="nil"/>
              <w:bottom w:val="single" w:sz="4" w:space="0" w:color="auto"/>
              <w:right w:val="single" w:sz="4" w:space="0" w:color="auto"/>
            </w:tcBorders>
            <w:shd w:val="clear" w:color="auto" w:fill="FFFFFF" w:themeFill="background1"/>
          </w:tcPr>
          <w:p w:rsidR="00AC40FC" w:rsidRPr="0028346E" w:rsidRDefault="00AC40FC" w:rsidP="00A57D87">
            <w:pPr>
              <w:spacing w:after="0"/>
              <w:jc w:val="right"/>
              <w:rPr>
                <w:rFonts w:cs="Arial"/>
                <w:szCs w:val="24"/>
              </w:rPr>
            </w:pPr>
            <w:r>
              <w:rPr>
                <w:rFonts w:cs="Arial"/>
                <w:szCs w:val="24"/>
              </w:rPr>
              <w:t>67.3%</w:t>
            </w:r>
          </w:p>
        </w:tc>
      </w:tr>
      <w:tr w:rsidR="00AC40FC" w:rsidRPr="0028346E" w:rsidTr="00A57D87">
        <w:trPr>
          <w:trHeight w:val="170"/>
          <w:jc w:val="center"/>
        </w:trPr>
        <w:tc>
          <w:tcPr>
            <w:tcW w:w="8145" w:type="dxa"/>
            <w:gridSpan w:val="7"/>
            <w:tcBorders>
              <w:top w:val="nil"/>
              <w:left w:val="single" w:sz="4" w:space="0" w:color="auto"/>
              <w:bottom w:val="single" w:sz="4" w:space="0" w:color="auto"/>
              <w:right w:val="single" w:sz="4" w:space="0" w:color="auto"/>
            </w:tcBorders>
            <w:shd w:val="clear" w:color="auto" w:fill="auto"/>
            <w:vAlign w:val="center"/>
            <w:hideMark/>
          </w:tcPr>
          <w:p w:rsidR="00AC40FC" w:rsidRPr="0028346E" w:rsidRDefault="00AC40FC" w:rsidP="00A57D87">
            <w:pPr>
              <w:spacing w:after="0"/>
              <w:rPr>
                <w:rFonts w:cs="Arial"/>
                <w:szCs w:val="24"/>
              </w:rPr>
            </w:pPr>
            <w:r w:rsidRPr="0028346E">
              <w:rPr>
                <w:rFonts w:cs="Arial"/>
                <w:szCs w:val="24"/>
              </w:rPr>
              <w:t>S</w:t>
            </w:r>
            <w:r>
              <w:rPr>
                <w:rFonts w:cs="Arial"/>
                <w:szCs w:val="24"/>
              </w:rPr>
              <w:t>ource</w:t>
            </w:r>
            <w:r w:rsidRPr="0028346E">
              <w:rPr>
                <w:rFonts w:cs="Arial"/>
                <w:szCs w:val="24"/>
              </w:rPr>
              <w:t>: DN 17-133</w:t>
            </w:r>
          </w:p>
        </w:tc>
      </w:tr>
    </w:tbl>
    <w:p w:rsidR="00AC40FC" w:rsidRDefault="00AC40FC" w:rsidP="00A57D87"/>
    <w:p w:rsidR="00AC40FC" w:rsidRDefault="00AC40FC" w:rsidP="002B3172">
      <w:pPr>
        <w:pStyle w:val="Caption"/>
      </w:pPr>
      <w:bookmarkStart w:id="312" w:name="_Toc462648480"/>
      <w:bookmarkStart w:id="313" w:name="_Toc464553102"/>
      <w:r>
        <w:t xml:space="preserve">Exhibit </w:t>
      </w:r>
      <w:fldSimple w:instr=" STYLEREF 1 \s ">
        <w:r w:rsidR="00A24205">
          <w:rPr>
            <w:noProof/>
          </w:rPr>
          <w:t>XIV</w:t>
        </w:r>
      </w:fldSimple>
      <w:r w:rsidR="00264A1B">
        <w:noBreakHyphen/>
      </w:r>
      <w:fldSimple w:instr=" SEQ Exhibit \* ARABIC \s 1 ">
        <w:r w:rsidR="00A24205">
          <w:rPr>
            <w:noProof/>
          </w:rPr>
          <w:t>15</w:t>
        </w:r>
      </w:fldSimple>
      <w:r>
        <w:br/>
      </w:r>
      <w:r w:rsidRPr="0028346E">
        <w:t>Involuntary Termination R</w:t>
      </w:r>
      <w:r w:rsidR="00B7713A">
        <w:t>ates for Minorities and Females</w:t>
      </w:r>
      <w:r>
        <w:br/>
      </w:r>
      <w:r w:rsidRPr="0028346E">
        <w:t>2011</w:t>
      </w:r>
      <w:r>
        <w:t>–</w:t>
      </w:r>
      <w:r w:rsidRPr="0028346E">
        <w:t>201</w:t>
      </w:r>
      <w:r>
        <w:t>5</w:t>
      </w:r>
      <w:bookmarkEnd w:id="312"/>
      <w:bookmarkEnd w:id="313"/>
    </w:p>
    <w:tbl>
      <w:tblPr>
        <w:tblW w:w="8133" w:type="dxa"/>
        <w:jc w:val="center"/>
        <w:tblCellMar>
          <w:top w:w="14" w:type="dxa"/>
          <w:left w:w="115" w:type="dxa"/>
          <w:bottom w:w="14" w:type="dxa"/>
          <w:right w:w="115" w:type="dxa"/>
        </w:tblCellMar>
        <w:tblLook w:val="04A0"/>
      </w:tblPr>
      <w:tblGrid>
        <w:gridCol w:w="2624"/>
        <w:gridCol w:w="1044"/>
        <w:gridCol w:w="1110"/>
        <w:gridCol w:w="1111"/>
        <w:gridCol w:w="1111"/>
        <w:gridCol w:w="1133"/>
      </w:tblGrid>
      <w:tr w:rsidR="00AC40FC" w:rsidRPr="00D6083E" w:rsidTr="00582143">
        <w:trPr>
          <w:cantSplit/>
          <w:trHeight w:val="197"/>
          <w:tblHeader/>
          <w:jc w:val="center"/>
        </w:trPr>
        <w:tc>
          <w:tcPr>
            <w:tcW w:w="2627" w:type="dxa"/>
            <w:tcBorders>
              <w:top w:val="single" w:sz="4" w:space="0" w:color="auto"/>
              <w:left w:val="single" w:sz="4" w:space="0" w:color="auto"/>
              <w:bottom w:val="single" w:sz="4" w:space="0" w:color="auto"/>
              <w:right w:val="single" w:sz="4" w:space="0" w:color="auto"/>
            </w:tcBorders>
            <w:shd w:val="clear" w:color="auto" w:fill="A5CD7E"/>
            <w:vAlign w:val="center"/>
            <w:hideMark/>
          </w:tcPr>
          <w:p w:rsidR="00AC40FC" w:rsidRPr="00D6083E" w:rsidRDefault="00AC40FC" w:rsidP="00D6083E">
            <w:pPr>
              <w:spacing w:before="120"/>
              <w:jc w:val="center"/>
              <w:rPr>
                <w:b/>
              </w:rPr>
            </w:pPr>
            <w:r w:rsidRPr="00D6083E">
              <w:rPr>
                <w:b/>
              </w:rPr>
              <w:t xml:space="preserve">Category </w:t>
            </w:r>
          </w:p>
        </w:tc>
        <w:tc>
          <w:tcPr>
            <w:tcW w:w="1040" w:type="dxa"/>
            <w:tcBorders>
              <w:top w:val="single" w:sz="4" w:space="0" w:color="auto"/>
              <w:left w:val="nil"/>
              <w:bottom w:val="single" w:sz="4" w:space="0" w:color="auto"/>
              <w:right w:val="single" w:sz="4" w:space="0" w:color="auto"/>
            </w:tcBorders>
            <w:shd w:val="clear" w:color="auto" w:fill="A5CD7E"/>
            <w:vAlign w:val="center"/>
            <w:hideMark/>
          </w:tcPr>
          <w:p w:rsidR="00AC40FC" w:rsidRPr="00D6083E" w:rsidRDefault="00AC40FC" w:rsidP="00D6083E">
            <w:pPr>
              <w:spacing w:before="120"/>
              <w:jc w:val="center"/>
              <w:rPr>
                <w:b/>
              </w:rPr>
            </w:pPr>
            <w:r w:rsidRPr="00D6083E">
              <w:rPr>
                <w:b/>
              </w:rPr>
              <w:t>2011</w:t>
            </w:r>
          </w:p>
        </w:tc>
        <w:tc>
          <w:tcPr>
            <w:tcW w:w="1111" w:type="dxa"/>
            <w:tcBorders>
              <w:top w:val="single" w:sz="4" w:space="0" w:color="auto"/>
              <w:left w:val="nil"/>
              <w:bottom w:val="single" w:sz="4" w:space="0" w:color="auto"/>
              <w:right w:val="single" w:sz="4" w:space="0" w:color="auto"/>
            </w:tcBorders>
            <w:shd w:val="clear" w:color="auto" w:fill="A5CD7E"/>
            <w:vAlign w:val="center"/>
            <w:hideMark/>
          </w:tcPr>
          <w:p w:rsidR="00AC40FC" w:rsidRPr="00D6083E" w:rsidRDefault="00AC40FC" w:rsidP="00D6083E">
            <w:pPr>
              <w:spacing w:before="120"/>
              <w:jc w:val="center"/>
              <w:rPr>
                <w:b/>
              </w:rPr>
            </w:pPr>
            <w:r w:rsidRPr="00D6083E">
              <w:rPr>
                <w:b/>
              </w:rPr>
              <w:t>2012</w:t>
            </w:r>
          </w:p>
        </w:tc>
        <w:tc>
          <w:tcPr>
            <w:tcW w:w="1111" w:type="dxa"/>
            <w:tcBorders>
              <w:top w:val="single" w:sz="4" w:space="0" w:color="auto"/>
              <w:left w:val="nil"/>
              <w:bottom w:val="single" w:sz="4" w:space="0" w:color="auto"/>
              <w:right w:val="single" w:sz="4" w:space="0" w:color="auto"/>
            </w:tcBorders>
            <w:shd w:val="clear" w:color="auto" w:fill="A5CD7E"/>
            <w:vAlign w:val="center"/>
            <w:hideMark/>
          </w:tcPr>
          <w:p w:rsidR="00AC40FC" w:rsidRPr="00D6083E" w:rsidRDefault="00AC40FC" w:rsidP="00D6083E">
            <w:pPr>
              <w:spacing w:before="120"/>
              <w:jc w:val="center"/>
              <w:rPr>
                <w:b/>
              </w:rPr>
            </w:pPr>
            <w:r w:rsidRPr="00D6083E">
              <w:rPr>
                <w:b/>
              </w:rPr>
              <w:t>2013</w:t>
            </w:r>
          </w:p>
        </w:tc>
        <w:tc>
          <w:tcPr>
            <w:tcW w:w="1111" w:type="dxa"/>
            <w:tcBorders>
              <w:top w:val="single" w:sz="4" w:space="0" w:color="auto"/>
              <w:left w:val="nil"/>
              <w:bottom w:val="single" w:sz="4" w:space="0" w:color="auto"/>
              <w:right w:val="single" w:sz="4" w:space="0" w:color="auto"/>
            </w:tcBorders>
            <w:shd w:val="clear" w:color="auto" w:fill="A5CD7E"/>
            <w:vAlign w:val="center"/>
            <w:hideMark/>
          </w:tcPr>
          <w:p w:rsidR="00AC40FC" w:rsidRPr="00D6083E" w:rsidRDefault="00AC40FC" w:rsidP="00D6083E">
            <w:pPr>
              <w:spacing w:before="120"/>
              <w:jc w:val="center"/>
              <w:rPr>
                <w:b/>
              </w:rPr>
            </w:pPr>
            <w:r w:rsidRPr="00D6083E">
              <w:rPr>
                <w:b/>
              </w:rPr>
              <w:t>2014</w:t>
            </w:r>
          </w:p>
        </w:tc>
        <w:tc>
          <w:tcPr>
            <w:tcW w:w="1133" w:type="dxa"/>
            <w:tcBorders>
              <w:top w:val="single" w:sz="4" w:space="0" w:color="auto"/>
              <w:left w:val="nil"/>
              <w:bottom w:val="single" w:sz="4" w:space="0" w:color="auto"/>
              <w:right w:val="single" w:sz="4" w:space="0" w:color="auto"/>
            </w:tcBorders>
            <w:shd w:val="clear" w:color="auto" w:fill="A5CD7E"/>
            <w:vAlign w:val="center"/>
          </w:tcPr>
          <w:p w:rsidR="00AC40FC" w:rsidRPr="00D6083E" w:rsidRDefault="00AC40FC" w:rsidP="00D6083E">
            <w:pPr>
              <w:spacing w:before="120"/>
              <w:jc w:val="center"/>
              <w:rPr>
                <w:b/>
              </w:rPr>
            </w:pPr>
            <w:r w:rsidRPr="00D6083E">
              <w:rPr>
                <w:b/>
              </w:rPr>
              <w:t>2015</w:t>
            </w:r>
          </w:p>
        </w:tc>
      </w:tr>
      <w:tr w:rsidR="00AC40FC" w:rsidRPr="0028346E" w:rsidTr="00A57D87">
        <w:trPr>
          <w:trHeight w:val="98"/>
          <w:jc w:val="center"/>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AC40FC" w:rsidRPr="0028346E" w:rsidRDefault="00AC40FC" w:rsidP="00A57D87">
            <w:pPr>
              <w:spacing w:after="0"/>
              <w:rPr>
                <w:rFonts w:cs="Arial"/>
                <w:szCs w:val="24"/>
              </w:rPr>
            </w:pPr>
            <w:r w:rsidRPr="0028346E">
              <w:rPr>
                <w:rFonts w:cs="Arial"/>
                <w:szCs w:val="24"/>
              </w:rPr>
              <w:t>Percent Minority</w:t>
            </w:r>
          </w:p>
        </w:tc>
        <w:tc>
          <w:tcPr>
            <w:tcW w:w="1040" w:type="dxa"/>
            <w:tcBorders>
              <w:top w:val="nil"/>
              <w:left w:val="nil"/>
              <w:bottom w:val="single" w:sz="4" w:space="0" w:color="auto"/>
              <w:right w:val="single" w:sz="4" w:space="0" w:color="auto"/>
            </w:tcBorders>
            <w:shd w:val="clear" w:color="auto" w:fill="auto"/>
            <w:vAlign w:val="center"/>
            <w:hideMark/>
          </w:tcPr>
          <w:p w:rsidR="00AC40FC" w:rsidRPr="0028346E" w:rsidRDefault="00AC40FC" w:rsidP="00A57D87">
            <w:pPr>
              <w:spacing w:after="0"/>
              <w:jc w:val="right"/>
              <w:rPr>
                <w:rFonts w:cs="Arial"/>
                <w:szCs w:val="24"/>
              </w:rPr>
            </w:pPr>
            <w:r w:rsidRPr="0028346E">
              <w:rPr>
                <w:rFonts w:cs="Arial"/>
                <w:szCs w:val="24"/>
              </w:rPr>
              <w:t>0.0%</w:t>
            </w:r>
          </w:p>
        </w:tc>
        <w:tc>
          <w:tcPr>
            <w:tcW w:w="1111" w:type="dxa"/>
            <w:tcBorders>
              <w:top w:val="nil"/>
              <w:left w:val="nil"/>
              <w:bottom w:val="single" w:sz="4" w:space="0" w:color="auto"/>
              <w:right w:val="single" w:sz="4" w:space="0" w:color="auto"/>
            </w:tcBorders>
            <w:shd w:val="clear" w:color="auto" w:fill="auto"/>
            <w:vAlign w:val="center"/>
            <w:hideMark/>
          </w:tcPr>
          <w:p w:rsidR="00AC40FC" w:rsidRPr="0028346E" w:rsidRDefault="00AC40FC" w:rsidP="00A57D87">
            <w:pPr>
              <w:spacing w:after="0"/>
              <w:jc w:val="right"/>
              <w:rPr>
                <w:rFonts w:cs="Arial"/>
                <w:szCs w:val="24"/>
              </w:rPr>
            </w:pPr>
            <w:r w:rsidRPr="0028346E">
              <w:rPr>
                <w:rFonts w:cs="Arial"/>
                <w:szCs w:val="24"/>
              </w:rPr>
              <w:t>3.2%</w:t>
            </w:r>
          </w:p>
        </w:tc>
        <w:tc>
          <w:tcPr>
            <w:tcW w:w="1111" w:type="dxa"/>
            <w:tcBorders>
              <w:top w:val="nil"/>
              <w:left w:val="nil"/>
              <w:bottom w:val="single" w:sz="4" w:space="0" w:color="auto"/>
              <w:right w:val="single" w:sz="4" w:space="0" w:color="auto"/>
            </w:tcBorders>
            <w:shd w:val="clear" w:color="auto" w:fill="auto"/>
            <w:vAlign w:val="center"/>
            <w:hideMark/>
          </w:tcPr>
          <w:p w:rsidR="00AC40FC" w:rsidRPr="0028346E" w:rsidRDefault="00AC40FC" w:rsidP="00A57D87">
            <w:pPr>
              <w:spacing w:after="0"/>
              <w:jc w:val="right"/>
              <w:rPr>
                <w:rFonts w:cs="Arial"/>
                <w:szCs w:val="24"/>
              </w:rPr>
            </w:pPr>
            <w:r w:rsidRPr="0028346E">
              <w:rPr>
                <w:rFonts w:cs="Arial"/>
                <w:szCs w:val="24"/>
              </w:rPr>
              <w:t>18.2%</w:t>
            </w:r>
          </w:p>
        </w:tc>
        <w:tc>
          <w:tcPr>
            <w:tcW w:w="1111" w:type="dxa"/>
            <w:tcBorders>
              <w:top w:val="nil"/>
              <w:left w:val="nil"/>
              <w:bottom w:val="single" w:sz="4" w:space="0" w:color="auto"/>
              <w:right w:val="single" w:sz="4" w:space="0" w:color="auto"/>
            </w:tcBorders>
            <w:shd w:val="clear" w:color="auto" w:fill="auto"/>
            <w:vAlign w:val="center"/>
            <w:hideMark/>
          </w:tcPr>
          <w:p w:rsidR="00AC40FC" w:rsidRPr="0028346E" w:rsidRDefault="00AC40FC" w:rsidP="00A57D87">
            <w:pPr>
              <w:spacing w:after="0"/>
              <w:jc w:val="right"/>
              <w:rPr>
                <w:rFonts w:cs="Arial"/>
                <w:szCs w:val="24"/>
              </w:rPr>
            </w:pPr>
            <w:r w:rsidRPr="0028346E">
              <w:rPr>
                <w:rFonts w:cs="Arial"/>
                <w:szCs w:val="24"/>
              </w:rPr>
              <w:t>11.3%</w:t>
            </w:r>
          </w:p>
        </w:tc>
        <w:tc>
          <w:tcPr>
            <w:tcW w:w="1133" w:type="dxa"/>
            <w:tcBorders>
              <w:top w:val="nil"/>
              <w:left w:val="nil"/>
              <w:bottom w:val="single" w:sz="4" w:space="0" w:color="auto"/>
              <w:right w:val="single" w:sz="4" w:space="0" w:color="auto"/>
            </w:tcBorders>
          </w:tcPr>
          <w:p w:rsidR="00AC40FC" w:rsidRPr="0028346E" w:rsidRDefault="00AC40FC" w:rsidP="00A57D87">
            <w:pPr>
              <w:spacing w:after="0"/>
              <w:jc w:val="right"/>
              <w:rPr>
                <w:rFonts w:cs="Arial"/>
                <w:szCs w:val="24"/>
              </w:rPr>
            </w:pPr>
            <w:r>
              <w:rPr>
                <w:rFonts w:cs="Arial"/>
                <w:szCs w:val="24"/>
              </w:rPr>
              <w:t>9.7%</w:t>
            </w:r>
          </w:p>
        </w:tc>
      </w:tr>
      <w:tr w:rsidR="00AC40FC" w:rsidRPr="0028346E" w:rsidTr="00A57D87">
        <w:trPr>
          <w:trHeight w:val="170"/>
          <w:jc w:val="center"/>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AC40FC" w:rsidRPr="0028346E" w:rsidRDefault="00AC40FC" w:rsidP="00A57D87">
            <w:pPr>
              <w:spacing w:after="0"/>
              <w:rPr>
                <w:rFonts w:cs="Arial"/>
                <w:szCs w:val="24"/>
              </w:rPr>
            </w:pPr>
            <w:r w:rsidRPr="0028346E">
              <w:rPr>
                <w:rFonts w:cs="Arial"/>
                <w:szCs w:val="24"/>
              </w:rPr>
              <w:t>Percent Non-Minority</w:t>
            </w:r>
          </w:p>
        </w:tc>
        <w:tc>
          <w:tcPr>
            <w:tcW w:w="1040" w:type="dxa"/>
            <w:tcBorders>
              <w:top w:val="nil"/>
              <w:left w:val="nil"/>
              <w:bottom w:val="single" w:sz="4" w:space="0" w:color="auto"/>
              <w:right w:val="single" w:sz="4" w:space="0" w:color="auto"/>
            </w:tcBorders>
            <w:shd w:val="clear" w:color="auto" w:fill="auto"/>
            <w:vAlign w:val="center"/>
            <w:hideMark/>
          </w:tcPr>
          <w:p w:rsidR="00AC40FC" w:rsidRPr="0028346E" w:rsidRDefault="00AC40FC" w:rsidP="00A57D87">
            <w:pPr>
              <w:spacing w:after="0"/>
              <w:jc w:val="right"/>
              <w:rPr>
                <w:rFonts w:cs="Arial"/>
                <w:szCs w:val="24"/>
              </w:rPr>
            </w:pPr>
            <w:r w:rsidRPr="0028346E">
              <w:rPr>
                <w:rFonts w:cs="Arial"/>
                <w:szCs w:val="24"/>
              </w:rPr>
              <w:t>100.0%</w:t>
            </w:r>
          </w:p>
        </w:tc>
        <w:tc>
          <w:tcPr>
            <w:tcW w:w="1111" w:type="dxa"/>
            <w:tcBorders>
              <w:top w:val="nil"/>
              <w:left w:val="nil"/>
              <w:bottom w:val="single" w:sz="4" w:space="0" w:color="auto"/>
              <w:right w:val="single" w:sz="4" w:space="0" w:color="auto"/>
            </w:tcBorders>
            <w:shd w:val="clear" w:color="auto" w:fill="auto"/>
            <w:vAlign w:val="center"/>
            <w:hideMark/>
          </w:tcPr>
          <w:p w:rsidR="00AC40FC" w:rsidRPr="0028346E" w:rsidRDefault="00AC40FC" w:rsidP="00A57D87">
            <w:pPr>
              <w:spacing w:after="0"/>
              <w:jc w:val="right"/>
              <w:rPr>
                <w:rFonts w:cs="Arial"/>
                <w:szCs w:val="24"/>
              </w:rPr>
            </w:pPr>
            <w:r w:rsidRPr="0028346E">
              <w:rPr>
                <w:rFonts w:cs="Arial"/>
                <w:szCs w:val="24"/>
              </w:rPr>
              <w:t>96.8%</w:t>
            </w:r>
          </w:p>
        </w:tc>
        <w:tc>
          <w:tcPr>
            <w:tcW w:w="1111" w:type="dxa"/>
            <w:tcBorders>
              <w:top w:val="nil"/>
              <w:left w:val="nil"/>
              <w:bottom w:val="single" w:sz="4" w:space="0" w:color="auto"/>
              <w:right w:val="single" w:sz="4" w:space="0" w:color="auto"/>
            </w:tcBorders>
            <w:shd w:val="clear" w:color="auto" w:fill="auto"/>
            <w:vAlign w:val="center"/>
            <w:hideMark/>
          </w:tcPr>
          <w:p w:rsidR="00AC40FC" w:rsidRPr="0028346E" w:rsidRDefault="00AC40FC" w:rsidP="00A57D87">
            <w:pPr>
              <w:spacing w:after="0"/>
              <w:jc w:val="right"/>
              <w:rPr>
                <w:rFonts w:cs="Arial"/>
                <w:szCs w:val="24"/>
              </w:rPr>
            </w:pPr>
            <w:r w:rsidRPr="0028346E">
              <w:rPr>
                <w:rFonts w:cs="Arial"/>
                <w:szCs w:val="24"/>
              </w:rPr>
              <w:t>81.8%</w:t>
            </w:r>
          </w:p>
        </w:tc>
        <w:tc>
          <w:tcPr>
            <w:tcW w:w="1111" w:type="dxa"/>
            <w:tcBorders>
              <w:top w:val="nil"/>
              <w:left w:val="nil"/>
              <w:bottom w:val="single" w:sz="4" w:space="0" w:color="auto"/>
              <w:right w:val="single" w:sz="4" w:space="0" w:color="auto"/>
            </w:tcBorders>
            <w:shd w:val="clear" w:color="auto" w:fill="auto"/>
            <w:vAlign w:val="center"/>
            <w:hideMark/>
          </w:tcPr>
          <w:p w:rsidR="00AC40FC" w:rsidRPr="0028346E" w:rsidRDefault="00AC40FC" w:rsidP="00A57D87">
            <w:pPr>
              <w:spacing w:after="0"/>
              <w:jc w:val="right"/>
              <w:rPr>
                <w:rFonts w:cs="Arial"/>
                <w:szCs w:val="24"/>
              </w:rPr>
            </w:pPr>
            <w:r w:rsidRPr="0028346E">
              <w:rPr>
                <w:rFonts w:cs="Arial"/>
                <w:szCs w:val="24"/>
              </w:rPr>
              <w:t>88.7%</w:t>
            </w:r>
          </w:p>
        </w:tc>
        <w:tc>
          <w:tcPr>
            <w:tcW w:w="1133" w:type="dxa"/>
            <w:tcBorders>
              <w:top w:val="nil"/>
              <w:left w:val="nil"/>
              <w:bottom w:val="single" w:sz="4" w:space="0" w:color="auto"/>
              <w:right w:val="single" w:sz="4" w:space="0" w:color="auto"/>
            </w:tcBorders>
          </w:tcPr>
          <w:p w:rsidR="00AC40FC" w:rsidRPr="0028346E" w:rsidRDefault="00AC40FC" w:rsidP="00A57D87">
            <w:pPr>
              <w:spacing w:after="0"/>
              <w:jc w:val="right"/>
              <w:rPr>
                <w:rFonts w:cs="Arial"/>
                <w:szCs w:val="24"/>
              </w:rPr>
            </w:pPr>
            <w:r>
              <w:rPr>
                <w:rFonts w:cs="Arial"/>
                <w:szCs w:val="24"/>
              </w:rPr>
              <w:t>90.3%</w:t>
            </w:r>
          </w:p>
        </w:tc>
      </w:tr>
      <w:tr w:rsidR="00AC40FC" w:rsidRPr="0028346E" w:rsidTr="00A57D87">
        <w:trPr>
          <w:trHeight w:val="152"/>
          <w:jc w:val="center"/>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AC40FC" w:rsidRPr="0028346E" w:rsidRDefault="00AC40FC" w:rsidP="00A57D87">
            <w:pPr>
              <w:spacing w:after="0"/>
              <w:rPr>
                <w:rFonts w:cs="Arial"/>
                <w:szCs w:val="24"/>
              </w:rPr>
            </w:pPr>
            <w:r w:rsidRPr="0028346E">
              <w:rPr>
                <w:rFonts w:cs="Arial"/>
                <w:szCs w:val="24"/>
              </w:rPr>
              <w:t>Percent Female</w:t>
            </w:r>
          </w:p>
        </w:tc>
        <w:tc>
          <w:tcPr>
            <w:tcW w:w="1040" w:type="dxa"/>
            <w:tcBorders>
              <w:top w:val="nil"/>
              <w:left w:val="nil"/>
              <w:bottom w:val="single" w:sz="4" w:space="0" w:color="auto"/>
              <w:right w:val="single" w:sz="4" w:space="0" w:color="auto"/>
            </w:tcBorders>
            <w:shd w:val="clear" w:color="auto" w:fill="auto"/>
            <w:vAlign w:val="center"/>
            <w:hideMark/>
          </w:tcPr>
          <w:p w:rsidR="00AC40FC" w:rsidRPr="0028346E" w:rsidRDefault="00AC40FC" w:rsidP="00A57D87">
            <w:pPr>
              <w:spacing w:after="0"/>
              <w:jc w:val="right"/>
              <w:rPr>
                <w:rFonts w:cs="Arial"/>
                <w:szCs w:val="24"/>
              </w:rPr>
            </w:pPr>
            <w:r w:rsidRPr="0028346E">
              <w:rPr>
                <w:rFonts w:cs="Arial"/>
                <w:szCs w:val="24"/>
              </w:rPr>
              <w:t>22.2%</w:t>
            </w:r>
          </w:p>
        </w:tc>
        <w:tc>
          <w:tcPr>
            <w:tcW w:w="1111" w:type="dxa"/>
            <w:tcBorders>
              <w:top w:val="nil"/>
              <w:left w:val="nil"/>
              <w:bottom w:val="single" w:sz="4" w:space="0" w:color="auto"/>
              <w:right w:val="single" w:sz="4" w:space="0" w:color="auto"/>
            </w:tcBorders>
            <w:shd w:val="clear" w:color="auto" w:fill="auto"/>
            <w:vAlign w:val="center"/>
            <w:hideMark/>
          </w:tcPr>
          <w:p w:rsidR="00AC40FC" w:rsidRPr="0028346E" w:rsidRDefault="00AC40FC" w:rsidP="00A57D87">
            <w:pPr>
              <w:spacing w:after="0"/>
              <w:jc w:val="right"/>
              <w:rPr>
                <w:rFonts w:cs="Arial"/>
                <w:szCs w:val="24"/>
              </w:rPr>
            </w:pPr>
            <w:r w:rsidRPr="0028346E">
              <w:rPr>
                <w:rFonts w:cs="Arial"/>
                <w:szCs w:val="24"/>
              </w:rPr>
              <w:t>29.0%</w:t>
            </w:r>
          </w:p>
        </w:tc>
        <w:tc>
          <w:tcPr>
            <w:tcW w:w="1111" w:type="dxa"/>
            <w:tcBorders>
              <w:top w:val="nil"/>
              <w:left w:val="nil"/>
              <w:bottom w:val="single" w:sz="4" w:space="0" w:color="auto"/>
              <w:right w:val="single" w:sz="4" w:space="0" w:color="auto"/>
            </w:tcBorders>
            <w:shd w:val="clear" w:color="auto" w:fill="auto"/>
            <w:vAlign w:val="center"/>
            <w:hideMark/>
          </w:tcPr>
          <w:p w:rsidR="00AC40FC" w:rsidRPr="0028346E" w:rsidRDefault="00AC40FC" w:rsidP="00A57D87">
            <w:pPr>
              <w:spacing w:after="0"/>
              <w:jc w:val="right"/>
              <w:rPr>
                <w:rFonts w:cs="Arial"/>
                <w:szCs w:val="24"/>
              </w:rPr>
            </w:pPr>
            <w:r w:rsidRPr="0028346E">
              <w:rPr>
                <w:rFonts w:cs="Arial"/>
                <w:szCs w:val="24"/>
              </w:rPr>
              <w:t>33.3%</w:t>
            </w:r>
          </w:p>
        </w:tc>
        <w:tc>
          <w:tcPr>
            <w:tcW w:w="1111" w:type="dxa"/>
            <w:tcBorders>
              <w:top w:val="nil"/>
              <w:left w:val="nil"/>
              <w:bottom w:val="single" w:sz="4" w:space="0" w:color="auto"/>
              <w:right w:val="single" w:sz="4" w:space="0" w:color="auto"/>
            </w:tcBorders>
            <w:shd w:val="clear" w:color="auto" w:fill="auto"/>
            <w:vAlign w:val="center"/>
            <w:hideMark/>
          </w:tcPr>
          <w:p w:rsidR="00AC40FC" w:rsidRPr="0028346E" w:rsidRDefault="00AC40FC" w:rsidP="00A57D87">
            <w:pPr>
              <w:spacing w:after="0"/>
              <w:jc w:val="right"/>
              <w:rPr>
                <w:rFonts w:cs="Arial"/>
                <w:szCs w:val="24"/>
              </w:rPr>
            </w:pPr>
            <w:r w:rsidRPr="0028346E">
              <w:rPr>
                <w:rFonts w:cs="Arial"/>
                <w:szCs w:val="24"/>
              </w:rPr>
              <w:t>20.8%</w:t>
            </w:r>
          </w:p>
        </w:tc>
        <w:tc>
          <w:tcPr>
            <w:tcW w:w="1133" w:type="dxa"/>
            <w:tcBorders>
              <w:top w:val="nil"/>
              <w:left w:val="nil"/>
              <w:bottom w:val="single" w:sz="4" w:space="0" w:color="auto"/>
              <w:right w:val="single" w:sz="4" w:space="0" w:color="auto"/>
            </w:tcBorders>
            <w:shd w:val="clear" w:color="auto" w:fill="auto"/>
          </w:tcPr>
          <w:p w:rsidR="00AC40FC" w:rsidRPr="0028346E" w:rsidRDefault="00AC40FC" w:rsidP="00A57D87">
            <w:pPr>
              <w:spacing w:after="0"/>
              <w:jc w:val="right"/>
              <w:rPr>
                <w:rFonts w:cs="Arial"/>
                <w:szCs w:val="24"/>
              </w:rPr>
            </w:pPr>
            <w:r>
              <w:rPr>
                <w:rFonts w:cs="Arial"/>
                <w:szCs w:val="24"/>
              </w:rPr>
              <w:t>36.1%</w:t>
            </w:r>
          </w:p>
        </w:tc>
      </w:tr>
      <w:tr w:rsidR="00AC40FC" w:rsidRPr="0028346E" w:rsidTr="00A57D87">
        <w:trPr>
          <w:trHeight w:val="143"/>
          <w:jc w:val="center"/>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AC40FC" w:rsidRPr="0028346E" w:rsidRDefault="00AC40FC" w:rsidP="00A57D87">
            <w:pPr>
              <w:spacing w:after="0"/>
              <w:rPr>
                <w:rFonts w:cs="Arial"/>
                <w:szCs w:val="24"/>
              </w:rPr>
            </w:pPr>
            <w:r w:rsidRPr="0028346E">
              <w:rPr>
                <w:rFonts w:cs="Arial"/>
                <w:szCs w:val="24"/>
              </w:rPr>
              <w:t>Percent Male</w:t>
            </w:r>
          </w:p>
        </w:tc>
        <w:tc>
          <w:tcPr>
            <w:tcW w:w="1040" w:type="dxa"/>
            <w:tcBorders>
              <w:top w:val="nil"/>
              <w:left w:val="nil"/>
              <w:bottom w:val="single" w:sz="4" w:space="0" w:color="auto"/>
              <w:right w:val="single" w:sz="4" w:space="0" w:color="auto"/>
            </w:tcBorders>
            <w:shd w:val="clear" w:color="auto" w:fill="auto"/>
            <w:vAlign w:val="center"/>
            <w:hideMark/>
          </w:tcPr>
          <w:p w:rsidR="00AC40FC" w:rsidRPr="0028346E" w:rsidRDefault="00AC40FC" w:rsidP="00A57D87">
            <w:pPr>
              <w:spacing w:after="0"/>
              <w:jc w:val="right"/>
              <w:rPr>
                <w:rFonts w:cs="Arial"/>
                <w:szCs w:val="24"/>
              </w:rPr>
            </w:pPr>
            <w:r w:rsidRPr="0028346E">
              <w:rPr>
                <w:rFonts w:cs="Arial"/>
                <w:szCs w:val="24"/>
              </w:rPr>
              <w:t>77.8%</w:t>
            </w:r>
          </w:p>
        </w:tc>
        <w:tc>
          <w:tcPr>
            <w:tcW w:w="1111" w:type="dxa"/>
            <w:tcBorders>
              <w:top w:val="nil"/>
              <w:left w:val="nil"/>
              <w:bottom w:val="single" w:sz="4" w:space="0" w:color="auto"/>
              <w:right w:val="single" w:sz="4" w:space="0" w:color="auto"/>
            </w:tcBorders>
            <w:shd w:val="clear" w:color="auto" w:fill="auto"/>
            <w:vAlign w:val="center"/>
            <w:hideMark/>
          </w:tcPr>
          <w:p w:rsidR="00AC40FC" w:rsidRPr="0028346E" w:rsidRDefault="00AC40FC" w:rsidP="00A57D87">
            <w:pPr>
              <w:spacing w:after="0"/>
              <w:jc w:val="right"/>
              <w:rPr>
                <w:rFonts w:cs="Arial"/>
                <w:szCs w:val="24"/>
              </w:rPr>
            </w:pPr>
            <w:r w:rsidRPr="0028346E">
              <w:rPr>
                <w:rFonts w:cs="Arial"/>
                <w:szCs w:val="24"/>
              </w:rPr>
              <w:t>71.0%</w:t>
            </w:r>
          </w:p>
        </w:tc>
        <w:tc>
          <w:tcPr>
            <w:tcW w:w="1111" w:type="dxa"/>
            <w:tcBorders>
              <w:top w:val="nil"/>
              <w:left w:val="nil"/>
              <w:bottom w:val="single" w:sz="4" w:space="0" w:color="auto"/>
              <w:right w:val="single" w:sz="4" w:space="0" w:color="auto"/>
            </w:tcBorders>
            <w:shd w:val="clear" w:color="auto" w:fill="auto"/>
            <w:vAlign w:val="center"/>
            <w:hideMark/>
          </w:tcPr>
          <w:p w:rsidR="00AC40FC" w:rsidRPr="0028346E" w:rsidRDefault="00AC40FC" w:rsidP="00A57D87">
            <w:pPr>
              <w:spacing w:after="0"/>
              <w:jc w:val="right"/>
              <w:rPr>
                <w:rFonts w:cs="Arial"/>
                <w:szCs w:val="24"/>
              </w:rPr>
            </w:pPr>
            <w:r w:rsidRPr="0028346E">
              <w:rPr>
                <w:rFonts w:cs="Arial"/>
                <w:szCs w:val="24"/>
              </w:rPr>
              <w:t>66.7%</w:t>
            </w:r>
          </w:p>
        </w:tc>
        <w:tc>
          <w:tcPr>
            <w:tcW w:w="1111" w:type="dxa"/>
            <w:tcBorders>
              <w:top w:val="nil"/>
              <w:left w:val="nil"/>
              <w:bottom w:val="single" w:sz="4" w:space="0" w:color="auto"/>
              <w:right w:val="single" w:sz="4" w:space="0" w:color="auto"/>
            </w:tcBorders>
            <w:shd w:val="clear" w:color="auto" w:fill="auto"/>
            <w:vAlign w:val="center"/>
            <w:hideMark/>
          </w:tcPr>
          <w:p w:rsidR="00AC40FC" w:rsidRPr="0028346E" w:rsidRDefault="00AC40FC" w:rsidP="00A57D87">
            <w:pPr>
              <w:spacing w:after="0"/>
              <w:jc w:val="right"/>
              <w:rPr>
                <w:rFonts w:cs="Arial"/>
                <w:szCs w:val="24"/>
              </w:rPr>
            </w:pPr>
            <w:r w:rsidRPr="0028346E">
              <w:rPr>
                <w:rFonts w:cs="Arial"/>
                <w:szCs w:val="24"/>
              </w:rPr>
              <w:t>79.2%</w:t>
            </w:r>
          </w:p>
        </w:tc>
        <w:tc>
          <w:tcPr>
            <w:tcW w:w="1133" w:type="dxa"/>
            <w:tcBorders>
              <w:top w:val="nil"/>
              <w:left w:val="nil"/>
              <w:bottom w:val="single" w:sz="4" w:space="0" w:color="auto"/>
              <w:right w:val="single" w:sz="4" w:space="0" w:color="auto"/>
            </w:tcBorders>
            <w:shd w:val="clear" w:color="auto" w:fill="auto"/>
          </w:tcPr>
          <w:p w:rsidR="00AC40FC" w:rsidRPr="0028346E" w:rsidRDefault="00AC40FC" w:rsidP="00A57D87">
            <w:pPr>
              <w:spacing w:after="0"/>
              <w:jc w:val="right"/>
              <w:rPr>
                <w:rFonts w:cs="Arial"/>
                <w:szCs w:val="24"/>
              </w:rPr>
            </w:pPr>
            <w:r>
              <w:rPr>
                <w:rFonts w:cs="Arial"/>
                <w:szCs w:val="24"/>
              </w:rPr>
              <w:t>63.9%</w:t>
            </w:r>
          </w:p>
        </w:tc>
      </w:tr>
      <w:tr w:rsidR="00AC40FC" w:rsidRPr="0028346E" w:rsidTr="00A57D87">
        <w:trPr>
          <w:trHeight w:val="125"/>
          <w:jc w:val="center"/>
        </w:trPr>
        <w:tc>
          <w:tcPr>
            <w:tcW w:w="8133" w:type="dxa"/>
            <w:gridSpan w:val="6"/>
            <w:tcBorders>
              <w:top w:val="nil"/>
              <w:left w:val="single" w:sz="4" w:space="0" w:color="auto"/>
              <w:bottom w:val="single" w:sz="4" w:space="0" w:color="auto"/>
              <w:right w:val="single" w:sz="4" w:space="0" w:color="auto"/>
            </w:tcBorders>
          </w:tcPr>
          <w:p w:rsidR="00AC40FC" w:rsidRPr="0028346E" w:rsidRDefault="00AC40FC" w:rsidP="00A57D87">
            <w:pPr>
              <w:spacing w:after="0"/>
              <w:rPr>
                <w:rFonts w:cs="Arial"/>
                <w:szCs w:val="24"/>
              </w:rPr>
            </w:pPr>
            <w:r>
              <w:rPr>
                <w:rFonts w:cs="Arial"/>
                <w:szCs w:val="24"/>
              </w:rPr>
              <w:t>Source: DN 17-133</w:t>
            </w:r>
          </w:p>
        </w:tc>
      </w:tr>
    </w:tbl>
    <w:p w:rsidR="00AC40FC" w:rsidRDefault="00AC40FC" w:rsidP="00A57D87"/>
    <w:p w:rsidR="00AC40FC" w:rsidRDefault="00AC40FC" w:rsidP="002B3172">
      <w:pPr>
        <w:pStyle w:val="Caption"/>
      </w:pPr>
      <w:bookmarkStart w:id="314" w:name="_Toc462648481"/>
      <w:bookmarkStart w:id="315" w:name="_Toc464553103"/>
      <w:r>
        <w:lastRenderedPageBreak/>
        <w:t xml:space="preserve">Exhibit </w:t>
      </w:r>
      <w:fldSimple w:instr=" STYLEREF 1 \s ">
        <w:r w:rsidR="00A24205">
          <w:rPr>
            <w:noProof/>
          </w:rPr>
          <w:t>XIV</w:t>
        </w:r>
      </w:fldSimple>
      <w:r w:rsidR="00264A1B">
        <w:noBreakHyphen/>
      </w:r>
      <w:fldSimple w:instr=" SEQ Exhibit \* ARABIC \s 1 ">
        <w:r w:rsidR="00A24205">
          <w:rPr>
            <w:noProof/>
          </w:rPr>
          <w:t>16</w:t>
        </w:r>
      </w:fldSimple>
      <w:r>
        <w:br/>
      </w:r>
      <w:r w:rsidRPr="0028346E">
        <w:t>Voluntary Termination R</w:t>
      </w:r>
      <w:r w:rsidR="00B7713A">
        <w:t>ates for Minorities and Females</w:t>
      </w:r>
      <w:r>
        <w:br/>
      </w:r>
      <w:r w:rsidRPr="0028346E">
        <w:t>2011</w:t>
      </w:r>
      <w:r>
        <w:t>–</w:t>
      </w:r>
      <w:r w:rsidRPr="0028346E">
        <w:t>201</w:t>
      </w:r>
      <w:r>
        <w:t>5</w:t>
      </w:r>
      <w:bookmarkEnd w:id="314"/>
      <w:bookmarkEnd w:id="315"/>
    </w:p>
    <w:tbl>
      <w:tblPr>
        <w:tblW w:w="8227" w:type="dxa"/>
        <w:jc w:val="center"/>
        <w:tblCellMar>
          <w:top w:w="14" w:type="dxa"/>
          <w:left w:w="115" w:type="dxa"/>
          <w:bottom w:w="14" w:type="dxa"/>
          <w:right w:w="115" w:type="dxa"/>
        </w:tblCellMar>
        <w:tblLook w:val="04A0"/>
      </w:tblPr>
      <w:tblGrid>
        <w:gridCol w:w="2674"/>
        <w:gridCol w:w="1019"/>
        <w:gridCol w:w="1129"/>
        <w:gridCol w:w="1129"/>
        <w:gridCol w:w="1129"/>
        <w:gridCol w:w="1147"/>
      </w:tblGrid>
      <w:tr w:rsidR="00AC40FC" w:rsidRPr="00D6083E" w:rsidTr="00582143">
        <w:trPr>
          <w:cantSplit/>
          <w:trHeight w:val="287"/>
          <w:tblHeader/>
          <w:jc w:val="center"/>
        </w:trPr>
        <w:tc>
          <w:tcPr>
            <w:tcW w:w="2674" w:type="dxa"/>
            <w:tcBorders>
              <w:top w:val="single" w:sz="4" w:space="0" w:color="auto"/>
              <w:left w:val="single" w:sz="4" w:space="0" w:color="auto"/>
              <w:bottom w:val="single" w:sz="4" w:space="0" w:color="auto"/>
              <w:right w:val="single" w:sz="4" w:space="0" w:color="auto"/>
            </w:tcBorders>
            <w:shd w:val="clear" w:color="auto" w:fill="A5CD7E"/>
            <w:vAlign w:val="center"/>
            <w:hideMark/>
          </w:tcPr>
          <w:p w:rsidR="00AC40FC" w:rsidRPr="00D6083E" w:rsidRDefault="00AC40FC" w:rsidP="00D6083E">
            <w:pPr>
              <w:spacing w:before="120"/>
              <w:jc w:val="center"/>
              <w:rPr>
                <w:b/>
              </w:rPr>
            </w:pPr>
            <w:r w:rsidRPr="00D6083E">
              <w:rPr>
                <w:b/>
              </w:rPr>
              <w:t xml:space="preserve">Category </w:t>
            </w:r>
          </w:p>
        </w:tc>
        <w:tc>
          <w:tcPr>
            <w:tcW w:w="1019" w:type="dxa"/>
            <w:tcBorders>
              <w:top w:val="single" w:sz="4" w:space="0" w:color="auto"/>
              <w:left w:val="nil"/>
              <w:bottom w:val="single" w:sz="4" w:space="0" w:color="auto"/>
              <w:right w:val="single" w:sz="4" w:space="0" w:color="auto"/>
            </w:tcBorders>
            <w:shd w:val="clear" w:color="auto" w:fill="A5CD7E"/>
            <w:vAlign w:val="center"/>
            <w:hideMark/>
          </w:tcPr>
          <w:p w:rsidR="00AC40FC" w:rsidRPr="00D6083E" w:rsidRDefault="00AC40FC" w:rsidP="00D6083E">
            <w:pPr>
              <w:spacing w:before="120"/>
              <w:jc w:val="center"/>
              <w:rPr>
                <w:b/>
              </w:rPr>
            </w:pPr>
            <w:r w:rsidRPr="00D6083E">
              <w:rPr>
                <w:b/>
              </w:rPr>
              <w:t>2011</w:t>
            </w:r>
          </w:p>
        </w:tc>
        <w:tc>
          <w:tcPr>
            <w:tcW w:w="1129" w:type="dxa"/>
            <w:tcBorders>
              <w:top w:val="single" w:sz="4" w:space="0" w:color="auto"/>
              <w:left w:val="nil"/>
              <w:bottom w:val="single" w:sz="4" w:space="0" w:color="auto"/>
              <w:right w:val="single" w:sz="4" w:space="0" w:color="auto"/>
            </w:tcBorders>
            <w:shd w:val="clear" w:color="auto" w:fill="A5CD7E"/>
            <w:vAlign w:val="center"/>
            <w:hideMark/>
          </w:tcPr>
          <w:p w:rsidR="00AC40FC" w:rsidRPr="00D6083E" w:rsidRDefault="00AC40FC" w:rsidP="00D6083E">
            <w:pPr>
              <w:spacing w:before="120"/>
              <w:jc w:val="center"/>
              <w:rPr>
                <w:b/>
              </w:rPr>
            </w:pPr>
            <w:r w:rsidRPr="00D6083E">
              <w:rPr>
                <w:b/>
              </w:rPr>
              <w:t>2012</w:t>
            </w:r>
          </w:p>
        </w:tc>
        <w:tc>
          <w:tcPr>
            <w:tcW w:w="1129" w:type="dxa"/>
            <w:tcBorders>
              <w:top w:val="single" w:sz="4" w:space="0" w:color="auto"/>
              <w:left w:val="nil"/>
              <w:bottom w:val="single" w:sz="4" w:space="0" w:color="auto"/>
              <w:right w:val="single" w:sz="4" w:space="0" w:color="auto"/>
            </w:tcBorders>
            <w:shd w:val="clear" w:color="auto" w:fill="A5CD7E"/>
            <w:vAlign w:val="center"/>
            <w:hideMark/>
          </w:tcPr>
          <w:p w:rsidR="00AC40FC" w:rsidRPr="00D6083E" w:rsidRDefault="00AC40FC" w:rsidP="00D6083E">
            <w:pPr>
              <w:spacing w:before="120"/>
              <w:jc w:val="center"/>
              <w:rPr>
                <w:b/>
              </w:rPr>
            </w:pPr>
            <w:r w:rsidRPr="00D6083E">
              <w:rPr>
                <w:b/>
              </w:rPr>
              <w:t>2013</w:t>
            </w:r>
          </w:p>
        </w:tc>
        <w:tc>
          <w:tcPr>
            <w:tcW w:w="1129" w:type="dxa"/>
            <w:tcBorders>
              <w:top w:val="single" w:sz="4" w:space="0" w:color="auto"/>
              <w:left w:val="nil"/>
              <w:bottom w:val="single" w:sz="4" w:space="0" w:color="auto"/>
              <w:right w:val="single" w:sz="4" w:space="0" w:color="auto"/>
            </w:tcBorders>
            <w:shd w:val="clear" w:color="auto" w:fill="A5CD7E"/>
            <w:vAlign w:val="center"/>
            <w:hideMark/>
          </w:tcPr>
          <w:p w:rsidR="00AC40FC" w:rsidRPr="00D6083E" w:rsidRDefault="00AC40FC" w:rsidP="00D6083E">
            <w:pPr>
              <w:spacing w:before="120"/>
              <w:jc w:val="center"/>
              <w:rPr>
                <w:b/>
              </w:rPr>
            </w:pPr>
            <w:r w:rsidRPr="00D6083E">
              <w:rPr>
                <w:b/>
              </w:rPr>
              <w:t>2014</w:t>
            </w:r>
          </w:p>
        </w:tc>
        <w:tc>
          <w:tcPr>
            <w:tcW w:w="1147" w:type="dxa"/>
            <w:tcBorders>
              <w:top w:val="single" w:sz="4" w:space="0" w:color="auto"/>
              <w:left w:val="nil"/>
              <w:bottom w:val="single" w:sz="4" w:space="0" w:color="auto"/>
              <w:right w:val="single" w:sz="4" w:space="0" w:color="auto"/>
            </w:tcBorders>
            <w:shd w:val="clear" w:color="auto" w:fill="A5CD7E"/>
            <w:vAlign w:val="center"/>
          </w:tcPr>
          <w:p w:rsidR="00AC40FC" w:rsidRPr="00D6083E" w:rsidRDefault="00AC40FC" w:rsidP="00D6083E">
            <w:pPr>
              <w:spacing w:before="120"/>
              <w:jc w:val="center"/>
              <w:rPr>
                <w:b/>
              </w:rPr>
            </w:pPr>
            <w:r w:rsidRPr="00D6083E">
              <w:rPr>
                <w:b/>
              </w:rPr>
              <w:t>2015</w:t>
            </w:r>
          </w:p>
        </w:tc>
      </w:tr>
      <w:tr w:rsidR="00AC40FC" w:rsidRPr="0028346E" w:rsidTr="00A57D87">
        <w:trPr>
          <w:trHeight w:val="188"/>
          <w:jc w:val="center"/>
        </w:trPr>
        <w:tc>
          <w:tcPr>
            <w:tcW w:w="2674" w:type="dxa"/>
            <w:tcBorders>
              <w:top w:val="nil"/>
              <w:left w:val="single" w:sz="4" w:space="0" w:color="auto"/>
              <w:bottom w:val="single" w:sz="4" w:space="0" w:color="auto"/>
              <w:right w:val="single" w:sz="4" w:space="0" w:color="auto"/>
            </w:tcBorders>
            <w:shd w:val="clear" w:color="auto" w:fill="auto"/>
            <w:vAlign w:val="center"/>
            <w:hideMark/>
          </w:tcPr>
          <w:p w:rsidR="00AC40FC" w:rsidRPr="0028346E" w:rsidRDefault="00AC40FC" w:rsidP="00A57D87">
            <w:pPr>
              <w:spacing w:after="0"/>
              <w:rPr>
                <w:rFonts w:cs="Arial"/>
                <w:szCs w:val="24"/>
              </w:rPr>
            </w:pPr>
            <w:r w:rsidRPr="0028346E">
              <w:rPr>
                <w:rFonts w:cs="Arial"/>
                <w:szCs w:val="24"/>
              </w:rPr>
              <w:t>Percent Minority</w:t>
            </w:r>
          </w:p>
        </w:tc>
        <w:tc>
          <w:tcPr>
            <w:tcW w:w="1019" w:type="dxa"/>
            <w:tcBorders>
              <w:top w:val="nil"/>
              <w:left w:val="nil"/>
              <w:bottom w:val="single" w:sz="4" w:space="0" w:color="auto"/>
              <w:right w:val="single" w:sz="4" w:space="0" w:color="auto"/>
            </w:tcBorders>
            <w:shd w:val="clear" w:color="auto" w:fill="auto"/>
            <w:vAlign w:val="center"/>
            <w:hideMark/>
          </w:tcPr>
          <w:p w:rsidR="00AC40FC" w:rsidRPr="0028346E" w:rsidRDefault="00AC40FC" w:rsidP="00A57D87">
            <w:pPr>
              <w:spacing w:after="0"/>
              <w:jc w:val="right"/>
              <w:rPr>
                <w:rFonts w:cs="Arial"/>
                <w:szCs w:val="24"/>
              </w:rPr>
            </w:pPr>
            <w:r w:rsidRPr="0028346E">
              <w:rPr>
                <w:rFonts w:cs="Arial"/>
                <w:szCs w:val="24"/>
              </w:rPr>
              <w:t>8.6%</w:t>
            </w:r>
          </w:p>
        </w:tc>
        <w:tc>
          <w:tcPr>
            <w:tcW w:w="1129" w:type="dxa"/>
            <w:tcBorders>
              <w:top w:val="nil"/>
              <w:left w:val="nil"/>
              <w:bottom w:val="single" w:sz="4" w:space="0" w:color="auto"/>
              <w:right w:val="single" w:sz="4" w:space="0" w:color="auto"/>
            </w:tcBorders>
            <w:shd w:val="clear" w:color="auto" w:fill="auto"/>
            <w:vAlign w:val="center"/>
            <w:hideMark/>
          </w:tcPr>
          <w:p w:rsidR="00AC40FC" w:rsidRPr="0028346E" w:rsidRDefault="00AC40FC" w:rsidP="00A57D87">
            <w:pPr>
              <w:spacing w:after="0"/>
              <w:jc w:val="right"/>
              <w:rPr>
                <w:rFonts w:cs="Arial"/>
                <w:szCs w:val="24"/>
              </w:rPr>
            </w:pPr>
            <w:r w:rsidRPr="0028346E">
              <w:rPr>
                <w:rFonts w:cs="Arial"/>
                <w:szCs w:val="24"/>
              </w:rPr>
              <w:t>8.3%</w:t>
            </w:r>
          </w:p>
        </w:tc>
        <w:tc>
          <w:tcPr>
            <w:tcW w:w="1129" w:type="dxa"/>
            <w:tcBorders>
              <w:top w:val="nil"/>
              <w:left w:val="nil"/>
              <w:bottom w:val="single" w:sz="4" w:space="0" w:color="auto"/>
              <w:right w:val="single" w:sz="4" w:space="0" w:color="auto"/>
            </w:tcBorders>
            <w:shd w:val="clear" w:color="auto" w:fill="auto"/>
            <w:vAlign w:val="center"/>
            <w:hideMark/>
          </w:tcPr>
          <w:p w:rsidR="00AC40FC" w:rsidRPr="0028346E" w:rsidRDefault="00AC40FC" w:rsidP="00A57D87">
            <w:pPr>
              <w:spacing w:after="0"/>
              <w:jc w:val="right"/>
              <w:rPr>
                <w:rFonts w:cs="Arial"/>
                <w:szCs w:val="24"/>
              </w:rPr>
            </w:pPr>
            <w:r w:rsidRPr="0028346E">
              <w:rPr>
                <w:rFonts w:cs="Arial"/>
                <w:szCs w:val="24"/>
              </w:rPr>
              <w:t>11.1%</w:t>
            </w:r>
          </w:p>
        </w:tc>
        <w:tc>
          <w:tcPr>
            <w:tcW w:w="1129" w:type="dxa"/>
            <w:tcBorders>
              <w:top w:val="nil"/>
              <w:left w:val="nil"/>
              <w:bottom w:val="single" w:sz="4" w:space="0" w:color="auto"/>
              <w:right w:val="single" w:sz="4" w:space="0" w:color="auto"/>
            </w:tcBorders>
            <w:shd w:val="clear" w:color="auto" w:fill="auto"/>
            <w:vAlign w:val="center"/>
            <w:hideMark/>
          </w:tcPr>
          <w:p w:rsidR="00AC40FC" w:rsidRPr="0028346E" w:rsidRDefault="00AC40FC" w:rsidP="00A57D87">
            <w:pPr>
              <w:spacing w:after="0"/>
              <w:jc w:val="right"/>
              <w:rPr>
                <w:rFonts w:cs="Arial"/>
                <w:szCs w:val="24"/>
              </w:rPr>
            </w:pPr>
            <w:r w:rsidRPr="0028346E">
              <w:rPr>
                <w:rFonts w:cs="Arial"/>
                <w:szCs w:val="24"/>
              </w:rPr>
              <w:t>8.0%</w:t>
            </w:r>
          </w:p>
        </w:tc>
        <w:tc>
          <w:tcPr>
            <w:tcW w:w="1147" w:type="dxa"/>
            <w:tcBorders>
              <w:top w:val="nil"/>
              <w:left w:val="nil"/>
              <w:bottom w:val="single" w:sz="4" w:space="0" w:color="auto"/>
              <w:right w:val="single" w:sz="4" w:space="0" w:color="auto"/>
            </w:tcBorders>
          </w:tcPr>
          <w:p w:rsidR="00AC40FC" w:rsidRPr="0028346E" w:rsidRDefault="00AC40FC" w:rsidP="00A57D87">
            <w:pPr>
              <w:spacing w:after="0"/>
              <w:jc w:val="right"/>
              <w:rPr>
                <w:rFonts w:cs="Arial"/>
                <w:szCs w:val="24"/>
              </w:rPr>
            </w:pPr>
            <w:r>
              <w:rPr>
                <w:rFonts w:cs="Arial"/>
                <w:szCs w:val="24"/>
              </w:rPr>
              <w:t>7.6%</w:t>
            </w:r>
          </w:p>
        </w:tc>
      </w:tr>
      <w:tr w:rsidR="00AC40FC" w:rsidRPr="0028346E" w:rsidTr="00A57D87">
        <w:trPr>
          <w:trHeight w:val="170"/>
          <w:jc w:val="center"/>
        </w:trPr>
        <w:tc>
          <w:tcPr>
            <w:tcW w:w="2674" w:type="dxa"/>
            <w:tcBorders>
              <w:top w:val="nil"/>
              <w:left w:val="single" w:sz="4" w:space="0" w:color="auto"/>
              <w:bottom w:val="single" w:sz="4" w:space="0" w:color="auto"/>
              <w:right w:val="single" w:sz="4" w:space="0" w:color="auto"/>
            </w:tcBorders>
            <w:shd w:val="clear" w:color="auto" w:fill="auto"/>
            <w:vAlign w:val="center"/>
            <w:hideMark/>
          </w:tcPr>
          <w:p w:rsidR="00AC40FC" w:rsidRPr="0028346E" w:rsidRDefault="00AC40FC" w:rsidP="00A57D87">
            <w:pPr>
              <w:spacing w:after="0"/>
              <w:rPr>
                <w:rFonts w:cs="Arial"/>
                <w:szCs w:val="24"/>
              </w:rPr>
            </w:pPr>
            <w:r w:rsidRPr="0028346E">
              <w:rPr>
                <w:rFonts w:cs="Arial"/>
                <w:szCs w:val="24"/>
              </w:rPr>
              <w:t>Percent Non-Minority</w:t>
            </w:r>
          </w:p>
        </w:tc>
        <w:tc>
          <w:tcPr>
            <w:tcW w:w="1019" w:type="dxa"/>
            <w:tcBorders>
              <w:top w:val="nil"/>
              <w:left w:val="nil"/>
              <w:bottom w:val="single" w:sz="4" w:space="0" w:color="auto"/>
              <w:right w:val="single" w:sz="4" w:space="0" w:color="auto"/>
            </w:tcBorders>
            <w:shd w:val="clear" w:color="auto" w:fill="auto"/>
            <w:vAlign w:val="center"/>
            <w:hideMark/>
          </w:tcPr>
          <w:p w:rsidR="00AC40FC" w:rsidRPr="0028346E" w:rsidRDefault="00AC40FC" w:rsidP="00A57D87">
            <w:pPr>
              <w:spacing w:after="0"/>
              <w:jc w:val="right"/>
              <w:rPr>
                <w:rFonts w:cs="Arial"/>
                <w:szCs w:val="24"/>
              </w:rPr>
            </w:pPr>
            <w:r w:rsidRPr="0028346E">
              <w:rPr>
                <w:rFonts w:cs="Arial"/>
                <w:szCs w:val="24"/>
              </w:rPr>
              <w:t>91.4%</w:t>
            </w:r>
          </w:p>
        </w:tc>
        <w:tc>
          <w:tcPr>
            <w:tcW w:w="1129" w:type="dxa"/>
            <w:tcBorders>
              <w:top w:val="nil"/>
              <w:left w:val="nil"/>
              <w:bottom w:val="single" w:sz="4" w:space="0" w:color="auto"/>
              <w:right w:val="single" w:sz="4" w:space="0" w:color="auto"/>
            </w:tcBorders>
            <w:shd w:val="clear" w:color="auto" w:fill="auto"/>
            <w:vAlign w:val="center"/>
            <w:hideMark/>
          </w:tcPr>
          <w:p w:rsidR="00AC40FC" w:rsidRPr="0028346E" w:rsidRDefault="00AC40FC" w:rsidP="00A57D87">
            <w:pPr>
              <w:spacing w:after="0"/>
              <w:jc w:val="right"/>
              <w:rPr>
                <w:rFonts w:cs="Arial"/>
                <w:szCs w:val="24"/>
              </w:rPr>
            </w:pPr>
            <w:r w:rsidRPr="0028346E">
              <w:rPr>
                <w:rFonts w:cs="Arial"/>
                <w:szCs w:val="24"/>
              </w:rPr>
              <w:t>91.7%</w:t>
            </w:r>
          </w:p>
        </w:tc>
        <w:tc>
          <w:tcPr>
            <w:tcW w:w="1129" w:type="dxa"/>
            <w:tcBorders>
              <w:top w:val="nil"/>
              <w:left w:val="nil"/>
              <w:bottom w:val="single" w:sz="4" w:space="0" w:color="auto"/>
              <w:right w:val="single" w:sz="4" w:space="0" w:color="auto"/>
            </w:tcBorders>
            <w:shd w:val="clear" w:color="auto" w:fill="auto"/>
            <w:vAlign w:val="center"/>
            <w:hideMark/>
          </w:tcPr>
          <w:p w:rsidR="00AC40FC" w:rsidRPr="0028346E" w:rsidRDefault="00AC40FC" w:rsidP="00A57D87">
            <w:pPr>
              <w:spacing w:after="0"/>
              <w:jc w:val="right"/>
              <w:rPr>
                <w:rFonts w:cs="Arial"/>
                <w:szCs w:val="24"/>
              </w:rPr>
            </w:pPr>
            <w:r w:rsidRPr="0028346E">
              <w:rPr>
                <w:rFonts w:cs="Arial"/>
                <w:szCs w:val="24"/>
              </w:rPr>
              <w:t>88.9%</w:t>
            </w:r>
          </w:p>
        </w:tc>
        <w:tc>
          <w:tcPr>
            <w:tcW w:w="1129" w:type="dxa"/>
            <w:tcBorders>
              <w:top w:val="nil"/>
              <w:left w:val="nil"/>
              <w:bottom w:val="single" w:sz="4" w:space="0" w:color="auto"/>
              <w:right w:val="single" w:sz="4" w:space="0" w:color="auto"/>
            </w:tcBorders>
            <w:shd w:val="clear" w:color="auto" w:fill="auto"/>
            <w:vAlign w:val="center"/>
            <w:hideMark/>
          </w:tcPr>
          <w:p w:rsidR="00AC40FC" w:rsidRPr="0028346E" w:rsidRDefault="00AC40FC" w:rsidP="00A57D87">
            <w:pPr>
              <w:spacing w:after="0"/>
              <w:jc w:val="right"/>
              <w:rPr>
                <w:rFonts w:cs="Arial"/>
                <w:szCs w:val="24"/>
              </w:rPr>
            </w:pPr>
            <w:r w:rsidRPr="0028346E">
              <w:rPr>
                <w:rFonts w:cs="Arial"/>
                <w:szCs w:val="24"/>
              </w:rPr>
              <w:t>92.0%</w:t>
            </w:r>
          </w:p>
        </w:tc>
        <w:tc>
          <w:tcPr>
            <w:tcW w:w="1147" w:type="dxa"/>
            <w:tcBorders>
              <w:top w:val="nil"/>
              <w:left w:val="nil"/>
              <w:bottom w:val="single" w:sz="4" w:space="0" w:color="auto"/>
              <w:right w:val="single" w:sz="4" w:space="0" w:color="auto"/>
            </w:tcBorders>
          </w:tcPr>
          <w:p w:rsidR="00AC40FC" w:rsidRPr="0028346E" w:rsidRDefault="00AC40FC" w:rsidP="00A57D87">
            <w:pPr>
              <w:spacing w:after="0"/>
              <w:jc w:val="right"/>
              <w:rPr>
                <w:rFonts w:cs="Arial"/>
                <w:szCs w:val="24"/>
              </w:rPr>
            </w:pPr>
            <w:r>
              <w:rPr>
                <w:rFonts w:cs="Arial"/>
                <w:szCs w:val="24"/>
              </w:rPr>
              <w:t>92.4%</w:t>
            </w:r>
          </w:p>
        </w:tc>
      </w:tr>
      <w:tr w:rsidR="00AC40FC" w:rsidRPr="0028346E" w:rsidTr="00A57D87">
        <w:trPr>
          <w:trHeight w:val="143"/>
          <w:jc w:val="center"/>
        </w:trPr>
        <w:tc>
          <w:tcPr>
            <w:tcW w:w="2674" w:type="dxa"/>
            <w:tcBorders>
              <w:top w:val="nil"/>
              <w:left w:val="single" w:sz="4" w:space="0" w:color="auto"/>
              <w:bottom w:val="single" w:sz="4" w:space="0" w:color="auto"/>
              <w:right w:val="single" w:sz="4" w:space="0" w:color="auto"/>
            </w:tcBorders>
            <w:shd w:val="clear" w:color="auto" w:fill="FFFFFF" w:themeFill="background1"/>
            <w:vAlign w:val="center"/>
            <w:hideMark/>
          </w:tcPr>
          <w:p w:rsidR="00AC40FC" w:rsidRPr="0028346E" w:rsidRDefault="00AC40FC" w:rsidP="00A57D87">
            <w:pPr>
              <w:spacing w:after="0"/>
              <w:rPr>
                <w:rFonts w:cs="Arial"/>
                <w:szCs w:val="24"/>
              </w:rPr>
            </w:pPr>
            <w:r w:rsidRPr="0028346E">
              <w:rPr>
                <w:rFonts w:cs="Arial"/>
                <w:szCs w:val="24"/>
              </w:rPr>
              <w:t>Percent Female</w:t>
            </w:r>
          </w:p>
        </w:tc>
        <w:tc>
          <w:tcPr>
            <w:tcW w:w="1019" w:type="dxa"/>
            <w:tcBorders>
              <w:top w:val="nil"/>
              <w:left w:val="nil"/>
              <w:bottom w:val="single" w:sz="4" w:space="0" w:color="auto"/>
              <w:right w:val="single" w:sz="4" w:space="0" w:color="auto"/>
            </w:tcBorders>
            <w:shd w:val="clear" w:color="auto" w:fill="FFFFFF" w:themeFill="background1"/>
            <w:vAlign w:val="center"/>
            <w:hideMark/>
          </w:tcPr>
          <w:p w:rsidR="00AC40FC" w:rsidRPr="0028346E" w:rsidRDefault="00AC40FC" w:rsidP="00A57D87">
            <w:pPr>
              <w:spacing w:after="0"/>
              <w:jc w:val="right"/>
              <w:rPr>
                <w:rFonts w:cs="Arial"/>
                <w:szCs w:val="24"/>
              </w:rPr>
            </w:pPr>
            <w:r w:rsidRPr="0028346E">
              <w:rPr>
                <w:rFonts w:cs="Arial"/>
                <w:szCs w:val="24"/>
              </w:rPr>
              <w:t>19.5%</w:t>
            </w:r>
          </w:p>
        </w:tc>
        <w:tc>
          <w:tcPr>
            <w:tcW w:w="1129" w:type="dxa"/>
            <w:tcBorders>
              <w:top w:val="nil"/>
              <w:left w:val="nil"/>
              <w:bottom w:val="single" w:sz="4" w:space="0" w:color="auto"/>
              <w:right w:val="single" w:sz="4" w:space="0" w:color="auto"/>
            </w:tcBorders>
            <w:shd w:val="clear" w:color="auto" w:fill="FFFFFF" w:themeFill="background1"/>
            <w:vAlign w:val="center"/>
            <w:hideMark/>
          </w:tcPr>
          <w:p w:rsidR="00AC40FC" w:rsidRPr="0028346E" w:rsidRDefault="00AC40FC" w:rsidP="00A57D87">
            <w:pPr>
              <w:spacing w:after="0"/>
              <w:jc w:val="right"/>
              <w:rPr>
                <w:rFonts w:cs="Arial"/>
                <w:szCs w:val="24"/>
              </w:rPr>
            </w:pPr>
            <w:r w:rsidRPr="0028346E">
              <w:rPr>
                <w:rFonts w:cs="Arial"/>
                <w:szCs w:val="24"/>
              </w:rPr>
              <w:t>14.2%</w:t>
            </w:r>
          </w:p>
        </w:tc>
        <w:tc>
          <w:tcPr>
            <w:tcW w:w="1129" w:type="dxa"/>
            <w:tcBorders>
              <w:top w:val="nil"/>
              <w:left w:val="nil"/>
              <w:bottom w:val="single" w:sz="4" w:space="0" w:color="auto"/>
              <w:right w:val="single" w:sz="4" w:space="0" w:color="auto"/>
            </w:tcBorders>
            <w:shd w:val="clear" w:color="auto" w:fill="FFFFFF" w:themeFill="background1"/>
            <w:vAlign w:val="center"/>
            <w:hideMark/>
          </w:tcPr>
          <w:p w:rsidR="00AC40FC" w:rsidRPr="0028346E" w:rsidRDefault="00AC40FC" w:rsidP="00A57D87">
            <w:pPr>
              <w:spacing w:after="0"/>
              <w:jc w:val="right"/>
              <w:rPr>
                <w:rFonts w:cs="Arial"/>
                <w:szCs w:val="24"/>
              </w:rPr>
            </w:pPr>
            <w:r w:rsidRPr="0028346E">
              <w:rPr>
                <w:rFonts w:cs="Arial"/>
                <w:szCs w:val="24"/>
              </w:rPr>
              <w:t>22.2%</w:t>
            </w:r>
          </w:p>
        </w:tc>
        <w:tc>
          <w:tcPr>
            <w:tcW w:w="1129" w:type="dxa"/>
            <w:tcBorders>
              <w:top w:val="nil"/>
              <w:left w:val="nil"/>
              <w:bottom w:val="single" w:sz="4" w:space="0" w:color="auto"/>
              <w:right w:val="single" w:sz="4" w:space="0" w:color="auto"/>
            </w:tcBorders>
            <w:shd w:val="clear" w:color="auto" w:fill="FFFFFF" w:themeFill="background1"/>
            <w:vAlign w:val="center"/>
            <w:hideMark/>
          </w:tcPr>
          <w:p w:rsidR="00AC40FC" w:rsidRPr="0028346E" w:rsidRDefault="00AC40FC" w:rsidP="00A57D87">
            <w:pPr>
              <w:spacing w:after="0"/>
              <w:jc w:val="right"/>
              <w:rPr>
                <w:rFonts w:cs="Arial"/>
                <w:szCs w:val="24"/>
              </w:rPr>
            </w:pPr>
            <w:r w:rsidRPr="0028346E">
              <w:rPr>
                <w:rFonts w:cs="Arial"/>
                <w:szCs w:val="24"/>
              </w:rPr>
              <w:t>24.4%</w:t>
            </w:r>
          </w:p>
        </w:tc>
        <w:tc>
          <w:tcPr>
            <w:tcW w:w="1147" w:type="dxa"/>
            <w:tcBorders>
              <w:top w:val="nil"/>
              <w:left w:val="nil"/>
              <w:bottom w:val="single" w:sz="4" w:space="0" w:color="auto"/>
              <w:right w:val="single" w:sz="4" w:space="0" w:color="auto"/>
            </w:tcBorders>
            <w:shd w:val="clear" w:color="auto" w:fill="FFFFFF" w:themeFill="background1"/>
          </w:tcPr>
          <w:p w:rsidR="00AC40FC" w:rsidRPr="0028346E" w:rsidRDefault="00AC40FC" w:rsidP="00A57D87">
            <w:pPr>
              <w:spacing w:after="0"/>
              <w:jc w:val="right"/>
              <w:rPr>
                <w:rFonts w:cs="Arial"/>
                <w:szCs w:val="24"/>
              </w:rPr>
            </w:pPr>
            <w:r>
              <w:rPr>
                <w:rFonts w:cs="Arial"/>
                <w:szCs w:val="24"/>
              </w:rPr>
              <w:t>31.0%</w:t>
            </w:r>
          </w:p>
        </w:tc>
      </w:tr>
      <w:tr w:rsidR="00AC40FC" w:rsidRPr="0028346E" w:rsidTr="00A57D87">
        <w:trPr>
          <w:trHeight w:val="125"/>
          <w:jc w:val="center"/>
        </w:trPr>
        <w:tc>
          <w:tcPr>
            <w:tcW w:w="2674" w:type="dxa"/>
            <w:tcBorders>
              <w:top w:val="nil"/>
              <w:left w:val="single" w:sz="4" w:space="0" w:color="auto"/>
              <w:bottom w:val="single" w:sz="4" w:space="0" w:color="auto"/>
              <w:right w:val="single" w:sz="4" w:space="0" w:color="auto"/>
            </w:tcBorders>
            <w:shd w:val="clear" w:color="auto" w:fill="FFFFFF" w:themeFill="background1"/>
            <w:vAlign w:val="center"/>
            <w:hideMark/>
          </w:tcPr>
          <w:p w:rsidR="00AC40FC" w:rsidRPr="0028346E" w:rsidRDefault="00AC40FC" w:rsidP="00A57D87">
            <w:pPr>
              <w:spacing w:after="0"/>
              <w:rPr>
                <w:rFonts w:cs="Arial"/>
                <w:szCs w:val="24"/>
              </w:rPr>
            </w:pPr>
            <w:r w:rsidRPr="0028346E">
              <w:rPr>
                <w:rFonts w:cs="Arial"/>
                <w:szCs w:val="24"/>
              </w:rPr>
              <w:t>Percent Male</w:t>
            </w:r>
          </w:p>
        </w:tc>
        <w:tc>
          <w:tcPr>
            <w:tcW w:w="1019" w:type="dxa"/>
            <w:tcBorders>
              <w:top w:val="nil"/>
              <w:left w:val="nil"/>
              <w:bottom w:val="single" w:sz="4" w:space="0" w:color="auto"/>
              <w:right w:val="single" w:sz="4" w:space="0" w:color="auto"/>
            </w:tcBorders>
            <w:shd w:val="clear" w:color="auto" w:fill="FFFFFF" w:themeFill="background1"/>
            <w:vAlign w:val="center"/>
            <w:hideMark/>
          </w:tcPr>
          <w:p w:rsidR="00AC40FC" w:rsidRPr="0028346E" w:rsidRDefault="00AC40FC" w:rsidP="00A57D87">
            <w:pPr>
              <w:spacing w:after="0"/>
              <w:jc w:val="right"/>
              <w:rPr>
                <w:rFonts w:cs="Arial"/>
                <w:szCs w:val="24"/>
              </w:rPr>
            </w:pPr>
            <w:r w:rsidRPr="0028346E">
              <w:rPr>
                <w:rFonts w:cs="Arial"/>
                <w:szCs w:val="24"/>
              </w:rPr>
              <w:t>80.5%</w:t>
            </w:r>
          </w:p>
        </w:tc>
        <w:tc>
          <w:tcPr>
            <w:tcW w:w="1129" w:type="dxa"/>
            <w:tcBorders>
              <w:top w:val="nil"/>
              <w:left w:val="nil"/>
              <w:bottom w:val="single" w:sz="4" w:space="0" w:color="auto"/>
              <w:right w:val="single" w:sz="4" w:space="0" w:color="auto"/>
            </w:tcBorders>
            <w:shd w:val="clear" w:color="auto" w:fill="FFFFFF" w:themeFill="background1"/>
            <w:vAlign w:val="center"/>
            <w:hideMark/>
          </w:tcPr>
          <w:p w:rsidR="00AC40FC" w:rsidRPr="0028346E" w:rsidRDefault="00AC40FC" w:rsidP="00A57D87">
            <w:pPr>
              <w:spacing w:after="0"/>
              <w:jc w:val="right"/>
              <w:rPr>
                <w:rFonts w:cs="Arial"/>
                <w:szCs w:val="24"/>
              </w:rPr>
            </w:pPr>
            <w:r w:rsidRPr="0028346E">
              <w:rPr>
                <w:rFonts w:cs="Arial"/>
                <w:szCs w:val="24"/>
              </w:rPr>
              <w:t>85.8%</w:t>
            </w:r>
          </w:p>
        </w:tc>
        <w:tc>
          <w:tcPr>
            <w:tcW w:w="1129" w:type="dxa"/>
            <w:tcBorders>
              <w:top w:val="nil"/>
              <w:left w:val="nil"/>
              <w:bottom w:val="single" w:sz="4" w:space="0" w:color="auto"/>
              <w:right w:val="single" w:sz="4" w:space="0" w:color="auto"/>
            </w:tcBorders>
            <w:shd w:val="clear" w:color="auto" w:fill="FFFFFF" w:themeFill="background1"/>
            <w:vAlign w:val="center"/>
            <w:hideMark/>
          </w:tcPr>
          <w:p w:rsidR="00AC40FC" w:rsidRPr="0028346E" w:rsidRDefault="00AC40FC" w:rsidP="00A57D87">
            <w:pPr>
              <w:spacing w:after="0"/>
              <w:jc w:val="right"/>
              <w:rPr>
                <w:rFonts w:cs="Arial"/>
                <w:szCs w:val="24"/>
              </w:rPr>
            </w:pPr>
            <w:r w:rsidRPr="0028346E">
              <w:rPr>
                <w:rFonts w:cs="Arial"/>
                <w:szCs w:val="24"/>
              </w:rPr>
              <w:t>77.8%</w:t>
            </w:r>
          </w:p>
        </w:tc>
        <w:tc>
          <w:tcPr>
            <w:tcW w:w="1129" w:type="dxa"/>
            <w:tcBorders>
              <w:top w:val="nil"/>
              <w:left w:val="nil"/>
              <w:bottom w:val="single" w:sz="4" w:space="0" w:color="auto"/>
              <w:right w:val="single" w:sz="4" w:space="0" w:color="auto"/>
            </w:tcBorders>
            <w:shd w:val="clear" w:color="auto" w:fill="FFFFFF" w:themeFill="background1"/>
            <w:vAlign w:val="center"/>
            <w:hideMark/>
          </w:tcPr>
          <w:p w:rsidR="00AC40FC" w:rsidRPr="0028346E" w:rsidRDefault="00AC40FC" w:rsidP="00A57D87">
            <w:pPr>
              <w:spacing w:after="0"/>
              <w:jc w:val="right"/>
              <w:rPr>
                <w:rFonts w:cs="Arial"/>
                <w:szCs w:val="24"/>
              </w:rPr>
            </w:pPr>
            <w:r w:rsidRPr="0028346E">
              <w:rPr>
                <w:rFonts w:cs="Arial"/>
                <w:szCs w:val="24"/>
              </w:rPr>
              <w:t>75.6%</w:t>
            </w:r>
          </w:p>
        </w:tc>
        <w:tc>
          <w:tcPr>
            <w:tcW w:w="1147" w:type="dxa"/>
            <w:tcBorders>
              <w:top w:val="nil"/>
              <w:left w:val="nil"/>
              <w:bottom w:val="single" w:sz="4" w:space="0" w:color="auto"/>
              <w:right w:val="single" w:sz="4" w:space="0" w:color="auto"/>
            </w:tcBorders>
            <w:shd w:val="clear" w:color="auto" w:fill="FFFFFF" w:themeFill="background1"/>
          </w:tcPr>
          <w:p w:rsidR="00AC40FC" w:rsidRPr="0028346E" w:rsidRDefault="00AC40FC" w:rsidP="00A57D87">
            <w:pPr>
              <w:spacing w:after="0"/>
              <w:jc w:val="right"/>
              <w:rPr>
                <w:rFonts w:cs="Arial"/>
                <w:szCs w:val="24"/>
              </w:rPr>
            </w:pPr>
            <w:r>
              <w:rPr>
                <w:rFonts w:cs="Arial"/>
                <w:szCs w:val="24"/>
              </w:rPr>
              <w:t>69.0%</w:t>
            </w:r>
          </w:p>
        </w:tc>
      </w:tr>
      <w:tr w:rsidR="00AC40FC" w:rsidRPr="0028346E" w:rsidTr="00A57D87">
        <w:trPr>
          <w:trHeight w:val="107"/>
          <w:jc w:val="center"/>
        </w:trPr>
        <w:tc>
          <w:tcPr>
            <w:tcW w:w="8227" w:type="dxa"/>
            <w:gridSpan w:val="6"/>
            <w:tcBorders>
              <w:top w:val="nil"/>
              <w:left w:val="single" w:sz="4" w:space="0" w:color="auto"/>
              <w:bottom w:val="single" w:sz="4" w:space="0" w:color="auto"/>
              <w:right w:val="single" w:sz="4" w:space="0" w:color="auto"/>
            </w:tcBorders>
            <w:shd w:val="clear" w:color="auto" w:fill="auto"/>
            <w:vAlign w:val="center"/>
            <w:hideMark/>
          </w:tcPr>
          <w:p w:rsidR="00AC40FC" w:rsidRPr="0028346E" w:rsidRDefault="00AC40FC" w:rsidP="00A57D87">
            <w:pPr>
              <w:spacing w:after="0"/>
              <w:rPr>
                <w:rFonts w:cs="Arial"/>
                <w:szCs w:val="24"/>
              </w:rPr>
            </w:pPr>
            <w:r w:rsidRPr="0028346E">
              <w:rPr>
                <w:rFonts w:cs="Arial"/>
                <w:szCs w:val="24"/>
              </w:rPr>
              <w:t>S</w:t>
            </w:r>
            <w:r>
              <w:rPr>
                <w:rFonts w:cs="Arial"/>
                <w:szCs w:val="24"/>
              </w:rPr>
              <w:t>ource</w:t>
            </w:r>
            <w:r w:rsidRPr="0028346E">
              <w:rPr>
                <w:rFonts w:cs="Arial"/>
                <w:szCs w:val="24"/>
              </w:rPr>
              <w:t>: DN 17-133</w:t>
            </w:r>
          </w:p>
        </w:tc>
      </w:tr>
    </w:tbl>
    <w:p w:rsidR="00AC40FC" w:rsidRDefault="00AC40FC" w:rsidP="00A57D87">
      <w:pPr>
        <w:pStyle w:val="Normal-aftertable"/>
      </w:pPr>
      <w:r>
        <w:t>These tables show that the termination rates for minorities have been decreasing since 2013 yet both the involuntary and voluntary termination rates for females have increased in 2015.  Generally, it could be expected that the involuntary termination rates for minorities and females would mirror the minority and female composition of the current workforce. This is the case for minorities.  For females, however, the involuntary termination rate in 2015 exceeds the female composition of the workforce by over ten percent.</w:t>
      </w:r>
    </w:p>
    <w:p w:rsidR="00AC40FC" w:rsidRDefault="00AC40FC" w:rsidP="00BB665B">
      <w:pPr>
        <w:pStyle w:val="Heading-forToC"/>
      </w:pPr>
      <w:bookmarkStart w:id="316" w:name="_Toc462647893"/>
      <w:bookmarkStart w:id="317" w:name="_Toc464552132"/>
      <w:r>
        <w:t>Recommendations</w:t>
      </w:r>
      <w:bookmarkEnd w:id="316"/>
      <w:bookmarkEnd w:id="317"/>
    </w:p>
    <w:p w:rsidR="00AC40FC" w:rsidRDefault="00AC40FC" w:rsidP="004F00E5">
      <w:pPr>
        <w:pStyle w:val="Findings"/>
        <w:numPr>
          <w:ilvl w:val="0"/>
          <w:numId w:val="132"/>
        </w:numPr>
      </w:pPr>
      <w:r>
        <w:t>Enhance recruiting efforts to target female applicants.  (See Finding 3)</w:t>
      </w:r>
    </w:p>
    <w:p w:rsidR="00AC40FC" w:rsidRDefault="00AC40FC" w:rsidP="00A57D87">
      <w:r>
        <w:t>The improvement in 2015 minority and female recruiting, in particular, is recognized.  However, PPL EU should identify additional recruiting sources for females including, schools, colleges, government agencies, and community based organizations that help females obtain job skills and employment.  The OFCCP maintains a list of such recruiting sources by geographic region.  This list can be obtained by contacting the regional office of the OFCCP or visiting the OFCCP website.  In addition, these recruiting efforts should be supported by career awareness activities with groups that support young girls such as Girl Scouts and tapping into existing female employees to serve as role models and mentors.  A school to career approach is typically most effective and consists of many of the elements that the U.S. Department of Transportation identified in its 2011 Dialogue for Women in Blue Collar Transportation Careers Report.</w:t>
      </w:r>
    </w:p>
    <w:p w:rsidR="00AC40FC" w:rsidRDefault="00AC40FC" w:rsidP="006058BF">
      <w:pPr>
        <w:pStyle w:val="Findings"/>
        <w:keepNext/>
      </w:pPr>
      <w:r>
        <w:t>Enhance the hiring rates for females and minorities to maintain the parity of PPL EU employees and the labor market.  (See Finding 4)</w:t>
      </w:r>
    </w:p>
    <w:p w:rsidR="00AC40FC" w:rsidRDefault="00AC40FC" w:rsidP="00A57D87">
      <w:r>
        <w:t>Again, the improvements in minority and female hiring rates in 2015 are recognized.  These efforts should be sustained. Additionally, recruiting efforts should be analyzed based on quality of hire measurements to determine the best sources for qualified females and minorities.  Once best sources are located, PPL EU will have a better chance of maintaining parity between the hiring rates for females and minorities with labor market availability.  In addition, PPL EU’s diversity efforts will have an impact on the organization over the course of time to foster better working relationships for women and minorities, thus positively impacting retention.</w:t>
      </w:r>
    </w:p>
    <w:p w:rsidR="00AC40FC" w:rsidRDefault="00AC40FC" w:rsidP="00BB665B">
      <w:pPr>
        <w:pStyle w:val="Findings"/>
        <w:keepNext/>
      </w:pPr>
      <w:r>
        <w:lastRenderedPageBreak/>
        <w:t>Enhance initiatives to improve the female promotion rate.  (See Finding 5)</w:t>
      </w:r>
    </w:p>
    <w:p w:rsidR="00AC40FC" w:rsidRDefault="00AC40FC" w:rsidP="00A57D87">
      <w:r>
        <w:t xml:space="preserve">A major improvement in the female promotion rate was achieved in 2015, reversing a declining trend since 2012.  The efforts that reversed this trend should be sustained.  Additionally, PPL EU should examine the workplace culture to determine if there are barriers to female promotion that may include work/life balance issues.  This will guide the development of initiatives to continue improving the female promotion rate.  Clear identification of career paths and promotional opportunities and effective communication of these opportunities from the supervisor to the employee are keys to improving promotion rates.  As part of the performance appraisal process, supervisors should discuss these issues with employees and ensure that female employees in particular are aware of opportunities and what development may be needed to be eligible for such opportunities.  In addition, enhancing existing career development and leadership development activities to include broader programs within the organization will also assist in improving female promotion rates over time.  </w:t>
      </w:r>
    </w:p>
    <w:p w:rsidR="00AC40FC" w:rsidRDefault="00AC40FC" w:rsidP="00AB3298">
      <w:pPr>
        <w:pStyle w:val="Findings"/>
        <w:keepNext/>
      </w:pPr>
      <w:r w:rsidRPr="00582143">
        <w:t>Determine</w:t>
      </w:r>
      <w:r>
        <w:t xml:space="preserve"> the cause of the increase in involuntary and voluntary female terminations and implement initiatives to reduce these termination rates.  (See Finding 6)  </w:t>
      </w:r>
    </w:p>
    <w:p w:rsidR="00AC40FC" w:rsidRDefault="00AC40FC" w:rsidP="00A57D87">
      <w:r>
        <w:t>PPL EU should study the reasons for the recent increase in involuntary and voluntary termination rates for females to determine trends or patterns.  Once the trends have been identified, the BRGs can be utilized to discuss and identify possible courses of action that may include targeted training or pairing of workers with buddies or similar mentoring arrangements.</w:t>
      </w:r>
    </w:p>
    <w:p w:rsidR="00AC40FC" w:rsidRDefault="00AC40FC" w:rsidP="004F00E5">
      <w:pPr>
        <w:pStyle w:val="Heading2"/>
        <w:numPr>
          <w:ilvl w:val="0"/>
          <w:numId w:val="112"/>
        </w:numPr>
      </w:pPr>
      <w:bookmarkStart w:id="318" w:name="_Toc462647894"/>
      <w:bookmarkStart w:id="319" w:name="_Toc464552133"/>
      <w:r>
        <w:t>Affirmative action</w:t>
      </w:r>
      <w:bookmarkEnd w:id="318"/>
      <w:bookmarkEnd w:id="319"/>
    </w:p>
    <w:p w:rsidR="00AC40FC" w:rsidRDefault="00AC40FC" w:rsidP="00BB665B">
      <w:pPr>
        <w:pStyle w:val="Heading-forToC"/>
      </w:pPr>
      <w:bookmarkStart w:id="320" w:name="_Toc462647895"/>
      <w:bookmarkStart w:id="321" w:name="_Toc464552134"/>
      <w:r>
        <w:t>background</w:t>
      </w:r>
      <w:bookmarkEnd w:id="320"/>
      <w:bookmarkEnd w:id="321"/>
    </w:p>
    <w:p w:rsidR="00AC40FC" w:rsidRDefault="00AC40FC" w:rsidP="00A57D87">
      <w:r>
        <w:t>PPL EU conducts business with the U.S. Government and therefore is considered a federal government contractor.  Executive Order 11246 requires federal government contractors to take affirmative action with respect to employing qualified women and minorities and prohibits discrimination on the basis of minority or female status.  In addition, the federal Vietnam Era Veterans Readjustment Assistance Act (VEVRAA) requires federal government contractors to take affirmative action with respect to employing qualified covered veterans, and Section 503 of the Rehabilitation Act (Section 503) requires federal government contractors to take affirmative action with respect to employing qualified individuals with disabilities.  Collectively, these statutes require federal government contractors to prevent discrimination in the workplace, gather self-identification information from applicants, analyze workplace data to determine if any adverse impact is occurring, and make efforts to recruit diverse candidate pools.  The federal government contractor’s efforts are documented in a formal affirmative action plan.</w:t>
      </w:r>
    </w:p>
    <w:p w:rsidR="00AC40FC" w:rsidRDefault="00AC40FC" w:rsidP="00A57D87">
      <w:r>
        <w:t>A Human Resources Manager in PPL SC is responsible for PPL EU’s Affirmative Action program as shown in the following organization chart.</w:t>
      </w:r>
    </w:p>
    <w:p w:rsidR="00AC40FC" w:rsidRDefault="00AC40FC" w:rsidP="002B3172">
      <w:pPr>
        <w:pStyle w:val="Caption"/>
      </w:pPr>
      <w:bookmarkStart w:id="322" w:name="_Toc462648482"/>
      <w:bookmarkStart w:id="323" w:name="_Toc464553104"/>
      <w:r>
        <w:lastRenderedPageBreak/>
        <w:t xml:space="preserve">Exhibit </w:t>
      </w:r>
      <w:fldSimple w:instr=" STYLEREF 1 \s ">
        <w:r w:rsidR="00A24205">
          <w:rPr>
            <w:noProof/>
          </w:rPr>
          <w:t>XIV</w:t>
        </w:r>
      </w:fldSimple>
      <w:r w:rsidR="00264A1B">
        <w:noBreakHyphen/>
      </w:r>
      <w:fldSimple w:instr=" SEQ Exhibit \* ARABIC \s 1 ">
        <w:r w:rsidR="00A24205">
          <w:rPr>
            <w:noProof/>
          </w:rPr>
          <w:t>17</w:t>
        </w:r>
      </w:fldSimple>
      <w:r>
        <w:br/>
        <w:t>PPL SC HR – Affirmative Action Program Responsibility</w:t>
      </w:r>
      <w:bookmarkEnd w:id="322"/>
      <w:bookmarkEnd w:id="323"/>
    </w:p>
    <w:p w:rsidR="00AC40FC" w:rsidRDefault="00AC40FC" w:rsidP="00A57D87">
      <w:pPr>
        <w:jc w:val="center"/>
      </w:pPr>
      <w:r>
        <w:rPr>
          <w:noProof/>
        </w:rPr>
        <w:drawing>
          <wp:inline distT="0" distB="0" distL="0" distR="0">
            <wp:extent cx="1923288" cy="2819400"/>
            <wp:effectExtent l="0" t="0" r="127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PL-SC_HR-AffirmActions_page46&amp;48_v2.jpg"/>
                    <pic:cNvPicPr/>
                  </pic:nvPicPr>
                  <pic:blipFill>
                    <a:blip r:embed="rId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23288" cy="2819400"/>
                    </a:xfrm>
                    <a:prstGeom prst="rect">
                      <a:avLst/>
                    </a:prstGeom>
                  </pic:spPr>
                </pic:pic>
              </a:graphicData>
            </a:graphic>
          </wp:inline>
        </w:drawing>
      </w:r>
    </w:p>
    <w:p w:rsidR="00AC40FC" w:rsidRDefault="00AC40FC" w:rsidP="00A57D87">
      <w:r>
        <w:t xml:space="preserve">Source: DN 01-072 </w:t>
      </w:r>
    </w:p>
    <w:p w:rsidR="00AC40FC" w:rsidRDefault="00AC40FC">
      <w:pPr>
        <w:pStyle w:val="Heading40"/>
      </w:pPr>
      <w:r>
        <w:t>Affirmative Action Program</w:t>
      </w:r>
    </w:p>
    <w:p w:rsidR="00AC40FC" w:rsidRDefault="00AC40FC" w:rsidP="00A57D87">
      <w:r>
        <w:t xml:space="preserve">The United States Department of Labor, Office of Federal Contract Compliance Programs, has entered into an agreement with PPL Corporation for the purpose of allowing PPL Corporation to develop and implement affirmative action programs (AAPs) that are based on functional or business units. The relevant AAP for this Management Audit is the PPL EU functional program.  PPL Corporation has a separate functional AAP for PPL SC. </w:t>
      </w:r>
    </w:p>
    <w:p w:rsidR="00AC40FC" w:rsidRDefault="00AC40FC" w:rsidP="00A57D87">
      <w:r>
        <w:t>The AAP for PPL EU consists of three components focused on the areas of minorities and females, protected veterans, and individuals with disabilities.  Each of these three components include the establishment of responsibilities, internal and external dissemination, identification of problem areas, accomplishment of prior year goals, development and execution of action-oriented programs, and internal audit and reporting systems.</w:t>
      </w:r>
    </w:p>
    <w:p w:rsidR="00AC40FC" w:rsidRDefault="00AC40FC">
      <w:r>
        <w:t xml:space="preserve">Affirmative action requirements include a comparison of incumbent employees to availability by category for the purpose of demonstrating utilization of traditionally underrepresented groups and the establishment of placement goals where underutilization is found.  </w:t>
      </w:r>
    </w:p>
    <w:p w:rsidR="00AC40FC" w:rsidRDefault="00AC40FC">
      <w:r>
        <w:t>The AAP outlines responsibilities for the Plan for the AAP Administrator</w:t>
      </w:r>
      <w:r>
        <w:rPr>
          <w:rStyle w:val="CommentReference"/>
        </w:rPr>
        <w:t>,</w:t>
      </w:r>
      <w:r>
        <w:t xml:space="preserve"> Supervisors, and Managers.  The AAP Administrator is identified as the PPL SC HR Manager in the AAP.</w:t>
      </w:r>
    </w:p>
    <w:p w:rsidR="00AC40FC" w:rsidRPr="004D3A70" w:rsidRDefault="00AC40FC" w:rsidP="00A57D87">
      <w:pPr>
        <w:pStyle w:val="Heading40"/>
      </w:pPr>
      <w:r>
        <w:t>Equal Employment Policies and Related Documentation</w:t>
      </w:r>
    </w:p>
    <w:p w:rsidR="00AC40FC" w:rsidRDefault="00AC40FC" w:rsidP="00A57D87">
      <w:r>
        <w:t xml:space="preserve">PPL EU’s Equal Employment Opportunity (EEO) and Affirmative Action statement on PPL EU’s commitment to equal employment opportunity, non-discrimination, and </w:t>
      </w:r>
      <w:r>
        <w:lastRenderedPageBreak/>
        <w:t xml:space="preserve">affirmative action with respect to women, minorities, veterans, and individuals with disabilities is posted on company bulletin boards along with required employment posters outlining equal employment opportunity and non-discrimination requirements.  In addition, PPL EU addresses harassment in the workplace through its Sexual Harassment and Harassment policies.  </w:t>
      </w:r>
    </w:p>
    <w:p w:rsidR="00AC40FC" w:rsidRDefault="00AC40FC" w:rsidP="00A57D87">
      <w:pPr>
        <w:pStyle w:val="Heading40"/>
      </w:pPr>
      <w:r>
        <w:t>Complaint Mechanisms</w:t>
      </w:r>
    </w:p>
    <w:p w:rsidR="00AC40FC" w:rsidRDefault="00AC40FC" w:rsidP="00A57D87">
      <w:r>
        <w:t xml:space="preserve">PPL SC HR has responsibility for coordinating employee complaints that come in through an anonymous employee reporting hotline or through other complaint mechanisms including direct supervisory report, grievance procedure report, or direct contact with PPL SC HR.  Complaints that come in are reviewed and assigned for investigation to either Human Resources, </w:t>
      </w:r>
      <w:r w:rsidRPr="009A055B">
        <w:t xml:space="preserve">Corporate Audit </w:t>
      </w:r>
      <w:r>
        <w:t>and</w:t>
      </w:r>
      <w:r w:rsidRPr="009A055B">
        <w:t xml:space="preserve"> Business Ethics</w:t>
      </w:r>
      <w:r>
        <w:t xml:space="preserve">, or the Office of General Counsel in accordance with pre-established responsibilities.  </w:t>
      </w:r>
      <w:r>
        <w:rPr>
          <w:rFonts w:cs="Arial"/>
          <w:szCs w:val="24"/>
        </w:rPr>
        <w:t>Completed investigation reports are submitted to the Corporate Audit and Business Ethics Department which then reports investigation findings up through the Corporate Compliance Com</w:t>
      </w:r>
      <w:r w:rsidRPr="002C423F">
        <w:rPr>
          <w:rFonts w:cs="Arial"/>
          <w:szCs w:val="24"/>
        </w:rPr>
        <w:t xml:space="preserve">mittee and </w:t>
      </w:r>
      <w:r>
        <w:rPr>
          <w:rFonts w:cs="Arial"/>
          <w:szCs w:val="24"/>
        </w:rPr>
        <w:t xml:space="preserve">Board of Director’s </w:t>
      </w:r>
      <w:r w:rsidRPr="002C423F">
        <w:rPr>
          <w:rFonts w:cs="Arial"/>
          <w:szCs w:val="24"/>
        </w:rPr>
        <w:t>Audit Committee.</w:t>
      </w:r>
      <w:r w:rsidRPr="002C423F">
        <w:t xml:space="preserve">  The Guidelines for Referral of Allegations indicate a process for confidential and timely processing of employee complaints.</w:t>
      </w:r>
    </w:p>
    <w:p w:rsidR="00AC40FC" w:rsidRDefault="00AC40FC" w:rsidP="00A57D87">
      <w:pPr>
        <w:pStyle w:val="Heading40"/>
      </w:pPr>
      <w:r>
        <w:t>Data Collection, Reporting, and Analysis</w:t>
      </w:r>
    </w:p>
    <w:p w:rsidR="00AC40FC" w:rsidRDefault="00AC40FC">
      <w:r>
        <w:t>PPL SC HR is collecting veteran and disability status both pre-offer and post-offer through the use of voluntary identification forms as is now required by the 2014 regulation changes to Section 503 of the Rehabilitation Act and VEVRAA.  In addition, PPL SC HR launched its first survey of its workforce requesting employees voluntarily identify race, gender, veteran, and disability status which meets the survey requirements of Section 503 of the Rehabilitation Act that disability status be surveyed every five years.</w:t>
      </w:r>
    </w:p>
    <w:p w:rsidR="00AC40FC" w:rsidRDefault="00AC40FC" w:rsidP="00A57D87">
      <w:pPr>
        <w:pStyle w:val="Heading40"/>
      </w:pPr>
      <w:r>
        <w:t xml:space="preserve">Information </w:t>
      </w:r>
      <w:r w:rsidRPr="00014AE1">
        <w:t>Technology</w:t>
      </w:r>
    </w:p>
    <w:p w:rsidR="00AC40FC" w:rsidRDefault="00AC40FC" w:rsidP="00A57D87">
      <w:r>
        <w:t>PPL SC HR utilizes a software package to track and analyze data as well as prepare affirmative action plans.  In addition, PPL SC HR and PPLEUS HR utilize the Employee Performance and Compensation System (EMPACS) system to track the distribution of employee performance ratings.  This information is available to each supervisor for viewing based on race, gender, and date of birth.  A distribution of ratings in the four EMPACS performance categories (Unsatisfactory, Partially Met, Met, and Exceeded) can be seen for a select employee group in the user’s area of responsibility.</w:t>
      </w:r>
    </w:p>
    <w:p w:rsidR="00AC40FC" w:rsidRDefault="00AC40FC">
      <w:pPr>
        <w:pStyle w:val="Heading40"/>
      </w:pPr>
      <w:r>
        <w:t>Adverse Treatment Study</w:t>
      </w:r>
    </w:p>
    <w:p w:rsidR="00AC40FC" w:rsidRDefault="00AC40FC">
      <w:r>
        <w:t>PPL SC Services HR conducts an Adverse Treatment Study three times per year to identify any potential adverse impact with respect to base compensation for diverse groups within the PPL Corporation business units.  The results of each study are shared with the relevant business unit to address any findings.</w:t>
      </w:r>
    </w:p>
    <w:p w:rsidR="00AC40FC" w:rsidRDefault="00AC40FC" w:rsidP="00BB665B">
      <w:pPr>
        <w:pStyle w:val="Heading-forToC"/>
      </w:pPr>
      <w:bookmarkStart w:id="324" w:name="_Toc462647896"/>
      <w:bookmarkStart w:id="325" w:name="_Toc464552135"/>
      <w:r>
        <w:lastRenderedPageBreak/>
        <w:t>Findings</w:t>
      </w:r>
      <w:bookmarkEnd w:id="324"/>
      <w:bookmarkEnd w:id="325"/>
    </w:p>
    <w:p w:rsidR="00AC40FC" w:rsidRPr="00236AC6" w:rsidRDefault="00AC40FC" w:rsidP="004F00E5">
      <w:pPr>
        <w:pStyle w:val="Findings"/>
        <w:keepNext/>
        <w:numPr>
          <w:ilvl w:val="0"/>
          <w:numId w:val="133"/>
        </w:numPr>
      </w:pPr>
      <w:r w:rsidRPr="00236AC6">
        <w:t xml:space="preserve">PPL EU’s affirmative action plan </w:t>
      </w:r>
      <w:r>
        <w:t>is generally</w:t>
      </w:r>
      <w:r w:rsidRPr="00236AC6">
        <w:t xml:space="preserve"> effective.</w:t>
      </w:r>
    </w:p>
    <w:p w:rsidR="00AC40FC" w:rsidRDefault="00AC40FC" w:rsidP="00A57D87">
      <w:pPr>
        <w:keepNext/>
      </w:pPr>
      <w:r>
        <w:t>The table below shows the percentage of minorities, females, veterans, and persons with disability</w:t>
      </w:r>
      <w:r w:rsidRPr="00F81CF2">
        <w:t xml:space="preserve"> in PPL EU from 2011 through </w:t>
      </w:r>
      <w:r>
        <w:t>2015</w:t>
      </w:r>
      <w:r w:rsidRPr="00F81CF2">
        <w:t>.</w:t>
      </w:r>
    </w:p>
    <w:p w:rsidR="00AC40FC" w:rsidRDefault="00AC40FC" w:rsidP="002B3172">
      <w:pPr>
        <w:pStyle w:val="Caption"/>
      </w:pPr>
      <w:bookmarkStart w:id="326" w:name="_Toc462648483"/>
      <w:bookmarkStart w:id="327" w:name="_Toc464553105"/>
      <w:r>
        <w:t xml:space="preserve">Exhibit </w:t>
      </w:r>
      <w:fldSimple w:instr=" STYLEREF 1 \s ">
        <w:r w:rsidR="00A24205">
          <w:rPr>
            <w:noProof/>
          </w:rPr>
          <w:t>XIV</w:t>
        </w:r>
      </w:fldSimple>
      <w:r w:rsidR="00264A1B">
        <w:noBreakHyphen/>
      </w:r>
      <w:fldSimple w:instr=" SEQ Exhibit \* ARABIC \s 1 ">
        <w:r w:rsidR="00A24205">
          <w:rPr>
            <w:noProof/>
          </w:rPr>
          <w:t>18</w:t>
        </w:r>
      </w:fldSimple>
      <w:r>
        <w:br/>
        <w:t>Percentage of Minority, Female, Veter</w:t>
      </w:r>
      <w:r w:rsidR="00B7713A">
        <w:t>an, and Persons with Disability</w:t>
      </w:r>
      <w:r>
        <w:br/>
        <w:t>in the PPL EU Workforce</w:t>
      </w:r>
      <w:bookmarkEnd w:id="326"/>
      <w:bookmarkEnd w:id="327"/>
    </w:p>
    <w:tbl>
      <w:tblPr>
        <w:tblW w:w="8705" w:type="dxa"/>
        <w:jc w:val="center"/>
        <w:tblCellMar>
          <w:top w:w="14" w:type="dxa"/>
          <w:left w:w="115" w:type="dxa"/>
          <w:bottom w:w="14" w:type="dxa"/>
          <w:right w:w="115" w:type="dxa"/>
        </w:tblCellMar>
        <w:tblLook w:val="04A0"/>
      </w:tblPr>
      <w:tblGrid>
        <w:gridCol w:w="4083"/>
        <w:gridCol w:w="924"/>
        <w:gridCol w:w="924"/>
        <w:gridCol w:w="925"/>
        <w:gridCol w:w="924"/>
        <w:gridCol w:w="925"/>
      </w:tblGrid>
      <w:tr w:rsidR="00AC40FC" w:rsidRPr="00D6083E" w:rsidTr="00BB665B">
        <w:trPr>
          <w:cantSplit/>
          <w:trHeight w:val="315"/>
          <w:tblHeader/>
          <w:jc w:val="center"/>
        </w:trPr>
        <w:tc>
          <w:tcPr>
            <w:tcW w:w="4083" w:type="dxa"/>
            <w:tcBorders>
              <w:top w:val="single" w:sz="4" w:space="0" w:color="auto"/>
              <w:left w:val="single" w:sz="4" w:space="0" w:color="auto"/>
              <w:bottom w:val="single" w:sz="4" w:space="0" w:color="auto"/>
              <w:right w:val="single" w:sz="4" w:space="0" w:color="auto"/>
            </w:tcBorders>
            <w:shd w:val="clear" w:color="auto" w:fill="A5CD7E"/>
            <w:vAlign w:val="center"/>
            <w:hideMark/>
          </w:tcPr>
          <w:p w:rsidR="00AC40FC" w:rsidRPr="00D6083E" w:rsidRDefault="00AC40FC" w:rsidP="00D6083E">
            <w:pPr>
              <w:spacing w:before="120"/>
              <w:jc w:val="center"/>
              <w:rPr>
                <w:b/>
              </w:rPr>
            </w:pPr>
            <w:r w:rsidRPr="00D6083E">
              <w:rPr>
                <w:b/>
              </w:rPr>
              <w:t>Year *</w:t>
            </w:r>
          </w:p>
        </w:tc>
        <w:tc>
          <w:tcPr>
            <w:tcW w:w="924" w:type="dxa"/>
            <w:tcBorders>
              <w:top w:val="single" w:sz="4" w:space="0" w:color="auto"/>
              <w:left w:val="nil"/>
              <w:bottom w:val="single" w:sz="4" w:space="0" w:color="auto"/>
              <w:right w:val="single" w:sz="4" w:space="0" w:color="auto"/>
            </w:tcBorders>
            <w:shd w:val="clear" w:color="auto" w:fill="A5CD7E"/>
            <w:vAlign w:val="center"/>
            <w:hideMark/>
          </w:tcPr>
          <w:p w:rsidR="00AC40FC" w:rsidRPr="00D6083E" w:rsidRDefault="00AC40FC" w:rsidP="00D6083E">
            <w:pPr>
              <w:spacing w:before="120"/>
              <w:jc w:val="center"/>
              <w:rPr>
                <w:b/>
              </w:rPr>
            </w:pPr>
            <w:r w:rsidRPr="00D6083E">
              <w:rPr>
                <w:b/>
              </w:rPr>
              <w:t>2011</w:t>
            </w:r>
          </w:p>
        </w:tc>
        <w:tc>
          <w:tcPr>
            <w:tcW w:w="924" w:type="dxa"/>
            <w:tcBorders>
              <w:top w:val="single" w:sz="4" w:space="0" w:color="auto"/>
              <w:left w:val="nil"/>
              <w:bottom w:val="single" w:sz="4" w:space="0" w:color="auto"/>
              <w:right w:val="single" w:sz="4" w:space="0" w:color="auto"/>
            </w:tcBorders>
            <w:shd w:val="clear" w:color="auto" w:fill="A5CD7E"/>
            <w:vAlign w:val="center"/>
            <w:hideMark/>
          </w:tcPr>
          <w:p w:rsidR="00AC40FC" w:rsidRPr="00D6083E" w:rsidRDefault="00AC40FC" w:rsidP="00D6083E">
            <w:pPr>
              <w:spacing w:before="120"/>
              <w:jc w:val="center"/>
              <w:rPr>
                <w:b/>
              </w:rPr>
            </w:pPr>
            <w:r w:rsidRPr="00D6083E">
              <w:rPr>
                <w:b/>
              </w:rPr>
              <w:t>2012</w:t>
            </w:r>
          </w:p>
        </w:tc>
        <w:tc>
          <w:tcPr>
            <w:tcW w:w="925" w:type="dxa"/>
            <w:tcBorders>
              <w:top w:val="single" w:sz="4" w:space="0" w:color="auto"/>
              <w:left w:val="nil"/>
              <w:bottom w:val="single" w:sz="4" w:space="0" w:color="auto"/>
              <w:right w:val="single" w:sz="4" w:space="0" w:color="auto"/>
            </w:tcBorders>
            <w:shd w:val="clear" w:color="auto" w:fill="A5CD7E"/>
            <w:vAlign w:val="center"/>
            <w:hideMark/>
          </w:tcPr>
          <w:p w:rsidR="00AC40FC" w:rsidRPr="00D6083E" w:rsidRDefault="00AC40FC" w:rsidP="00D6083E">
            <w:pPr>
              <w:spacing w:before="120"/>
              <w:jc w:val="center"/>
              <w:rPr>
                <w:b/>
              </w:rPr>
            </w:pPr>
            <w:r w:rsidRPr="00D6083E">
              <w:rPr>
                <w:b/>
              </w:rPr>
              <w:t>2013</w:t>
            </w:r>
          </w:p>
        </w:tc>
        <w:tc>
          <w:tcPr>
            <w:tcW w:w="924" w:type="dxa"/>
            <w:tcBorders>
              <w:top w:val="single" w:sz="4" w:space="0" w:color="auto"/>
              <w:left w:val="nil"/>
              <w:bottom w:val="single" w:sz="4" w:space="0" w:color="auto"/>
              <w:right w:val="single" w:sz="4" w:space="0" w:color="auto"/>
            </w:tcBorders>
            <w:shd w:val="clear" w:color="auto" w:fill="A5CD7E"/>
            <w:vAlign w:val="center"/>
            <w:hideMark/>
          </w:tcPr>
          <w:p w:rsidR="00AC40FC" w:rsidRPr="00D6083E" w:rsidRDefault="00AC40FC" w:rsidP="00D6083E">
            <w:pPr>
              <w:spacing w:before="120"/>
              <w:jc w:val="center"/>
              <w:rPr>
                <w:b/>
              </w:rPr>
            </w:pPr>
            <w:r w:rsidRPr="00D6083E">
              <w:rPr>
                <w:b/>
              </w:rPr>
              <w:t>2014</w:t>
            </w:r>
          </w:p>
        </w:tc>
        <w:tc>
          <w:tcPr>
            <w:tcW w:w="925" w:type="dxa"/>
            <w:tcBorders>
              <w:top w:val="single" w:sz="4" w:space="0" w:color="auto"/>
              <w:left w:val="nil"/>
              <w:bottom w:val="single" w:sz="4" w:space="0" w:color="auto"/>
              <w:right w:val="single" w:sz="4" w:space="0" w:color="auto"/>
            </w:tcBorders>
            <w:shd w:val="clear" w:color="auto" w:fill="A5CD7E"/>
            <w:vAlign w:val="center"/>
          </w:tcPr>
          <w:p w:rsidR="00AC40FC" w:rsidRPr="00D6083E" w:rsidRDefault="00AC40FC" w:rsidP="00D6083E">
            <w:pPr>
              <w:spacing w:before="120"/>
              <w:jc w:val="center"/>
              <w:rPr>
                <w:b/>
              </w:rPr>
            </w:pPr>
            <w:r w:rsidRPr="00D6083E">
              <w:rPr>
                <w:b/>
              </w:rPr>
              <w:t>2015</w:t>
            </w:r>
          </w:p>
        </w:tc>
      </w:tr>
      <w:tr w:rsidR="00AC40FC" w:rsidRPr="004B4212" w:rsidTr="00BB665B">
        <w:trPr>
          <w:trHeight w:val="188"/>
          <w:jc w:val="center"/>
        </w:trPr>
        <w:tc>
          <w:tcPr>
            <w:tcW w:w="4083" w:type="dxa"/>
            <w:tcBorders>
              <w:top w:val="nil"/>
              <w:left w:val="single" w:sz="4" w:space="0" w:color="auto"/>
              <w:bottom w:val="single" w:sz="4" w:space="0" w:color="auto"/>
              <w:right w:val="single" w:sz="4" w:space="0" w:color="auto"/>
            </w:tcBorders>
            <w:shd w:val="clear" w:color="auto" w:fill="auto"/>
            <w:vAlign w:val="center"/>
            <w:hideMark/>
          </w:tcPr>
          <w:p w:rsidR="00AC40FC" w:rsidRPr="004B4212" w:rsidRDefault="00AC40FC" w:rsidP="00A57D87">
            <w:pPr>
              <w:spacing w:after="0"/>
              <w:rPr>
                <w:rFonts w:eastAsia="Arial Unicode MS" w:cs="Arial"/>
                <w:szCs w:val="24"/>
              </w:rPr>
            </w:pPr>
            <w:r w:rsidRPr="004B4212">
              <w:rPr>
                <w:rFonts w:eastAsia="Arial Unicode MS" w:cs="Arial"/>
                <w:szCs w:val="24"/>
              </w:rPr>
              <w:t>Percent Minority</w:t>
            </w:r>
          </w:p>
        </w:tc>
        <w:tc>
          <w:tcPr>
            <w:tcW w:w="924" w:type="dxa"/>
            <w:tcBorders>
              <w:top w:val="nil"/>
              <w:left w:val="nil"/>
              <w:bottom w:val="single" w:sz="4" w:space="0" w:color="auto"/>
              <w:right w:val="single" w:sz="4" w:space="0" w:color="auto"/>
            </w:tcBorders>
            <w:shd w:val="clear" w:color="auto" w:fill="auto"/>
            <w:vAlign w:val="center"/>
            <w:hideMark/>
          </w:tcPr>
          <w:p w:rsidR="00AC40FC" w:rsidRPr="004B4212" w:rsidRDefault="00AC40FC" w:rsidP="00A57D87">
            <w:pPr>
              <w:spacing w:after="0"/>
              <w:jc w:val="right"/>
              <w:rPr>
                <w:rFonts w:eastAsia="Arial Unicode MS" w:cs="Arial"/>
                <w:szCs w:val="24"/>
              </w:rPr>
            </w:pPr>
            <w:r w:rsidRPr="004B4212">
              <w:rPr>
                <w:rFonts w:eastAsia="Arial Unicode MS" w:cs="Arial"/>
                <w:szCs w:val="24"/>
              </w:rPr>
              <w:t>8.0%</w:t>
            </w:r>
          </w:p>
        </w:tc>
        <w:tc>
          <w:tcPr>
            <w:tcW w:w="924" w:type="dxa"/>
            <w:tcBorders>
              <w:top w:val="nil"/>
              <w:left w:val="nil"/>
              <w:bottom w:val="single" w:sz="4" w:space="0" w:color="auto"/>
              <w:right w:val="single" w:sz="4" w:space="0" w:color="auto"/>
            </w:tcBorders>
            <w:shd w:val="clear" w:color="auto" w:fill="auto"/>
            <w:vAlign w:val="center"/>
            <w:hideMark/>
          </w:tcPr>
          <w:p w:rsidR="00AC40FC" w:rsidRPr="004B4212" w:rsidRDefault="00AC40FC" w:rsidP="00A57D87">
            <w:pPr>
              <w:spacing w:after="0"/>
              <w:jc w:val="right"/>
              <w:rPr>
                <w:rFonts w:eastAsia="Arial Unicode MS" w:cs="Arial"/>
                <w:szCs w:val="24"/>
              </w:rPr>
            </w:pPr>
            <w:r w:rsidRPr="004B4212">
              <w:rPr>
                <w:rFonts w:eastAsia="Arial Unicode MS" w:cs="Arial"/>
                <w:szCs w:val="24"/>
              </w:rPr>
              <w:t>8.2%</w:t>
            </w:r>
          </w:p>
        </w:tc>
        <w:tc>
          <w:tcPr>
            <w:tcW w:w="925" w:type="dxa"/>
            <w:tcBorders>
              <w:top w:val="nil"/>
              <w:left w:val="nil"/>
              <w:bottom w:val="single" w:sz="4" w:space="0" w:color="auto"/>
              <w:right w:val="single" w:sz="4" w:space="0" w:color="auto"/>
            </w:tcBorders>
            <w:shd w:val="clear" w:color="auto" w:fill="auto"/>
            <w:vAlign w:val="center"/>
            <w:hideMark/>
          </w:tcPr>
          <w:p w:rsidR="00AC40FC" w:rsidRPr="004B4212" w:rsidRDefault="00AC40FC" w:rsidP="00A57D87">
            <w:pPr>
              <w:spacing w:after="0"/>
              <w:jc w:val="right"/>
              <w:rPr>
                <w:rFonts w:eastAsia="Arial Unicode MS" w:cs="Arial"/>
                <w:szCs w:val="24"/>
              </w:rPr>
            </w:pPr>
            <w:r w:rsidRPr="004B4212">
              <w:rPr>
                <w:rFonts w:eastAsia="Arial Unicode MS" w:cs="Arial"/>
                <w:szCs w:val="24"/>
              </w:rPr>
              <w:t>8.0%</w:t>
            </w:r>
          </w:p>
        </w:tc>
        <w:tc>
          <w:tcPr>
            <w:tcW w:w="924" w:type="dxa"/>
            <w:tcBorders>
              <w:top w:val="nil"/>
              <w:left w:val="nil"/>
              <w:bottom w:val="single" w:sz="4" w:space="0" w:color="auto"/>
              <w:right w:val="single" w:sz="4" w:space="0" w:color="auto"/>
            </w:tcBorders>
            <w:shd w:val="clear" w:color="auto" w:fill="auto"/>
            <w:vAlign w:val="center"/>
            <w:hideMark/>
          </w:tcPr>
          <w:p w:rsidR="00AC40FC" w:rsidRPr="004B4212" w:rsidRDefault="00AC40FC" w:rsidP="00A57D87">
            <w:pPr>
              <w:spacing w:after="0"/>
              <w:jc w:val="right"/>
              <w:rPr>
                <w:rFonts w:eastAsia="Arial Unicode MS" w:cs="Arial"/>
                <w:szCs w:val="24"/>
              </w:rPr>
            </w:pPr>
            <w:r w:rsidRPr="004B4212">
              <w:rPr>
                <w:rFonts w:eastAsia="Arial Unicode MS" w:cs="Arial"/>
                <w:szCs w:val="24"/>
              </w:rPr>
              <w:t>7.9%</w:t>
            </w:r>
          </w:p>
        </w:tc>
        <w:tc>
          <w:tcPr>
            <w:tcW w:w="925" w:type="dxa"/>
            <w:tcBorders>
              <w:top w:val="nil"/>
              <w:left w:val="nil"/>
              <w:bottom w:val="single" w:sz="4" w:space="0" w:color="auto"/>
              <w:right w:val="single" w:sz="4" w:space="0" w:color="auto"/>
            </w:tcBorders>
            <w:vAlign w:val="center"/>
          </w:tcPr>
          <w:p w:rsidR="00AC40FC" w:rsidRPr="004B4212" w:rsidRDefault="00AC40FC" w:rsidP="00A57D87">
            <w:pPr>
              <w:spacing w:after="0"/>
              <w:jc w:val="center"/>
              <w:rPr>
                <w:rFonts w:eastAsia="Arial Unicode MS" w:cs="Arial"/>
                <w:szCs w:val="24"/>
              </w:rPr>
            </w:pPr>
            <w:r>
              <w:rPr>
                <w:rFonts w:eastAsia="Arial Unicode MS" w:cs="Arial"/>
                <w:szCs w:val="24"/>
              </w:rPr>
              <w:t>8.5%</w:t>
            </w:r>
          </w:p>
        </w:tc>
      </w:tr>
      <w:tr w:rsidR="00AC40FC" w:rsidRPr="004B4212" w:rsidTr="00BB665B">
        <w:trPr>
          <w:trHeight w:val="170"/>
          <w:jc w:val="center"/>
        </w:trPr>
        <w:tc>
          <w:tcPr>
            <w:tcW w:w="4083" w:type="dxa"/>
            <w:tcBorders>
              <w:top w:val="nil"/>
              <w:left w:val="single" w:sz="4" w:space="0" w:color="auto"/>
              <w:bottom w:val="single" w:sz="4" w:space="0" w:color="auto"/>
              <w:right w:val="single" w:sz="4" w:space="0" w:color="auto"/>
            </w:tcBorders>
            <w:shd w:val="clear" w:color="auto" w:fill="auto"/>
            <w:vAlign w:val="center"/>
            <w:hideMark/>
          </w:tcPr>
          <w:p w:rsidR="00AC40FC" w:rsidRPr="004B4212" w:rsidRDefault="00AC40FC" w:rsidP="00A57D87">
            <w:pPr>
              <w:spacing w:after="0"/>
              <w:rPr>
                <w:rFonts w:eastAsia="Arial Unicode MS" w:cs="Arial"/>
                <w:szCs w:val="24"/>
              </w:rPr>
            </w:pPr>
            <w:r w:rsidRPr="004B4212">
              <w:rPr>
                <w:rFonts w:eastAsia="Arial Unicode MS" w:cs="Arial"/>
                <w:szCs w:val="24"/>
              </w:rPr>
              <w:t>Percent Non-Minority</w:t>
            </w:r>
          </w:p>
        </w:tc>
        <w:tc>
          <w:tcPr>
            <w:tcW w:w="924" w:type="dxa"/>
            <w:tcBorders>
              <w:top w:val="nil"/>
              <w:left w:val="nil"/>
              <w:bottom w:val="single" w:sz="4" w:space="0" w:color="auto"/>
              <w:right w:val="single" w:sz="4" w:space="0" w:color="auto"/>
            </w:tcBorders>
            <w:shd w:val="clear" w:color="auto" w:fill="auto"/>
            <w:vAlign w:val="center"/>
            <w:hideMark/>
          </w:tcPr>
          <w:p w:rsidR="00AC40FC" w:rsidRPr="004B4212" w:rsidRDefault="00AC40FC" w:rsidP="00A57D87">
            <w:pPr>
              <w:spacing w:after="0"/>
              <w:jc w:val="right"/>
              <w:rPr>
                <w:rFonts w:eastAsia="Arial Unicode MS" w:cs="Arial"/>
                <w:szCs w:val="24"/>
              </w:rPr>
            </w:pPr>
            <w:r w:rsidRPr="004B4212">
              <w:rPr>
                <w:rFonts w:eastAsia="Arial Unicode MS" w:cs="Arial"/>
                <w:szCs w:val="24"/>
              </w:rPr>
              <w:t>92.0%</w:t>
            </w:r>
          </w:p>
        </w:tc>
        <w:tc>
          <w:tcPr>
            <w:tcW w:w="924" w:type="dxa"/>
            <w:tcBorders>
              <w:top w:val="nil"/>
              <w:left w:val="nil"/>
              <w:bottom w:val="single" w:sz="4" w:space="0" w:color="auto"/>
              <w:right w:val="single" w:sz="4" w:space="0" w:color="auto"/>
            </w:tcBorders>
            <w:shd w:val="clear" w:color="auto" w:fill="auto"/>
            <w:vAlign w:val="center"/>
            <w:hideMark/>
          </w:tcPr>
          <w:p w:rsidR="00AC40FC" w:rsidRPr="004B4212" w:rsidRDefault="00AC40FC" w:rsidP="00A57D87">
            <w:pPr>
              <w:spacing w:after="0"/>
              <w:jc w:val="right"/>
              <w:rPr>
                <w:rFonts w:eastAsia="Arial Unicode MS" w:cs="Arial"/>
                <w:szCs w:val="24"/>
              </w:rPr>
            </w:pPr>
            <w:r w:rsidRPr="004B4212">
              <w:rPr>
                <w:rFonts w:eastAsia="Arial Unicode MS" w:cs="Arial"/>
                <w:szCs w:val="24"/>
              </w:rPr>
              <w:t>91.8%</w:t>
            </w:r>
          </w:p>
        </w:tc>
        <w:tc>
          <w:tcPr>
            <w:tcW w:w="925" w:type="dxa"/>
            <w:tcBorders>
              <w:top w:val="nil"/>
              <w:left w:val="nil"/>
              <w:bottom w:val="single" w:sz="4" w:space="0" w:color="auto"/>
              <w:right w:val="single" w:sz="4" w:space="0" w:color="auto"/>
            </w:tcBorders>
            <w:shd w:val="clear" w:color="auto" w:fill="auto"/>
            <w:vAlign w:val="center"/>
            <w:hideMark/>
          </w:tcPr>
          <w:p w:rsidR="00AC40FC" w:rsidRPr="004B4212" w:rsidRDefault="00AC40FC" w:rsidP="00A57D87">
            <w:pPr>
              <w:spacing w:after="0"/>
              <w:jc w:val="right"/>
              <w:rPr>
                <w:rFonts w:eastAsia="Arial Unicode MS" w:cs="Arial"/>
                <w:szCs w:val="24"/>
              </w:rPr>
            </w:pPr>
            <w:r w:rsidRPr="004B4212">
              <w:rPr>
                <w:rFonts w:eastAsia="Arial Unicode MS" w:cs="Arial"/>
                <w:szCs w:val="24"/>
              </w:rPr>
              <w:t>92.0%</w:t>
            </w:r>
          </w:p>
        </w:tc>
        <w:tc>
          <w:tcPr>
            <w:tcW w:w="924" w:type="dxa"/>
            <w:tcBorders>
              <w:top w:val="nil"/>
              <w:left w:val="nil"/>
              <w:bottom w:val="single" w:sz="4" w:space="0" w:color="auto"/>
              <w:right w:val="single" w:sz="4" w:space="0" w:color="auto"/>
            </w:tcBorders>
            <w:shd w:val="clear" w:color="auto" w:fill="auto"/>
            <w:vAlign w:val="center"/>
            <w:hideMark/>
          </w:tcPr>
          <w:p w:rsidR="00AC40FC" w:rsidRPr="004B4212" w:rsidRDefault="00AC40FC" w:rsidP="00A57D87">
            <w:pPr>
              <w:spacing w:after="0"/>
              <w:jc w:val="right"/>
              <w:rPr>
                <w:rFonts w:eastAsia="Arial Unicode MS" w:cs="Arial"/>
                <w:szCs w:val="24"/>
              </w:rPr>
            </w:pPr>
            <w:r w:rsidRPr="004B4212">
              <w:rPr>
                <w:rFonts w:eastAsia="Arial Unicode MS" w:cs="Arial"/>
                <w:szCs w:val="24"/>
              </w:rPr>
              <w:t>92.1%</w:t>
            </w:r>
          </w:p>
        </w:tc>
        <w:tc>
          <w:tcPr>
            <w:tcW w:w="925" w:type="dxa"/>
            <w:tcBorders>
              <w:top w:val="nil"/>
              <w:left w:val="nil"/>
              <w:bottom w:val="single" w:sz="4" w:space="0" w:color="auto"/>
              <w:right w:val="single" w:sz="4" w:space="0" w:color="auto"/>
            </w:tcBorders>
            <w:vAlign w:val="center"/>
          </w:tcPr>
          <w:p w:rsidR="00AC40FC" w:rsidRPr="004B4212" w:rsidRDefault="00AC40FC" w:rsidP="00A57D87">
            <w:pPr>
              <w:spacing w:after="0"/>
              <w:jc w:val="center"/>
              <w:rPr>
                <w:rFonts w:eastAsia="Arial Unicode MS" w:cs="Arial"/>
                <w:szCs w:val="24"/>
              </w:rPr>
            </w:pPr>
            <w:r>
              <w:rPr>
                <w:rFonts w:eastAsia="Arial Unicode MS" w:cs="Arial"/>
                <w:szCs w:val="24"/>
              </w:rPr>
              <w:t>91.5%</w:t>
            </w:r>
          </w:p>
        </w:tc>
      </w:tr>
      <w:tr w:rsidR="00AC40FC" w:rsidRPr="004B4212" w:rsidTr="00BB665B">
        <w:trPr>
          <w:trHeight w:val="242"/>
          <w:jc w:val="center"/>
        </w:trPr>
        <w:tc>
          <w:tcPr>
            <w:tcW w:w="4083" w:type="dxa"/>
            <w:tcBorders>
              <w:top w:val="nil"/>
              <w:left w:val="single" w:sz="4" w:space="0" w:color="auto"/>
              <w:bottom w:val="single" w:sz="4" w:space="0" w:color="auto"/>
              <w:right w:val="single" w:sz="4" w:space="0" w:color="auto"/>
            </w:tcBorders>
            <w:shd w:val="clear" w:color="auto" w:fill="FFFFFF" w:themeFill="background1"/>
            <w:vAlign w:val="center"/>
            <w:hideMark/>
          </w:tcPr>
          <w:p w:rsidR="00AC40FC" w:rsidRPr="004B4212" w:rsidRDefault="00AC40FC" w:rsidP="00A57D87">
            <w:pPr>
              <w:spacing w:after="0"/>
              <w:rPr>
                <w:rFonts w:eastAsia="Arial Unicode MS" w:cs="Arial"/>
                <w:szCs w:val="24"/>
              </w:rPr>
            </w:pPr>
            <w:r w:rsidRPr="004B4212">
              <w:rPr>
                <w:rFonts w:eastAsia="Arial Unicode MS" w:cs="Arial"/>
                <w:szCs w:val="24"/>
              </w:rPr>
              <w:t>Percent Female</w:t>
            </w:r>
          </w:p>
        </w:tc>
        <w:tc>
          <w:tcPr>
            <w:tcW w:w="924" w:type="dxa"/>
            <w:tcBorders>
              <w:top w:val="nil"/>
              <w:left w:val="nil"/>
              <w:bottom w:val="single" w:sz="4" w:space="0" w:color="auto"/>
              <w:right w:val="single" w:sz="4" w:space="0" w:color="auto"/>
            </w:tcBorders>
            <w:shd w:val="clear" w:color="auto" w:fill="FFFFFF" w:themeFill="background1"/>
            <w:vAlign w:val="center"/>
            <w:hideMark/>
          </w:tcPr>
          <w:p w:rsidR="00AC40FC" w:rsidRPr="004B4212" w:rsidRDefault="00AC40FC" w:rsidP="00A57D87">
            <w:pPr>
              <w:spacing w:after="0"/>
              <w:jc w:val="right"/>
              <w:rPr>
                <w:rFonts w:eastAsia="Arial Unicode MS" w:cs="Arial"/>
                <w:szCs w:val="24"/>
              </w:rPr>
            </w:pPr>
            <w:r w:rsidRPr="004B4212">
              <w:rPr>
                <w:rFonts w:eastAsia="Arial Unicode MS" w:cs="Arial"/>
                <w:szCs w:val="24"/>
              </w:rPr>
              <w:t>25.7%</w:t>
            </w:r>
          </w:p>
        </w:tc>
        <w:tc>
          <w:tcPr>
            <w:tcW w:w="924" w:type="dxa"/>
            <w:tcBorders>
              <w:top w:val="nil"/>
              <w:left w:val="nil"/>
              <w:bottom w:val="single" w:sz="4" w:space="0" w:color="auto"/>
              <w:right w:val="single" w:sz="4" w:space="0" w:color="auto"/>
            </w:tcBorders>
            <w:shd w:val="clear" w:color="auto" w:fill="FFFFFF" w:themeFill="background1"/>
            <w:vAlign w:val="center"/>
            <w:hideMark/>
          </w:tcPr>
          <w:p w:rsidR="00AC40FC" w:rsidRPr="004B4212" w:rsidRDefault="00AC40FC" w:rsidP="00A57D87">
            <w:pPr>
              <w:spacing w:after="0"/>
              <w:jc w:val="right"/>
              <w:rPr>
                <w:rFonts w:eastAsia="Arial Unicode MS" w:cs="Arial"/>
                <w:szCs w:val="24"/>
              </w:rPr>
            </w:pPr>
            <w:r w:rsidRPr="004B4212">
              <w:rPr>
                <w:rFonts w:eastAsia="Arial Unicode MS" w:cs="Arial"/>
                <w:szCs w:val="24"/>
              </w:rPr>
              <w:t>26.0%</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AC40FC" w:rsidRPr="004B4212" w:rsidRDefault="00AC40FC" w:rsidP="00A57D87">
            <w:pPr>
              <w:spacing w:after="0"/>
              <w:jc w:val="right"/>
              <w:rPr>
                <w:rFonts w:eastAsia="Arial Unicode MS" w:cs="Arial"/>
                <w:szCs w:val="24"/>
              </w:rPr>
            </w:pPr>
            <w:r w:rsidRPr="004B4212">
              <w:rPr>
                <w:rFonts w:eastAsia="Arial Unicode MS" w:cs="Arial"/>
                <w:szCs w:val="24"/>
              </w:rPr>
              <w:t>25.9%</w:t>
            </w:r>
          </w:p>
        </w:tc>
        <w:tc>
          <w:tcPr>
            <w:tcW w:w="924" w:type="dxa"/>
            <w:tcBorders>
              <w:top w:val="nil"/>
              <w:left w:val="nil"/>
              <w:bottom w:val="single" w:sz="4" w:space="0" w:color="auto"/>
              <w:right w:val="single" w:sz="4" w:space="0" w:color="auto"/>
            </w:tcBorders>
            <w:shd w:val="clear" w:color="auto" w:fill="FFFFFF" w:themeFill="background1"/>
            <w:vAlign w:val="center"/>
            <w:hideMark/>
          </w:tcPr>
          <w:p w:rsidR="00AC40FC" w:rsidRPr="004B4212" w:rsidRDefault="00AC40FC" w:rsidP="00A57D87">
            <w:pPr>
              <w:spacing w:after="0"/>
              <w:jc w:val="right"/>
              <w:rPr>
                <w:rFonts w:eastAsia="Arial Unicode MS" w:cs="Arial"/>
                <w:szCs w:val="24"/>
              </w:rPr>
            </w:pPr>
            <w:r w:rsidRPr="004B4212">
              <w:rPr>
                <w:rFonts w:eastAsia="Arial Unicode MS" w:cs="Arial"/>
                <w:szCs w:val="24"/>
              </w:rPr>
              <w:t>25.6%</w:t>
            </w:r>
          </w:p>
        </w:tc>
        <w:tc>
          <w:tcPr>
            <w:tcW w:w="925" w:type="dxa"/>
            <w:tcBorders>
              <w:top w:val="nil"/>
              <w:left w:val="nil"/>
              <w:bottom w:val="single" w:sz="4" w:space="0" w:color="auto"/>
              <w:right w:val="single" w:sz="4" w:space="0" w:color="auto"/>
            </w:tcBorders>
            <w:shd w:val="clear" w:color="auto" w:fill="FFFFFF" w:themeFill="background1"/>
            <w:vAlign w:val="center"/>
          </w:tcPr>
          <w:p w:rsidR="00AC40FC" w:rsidRPr="004B4212" w:rsidRDefault="00AC40FC" w:rsidP="00A57D87">
            <w:pPr>
              <w:spacing w:after="0"/>
              <w:jc w:val="center"/>
              <w:rPr>
                <w:rFonts w:eastAsia="Arial Unicode MS" w:cs="Arial"/>
                <w:szCs w:val="24"/>
              </w:rPr>
            </w:pPr>
            <w:r>
              <w:rPr>
                <w:rFonts w:eastAsia="Arial Unicode MS" w:cs="Arial"/>
                <w:szCs w:val="24"/>
              </w:rPr>
              <w:t>25.1%</w:t>
            </w:r>
          </w:p>
        </w:tc>
      </w:tr>
      <w:tr w:rsidR="00AC40FC" w:rsidRPr="004B4212" w:rsidTr="00BB665B">
        <w:trPr>
          <w:trHeight w:val="233"/>
          <w:jc w:val="center"/>
        </w:trPr>
        <w:tc>
          <w:tcPr>
            <w:tcW w:w="4083" w:type="dxa"/>
            <w:tcBorders>
              <w:top w:val="nil"/>
              <w:left w:val="single" w:sz="4" w:space="0" w:color="auto"/>
              <w:bottom w:val="single" w:sz="4" w:space="0" w:color="auto"/>
              <w:right w:val="single" w:sz="4" w:space="0" w:color="auto"/>
            </w:tcBorders>
            <w:shd w:val="clear" w:color="auto" w:fill="FFFFFF" w:themeFill="background1"/>
            <w:vAlign w:val="center"/>
            <w:hideMark/>
          </w:tcPr>
          <w:p w:rsidR="00AC40FC" w:rsidRPr="004B4212" w:rsidRDefault="00AC40FC" w:rsidP="00A57D87">
            <w:pPr>
              <w:spacing w:after="0"/>
              <w:rPr>
                <w:rFonts w:eastAsia="Arial Unicode MS" w:cs="Arial"/>
                <w:szCs w:val="24"/>
              </w:rPr>
            </w:pPr>
            <w:r w:rsidRPr="004B4212">
              <w:rPr>
                <w:rFonts w:eastAsia="Arial Unicode MS" w:cs="Arial"/>
                <w:szCs w:val="24"/>
              </w:rPr>
              <w:t>Percent Male</w:t>
            </w:r>
          </w:p>
        </w:tc>
        <w:tc>
          <w:tcPr>
            <w:tcW w:w="924" w:type="dxa"/>
            <w:tcBorders>
              <w:top w:val="nil"/>
              <w:left w:val="nil"/>
              <w:bottom w:val="single" w:sz="4" w:space="0" w:color="auto"/>
              <w:right w:val="single" w:sz="4" w:space="0" w:color="auto"/>
            </w:tcBorders>
            <w:shd w:val="clear" w:color="auto" w:fill="FFFFFF" w:themeFill="background1"/>
            <w:vAlign w:val="center"/>
            <w:hideMark/>
          </w:tcPr>
          <w:p w:rsidR="00AC40FC" w:rsidRPr="004B4212" w:rsidRDefault="00AC40FC" w:rsidP="00A57D87">
            <w:pPr>
              <w:spacing w:after="0"/>
              <w:jc w:val="right"/>
              <w:rPr>
                <w:rFonts w:eastAsia="Arial Unicode MS" w:cs="Arial"/>
                <w:szCs w:val="24"/>
              </w:rPr>
            </w:pPr>
            <w:r w:rsidRPr="004B4212">
              <w:rPr>
                <w:rFonts w:eastAsia="Arial Unicode MS" w:cs="Arial"/>
                <w:szCs w:val="24"/>
              </w:rPr>
              <w:t>74.3%</w:t>
            </w:r>
          </w:p>
        </w:tc>
        <w:tc>
          <w:tcPr>
            <w:tcW w:w="924" w:type="dxa"/>
            <w:tcBorders>
              <w:top w:val="nil"/>
              <w:left w:val="nil"/>
              <w:bottom w:val="single" w:sz="4" w:space="0" w:color="auto"/>
              <w:right w:val="single" w:sz="4" w:space="0" w:color="auto"/>
            </w:tcBorders>
            <w:shd w:val="clear" w:color="auto" w:fill="FFFFFF" w:themeFill="background1"/>
            <w:vAlign w:val="center"/>
            <w:hideMark/>
          </w:tcPr>
          <w:p w:rsidR="00AC40FC" w:rsidRPr="004B4212" w:rsidRDefault="00AC40FC" w:rsidP="00A57D87">
            <w:pPr>
              <w:spacing w:after="0"/>
              <w:jc w:val="right"/>
              <w:rPr>
                <w:rFonts w:eastAsia="Arial Unicode MS" w:cs="Arial"/>
                <w:szCs w:val="24"/>
              </w:rPr>
            </w:pPr>
            <w:r w:rsidRPr="004B4212">
              <w:rPr>
                <w:rFonts w:eastAsia="Arial Unicode MS" w:cs="Arial"/>
                <w:szCs w:val="24"/>
              </w:rPr>
              <w:t>74.0%</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AC40FC" w:rsidRPr="004B4212" w:rsidRDefault="00AC40FC" w:rsidP="00A57D87">
            <w:pPr>
              <w:spacing w:after="0"/>
              <w:jc w:val="right"/>
              <w:rPr>
                <w:rFonts w:eastAsia="Arial Unicode MS" w:cs="Arial"/>
                <w:szCs w:val="24"/>
              </w:rPr>
            </w:pPr>
            <w:r w:rsidRPr="004B4212">
              <w:rPr>
                <w:rFonts w:eastAsia="Arial Unicode MS" w:cs="Arial"/>
                <w:szCs w:val="24"/>
              </w:rPr>
              <w:t>74.1%</w:t>
            </w:r>
          </w:p>
        </w:tc>
        <w:tc>
          <w:tcPr>
            <w:tcW w:w="924" w:type="dxa"/>
            <w:tcBorders>
              <w:top w:val="nil"/>
              <w:left w:val="nil"/>
              <w:bottom w:val="single" w:sz="4" w:space="0" w:color="auto"/>
              <w:right w:val="single" w:sz="4" w:space="0" w:color="auto"/>
            </w:tcBorders>
            <w:shd w:val="clear" w:color="auto" w:fill="FFFFFF" w:themeFill="background1"/>
            <w:vAlign w:val="center"/>
            <w:hideMark/>
          </w:tcPr>
          <w:p w:rsidR="00AC40FC" w:rsidRPr="004B4212" w:rsidRDefault="00AC40FC" w:rsidP="00A57D87">
            <w:pPr>
              <w:spacing w:after="0"/>
              <w:jc w:val="right"/>
              <w:rPr>
                <w:rFonts w:eastAsia="Arial Unicode MS" w:cs="Arial"/>
                <w:szCs w:val="24"/>
              </w:rPr>
            </w:pPr>
            <w:r w:rsidRPr="004B4212">
              <w:rPr>
                <w:rFonts w:eastAsia="Arial Unicode MS" w:cs="Arial"/>
                <w:szCs w:val="24"/>
              </w:rPr>
              <w:t>74.4%</w:t>
            </w:r>
          </w:p>
        </w:tc>
        <w:tc>
          <w:tcPr>
            <w:tcW w:w="925" w:type="dxa"/>
            <w:tcBorders>
              <w:top w:val="nil"/>
              <w:left w:val="nil"/>
              <w:bottom w:val="single" w:sz="4" w:space="0" w:color="auto"/>
              <w:right w:val="single" w:sz="4" w:space="0" w:color="auto"/>
            </w:tcBorders>
            <w:shd w:val="clear" w:color="auto" w:fill="FFFFFF" w:themeFill="background1"/>
            <w:vAlign w:val="center"/>
          </w:tcPr>
          <w:p w:rsidR="00AC40FC" w:rsidRPr="004B4212" w:rsidRDefault="00AC40FC" w:rsidP="00A57D87">
            <w:pPr>
              <w:spacing w:after="0"/>
              <w:jc w:val="center"/>
              <w:rPr>
                <w:rFonts w:eastAsia="Arial Unicode MS" w:cs="Arial"/>
                <w:szCs w:val="24"/>
              </w:rPr>
            </w:pPr>
            <w:r>
              <w:rPr>
                <w:rFonts w:eastAsia="Arial Unicode MS" w:cs="Arial"/>
                <w:szCs w:val="24"/>
              </w:rPr>
              <w:t>74.9%</w:t>
            </w:r>
          </w:p>
        </w:tc>
      </w:tr>
      <w:tr w:rsidR="00AC40FC" w:rsidRPr="004B4212" w:rsidTr="00BB665B">
        <w:trPr>
          <w:trHeight w:val="215"/>
          <w:jc w:val="center"/>
        </w:trPr>
        <w:tc>
          <w:tcPr>
            <w:tcW w:w="4083" w:type="dxa"/>
            <w:tcBorders>
              <w:top w:val="nil"/>
              <w:left w:val="single" w:sz="4" w:space="0" w:color="auto"/>
              <w:bottom w:val="single" w:sz="4" w:space="0" w:color="auto"/>
              <w:right w:val="single" w:sz="4" w:space="0" w:color="auto"/>
            </w:tcBorders>
            <w:shd w:val="clear" w:color="auto" w:fill="auto"/>
            <w:vAlign w:val="center"/>
            <w:hideMark/>
          </w:tcPr>
          <w:p w:rsidR="00AC40FC" w:rsidRPr="004B4212" w:rsidRDefault="00AC40FC" w:rsidP="00A57D87">
            <w:pPr>
              <w:spacing w:after="0"/>
              <w:rPr>
                <w:rFonts w:eastAsia="Arial Unicode MS" w:cs="Arial"/>
                <w:szCs w:val="24"/>
              </w:rPr>
            </w:pPr>
            <w:r w:rsidRPr="004B4212">
              <w:rPr>
                <w:rFonts w:eastAsia="Arial Unicode MS" w:cs="Arial"/>
                <w:szCs w:val="24"/>
              </w:rPr>
              <w:t>Percent Veteran</w:t>
            </w:r>
          </w:p>
        </w:tc>
        <w:tc>
          <w:tcPr>
            <w:tcW w:w="924" w:type="dxa"/>
            <w:tcBorders>
              <w:top w:val="nil"/>
              <w:left w:val="nil"/>
              <w:bottom w:val="single" w:sz="4" w:space="0" w:color="auto"/>
              <w:right w:val="single" w:sz="4" w:space="0" w:color="auto"/>
            </w:tcBorders>
            <w:shd w:val="clear" w:color="auto" w:fill="auto"/>
            <w:vAlign w:val="center"/>
            <w:hideMark/>
          </w:tcPr>
          <w:p w:rsidR="00AC40FC" w:rsidRPr="004B4212" w:rsidRDefault="00AC40FC" w:rsidP="00A57D87">
            <w:pPr>
              <w:spacing w:after="0"/>
              <w:jc w:val="right"/>
              <w:rPr>
                <w:rFonts w:eastAsia="Arial Unicode MS" w:cs="Arial"/>
                <w:szCs w:val="24"/>
              </w:rPr>
            </w:pPr>
            <w:r w:rsidRPr="004B4212">
              <w:rPr>
                <w:rFonts w:eastAsia="Arial Unicode MS" w:cs="Arial"/>
                <w:szCs w:val="24"/>
              </w:rPr>
              <w:t>9.2%</w:t>
            </w:r>
          </w:p>
        </w:tc>
        <w:tc>
          <w:tcPr>
            <w:tcW w:w="924" w:type="dxa"/>
            <w:tcBorders>
              <w:top w:val="nil"/>
              <w:left w:val="nil"/>
              <w:bottom w:val="single" w:sz="4" w:space="0" w:color="auto"/>
              <w:right w:val="single" w:sz="4" w:space="0" w:color="auto"/>
            </w:tcBorders>
            <w:shd w:val="clear" w:color="auto" w:fill="auto"/>
            <w:vAlign w:val="center"/>
            <w:hideMark/>
          </w:tcPr>
          <w:p w:rsidR="00AC40FC" w:rsidRPr="004B4212" w:rsidRDefault="00AC40FC" w:rsidP="00A57D87">
            <w:pPr>
              <w:spacing w:after="0"/>
              <w:jc w:val="right"/>
              <w:rPr>
                <w:rFonts w:eastAsia="Arial Unicode MS" w:cs="Arial"/>
                <w:szCs w:val="24"/>
              </w:rPr>
            </w:pPr>
            <w:r w:rsidRPr="004B4212">
              <w:rPr>
                <w:rFonts w:eastAsia="Arial Unicode MS" w:cs="Arial"/>
                <w:szCs w:val="24"/>
              </w:rPr>
              <w:t>8.5%</w:t>
            </w:r>
          </w:p>
        </w:tc>
        <w:tc>
          <w:tcPr>
            <w:tcW w:w="925" w:type="dxa"/>
            <w:tcBorders>
              <w:top w:val="nil"/>
              <w:left w:val="nil"/>
              <w:bottom w:val="single" w:sz="4" w:space="0" w:color="auto"/>
              <w:right w:val="single" w:sz="4" w:space="0" w:color="auto"/>
            </w:tcBorders>
            <w:shd w:val="clear" w:color="auto" w:fill="auto"/>
            <w:vAlign w:val="center"/>
            <w:hideMark/>
          </w:tcPr>
          <w:p w:rsidR="00AC40FC" w:rsidRPr="004B4212" w:rsidRDefault="00AC40FC" w:rsidP="00A57D87">
            <w:pPr>
              <w:spacing w:after="0"/>
              <w:jc w:val="right"/>
              <w:rPr>
                <w:rFonts w:eastAsia="Arial Unicode MS" w:cs="Arial"/>
                <w:szCs w:val="24"/>
              </w:rPr>
            </w:pPr>
            <w:r w:rsidRPr="004B4212">
              <w:rPr>
                <w:rFonts w:eastAsia="Arial Unicode MS" w:cs="Arial"/>
                <w:szCs w:val="24"/>
              </w:rPr>
              <w:t>7.7%</w:t>
            </w:r>
          </w:p>
        </w:tc>
        <w:tc>
          <w:tcPr>
            <w:tcW w:w="924" w:type="dxa"/>
            <w:tcBorders>
              <w:top w:val="nil"/>
              <w:left w:val="nil"/>
              <w:bottom w:val="single" w:sz="4" w:space="0" w:color="auto"/>
              <w:right w:val="single" w:sz="4" w:space="0" w:color="auto"/>
            </w:tcBorders>
            <w:shd w:val="clear" w:color="auto" w:fill="auto"/>
            <w:vAlign w:val="center"/>
            <w:hideMark/>
          </w:tcPr>
          <w:p w:rsidR="00AC40FC" w:rsidRPr="004B4212" w:rsidRDefault="00AC40FC" w:rsidP="00A57D87">
            <w:pPr>
              <w:spacing w:after="0"/>
              <w:jc w:val="right"/>
              <w:rPr>
                <w:rFonts w:eastAsia="Arial Unicode MS" w:cs="Arial"/>
                <w:szCs w:val="24"/>
              </w:rPr>
            </w:pPr>
            <w:r w:rsidRPr="004B4212">
              <w:rPr>
                <w:rFonts w:eastAsia="Arial Unicode MS" w:cs="Arial"/>
                <w:szCs w:val="24"/>
              </w:rPr>
              <w:t>6.8%</w:t>
            </w:r>
          </w:p>
        </w:tc>
        <w:tc>
          <w:tcPr>
            <w:tcW w:w="925" w:type="dxa"/>
            <w:tcBorders>
              <w:top w:val="nil"/>
              <w:left w:val="nil"/>
              <w:bottom w:val="single" w:sz="4" w:space="0" w:color="auto"/>
              <w:right w:val="single" w:sz="4" w:space="0" w:color="auto"/>
            </w:tcBorders>
            <w:vAlign w:val="center"/>
          </w:tcPr>
          <w:p w:rsidR="00AC40FC" w:rsidRPr="004B4212" w:rsidRDefault="00AC40FC" w:rsidP="00A57D87">
            <w:pPr>
              <w:spacing w:after="0"/>
              <w:jc w:val="center"/>
              <w:rPr>
                <w:rFonts w:eastAsia="Arial Unicode MS" w:cs="Arial"/>
                <w:szCs w:val="24"/>
              </w:rPr>
            </w:pPr>
            <w:r>
              <w:rPr>
                <w:rFonts w:eastAsia="Arial Unicode MS" w:cs="Arial"/>
                <w:szCs w:val="24"/>
              </w:rPr>
              <w:t>7.2%</w:t>
            </w:r>
          </w:p>
        </w:tc>
      </w:tr>
      <w:tr w:rsidR="00AC40FC" w:rsidRPr="004B4212" w:rsidTr="00BB665B">
        <w:trPr>
          <w:trHeight w:val="197"/>
          <w:jc w:val="center"/>
        </w:trPr>
        <w:tc>
          <w:tcPr>
            <w:tcW w:w="4083" w:type="dxa"/>
            <w:tcBorders>
              <w:top w:val="nil"/>
              <w:left w:val="single" w:sz="4" w:space="0" w:color="auto"/>
              <w:bottom w:val="single" w:sz="4" w:space="0" w:color="auto"/>
              <w:right w:val="single" w:sz="4" w:space="0" w:color="auto"/>
            </w:tcBorders>
            <w:shd w:val="clear" w:color="auto" w:fill="auto"/>
            <w:vAlign w:val="center"/>
            <w:hideMark/>
          </w:tcPr>
          <w:p w:rsidR="00AC40FC" w:rsidRPr="004B4212" w:rsidRDefault="00AC40FC" w:rsidP="00A57D87">
            <w:pPr>
              <w:spacing w:after="0"/>
              <w:rPr>
                <w:rFonts w:eastAsia="Arial Unicode MS" w:cs="Arial"/>
                <w:szCs w:val="24"/>
              </w:rPr>
            </w:pPr>
            <w:r w:rsidRPr="004B4212">
              <w:rPr>
                <w:rFonts w:eastAsia="Arial Unicode MS" w:cs="Arial"/>
                <w:szCs w:val="24"/>
              </w:rPr>
              <w:t>Percent Non-Veteran</w:t>
            </w:r>
          </w:p>
        </w:tc>
        <w:tc>
          <w:tcPr>
            <w:tcW w:w="924" w:type="dxa"/>
            <w:tcBorders>
              <w:top w:val="nil"/>
              <w:left w:val="nil"/>
              <w:bottom w:val="single" w:sz="4" w:space="0" w:color="auto"/>
              <w:right w:val="single" w:sz="4" w:space="0" w:color="auto"/>
            </w:tcBorders>
            <w:shd w:val="clear" w:color="auto" w:fill="auto"/>
            <w:vAlign w:val="center"/>
            <w:hideMark/>
          </w:tcPr>
          <w:p w:rsidR="00AC40FC" w:rsidRPr="004B4212" w:rsidRDefault="00AC40FC" w:rsidP="00A57D87">
            <w:pPr>
              <w:spacing w:after="0"/>
              <w:jc w:val="right"/>
              <w:rPr>
                <w:rFonts w:eastAsia="Arial Unicode MS" w:cs="Arial"/>
                <w:szCs w:val="24"/>
              </w:rPr>
            </w:pPr>
            <w:r w:rsidRPr="004B4212">
              <w:rPr>
                <w:rFonts w:eastAsia="Arial Unicode MS" w:cs="Arial"/>
                <w:szCs w:val="24"/>
              </w:rPr>
              <w:t>90.8%</w:t>
            </w:r>
          </w:p>
        </w:tc>
        <w:tc>
          <w:tcPr>
            <w:tcW w:w="924" w:type="dxa"/>
            <w:tcBorders>
              <w:top w:val="nil"/>
              <w:left w:val="nil"/>
              <w:bottom w:val="single" w:sz="4" w:space="0" w:color="auto"/>
              <w:right w:val="single" w:sz="4" w:space="0" w:color="auto"/>
            </w:tcBorders>
            <w:shd w:val="clear" w:color="auto" w:fill="auto"/>
            <w:vAlign w:val="center"/>
            <w:hideMark/>
          </w:tcPr>
          <w:p w:rsidR="00AC40FC" w:rsidRPr="004B4212" w:rsidRDefault="00AC40FC" w:rsidP="00A57D87">
            <w:pPr>
              <w:spacing w:after="0"/>
              <w:jc w:val="right"/>
              <w:rPr>
                <w:rFonts w:eastAsia="Arial Unicode MS" w:cs="Arial"/>
                <w:szCs w:val="24"/>
              </w:rPr>
            </w:pPr>
            <w:r w:rsidRPr="004B4212">
              <w:rPr>
                <w:rFonts w:eastAsia="Arial Unicode MS" w:cs="Arial"/>
                <w:szCs w:val="24"/>
              </w:rPr>
              <w:t>91.5%</w:t>
            </w:r>
          </w:p>
        </w:tc>
        <w:tc>
          <w:tcPr>
            <w:tcW w:w="925" w:type="dxa"/>
            <w:tcBorders>
              <w:top w:val="nil"/>
              <w:left w:val="nil"/>
              <w:bottom w:val="single" w:sz="4" w:space="0" w:color="auto"/>
              <w:right w:val="single" w:sz="4" w:space="0" w:color="auto"/>
            </w:tcBorders>
            <w:shd w:val="clear" w:color="auto" w:fill="auto"/>
            <w:vAlign w:val="center"/>
            <w:hideMark/>
          </w:tcPr>
          <w:p w:rsidR="00AC40FC" w:rsidRPr="004B4212" w:rsidRDefault="00AC40FC" w:rsidP="00A57D87">
            <w:pPr>
              <w:spacing w:after="0"/>
              <w:jc w:val="right"/>
              <w:rPr>
                <w:rFonts w:eastAsia="Arial Unicode MS" w:cs="Arial"/>
                <w:szCs w:val="24"/>
              </w:rPr>
            </w:pPr>
            <w:r w:rsidRPr="004B4212">
              <w:rPr>
                <w:rFonts w:eastAsia="Arial Unicode MS" w:cs="Arial"/>
                <w:szCs w:val="24"/>
              </w:rPr>
              <w:t>92.3%</w:t>
            </w:r>
          </w:p>
        </w:tc>
        <w:tc>
          <w:tcPr>
            <w:tcW w:w="924" w:type="dxa"/>
            <w:tcBorders>
              <w:top w:val="nil"/>
              <w:left w:val="nil"/>
              <w:bottom w:val="single" w:sz="4" w:space="0" w:color="auto"/>
              <w:right w:val="single" w:sz="4" w:space="0" w:color="auto"/>
            </w:tcBorders>
            <w:shd w:val="clear" w:color="auto" w:fill="auto"/>
            <w:vAlign w:val="center"/>
            <w:hideMark/>
          </w:tcPr>
          <w:p w:rsidR="00AC40FC" w:rsidRPr="004B4212" w:rsidRDefault="00AC40FC" w:rsidP="00A57D87">
            <w:pPr>
              <w:spacing w:after="0"/>
              <w:jc w:val="right"/>
              <w:rPr>
                <w:rFonts w:eastAsia="Arial Unicode MS" w:cs="Arial"/>
                <w:szCs w:val="24"/>
              </w:rPr>
            </w:pPr>
            <w:r w:rsidRPr="004B4212">
              <w:rPr>
                <w:rFonts w:eastAsia="Arial Unicode MS" w:cs="Arial"/>
                <w:szCs w:val="24"/>
              </w:rPr>
              <w:t>93.2%</w:t>
            </w:r>
          </w:p>
        </w:tc>
        <w:tc>
          <w:tcPr>
            <w:tcW w:w="925" w:type="dxa"/>
            <w:tcBorders>
              <w:top w:val="nil"/>
              <w:left w:val="nil"/>
              <w:bottom w:val="single" w:sz="4" w:space="0" w:color="auto"/>
              <w:right w:val="single" w:sz="4" w:space="0" w:color="auto"/>
            </w:tcBorders>
            <w:vAlign w:val="center"/>
          </w:tcPr>
          <w:p w:rsidR="00AC40FC" w:rsidRPr="004B4212" w:rsidRDefault="00AC40FC" w:rsidP="00A57D87">
            <w:pPr>
              <w:spacing w:after="0"/>
              <w:jc w:val="center"/>
              <w:rPr>
                <w:rFonts w:eastAsia="Arial Unicode MS" w:cs="Arial"/>
                <w:szCs w:val="24"/>
              </w:rPr>
            </w:pPr>
            <w:r>
              <w:rPr>
                <w:rFonts w:eastAsia="Arial Unicode MS" w:cs="Arial"/>
                <w:szCs w:val="24"/>
              </w:rPr>
              <w:t>92.8%</w:t>
            </w:r>
          </w:p>
        </w:tc>
      </w:tr>
      <w:tr w:rsidR="00AC40FC" w:rsidRPr="004B4212" w:rsidTr="00BB665B">
        <w:trPr>
          <w:trHeight w:val="188"/>
          <w:jc w:val="center"/>
        </w:trPr>
        <w:tc>
          <w:tcPr>
            <w:tcW w:w="4083" w:type="dxa"/>
            <w:tcBorders>
              <w:top w:val="nil"/>
              <w:left w:val="single" w:sz="4" w:space="0" w:color="auto"/>
              <w:bottom w:val="single" w:sz="4" w:space="0" w:color="auto"/>
              <w:right w:val="single" w:sz="4" w:space="0" w:color="auto"/>
            </w:tcBorders>
            <w:shd w:val="clear" w:color="auto" w:fill="auto"/>
            <w:vAlign w:val="center"/>
            <w:hideMark/>
          </w:tcPr>
          <w:p w:rsidR="00AC40FC" w:rsidRPr="004B4212" w:rsidRDefault="00AC40FC" w:rsidP="00BB665B">
            <w:pPr>
              <w:spacing w:after="0"/>
              <w:rPr>
                <w:rFonts w:eastAsia="Arial Unicode MS" w:cs="Arial"/>
                <w:szCs w:val="24"/>
              </w:rPr>
            </w:pPr>
            <w:r w:rsidRPr="004B4212">
              <w:rPr>
                <w:rFonts w:eastAsia="Arial Unicode MS" w:cs="Arial"/>
                <w:szCs w:val="24"/>
              </w:rPr>
              <w:t xml:space="preserve">Percent </w:t>
            </w:r>
            <w:r>
              <w:rPr>
                <w:rFonts w:eastAsia="Arial Unicode MS" w:cs="Arial"/>
                <w:szCs w:val="24"/>
              </w:rPr>
              <w:t>Persons with Disability</w:t>
            </w:r>
          </w:p>
        </w:tc>
        <w:tc>
          <w:tcPr>
            <w:tcW w:w="924" w:type="dxa"/>
            <w:tcBorders>
              <w:top w:val="nil"/>
              <w:left w:val="nil"/>
              <w:bottom w:val="single" w:sz="4" w:space="0" w:color="auto"/>
              <w:right w:val="single" w:sz="4" w:space="0" w:color="auto"/>
            </w:tcBorders>
            <w:shd w:val="clear" w:color="auto" w:fill="auto"/>
            <w:vAlign w:val="center"/>
            <w:hideMark/>
          </w:tcPr>
          <w:p w:rsidR="00AC40FC" w:rsidRPr="004B4212" w:rsidRDefault="00AC40FC" w:rsidP="00A57D87">
            <w:pPr>
              <w:spacing w:after="0"/>
              <w:jc w:val="right"/>
              <w:rPr>
                <w:rFonts w:eastAsia="Arial Unicode MS" w:cs="Arial"/>
                <w:szCs w:val="24"/>
              </w:rPr>
            </w:pPr>
            <w:r w:rsidRPr="004B4212">
              <w:rPr>
                <w:rFonts w:eastAsia="Arial Unicode MS" w:cs="Arial"/>
                <w:szCs w:val="24"/>
              </w:rPr>
              <w:t>2.2%</w:t>
            </w:r>
          </w:p>
        </w:tc>
        <w:tc>
          <w:tcPr>
            <w:tcW w:w="924" w:type="dxa"/>
            <w:tcBorders>
              <w:top w:val="nil"/>
              <w:left w:val="nil"/>
              <w:bottom w:val="single" w:sz="4" w:space="0" w:color="auto"/>
              <w:right w:val="single" w:sz="4" w:space="0" w:color="auto"/>
            </w:tcBorders>
            <w:shd w:val="clear" w:color="auto" w:fill="auto"/>
            <w:vAlign w:val="center"/>
            <w:hideMark/>
          </w:tcPr>
          <w:p w:rsidR="00AC40FC" w:rsidRPr="004B4212" w:rsidRDefault="00AC40FC" w:rsidP="00A57D87">
            <w:pPr>
              <w:spacing w:after="0"/>
              <w:jc w:val="right"/>
              <w:rPr>
                <w:rFonts w:eastAsia="Arial Unicode MS" w:cs="Arial"/>
                <w:szCs w:val="24"/>
              </w:rPr>
            </w:pPr>
            <w:r w:rsidRPr="004B4212">
              <w:rPr>
                <w:rFonts w:eastAsia="Arial Unicode MS" w:cs="Arial"/>
                <w:szCs w:val="24"/>
              </w:rPr>
              <w:t>2.2%</w:t>
            </w:r>
          </w:p>
        </w:tc>
        <w:tc>
          <w:tcPr>
            <w:tcW w:w="925" w:type="dxa"/>
            <w:tcBorders>
              <w:top w:val="nil"/>
              <w:left w:val="nil"/>
              <w:bottom w:val="single" w:sz="4" w:space="0" w:color="auto"/>
              <w:right w:val="single" w:sz="4" w:space="0" w:color="auto"/>
            </w:tcBorders>
            <w:shd w:val="clear" w:color="auto" w:fill="auto"/>
            <w:vAlign w:val="center"/>
            <w:hideMark/>
          </w:tcPr>
          <w:p w:rsidR="00AC40FC" w:rsidRPr="004B4212" w:rsidRDefault="00AC40FC" w:rsidP="00A57D87">
            <w:pPr>
              <w:spacing w:after="0"/>
              <w:jc w:val="right"/>
              <w:rPr>
                <w:rFonts w:eastAsia="Arial Unicode MS" w:cs="Arial"/>
                <w:szCs w:val="24"/>
              </w:rPr>
            </w:pPr>
            <w:r w:rsidRPr="004B4212">
              <w:rPr>
                <w:rFonts w:eastAsia="Arial Unicode MS" w:cs="Arial"/>
                <w:szCs w:val="24"/>
              </w:rPr>
              <w:t>2.2%</w:t>
            </w:r>
          </w:p>
        </w:tc>
        <w:tc>
          <w:tcPr>
            <w:tcW w:w="924" w:type="dxa"/>
            <w:tcBorders>
              <w:top w:val="nil"/>
              <w:left w:val="nil"/>
              <w:bottom w:val="single" w:sz="4" w:space="0" w:color="auto"/>
              <w:right w:val="single" w:sz="4" w:space="0" w:color="auto"/>
            </w:tcBorders>
            <w:shd w:val="clear" w:color="auto" w:fill="auto"/>
            <w:vAlign w:val="center"/>
            <w:hideMark/>
          </w:tcPr>
          <w:p w:rsidR="00AC40FC" w:rsidRPr="004B4212" w:rsidRDefault="00AC40FC" w:rsidP="00A57D87">
            <w:pPr>
              <w:spacing w:after="0"/>
              <w:jc w:val="right"/>
              <w:rPr>
                <w:rFonts w:eastAsia="Arial Unicode MS" w:cs="Arial"/>
                <w:szCs w:val="24"/>
              </w:rPr>
            </w:pPr>
            <w:r w:rsidRPr="004B4212">
              <w:rPr>
                <w:rFonts w:eastAsia="Arial Unicode MS" w:cs="Arial"/>
                <w:szCs w:val="24"/>
              </w:rPr>
              <w:t>3.6%</w:t>
            </w:r>
          </w:p>
        </w:tc>
        <w:tc>
          <w:tcPr>
            <w:tcW w:w="925" w:type="dxa"/>
            <w:tcBorders>
              <w:top w:val="nil"/>
              <w:left w:val="nil"/>
              <w:bottom w:val="single" w:sz="4" w:space="0" w:color="auto"/>
              <w:right w:val="single" w:sz="4" w:space="0" w:color="auto"/>
            </w:tcBorders>
            <w:shd w:val="clear" w:color="auto" w:fill="auto"/>
            <w:vAlign w:val="center"/>
          </w:tcPr>
          <w:p w:rsidR="00AC40FC" w:rsidRPr="004B4212" w:rsidRDefault="00AC40FC" w:rsidP="00A57D87">
            <w:pPr>
              <w:spacing w:after="0"/>
              <w:jc w:val="center"/>
              <w:rPr>
                <w:rFonts w:eastAsia="Arial Unicode MS" w:cs="Arial"/>
                <w:szCs w:val="24"/>
              </w:rPr>
            </w:pPr>
            <w:r>
              <w:rPr>
                <w:rFonts w:eastAsia="Arial Unicode MS" w:cs="Arial"/>
                <w:szCs w:val="24"/>
              </w:rPr>
              <w:t>3.8%</w:t>
            </w:r>
          </w:p>
        </w:tc>
      </w:tr>
      <w:tr w:rsidR="00AC40FC" w:rsidRPr="004B4212" w:rsidTr="00BB665B">
        <w:trPr>
          <w:trHeight w:val="170"/>
          <w:jc w:val="center"/>
        </w:trPr>
        <w:tc>
          <w:tcPr>
            <w:tcW w:w="4083" w:type="dxa"/>
            <w:tcBorders>
              <w:top w:val="nil"/>
              <w:left w:val="single" w:sz="4" w:space="0" w:color="auto"/>
              <w:bottom w:val="single" w:sz="4" w:space="0" w:color="auto"/>
              <w:right w:val="single" w:sz="4" w:space="0" w:color="auto"/>
            </w:tcBorders>
            <w:shd w:val="clear" w:color="auto" w:fill="auto"/>
            <w:vAlign w:val="center"/>
            <w:hideMark/>
          </w:tcPr>
          <w:p w:rsidR="00AC40FC" w:rsidRPr="004B4212" w:rsidRDefault="00AC40FC" w:rsidP="00BB665B">
            <w:pPr>
              <w:spacing w:after="0"/>
              <w:jc w:val="left"/>
              <w:rPr>
                <w:rFonts w:eastAsia="Arial Unicode MS" w:cs="Arial"/>
                <w:szCs w:val="24"/>
              </w:rPr>
            </w:pPr>
            <w:r>
              <w:rPr>
                <w:rFonts w:eastAsia="Arial Unicode MS" w:cs="Arial"/>
                <w:szCs w:val="24"/>
              </w:rPr>
              <w:t xml:space="preserve">Percent </w:t>
            </w:r>
            <w:r w:rsidRPr="004B4212">
              <w:rPr>
                <w:rFonts w:eastAsia="Arial Unicode MS" w:cs="Arial"/>
                <w:szCs w:val="24"/>
              </w:rPr>
              <w:t>Non-</w:t>
            </w:r>
            <w:r>
              <w:rPr>
                <w:rFonts w:eastAsia="Arial Unicode MS" w:cs="Arial"/>
                <w:szCs w:val="24"/>
              </w:rPr>
              <w:t>Persons with Disability</w:t>
            </w:r>
          </w:p>
        </w:tc>
        <w:tc>
          <w:tcPr>
            <w:tcW w:w="924" w:type="dxa"/>
            <w:tcBorders>
              <w:top w:val="nil"/>
              <w:left w:val="nil"/>
              <w:bottom w:val="single" w:sz="4" w:space="0" w:color="auto"/>
              <w:right w:val="single" w:sz="4" w:space="0" w:color="auto"/>
            </w:tcBorders>
            <w:shd w:val="clear" w:color="auto" w:fill="auto"/>
            <w:vAlign w:val="center"/>
            <w:hideMark/>
          </w:tcPr>
          <w:p w:rsidR="00AC40FC" w:rsidRPr="004B4212" w:rsidRDefault="00AC40FC" w:rsidP="00A57D87">
            <w:pPr>
              <w:spacing w:after="0"/>
              <w:jc w:val="right"/>
              <w:rPr>
                <w:rFonts w:eastAsia="Arial Unicode MS" w:cs="Arial"/>
                <w:szCs w:val="24"/>
              </w:rPr>
            </w:pPr>
            <w:r w:rsidRPr="004B4212">
              <w:rPr>
                <w:rFonts w:eastAsia="Arial Unicode MS" w:cs="Arial"/>
                <w:szCs w:val="24"/>
              </w:rPr>
              <w:t>97.8%</w:t>
            </w:r>
          </w:p>
        </w:tc>
        <w:tc>
          <w:tcPr>
            <w:tcW w:w="924" w:type="dxa"/>
            <w:tcBorders>
              <w:top w:val="nil"/>
              <w:left w:val="nil"/>
              <w:bottom w:val="single" w:sz="4" w:space="0" w:color="auto"/>
              <w:right w:val="single" w:sz="4" w:space="0" w:color="auto"/>
            </w:tcBorders>
            <w:shd w:val="clear" w:color="auto" w:fill="auto"/>
            <w:vAlign w:val="center"/>
            <w:hideMark/>
          </w:tcPr>
          <w:p w:rsidR="00AC40FC" w:rsidRPr="004B4212" w:rsidRDefault="00AC40FC" w:rsidP="00A57D87">
            <w:pPr>
              <w:spacing w:after="0"/>
              <w:jc w:val="right"/>
              <w:rPr>
                <w:rFonts w:eastAsia="Arial Unicode MS" w:cs="Arial"/>
                <w:szCs w:val="24"/>
              </w:rPr>
            </w:pPr>
            <w:r w:rsidRPr="004B4212">
              <w:rPr>
                <w:rFonts w:eastAsia="Arial Unicode MS" w:cs="Arial"/>
                <w:szCs w:val="24"/>
              </w:rPr>
              <w:t>97.8%</w:t>
            </w:r>
          </w:p>
        </w:tc>
        <w:tc>
          <w:tcPr>
            <w:tcW w:w="925" w:type="dxa"/>
            <w:tcBorders>
              <w:top w:val="nil"/>
              <w:left w:val="nil"/>
              <w:bottom w:val="single" w:sz="4" w:space="0" w:color="auto"/>
              <w:right w:val="single" w:sz="4" w:space="0" w:color="auto"/>
            </w:tcBorders>
            <w:shd w:val="clear" w:color="auto" w:fill="auto"/>
            <w:vAlign w:val="center"/>
            <w:hideMark/>
          </w:tcPr>
          <w:p w:rsidR="00AC40FC" w:rsidRPr="004B4212" w:rsidRDefault="00AC40FC" w:rsidP="00A57D87">
            <w:pPr>
              <w:spacing w:after="0"/>
              <w:jc w:val="right"/>
              <w:rPr>
                <w:rFonts w:eastAsia="Arial Unicode MS" w:cs="Arial"/>
                <w:szCs w:val="24"/>
              </w:rPr>
            </w:pPr>
            <w:r w:rsidRPr="004B4212">
              <w:rPr>
                <w:rFonts w:eastAsia="Arial Unicode MS" w:cs="Arial"/>
                <w:szCs w:val="24"/>
              </w:rPr>
              <w:t>97.8%</w:t>
            </w:r>
          </w:p>
        </w:tc>
        <w:tc>
          <w:tcPr>
            <w:tcW w:w="924" w:type="dxa"/>
            <w:tcBorders>
              <w:top w:val="nil"/>
              <w:left w:val="nil"/>
              <w:bottom w:val="single" w:sz="4" w:space="0" w:color="auto"/>
              <w:right w:val="single" w:sz="4" w:space="0" w:color="auto"/>
            </w:tcBorders>
            <w:shd w:val="clear" w:color="auto" w:fill="auto"/>
            <w:vAlign w:val="center"/>
            <w:hideMark/>
          </w:tcPr>
          <w:p w:rsidR="00AC40FC" w:rsidRPr="004B4212" w:rsidRDefault="00AC40FC" w:rsidP="00A57D87">
            <w:pPr>
              <w:spacing w:after="0"/>
              <w:jc w:val="right"/>
              <w:rPr>
                <w:rFonts w:eastAsia="Arial Unicode MS" w:cs="Arial"/>
                <w:szCs w:val="24"/>
              </w:rPr>
            </w:pPr>
            <w:r w:rsidRPr="004B4212">
              <w:rPr>
                <w:rFonts w:eastAsia="Arial Unicode MS" w:cs="Arial"/>
                <w:szCs w:val="24"/>
              </w:rPr>
              <w:t>96.4%</w:t>
            </w:r>
          </w:p>
        </w:tc>
        <w:tc>
          <w:tcPr>
            <w:tcW w:w="925" w:type="dxa"/>
            <w:tcBorders>
              <w:top w:val="nil"/>
              <w:left w:val="nil"/>
              <w:bottom w:val="single" w:sz="4" w:space="0" w:color="auto"/>
              <w:right w:val="single" w:sz="4" w:space="0" w:color="auto"/>
            </w:tcBorders>
            <w:shd w:val="clear" w:color="auto" w:fill="auto"/>
            <w:vAlign w:val="center"/>
          </w:tcPr>
          <w:p w:rsidR="00AC40FC" w:rsidRPr="004B4212" w:rsidRDefault="00AC40FC" w:rsidP="00A57D87">
            <w:pPr>
              <w:spacing w:after="0"/>
              <w:jc w:val="center"/>
              <w:rPr>
                <w:rFonts w:eastAsia="Arial Unicode MS" w:cs="Arial"/>
                <w:szCs w:val="24"/>
              </w:rPr>
            </w:pPr>
            <w:r>
              <w:rPr>
                <w:rFonts w:eastAsia="Arial Unicode MS" w:cs="Arial"/>
                <w:szCs w:val="24"/>
              </w:rPr>
              <w:t>96.2%</w:t>
            </w:r>
          </w:p>
        </w:tc>
      </w:tr>
      <w:tr w:rsidR="00AC40FC" w:rsidRPr="004B4212" w:rsidTr="00BB665B">
        <w:trPr>
          <w:trHeight w:val="152"/>
          <w:jc w:val="center"/>
        </w:trPr>
        <w:tc>
          <w:tcPr>
            <w:tcW w:w="8705" w:type="dxa"/>
            <w:gridSpan w:val="6"/>
            <w:tcBorders>
              <w:top w:val="nil"/>
              <w:left w:val="single" w:sz="4" w:space="0" w:color="auto"/>
              <w:bottom w:val="single" w:sz="4" w:space="0" w:color="auto"/>
              <w:right w:val="single" w:sz="4" w:space="0" w:color="auto"/>
            </w:tcBorders>
            <w:shd w:val="clear" w:color="auto" w:fill="auto"/>
            <w:vAlign w:val="center"/>
            <w:hideMark/>
          </w:tcPr>
          <w:p w:rsidR="00AC40FC" w:rsidRPr="004B4212" w:rsidRDefault="00AC40FC" w:rsidP="00A57D87">
            <w:pPr>
              <w:spacing w:after="0"/>
              <w:jc w:val="left"/>
              <w:rPr>
                <w:rFonts w:eastAsia="Arial Unicode MS" w:cs="Arial"/>
                <w:szCs w:val="24"/>
              </w:rPr>
            </w:pPr>
            <w:r w:rsidRPr="004B4212">
              <w:rPr>
                <w:rFonts w:eastAsia="Arial Unicode MS" w:cs="Arial"/>
                <w:szCs w:val="24"/>
              </w:rPr>
              <w:t>Source: DN 17-143</w:t>
            </w:r>
          </w:p>
        </w:tc>
      </w:tr>
    </w:tbl>
    <w:p w:rsidR="00AC40FC" w:rsidRDefault="00AC40FC" w:rsidP="00A57D87">
      <w:pPr>
        <w:pStyle w:val="Normal-aftertable"/>
      </w:pPr>
      <w:r w:rsidRPr="00A64A0D">
        <w:t>The data show that the percentage</w:t>
      </w:r>
      <w:r>
        <w:t>s</w:t>
      </w:r>
      <w:r w:rsidRPr="00A64A0D">
        <w:t xml:space="preserve"> of females and minorities in the workforce ha</w:t>
      </w:r>
      <w:r>
        <w:t>ve</w:t>
      </w:r>
      <w:r w:rsidRPr="00A64A0D">
        <w:t xml:space="preserve"> remained consistent while the percentage of veterans has dropped</w:t>
      </w:r>
      <w:r>
        <w:t xml:space="preserve"> slightly since 2013</w:t>
      </w:r>
      <w:r w:rsidRPr="00A64A0D">
        <w:t xml:space="preserve"> and the percentage of individuals with disabilities has increased</w:t>
      </w:r>
      <w:r>
        <w:t xml:space="preserve"> from 2011</w:t>
      </w:r>
      <w:r w:rsidRPr="00A64A0D">
        <w:t>.</w:t>
      </w:r>
    </w:p>
    <w:p w:rsidR="00AC40FC" w:rsidRPr="00B576CA" w:rsidRDefault="00AC40FC" w:rsidP="00A57D87">
      <w:r w:rsidRPr="00B576CA">
        <w:t>The table below shows PPL EU’s utilization of minorities during the period of 2012</w:t>
      </w:r>
      <w:r>
        <w:t>–</w:t>
      </w:r>
      <w:r w:rsidRPr="00B576CA">
        <w:t>201</w:t>
      </w:r>
      <w:r>
        <w:t>5</w:t>
      </w:r>
      <w:r w:rsidRPr="00B576CA">
        <w:t xml:space="preserve">.  The data is reported using the </w:t>
      </w:r>
      <w:r>
        <w:t xml:space="preserve">Office of Federal Contract Compliance Programs (OFCCP) </w:t>
      </w:r>
      <w:r w:rsidRPr="00B576CA">
        <w:t xml:space="preserve">80% rule </w:t>
      </w:r>
      <w:r>
        <w:t>analysis methodology</w:t>
      </w:r>
      <w:r w:rsidRPr="00B576CA">
        <w:t>.  The 80% rule examines whether the percentage of females and/or minorities currently in a particular job group is less than 80% of the final availability percentage for that particular job group.</w:t>
      </w:r>
    </w:p>
    <w:p w:rsidR="00AC40FC" w:rsidRDefault="00AC40FC" w:rsidP="00A57D87">
      <w:pPr>
        <w:pStyle w:val="Title"/>
        <w:sectPr w:rsidR="00AC40FC" w:rsidSect="00F23E86">
          <w:footerReference w:type="default" r:id="rId86"/>
          <w:pgSz w:w="12240" w:h="15840"/>
          <w:pgMar w:top="1440" w:right="1440" w:bottom="1440" w:left="1440" w:header="720" w:footer="576" w:gutter="0"/>
          <w:cols w:space="720"/>
          <w:docGrid w:linePitch="360"/>
        </w:sectPr>
      </w:pPr>
    </w:p>
    <w:p w:rsidR="00AC40FC" w:rsidRDefault="00AC40FC" w:rsidP="002B3172">
      <w:pPr>
        <w:pStyle w:val="Caption"/>
      </w:pPr>
      <w:bookmarkStart w:id="328" w:name="_Toc462648484"/>
      <w:bookmarkStart w:id="329" w:name="_Toc464553106"/>
      <w:r>
        <w:lastRenderedPageBreak/>
        <w:t xml:space="preserve">Exhibit </w:t>
      </w:r>
      <w:fldSimple w:instr=" STYLEREF 1 \s ">
        <w:r w:rsidR="00A24205">
          <w:rPr>
            <w:noProof/>
          </w:rPr>
          <w:t>XIV</w:t>
        </w:r>
      </w:fldSimple>
      <w:r w:rsidR="00264A1B">
        <w:noBreakHyphen/>
      </w:r>
      <w:fldSimple w:instr=" SEQ Exhibit \* ARABIC \s 1 ">
        <w:r w:rsidR="00A24205">
          <w:rPr>
            <w:noProof/>
          </w:rPr>
          <w:t>19</w:t>
        </w:r>
      </w:fldSimple>
      <w:r>
        <w:br/>
        <w:t>Minority Utilization 2012–2015</w:t>
      </w:r>
      <w:bookmarkEnd w:id="328"/>
      <w:bookmarkEnd w:id="329"/>
    </w:p>
    <w:tbl>
      <w:tblPr>
        <w:tblStyle w:val="TableGrid"/>
        <w:tblW w:w="13378" w:type="dxa"/>
        <w:jc w:val="center"/>
        <w:tblLayout w:type="fixed"/>
        <w:tblLook w:val="04A0"/>
      </w:tblPr>
      <w:tblGrid>
        <w:gridCol w:w="2128"/>
        <w:gridCol w:w="540"/>
        <w:gridCol w:w="450"/>
        <w:gridCol w:w="630"/>
        <w:gridCol w:w="630"/>
        <w:gridCol w:w="540"/>
        <w:gridCol w:w="630"/>
        <w:gridCol w:w="450"/>
        <w:gridCol w:w="630"/>
        <w:gridCol w:w="630"/>
        <w:gridCol w:w="450"/>
        <w:gridCol w:w="630"/>
        <w:gridCol w:w="540"/>
        <w:gridCol w:w="630"/>
        <w:gridCol w:w="630"/>
        <w:gridCol w:w="450"/>
        <w:gridCol w:w="540"/>
        <w:gridCol w:w="450"/>
        <w:gridCol w:w="630"/>
        <w:gridCol w:w="630"/>
        <w:gridCol w:w="540"/>
      </w:tblGrid>
      <w:tr w:rsidR="00AC40FC" w:rsidRPr="00487A50" w:rsidTr="00582143">
        <w:trPr>
          <w:trHeight w:val="260"/>
          <w:tblHeader/>
          <w:jc w:val="center"/>
        </w:trPr>
        <w:tc>
          <w:tcPr>
            <w:tcW w:w="2128" w:type="dxa"/>
            <w:vMerge w:val="restart"/>
            <w:shd w:val="clear" w:color="auto" w:fill="A5CD7E"/>
            <w:tcMar>
              <w:left w:w="58" w:type="dxa"/>
              <w:right w:w="58" w:type="dxa"/>
            </w:tcMar>
            <w:vAlign w:val="bottom"/>
          </w:tcPr>
          <w:p w:rsidR="00AC40FC" w:rsidRPr="00487A50" w:rsidRDefault="00AC40FC" w:rsidP="00A57D87">
            <w:pPr>
              <w:spacing w:after="0"/>
              <w:jc w:val="center"/>
              <w:rPr>
                <w:rFonts w:cs="Arial"/>
                <w:b/>
                <w:sz w:val="16"/>
                <w:szCs w:val="16"/>
              </w:rPr>
            </w:pPr>
            <w:r w:rsidRPr="00487A50">
              <w:rPr>
                <w:rFonts w:cs="Arial"/>
                <w:b/>
                <w:sz w:val="16"/>
                <w:szCs w:val="16"/>
              </w:rPr>
              <w:t>Job Group</w:t>
            </w:r>
          </w:p>
        </w:tc>
        <w:tc>
          <w:tcPr>
            <w:tcW w:w="2790" w:type="dxa"/>
            <w:gridSpan w:val="5"/>
            <w:tcBorders>
              <w:right w:val="single" w:sz="12" w:space="0" w:color="auto"/>
            </w:tcBorders>
            <w:shd w:val="clear" w:color="auto" w:fill="A5CD7E"/>
            <w:tcMar>
              <w:left w:w="58" w:type="dxa"/>
              <w:right w:w="58" w:type="dxa"/>
            </w:tcMar>
            <w:vAlign w:val="center"/>
          </w:tcPr>
          <w:p w:rsidR="00AC40FC" w:rsidRPr="00487A50" w:rsidRDefault="00AC40FC" w:rsidP="00A57D87">
            <w:pPr>
              <w:spacing w:after="0"/>
              <w:jc w:val="center"/>
              <w:rPr>
                <w:rFonts w:cs="Arial"/>
                <w:b/>
                <w:sz w:val="16"/>
                <w:szCs w:val="16"/>
              </w:rPr>
            </w:pPr>
            <w:r w:rsidRPr="00487A50">
              <w:rPr>
                <w:rFonts w:cs="Arial"/>
                <w:b/>
                <w:sz w:val="16"/>
                <w:szCs w:val="16"/>
              </w:rPr>
              <w:t>2012</w:t>
            </w:r>
          </w:p>
        </w:tc>
        <w:tc>
          <w:tcPr>
            <w:tcW w:w="2790" w:type="dxa"/>
            <w:gridSpan w:val="5"/>
            <w:tcBorders>
              <w:left w:val="single" w:sz="12" w:space="0" w:color="auto"/>
              <w:right w:val="single" w:sz="12" w:space="0" w:color="auto"/>
            </w:tcBorders>
            <w:shd w:val="clear" w:color="auto" w:fill="A5CD7E"/>
            <w:tcMar>
              <w:left w:w="58" w:type="dxa"/>
              <w:right w:w="58" w:type="dxa"/>
            </w:tcMar>
            <w:vAlign w:val="center"/>
          </w:tcPr>
          <w:p w:rsidR="00AC40FC" w:rsidRPr="00487A50" w:rsidRDefault="00AC40FC" w:rsidP="00A57D87">
            <w:pPr>
              <w:spacing w:after="0"/>
              <w:jc w:val="center"/>
              <w:rPr>
                <w:rFonts w:cs="Arial"/>
                <w:b/>
                <w:sz w:val="16"/>
                <w:szCs w:val="16"/>
              </w:rPr>
            </w:pPr>
            <w:r w:rsidRPr="00487A50">
              <w:rPr>
                <w:rFonts w:cs="Arial"/>
                <w:b/>
                <w:sz w:val="16"/>
                <w:szCs w:val="16"/>
              </w:rPr>
              <w:t>2013</w:t>
            </w:r>
          </w:p>
        </w:tc>
        <w:tc>
          <w:tcPr>
            <w:tcW w:w="2880" w:type="dxa"/>
            <w:gridSpan w:val="5"/>
            <w:tcBorders>
              <w:left w:val="single" w:sz="12" w:space="0" w:color="auto"/>
              <w:right w:val="single" w:sz="12" w:space="0" w:color="auto"/>
            </w:tcBorders>
            <w:shd w:val="clear" w:color="auto" w:fill="A5CD7E"/>
            <w:tcMar>
              <w:left w:w="58" w:type="dxa"/>
              <w:right w:w="58" w:type="dxa"/>
            </w:tcMar>
            <w:vAlign w:val="center"/>
          </w:tcPr>
          <w:p w:rsidR="00AC40FC" w:rsidRPr="00487A50" w:rsidRDefault="00AC40FC" w:rsidP="00A57D87">
            <w:pPr>
              <w:spacing w:after="0"/>
              <w:jc w:val="center"/>
              <w:rPr>
                <w:rFonts w:cs="Arial"/>
                <w:b/>
                <w:sz w:val="16"/>
                <w:szCs w:val="16"/>
              </w:rPr>
            </w:pPr>
            <w:r w:rsidRPr="00487A50">
              <w:rPr>
                <w:rFonts w:cs="Arial"/>
                <w:b/>
                <w:sz w:val="16"/>
                <w:szCs w:val="16"/>
              </w:rPr>
              <w:t>2014</w:t>
            </w:r>
          </w:p>
        </w:tc>
        <w:tc>
          <w:tcPr>
            <w:tcW w:w="2790" w:type="dxa"/>
            <w:gridSpan w:val="5"/>
            <w:tcBorders>
              <w:left w:val="single" w:sz="12" w:space="0" w:color="auto"/>
            </w:tcBorders>
            <w:shd w:val="clear" w:color="auto" w:fill="A5CD7E"/>
            <w:tcMar>
              <w:left w:w="58" w:type="dxa"/>
              <w:right w:w="58" w:type="dxa"/>
            </w:tcMar>
            <w:vAlign w:val="center"/>
          </w:tcPr>
          <w:p w:rsidR="00AC40FC" w:rsidRPr="00487A50" w:rsidRDefault="00AC40FC" w:rsidP="00A57D87">
            <w:pPr>
              <w:spacing w:after="0"/>
              <w:jc w:val="center"/>
              <w:rPr>
                <w:rFonts w:cs="Arial"/>
                <w:b/>
                <w:sz w:val="16"/>
                <w:szCs w:val="16"/>
              </w:rPr>
            </w:pPr>
            <w:r w:rsidRPr="00487A50">
              <w:rPr>
                <w:rFonts w:cs="Arial"/>
                <w:b/>
                <w:sz w:val="16"/>
                <w:szCs w:val="16"/>
              </w:rPr>
              <w:t>2015</w:t>
            </w:r>
          </w:p>
        </w:tc>
      </w:tr>
      <w:tr w:rsidR="00AC40FC" w:rsidRPr="00487A50" w:rsidTr="00582143">
        <w:trPr>
          <w:tblHeader/>
          <w:jc w:val="center"/>
        </w:trPr>
        <w:tc>
          <w:tcPr>
            <w:tcW w:w="2128" w:type="dxa"/>
            <w:vMerge/>
            <w:shd w:val="clear" w:color="auto" w:fill="A5CD7E"/>
            <w:tcMar>
              <w:left w:w="58" w:type="dxa"/>
              <w:right w:w="58" w:type="dxa"/>
            </w:tcMar>
          </w:tcPr>
          <w:p w:rsidR="00AC40FC" w:rsidRPr="00487A50" w:rsidRDefault="00AC40FC" w:rsidP="00A57D87">
            <w:pPr>
              <w:spacing w:after="0"/>
              <w:rPr>
                <w:rFonts w:cs="Arial"/>
                <w:sz w:val="16"/>
                <w:szCs w:val="16"/>
              </w:rPr>
            </w:pPr>
          </w:p>
        </w:tc>
        <w:tc>
          <w:tcPr>
            <w:tcW w:w="540" w:type="dxa"/>
            <w:vMerge w:val="restart"/>
            <w:shd w:val="clear" w:color="auto" w:fill="A5CD7E"/>
            <w:tcMar>
              <w:left w:w="58" w:type="dxa"/>
              <w:right w:w="58" w:type="dxa"/>
            </w:tcMar>
            <w:textDirection w:val="btLr"/>
            <w:vAlign w:val="center"/>
          </w:tcPr>
          <w:p w:rsidR="00AC40FC" w:rsidRPr="00487A50" w:rsidRDefault="00AC40FC" w:rsidP="00A57D87">
            <w:pPr>
              <w:spacing w:after="0"/>
              <w:jc w:val="left"/>
              <w:rPr>
                <w:rFonts w:cs="Arial"/>
                <w:b/>
                <w:sz w:val="16"/>
                <w:szCs w:val="16"/>
              </w:rPr>
            </w:pPr>
            <w:r w:rsidRPr="00487A50">
              <w:rPr>
                <w:rFonts w:cs="Arial"/>
                <w:b/>
                <w:sz w:val="16"/>
                <w:szCs w:val="16"/>
              </w:rPr>
              <w:t>Total Employees</w:t>
            </w:r>
          </w:p>
        </w:tc>
        <w:tc>
          <w:tcPr>
            <w:tcW w:w="1080" w:type="dxa"/>
            <w:gridSpan w:val="2"/>
            <w:shd w:val="clear" w:color="auto" w:fill="A5CD7E"/>
            <w:tcMar>
              <w:left w:w="58" w:type="dxa"/>
              <w:right w:w="58" w:type="dxa"/>
            </w:tcMar>
          </w:tcPr>
          <w:p w:rsidR="00AC40FC" w:rsidRPr="00487A50" w:rsidRDefault="00AC40FC" w:rsidP="00A57D87">
            <w:pPr>
              <w:spacing w:after="0"/>
              <w:jc w:val="center"/>
              <w:rPr>
                <w:rFonts w:cs="Arial"/>
                <w:b/>
                <w:sz w:val="16"/>
                <w:szCs w:val="16"/>
              </w:rPr>
            </w:pPr>
            <w:r w:rsidRPr="00487A50">
              <w:rPr>
                <w:rFonts w:cs="Arial"/>
                <w:b/>
                <w:sz w:val="16"/>
                <w:szCs w:val="16"/>
              </w:rPr>
              <w:t>Utilization</w:t>
            </w:r>
          </w:p>
        </w:tc>
        <w:tc>
          <w:tcPr>
            <w:tcW w:w="1170" w:type="dxa"/>
            <w:gridSpan w:val="2"/>
            <w:tcBorders>
              <w:right w:val="single" w:sz="12" w:space="0" w:color="auto"/>
            </w:tcBorders>
            <w:shd w:val="clear" w:color="auto" w:fill="A5CD7E"/>
            <w:tcMar>
              <w:left w:w="58" w:type="dxa"/>
              <w:right w:w="58" w:type="dxa"/>
            </w:tcMar>
          </w:tcPr>
          <w:p w:rsidR="00AC40FC" w:rsidRPr="00487A50" w:rsidRDefault="00AC40FC" w:rsidP="00A57D87">
            <w:pPr>
              <w:spacing w:after="0"/>
              <w:rPr>
                <w:rFonts w:cs="Arial"/>
                <w:sz w:val="16"/>
                <w:szCs w:val="16"/>
              </w:rPr>
            </w:pPr>
          </w:p>
        </w:tc>
        <w:tc>
          <w:tcPr>
            <w:tcW w:w="630" w:type="dxa"/>
            <w:vMerge w:val="restart"/>
            <w:tcBorders>
              <w:left w:val="single" w:sz="12" w:space="0" w:color="auto"/>
            </w:tcBorders>
            <w:shd w:val="clear" w:color="auto" w:fill="A5CD7E"/>
            <w:tcMar>
              <w:left w:w="58" w:type="dxa"/>
              <w:right w:w="58" w:type="dxa"/>
            </w:tcMar>
            <w:textDirection w:val="btLr"/>
            <w:vAlign w:val="center"/>
          </w:tcPr>
          <w:p w:rsidR="00AC40FC" w:rsidRPr="00487A50" w:rsidRDefault="00AC40FC" w:rsidP="00A57D87">
            <w:pPr>
              <w:spacing w:after="0"/>
              <w:jc w:val="left"/>
              <w:rPr>
                <w:rFonts w:cs="Arial"/>
                <w:sz w:val="16"/>
                <w:szCs w:val="16"/>
              </w:rPr>
            </w:pPr>
            <w:r w:rsidRPr="00487A50">
              <w:rPr>
                <w:rFonts w:cs="Arial"/>
                <w:b/>
                <w:sz w:val="16"/>
                <w:szCs w:val="16"/>
              </w:rPr>
              <w:t>Total Employees</w:t>
            </w:r>
          </w:p>
        </w:tc>
        <w:tc>
          <w:tcPr>
            <w:tcW w:w="1080" w:type="dxa"/>
            <w:gridSpan w:val="2"/>
            <w:shd w:val="clear" w:color="auto" w:fill="A5CD7E"/>
            <w:tcMar>
              <w:left w:w="58" w:type="dxa"/>
              <w:right w:w="58" w:type="dxa"/>
            </w:tcMar>
          </w:tcPr>
          <w:p w:rsidR="00AC40FC" w:rsidRPr="00487A50" w:rsidRDefault="00AC40FC" w:rsidP="00A57D87">
            <w:pPr>
              <w:spacing w:after="0"/>
              <w:jc w:val="center"/>
              <w:rPr>
                <w:rFonts w:cs="Arial"/>
                <w:sz w:val="16"/>
                <w:szCs w:val="16"/>
              </w:rPr>
            </w:pPr>
            <w:r w:rsidRPr="00487A50">
              <w:rPr>
                <w:rFonts w:cs="Arial"/>
                <w:b/>
                <w:sz w:val="16"/>
                <w:szCs w:val="16"/>
              </w:rPr>
              <w:t>Utilization</w:t>
            </w:r>
          </w:p>
        </w:tc>
        <w:tc>
          <w:tcPr>
            <w:tcW w:w="1080" w:type="dxa"/>
            <w:gridSpan w:val="2"/>
            <w:tcBorders>
              <w:right w:val="single" w:sz="12" w:space="0" w:color="auto"/>
            </w:tcBorders>
            <w:shd w:val="clear" w:color="auto" w:fill="A5CD7E"/>
            <w:tcMar>
              <w:left w:w="58" w:type="dxa"/>
              <w:right w:w="58" w:type="dxa"/>
            </w:tcMar>
          </w:tcPr>
          <w:p w:rsidR="00AC40FC" w:rsidRPr="00487A50" w:rsidRDefault="00AC40FC" w:rsidP="00A57D87">
            <w:pPr>
              <w:spacing w:after="0"/>
              <w:rPr>
                <w:rFonts w:cs="Arial"/>
                <w:sz w:val="16"/>
                <w:szCs w:val="16"/>
              </w:rPr>
            </w:pPr>
          </w:p>
        </w:tc>
        <w:tc>
          <w:tcPr>
            <w:tcW w:w="630" w:type="dxa"/>
            <w:vMerge w:val="restart"/>
            <w:tcBorders>
              <w:left w:val="single" w:sz="12" w:space="0" w:color="auto"/>
            </w:tcBorders>
            <w:shd w:val="clear" w:color="auto" w:fill="A5CD7E"/>
            <w:tcMar>
              <w:left w:w="58" w:type="dxa"/>
              <w:right w:w="58" w:type="dxa"/>
            </w:tcMar>
            <w:textDirection w:val="btLr"/>
            <w:vAlign w:val="center"/>
          </w:tcPr>
          <w:p w:rsidR="00AC40FC" w:rsidRPr="00487A50" w:rsidRDefault="00AC40FC" w:rsidP="00A57D87">
            <w:pPr>
              <w:spacing w:after="0"/>
              <w:jc w:val="left"/>
              <w:rPr>
                <w:rFonts w:cs="Arial"/>
                <w:sz w:val="16"/>
                <w:szCs w:val="16"/>
              </w:rPr>
            </w:pPr>
            <w:r w:rsidRPr="00487A50">
              <w:rPr>
                <w:rFonts w:cs="Arial"/>
                <w:b/>
                <w:sz w:val="16"/>
                <w:szCs w:val="16"/>
              </w:rPr>
              <w:t>Total Employees</w:t>
            </w:r>
          </w:p>
        </w:tc>
        <w:tc>
          <w:tcPr>
            <w:tcW w:w="1170" w:type="dxa"/>
            <w:gridSpan w:val="2"/>
            <w:shd w:val="clear" w:color="auto" w:fill="A5CD7E"/>
            <w:tcMar>
              <w:left w:w="58" w:type="dxa"/>
              <w:right w:w="58" w:type="dxa"/>
            </w:tcMar>
          </w:tcPr>
          <w:p w:rsidR="00AC40FC" w:rsidRPr="00487A50" w:rsidRDefault="00AC40FC" w:rsidP="00A57D87">
            <w:pPr>
              <w:spacing w:after="0"/>
              <w:jc w:val="center"/>
              <w:rPr>
                <w:rFonts w:cs="Arial"/>
                <w:sz w:val="16"/>
                <w:szCs w:val="16"/>
              </w:rPr>
            </w:pPr>
            <w:r w:rsidRPr="00487A50">
              <w:rPr>
                <w:rFonts w:cs="Arial"/>
                <w:b/>
                <w:sz w:val="16"/>
                <w:szCs w:val="16"/>
              </w:rPr>
              <w:t>Utilization</w:t>
            </w:r>
          </w:p>
        </w:tc>
        <w:tc>
          <w:tcPr>
            <w:tcW w:w="1080" w:type="dxa"/>
            <w:gridSpan w:val="2"/>
            <w:tcBorders>
              <w:right w:val="single" w:sz="12" w:space="0" w:color="auto"/>
            </w:tcBorders>
            <w:shd w:val="clear" w:color="auto" w:fill="A5CD7E"/>
            <w:tcMar>
              <w:left w:w="58" w:type="dxa"/>
              <w:right w:w="58" w:type="dxa"/>
            </w:tcMar>
          </w:tcPr>
          <w:p w:rsidR="00AC40FC" w:rsidRPr="00487A50" w:rsidRDefault="00AC40FC" w:rsidP="00A57D87">
            <w:pPr>
              <w:spacing w:after="0"/>
              <w:rPr>
                <w:rFonts w:cs="Arial"/>
                <w:sz w:val="16"/>
                <w:szCs w:val="16"/>
              </w:rPr>
            </w:pPr>
          </w:p>
        </w:tc>
        <w:tc>
          <w:tcPr>
            <w:tcW w:w="540" w:type="dxa"/>
            <w:vMerge w:val="restart"/>
            <w:tcBorders>
              <w:left w:val="single" w:sz="12" w:space="0" w:color="auto"/>
            </w:tcBorders>
            <w:shd w:val="clear" w:color="auto" w:fill="A5CD7E"/>
            <w:tcMar>
              <w:left w:w="58" w:type="dxa"/>
              <w:right w:w="58" w:type="dxa"/>
            </w:tcMar>
            <w:textDirection w:val="btLr"/>
            <w:vAlign w:val="center"/>
          </w:tcPr>
          <w:p w:rsidR="00AC40FC" w:rsidRPr="00487A50" w:rsidRDefault="00AC40FC" w:rsidP="00A57D87">
            <w:pPr>
              <w:spacing w:after="0"/>
              <w:jc w:val="left"/>
              <w:rPr>
                <w:rFonts w:cs="Arial"/>
                <w:sz w:val="16"/>
                <w:szCs w:val="16"/>
              </w:rPr>
            </w:pPr>
            <w:r w:rsidRPr="00487A50">
              <w:rPr>
                <w:rFonts w:cs="Arial"/>
                <w:b/>
                <w:sz w:val="16"/>
                <w:szCs w:val="16"/>
              </w:rPr>
              <w:t>Total Employees</w:t>
            </w:r>
          </w:p>
        </w:tc>
        <w:tc>
          <w:tcPr>
            <w:tcW w:w="1080" w:type="dxa"/>
            <w:gridSpan w:val="2"/>
            <w:shd w:val="clear" w:color="auto" w:fill="A5CD7E"/>
            <w:tcMar>
              <w:left w:w="58" w:type="dxa"/>
              <w:right w:w="58" w:type="dxa"/>
            </w:tcMar>
          </w:tcPr>
          <w:p w:rsidR="00AC40FC" w:rsidRPr="00487A50" w:rsidRDefault="00AC40FC" w:rsidP="00A57D87">
            <w:pPr>
              <w:spacing w:after="0"/>
              <w:jc w:val="center"/>
              <w:rPr>
                <w:rFonts w:cs="Arial"/>
                <w:sz w:val="16"/>
                <w:szCs w:val="16"/>
              </w:rPr>
            </w:pPr>
            <w:r w:rsidRPr="00487A50">
              <w:rPr>
                <w:rFonts w:cs="Arial"/>
                <w:b/>
                <w:sz w:val="16"/>
                <w:szCs w:val="16"/>
              </w:rPr>
              <w:t>Utilization</w:t>
            </w:r>
          </w:p>
        </w:tc>
        <w:tc>
          <w:tcPr>
            <w:tcW w:w="1170" w:type="dxa"/>
            <w:gridSpan w:val="2"/>
            <w:shd w:val="clear" w:color="auto" w:fill="A5CD7E"/>
            <w:tcMar>
              <w:left w:w="58" w:type="dxa"/>
              <w:right w:w="58" w:type="dxa"/>
            </w:tcMar>
          </w:tcPr>
          <w:p w:rsidR="00AC40FC" w:rsidRPr="00487A50" w:rsidRDefault="00AC40FC" w:rsidP="00A57D87">
            <w:pPr>
              <w:spacing w:after="0"/>
              <w:rPr>
                <w:rFonts w:cs="Arial"/>
                <w:sz w:val="16"/>
                <w:szCs w:val="16"/>
              </w:rPr>
            </w:pPr>
          </w:p>
        </w:tc>
      </w:tr>
      <w:tr w:rsidR="00AC40FC" w:rsidRPr="00487A50" w:rsidTr="00582143">
        <w:trPr>
          <w:cantSplit/>
          <w:trHeight w:val="1358"/>
          <w:tblHeader/>
          <w:jc w:val="center"/>
        </w:trPr>
        <w:tc>
          <w:tcPr>
            <w:tcW w:w="2128" w:type="dxa"/>
            <w:vMerge/>
            <w:shd w:val="clear" w:color="auto" w:fill="A5CD7E"/>
            <w:tcMar>
              <w:left w:w="58" w:type="dxa"/>
              <w:right w:w="58" w:type="dxa"/>
            </w:tcMar>
          </w:tcPr>
          <w:p w:rsidR="00AC40FC" w:rsidRPr="00487A50" w:rsidRDefault="00AC40FC" w:rsidP="00A57D87">
            <w:pPr>
              <w:spacing w:after="0"/>
              <w:rPr>
                <w:rFonts w:cs="Arial"/>
                <w:sz w:val="16"/>
                <w:szCs w:val="16"/>
              </w:rPr>
            </w:pPr>
          </w:p>
        </w:tc>
        <w:tc>
          <w:tcPr>
            <w:tcW w:w="540" w:type="dxa"/>
            <w:vMerge/>
            <w:shd w:val="clear" w:color="auto" w:fill="A5CD7E"/>
            <w:tcMar>
              <w:left w:w="58" w:type="dxa"/>
              <w:right w:w="58" w:type="dxa"/>
            </w:tcMar>
          </w:tcPr>
          <w:p w:rsidR="00AC40FC" w:rsidRPr="00487A50" w:rsidRDefault="00AC40FC" w:rsidP="00A57D87">
            <w:pPr>
              <w:spacing w:after="0"/>
              <w:rPr>
                <w:rFonts w:cs="Arial"/>
                <w:sz w:val="16"/>
                <w:szCs w:val="16"/>
              </w:rPr>
            </w:pPr>
          </w:p>
        </w:tc>
        <w:tc>
          <w:tcPr>
            <w:tcW w:w="450" w:type="dxa"/>
            <w:shd w:val="clear" w:color="auto" w:fill="A5CD7E"/>
            <w:tcMar>
              <w:left w:w="58" w:type="dxa"/>
              <w:right w:w="58" w:type="dxa"/>
            </w:tcMar>
            <w:vAlign w:val="bottom"/>
          </w:tcPr>
          <w:p w:rsidR="00AC40FC" w:rsidRPr="00487A50" w:rsidRDefault="00AC40FC" w:rsidP="00A57D87">
            <w:pPr>
              <w:spacing w:after="0"/>
              <w:jc w:val="center"/>
              <w:rPr>
                <w:rFonts w:cs="Arial"/>
                <w:b/>
                <w:sz w:val="16"/>
                <w:szCs w:val="16"/>
              </w:rPr>
            </w:pPr>
            <w:r w:rsidRPr="00487A50">
              <w:rPr>
                <w:rFonts w:cs="Arial"/>
                <w:b/>
                <w:sz w:val="16"/>
                <w:szCs w:val="16"/>
              </w:rPr>
              <w:t>#</w:t>
            </w:r>
          </w:p>
        </w:tc>
        <w:tc>
          <w:tcPr>
            <w:tcW w:w="630" w:type="dxa"/>
            <w:shd w:val="clear" w:color="auto" w:fill="A5CD7E"/>
            <w:tcMar>
              <w:left w:w="58" w:type="dxa"/>
              <w:right w:w="58" w:type="dxa"/>
            </w:tcMar>
            <w:vAlign w:val="bottom"/>
          </w:tcPr>
          <w:p w:rsidR="00AC40FC" w:rsidRPr="00487A50" w:rsidRDefault="00AC40FC" w:rsidP="00A57D87">
            <w:pPr>
              <w:spacing w:after="0"/>
              <w:jc w:val="center"/>
              <w:rPr>
                <w:rFonts w:cs="Arial"/>
                <w:b/>
                <w:sz w:val="16"/>
                <w:szCs w:val="16"/>
              </w:rPr>
            </w:pPr>
            <w:r w:rsidRPr="00487A50">
              <w:rPr>
                <w:rFonts w:cs="Arial"/>
                <w:b/>
                <w:sz w:val="16"/>
                <w:szCs w:val="16"/>
              </w:rPr>
              <w:t>%</w:t>
            </w:r>
          </w:p>
        </w:tc>
        <w:tc>
          <w:tcPr>
            <w:tcW w:w="630" w:type="dxa"/>
            <w:shd w:val="clear" w:color="auto" w:fill="A5CD7E"/>
            <w:tcMar>
              <w:left w:w="58" w:type="dxa"/>
              <w:right w:w="58" w:type="dxa"/>
            </w:tcMar>
            <w:textDirection w:val="btLr"/>
            <w:vAlign w:val="center"/>
          </w:tcPr>
          <w:p w:rsidR="00AC40FC" w:rsidRPr="00487A50" w:rsidRDefault="00AC40FC" w:rsidP="00A57D87">
            <w:pPr>
              <w:spacing w:after="0"/>
              <w:jc w:val="left"/>
              <w:rPr>
                <w:rFonts w:cs="Arial"/>
                <w:b/>
                <w:sz w:val="16"/>
                <w:szCs w:val="16"/>
              </w:rPr>
            </w:pPr>
            <w:r w:rsidRPr="00487A50">
              <w:rPr>
                <w:rFonts w:cs="Arial"/>
                <w:b/>
                <w:sz w:val="16"/>
                <w:szCs w:val="16"/>
              </w:rPr>
              <w:t>Availability Percent</w:t>
            </w:r>
          </w:p>
        </w:tc>
        <w:tc>
          <w:tcPr>
            <w:tcW w:w="540" w:type="dxa"/>
            <w:tcBorders>
              <w:right w:val="single" w:sz="12" w:space="0" w:color="auto"/>
            </w:tcBorders>
            <w:shd w:val="clear" w:color="auto" w:fill="A5CD7E"/>
            <w:tcMar>
              <w:left w:w="58" w:type="dxa"/>
              <w:right w:w="58" w:type="dxa"/>
            </w:tcMar>
            <w:textDirection w:val="btLr"/>
            <w:vAlign w:val="center"/>
          </w:tcPr>
          <w:p w:rsidR="00AC40FC" w:rsidRPr="00487A50" w:rsidRDefault="00AC40FC" w:rsidP="00A57D87">
            <w:pPr>
              <w:spacing w:after="0"/>
              <w:jc w:val="left"/>
              <w:rPr>
                <w:rFonts w:cs="Arial"/>
                <w:b/>
                <w:sz w:val="16"/>
                <w:szCs w:val="16"/>
              </w:rPr>
            </w:pPr>
            <w:r w:rsidRPr="00487A50">
              <w:rPr>
                <w:rFonts w:cs="Arial"/>
                <w:b/>
                <w:sz w:val="16"/>
                <w:szCs w:val="16"/>
              </w:rPr>
              <w:t xml:space="preserve">Number </w:t>
            </w:r>
            <w:r w:rsidRPr="00487A50">
              <w:rPr>
                <w:rFonts w:cs="Arial"/>
                <w:b/>
                <w:sz w:val="16"/>
                <w:szCs w:val="16"/>
              </w:rPr>
              <w:br/>
              <w:t>Under Utilized</w:t>
            </w:r>
          </w:p>
        </w:tc>
        <w:tc>
          <w:tcPr>
            <w:tcW w:w="630" w:type="dxa"/>
            <w:vMerge/>
            <w:tcBorders>
              <w:left w:val="single" w:sz="12" w:space="0" w:color="auto"/>
            </w:tcBorders>
            <w:shd w:val="clear" w:color="auto" w:fill="A5CD7E"/>
            <w:tcMar>
              <w:left w:w="58" w:type="dxa"/>
              <w:right w:w="58" w:type="dxa"/>
            </w:tcMar>
          </w:tcPr>
          <w:p w:rsidR="00AC40FC" w:rsidRPr="00487A50" w:rsidRDefault="00AC40FC" w:rsidP="00A57D87">
            <w:pPr>
              <w:spacing w:after="0"/>
              <w:rPr>
                <w:rFonts w:cs="Arial"/>
                <w:b/>
                <w:sz w:val="16"/>
                <w:szCs w:val="16"/>
              </w:rPr>
            </w:pPr>
          </w:p>
        </w:tc>
        <w:tc>
          <w:tcPr>
            <w:tcW w:w="450" w:type="dxa"/>
            <w:shd w:val="clear" w:color="auto" w:fill="A5CD7E"/>
            <w:tcMar>
              <w:left w:w="58" w:type="dxa"/>
              <w:right w:w="58" w:type="dxa"/>
            </w:tcMar>
            <w:vAlign w:val="bottom"/>
          </w:tcPr>
          <w:p w:rsidR="00AC40FC" w:rsidRPr="00487A50" w:rsidRDefault="00AC40FC" w:rsidP="00A57D87">
            <w:pPr>
              <w:spacing w:after="0"/>
              <w:jc w:val="center"/>
              <w:rPr>
                <w:rFonts w:cs="Arial"/>
                <w:b/>
                <w:sz w:val="16"/>
                <w:szCs w:val="16"/>
              </w:rPr>
            </w:pPr>
            <w:r w:rsidRPr="00487A50">
              <w:rPr>
                <w:rFonts w:cs="Arial"/>
                <w:b/>
                <w:sz w:val="16"/>
                <w:szCs w:val="16"/>
              </w:rPr>
              <w:t>#</w:t>
            </w:r>
          </w:p>
        </w:tc>
        <w:tc>
          <w:tcPr>
            <w:tcW w:w="630" w:type="dxa"/>
            <w:shd w:val="clear" w:color="auto" w:fill="A5CD7E"/>
            <w:tcMar>
              <w:left w:w="58" w:type="dxa"/>
              <w:right w:w="58" w:type="dxa"/>
            </w:tcMar>
            <w:vAlign w:val="bottom"/>
          </w:tcPr>
          <w:p w:rsidR="00AC40FC" w:rsidRPr="00487A50" w:rsidRDefault="00AC40FC" w:rsidP="00A57D87">
            <w:pPr>
              <w:spacing w:after="0"/>
              <w:jc w:val="center"/>
              <w:rPr>
                <w:rFonts w:cs="Arial"/>
                <w:b/>
                <w:sz w:val="16"/>
                <w:szCs w:val="16"/>
              </w:rPr>
            </w:pPr>
            <w:r w:rsidRPr="00487A50">
              <w:rPr>
                <w:rFonts w:cs="Arial"/>
                <w:b/>
                <w:sz w:val="16"/>
                <w:szCs w:val="16"/>
              </w:rPr>
              <w:t>%</w:t>
            </w:r>
          </w:p>
        </w:tc>
        <w:tc>
          <w:tcPr>
            <w:tcW w:w="630" w:type="dxa"/>
            <w:shd w:val="clear" w:color="auto" w:fill="A5CD7E"/>
            <w:tcMar>
              <w:left w:w="58" w:type="dxa"/>
              <w:right w:w="58" w:type="dxa"/>
            </w:tcMar>
            <w:textDirection w:val="btLr"/>
            <w:vAlign w:val="center"/>
          </w:tcPr>
          <w:p w:rsidR="00AC40FC" w:rsidRPr="00487A50" w:rsidRDefault="00AC40FC" w:rsidP="00A57D87">
            <w:pPr>
              <w:spacing w:after="0"/>
              <w:jc w:val="left"/>
              <w:rPr>
                <w:rFonts w:cs="Arial"/>
                <w:b/>
                <w:sz w:val="16"/>
                <w:szCs w:val="16"/>
              </w:rPr>
            </w:pPr>
            <w:r w:rsidRPr="00487A50">
              <w:rPr>
                <w:rFonts w:cs="Arial"/>
                <w:b/>
                <w:sz w:val="16"/>
                <w:szCs w:val="16"/>
              </w:rPr>
              <w:t>Availability Percent</w:t>
            </w:r>
          </w:p>
        </w:tc>
        <w:tc>
          <w:tcPr>
            <w:tcW w:w="450" w:type="dxa"/>
            <w:tcBorders>
              <w:right w:val="single" w:sz="12" w:space="0" w:color="auto"/>
            </w:tcBorders>
            <w:shd w:val="clear" w:color="auto" w:fill="A5CD7E"/>
            <w:tcMar>
              <w:left w:w="58" w:type="dxa"/>
              <w:right w:w="58" w:type="dxa"/>
            </w:tcMar>
            <w:textDirection w:val="btLr"/>
            <w:vAlign w:val="center"/>
          </w:tcPr>
          <w:p w:rsidR="00AC40FC" w:rsidRPr="00487A50" w:rsidRDefault="00AC40FC" w:rsidP="00A57D87">
            <w:pPr>
              <w:spacing w:after="0"/>
              <w:jc w:val="left"/>
              <w:rPr>
                <w:rFonts w:cs="Arial"/>
                <w:b/>
                <w:sz w:val="16"/>
                <w:szCs w:val="16"/>
              </w:rPr>
            </w:pPr>
            <w:r w:rsidRPr="00487A50">
              <w:rPr>
                <w:rFonts w:cs="Arial"/>
                <w:b/>
                <w:sz w:val="16"/>
                <w:szCs w:val="16"/>
              </w:rPr>
              <w:t xml:space="preserve">Number </w:t>
            </w:r>
            <w:r w:rsidRPr="00487A50">
              <w:rPr>
                <w:rFonts w:cs="Arial"/>
                <w:b/>
                <w:sz w:val="16"/>
                <w:szCs w:val="16"/>
              </w:rPr>
              <w:br/>
              <w:t>Under Utilized</w:t>
            </w:r>
          </w:p>
        </w:tc>
        <w:tc>
          <w:tcPr>
            <w:tcW w:w="630" w:type="dxa"/>
            <w:vMerge/>
            <w:tcBorders>
              <w:left w:val="single" w:sz="12" w:space="0" w:color="auto"/>
            </w:tcBorders>
            <w:shd w:val="clear" w:color="auto" w:fill="A5CD7E"/>
            <w:tcMar>
              <w:left w:w="58" w:type="dxa"/>
              <w:right w:w="58" w:type="dxa"/>
            </w:tcMar>
          </w:tcPr>
          <w:p w:rsidR="00AC40FC" w:rsidRPr="00487A50" w:rsidRDefault="00AC40FC" w:rsidP="00A57D87">
            <w:pPr>
              <w:spacing w:after="0"/>
              <w:rPr>
                <w:rFonts w:cs="Arial"/>
                <w:b/>
                <w:sz w:val="16"/>
                <w:szCs w:val="16"/>
              </w:rPr>
            </w:pPr>
          </w:p>
        </w:tc>
        <w:tc>
          <w:tcPr>
            <w:tcW w:w="540" w:type="dxa"/>
            <w:shd w:val="clear" w:color="auto" w:fill="A5CD7E"/>
            <w:tcMar>
              <w:left w:w="58" w:type="dxa"/>
              <w:right w:w="58" w:type="dxa"/>
            </w:tcMar>
            <w:vAlign w:val="bottom"/>
          </w:tcPr>
          <w:p w:rsidR="00AC40FC" w:rsidRPr="00487A50" w:rsidRDefault="00AC40FC" w:rsidP="00A57D87">
            <w:pPr>
              <w:spacing w:after="0"/>
              <w:jc w:val="center"/>
              <w:rPr>
                <w:rFonts w:cs="Arial"/>
                <w:b/>
                <w:sz w:val="16"/>
                <w:szCs w:val="16"/>
              </w:rPr>
            </w:pPr>
            <w:r w:rsidRPr="00487A50">
              <w:rPr>
                <w:rFonts w:cs="Arial"/>
                <w:b/>
                <w:sz w:val="16"/>
                <w:szCs w:val="16"/>
              </w:rPr>
              <w:t>#</w:t>
            </w:r>
          </w:p>
        </w:tc>
        <w:tc>
          <w:tcPr>
            <w:tcW w:w="630" w:type="dxa"/>
            <w:shd w:val="clear" w:color="auto" w:fill="A5CD7E"/>
            <w:tcMar>
              <w:left w:w="58" w:type="dxa"/>
              <w:right w:w="58" w:type="dxa"/>
            </w:tcMar>
            <w:vAlign w:val="bottom"/>
          </w:tcPr>
          <w:p w:rsidR="00AC40FC" w:rsidRPr="00487A50" w:rsidRDefault="00AC40FC" w:rsidP="00A57D87">
            <w:pPr>
              <w:spacing w:after="0"/>
              <w:jc w:val="center"/>
              <w:rPr>
                <w:rFonts w:cs="Arial"/>
                <w:b/>
                <w:sz w:val="16"/>
                <w:szCs w:val="16"/>
              </w:rPr>
            </w:pPr>
            <w:r w:rsidRPr="00487A50">
              <w:rPr>
                <w:rFonts w:cs="Arial"/>
                <w:b/>
                <w:sz w:val="16"/>
                <w:szCs w:val="16"/>
              </w:rPr>
              <w:t>%</w:t>
            </w:r>
          </w:p>
        </w:tc>
        <w:tc>
          <w:tcPr>
            <w:tcW w:w="630" w:type="dxa"/>
            <w:shd w:val="clear" w:color="auto" w:fill="A5CD7E"/>
            <w:tcMar>
              <w:left w:w="58" w:type="dxa"/>
              <w:right w:w="58" w:type="dxa"/>
            </w:tcMar>
            <w:textDirection w:val="btLr"/>
            <w:vAlign w:val="center"/>
          </w:tcPr>
          <w:p w:rsidR="00AC40FC" w:rsidRPr="00487A50" w:rsidRDefault="00AC40FC" w:rsidP="00A57D87">
            <w:pPr>
              <w:spacing w:after="0"/>
              <w:jc w:val="left"/>
              <w:rPr>
                <w:rFonts w:cs="Arial"/>
                <w:b/>
                <w:sz w:val="16"/>
                <w:szCs w:val="16"/>
              </w:rPr>
            </w:pPr>
            <w:r w:rsidRPr="00487A50">
              <w:rPr>
                <w:rFonts w:cs="Arial"/>
                <w:b/>
                <w:sz w:val="16"/>
                <w:szCs w:val="16"/>
              </w:rPr>
              <w:t>Availability Percent</w:t>
            </w:r>
          </w:p>
        </w:tc>
        <w:tc>
          <w:tcPr>
            <w:tcW w:w="450" w:type="dxa"/>
            <w:tcBorders>
              <w:right w:val="single" w:sz="12" w:space="0" w:color="auto"/>
            </w:tcBorders>
            <w:shd w:val="clear" w:color="auto" w:fill="A5CD7E"/>
            <w:tcMar>
              <w:left w:w="58" w:type="dxa"/>
              <w:right w:w="58" w:type="dxa"/>
            </w:tcMar>
            <w:textDirection w:val="btLr"/>
            <w:vAlign w:val="center"/>
          </w:tcPr>
          <w:p w:rsidR="00AC40FC" w:rsidRPr="00487A50" w:rsidRDefault="00AC40FC" w:rsidP="00A57D87">
            <w:pPr>
              <w:spacing w:after="0"/>
              <w:jc w:val="left"/>
              <w:rPr>
                <w:rFonts w:cs="Arial"/>
                <w:b/>
                <w:sz w:val="16"/>
                <w:szCs w:val="16"/>
              </w:rPr>
            </w:pPr>
            <w:r w:rsidRPr="00487A50">
              <w:rPr>
                <w:rFonts w:cs="Arial"/>
                <w:b/>
                <w:sz w:val="16"/>
                <w:szCs w:val="16"/>
              </w:rPr>
              <w:t xml:space="preserve">Number </w:t>
            </w:r>
            <w:r w:rsidRPr="00487A50">
              <w:rPr>
                <w:rFonts w:cs="Arial"/>
                <w:b/>
                <w:sz w:val="16"/>
                <w:szCs w:val="16"/>
              </w:rPr>
              <w:br/>
              <w:t>Under Utilized</w:t>
            </w:r>
          </w:p>
        </w:tc>
        <w:tc>
          <w:tcPr>
            <w:tcW w:w="540" w:type="dxa"/>
            <w:vMerge/>
            <w:tcBorders>
              <w:left w:val="single" w:sz="12" w:space="0" w:color="auto"/>
            </w:tcBorders>
            <w:shd w:val="clear" w:color="auto" w:fill="A5CD7E"/>
            <w:tcMar>
              <w:left w:w="58" w:type="dxa"/>
              <w:right w:w="58" w:type="dxa"/>
            </w:tcMar>
          </w:tcPr>
          <w:p w:rsidR="00AC40FC" w:rsidRPr="00487A50" w:rsidRDefault="00AC40FC" w:rsidP="00A57D87">
            <w:pPr>
              <w:spacing w:after="0"/>
              <w:rPr>
                <w:rFonts w:cs="Arial"/>
                <w:b/>
                <w:sz w:val="16"/>
                <w:szCs w:val="16"/>
              </w:rPr>
            </w:pPr>
          </w:p>
        </w:tc>
        <w:tc>
          <w:tcPr>
            <w:tcW w:w="450" w:type="dxa"/>
            <w:shd w:val="clear" w:color="auto" w:fill="A5CD7E"/>
            <w:tcMar>
              <w:left w:w="58" w:type="dxa"/>
              <w:right w:w="58" w:type="dxa"/>
            </w:tcMar>
            <w:vAlign w:val="bottom"/>
          </w:tcPr>
          <w:p w:rsidR="00AC40FC" w:rsidRPr="00487A50" w:rsidRDefault="00AC40FC" w:rsidP="00A57D87">
            <w:pPr>
              <w:spacing w:after="0"/>
              <w:jc w:val="center"/>
              <w:rPr>
                <w:rFonts w:cs="Arial"/>
                <w:b/>
                <w:sz w:val="16"/>
                <w:szCs w:val="16"/>
              </w:rPr>
            </w:pPr>
            <w:r w:rsidRPr="00487A50">
              <w:rPr>
                <w:rFonts w:cs="Arial"/>
                <w:b/>
                <w:sz w:val="16"/>
                <w:szCs w:val="16"/>
              </w:rPr>
              <w:t>#</w:t>
            </w:r>
          </w:p>
        </w:tc>
        <w:tc>
          <w:tcPr>
            <w:tcW w:w="630" w:type="dxa"/>
            <w:shd w:val="clear" w:color="auto" w:fill="A5CD7E"/>
            <w:tcMar>
              <w:left w:w="58" w:type="dxa"/>
              <w:right w:w="58" w:type="dxa"/>
            </w:tcMar>
            <w:vAlign w:val="bottom"/>
          </w:tcPr>
          <w:p w:rsidR="00AC40FC" w:rsidRPr="00487A50" w:rsidRDefault="00AC40FC" w:rsidP="00A57D87">
            <w:pPr>
              <w:spacing w:after="0"/>
              <w:jc w:val="center"/>
              <w:rPr>
                <w:rFonts w:cs="Arial"/>
                <w:b/>
                <w:sz w:val="16"/>
                <w:szCs w:val="16"/>
              </w:rPr>
            </w:pPr>
            <w:r w:rsidRPr="00487A50">
              <w:rPr>
                <w:rFonts w:cs="Arial"/>
                <w:b/>
                <w:sz w:val="16"/>
                <w:szCs w:val="16"/>
              </w:rPr>
              <w:t>%</w:t>
            </w:r>
          </w:p>
        </w:tc>
        <w:tc>
          <w:tcPr>
            <w:tcW w:w="630" w:type="dxa"/>
            <w:shd w:val="clear" w:color="auto" w:fill="A5CD7E"/>
            <w:tcMar>
              <w:left w:w="58" w:type="dxa"/>
              <w:right w:w="58" w:type="dxa"/>
            </w:tcMar>
            <w:textDirection w:val="btLr"/>
            <w:vAlign w:val="center"/>
          </w:tcPr>
          <w:p w:rsidR="00AC40FC" w:rsidRPr="00487A50" w:rsidRDefault="00AC40FC" w:rsidP="00A57D87">
            <w:pPr>
              <w:spacing w:after="0"/>
              <w:jc w:val="left"/>
              <w:rPr>
                <w:rFonts w:cs="Arial"/>
                <w:b/>
                <w:sz w:val="16"/>
                <w:szCs w:val="16"/>
              </w:rPr>
            </w:pPr>
            <w:r w:rsidRPr="00487A50">
              <w:rPr>
                <w:rFonts w:cs="Arial"/>
                <w:b/>
                <w:sz w:val="16"/>
                <w:szCs w:val="16"/>
              </w:rPr>
              <w:t>Availability Percent</w:t>
            </w:r>
          </w:p>
        </w:tc>
        <w:tc>
          <w:tcPr>
            <w:tcW w:w="540" w:type="dxa"/>
            <w:shd w:val="clear" w:color="auto" w:fill="A5CD7E"/>
            <w:tcMar>
              <w:left w:w="58" w:type="dxa"/>
              <w:right w:w="58" w:type="dxa"/>
            </w:tcMar>
            <w:textDirection w:val="btLr"/>
            <w:vAlign w:val="center"/>
          </w:tcPr>
          <w:p w:rsidR="00AC40FC" w:rsidRPr="00487A50" w:rsidRDefault="00AC40FC" w:rsidP="00A57D87">
            <w:pPr>
              <w:spacing w:after="0"/>
              <w:rPr>
                <w:rFonts w:cs="Arial"/>
                <w:b/>
                <w:sz w:val="16"/>
                <w:szCs w:val="16"/>
              </w:rPr>
            </w:pPr>
            <w:r w:rsidRPr="00487A50">
              <w:rPr>
                <w:rFonts w:cs="Arial"/>
                <w:b/>
                <w:sz w:val="16"/>
                <w:szCs w:val="16"/>
              </w:rPr>
              <w:t xml:space="preserve">Number </w:t>
            </w:r>
            <w:r w:rsidRPr="00487A50">
              <w:rPr>
                <w:rFonts w:cs="Arial"/>
                <w:b/>
                <w:sz w:val="16"/>
                <w:szCs w:val="16"/>
              </w:rPr>
              <w:br/>
              <w:t>Under Utilized</w:t>
            </w:r>
          </w:p>
        </w:tc>
      </w:tr>
      <w:tr w:rsidR="00AC40FC" w:rsidRPr="00487A50" w:rsidTr="00A57D87">
        <w:trPr>
          <w:trHeight w:val="152"/>
          <w:jc w:val="center"/>
        </w:trPr>
        <w:tc>
          <w:tcPr>
            <w:tcW w:w="2128" w:type="dxa"/>
            <w:tcBorders>
              <w:bottom w:val="single" w:sz="4" w:space="0" w:color="auto"/>
            </w:tcBorders>
            <w:tcMar>
              <w:left w:w="58" w:type="dxa"/>
              <w:right w:w="58" w:type="dxa"/>
            </w:tcMar>
            <w:vAlign w:val="center"/>
          </w:tcPr>
          <w:p w:rsidR="00AC40FC" w:rsidRPr="00487A50" w:rsidRDefault="00AC40FC" w:rsidP="00A57D87">
            <w:pPr>
              <w:spacing w:after="0"/>
              <w:jc w:val="left"/>
              <w:rPr>
                <w:rFonts w:cs="Arial"/>
                <w:sz w:val="16"/>
                <w:szCs w:val="16"/>
              </w:rPr>
            </w:pPr>
            <w:r w:rsidRPr="00487A50">
              <w:rPr>
                <w:rFonts w:cs="Arial"/>
                <w:sz w:val="16"/>
                <w:szCs w:val="16"/>
              </w:rPr>
              <w:t>10-Officer &amp; Executive</w:t>
            </w:r>
          </w:p>
        </w:tc>
        <w:tc>
          <w:tcPr>
            <w:tcW w:w="540" w:type="dxa"/>
            <w:tcBorders>
              <w:bottom w:val="single" w:sz="4"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4</w:t>
            </w:r>
          </w:p>
        </w:tc>
        <w:tc>
          <w:tcPr>
            <w:tcW w:w="450" w:type="dxa"/>
            <w:tcBorders>
              <w:bottom w:val="single" w:sz="4"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0</w:t>
            </w:r>
          </w:p>
        </w:tc>
        <w:tc>
          <w:tcPr>
            <w:tcW w:w="630" w:type="dxa"/>
            <w:tcBorders>
              <w:bottom w:val="single" w:sz="4"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0.0%</w:t>
            </w:r>
          </w:p>
        </w:tc>
        <w:tc>
          <w:tcPr>
            <w:tcW w:w="630" w:type="dxa"/>
            <w:tcBorders>
              <w:bottom w:val="single" w:sz="4"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9.4%</w:t>
            </w:r>
          </w:p>
        </w:tc>
        <w:tc>
          <w:tcPr>
            <w:tcW w:w="540" w:type="dxa"/>
            <w:tcBorders>
              <w:bottom w:val="single" w:sz="4" w:space="0" w:color="auto"/>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0</w:t>
            </w:r>
          </w:p>
        </w:tc>
        <w:tc>
          <w:tcPr>
            <w:tcW w:w="630" w:type="dxa"/>
            <w:tcBorders>
              <w:left w:val="single" w:sz="12" w:space="0" w:color="auto"/>
              <w:bottom w:val="single" w:sz="4"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4</w:t>
            </w:r>
          </w:p>
        </w:tc>
        <w:tc>
          <w:tcPr>
            <w:tcW w:w="450" w:type="dxa"/>
            <w:tcBorders>
              <w:bottom w:val="single" w:sz="4"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0</w:t>
            </w:r>
          </w:p>
        </w:tc>
        <w:tc>
          <w:tcPr>
            <w:tcW w:w="630" w:type="dxa"/>
            <w:tcBorders>
              <w:bottom w:val="single" w:sz="4"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0.0%</w:t>
            </w:r>
          </w:p>
        </w:tc>
        <w:tc>
          <w:tcPr>
            <w:tcW w:w="630" w:type="dxa"/>
            <w:tcBorders>
              <w:bottom w:val="single" w:sz="4"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9.0%</w:t>
            </w:r>
          </w:p>
        </w:tc>
        <w:tc>
          <w:tcPr>
            <w:tcW w:w="450" w:type="dxa"/>
            <w:tcBorders>
              <w:bottom w:val="single" w:sz="4" w:space="0" w:color="auto"/>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0</w:t>
            </w:r>
          </w:p>
        </w:tc>
        <w:tc>
          <w:tcPr>
            <w:tcW w:w="630" w:type="dxa"/>
            <w:tcBorders>
              <w:left w:val="single" w:sz="12" w:space="0" w:color="auto"/>
              <w:bottom w:val="single" w:sz="4"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4</w:t>
            </w:r>
          </w:p>
        </w:tc>
        <w:tc>
          <w:tcPr>
            <w:tcW w:w="540" w:type="dxa"/>
            <w:tcBorders>
              <w:bottom w:val="single" w:sz="4"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w:t>
            </w:r>
          </w:p>
        </w:tc>
        <w:tc>
          <w:tcPr>
            <w:tcW w:w="630" w:type="dxa"/>
            <w:tcBorders>
              <w:bottom w:val="single" w:sz="4"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25.0%</w:t>
            </w:r>
          </w:p>
        </w:tc>
        <w:tc>
          <w:tcPr>
            <w:tcW w:w="630" w:type="dxa"/>
            <w:tcBorders>
              <w:bottom w:val="single" w:sz="4"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18.1%</w:t>
            </w:r>
          </w:p>
        </w:tc>
        <w:tc>
          <w:tcPr>
            <w:tcW w:w="450" w:type="dxa"/>
            <w:tcBorders>
              <w:bottom w:val="single" w:sz="4" w:space="0" w:color="auto"/>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0</w:t>
            </w:r>
          </w:p>
        </w:tc>
        <w:tc>
          <w:tcPr>
            <w:tcW w:w="540" w:type="dxa"/>
            <w:tcBorders>
              <w:left w:val="single" w:sz="12" w:space="0" w:color="auto"/>
              <w:bottom w:val="single" w:sz="4"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3</w:t>
            </w:r>
          </w:p>
        </w:tc>
        <w:tc>
          <w:tcPr>
            <w:tcW w:w="450" w:type="dxa"/>
            <w:tcBorders>
              <w:bottom w:val="single" w:sz="4"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1</w:t>
            </w:r>
          </w:p>
        </w:tc>
        <w:tc>
          <w:tcPr>
            <w:tcW w:w="630" w:type="dxa"/>
            <w:tcBorders>
              <w:bottom w:val="single" w:sz="4"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33.3%</w:t>
            </w:r>
          </w:p>
        </w:tc>
        <w:tc>
          <w:tcPr>
            <w:tcW w:w="630" w:type="dxa"/>
            <w:tcBorders>
              <w:bottom w:val="single" w:sz="4"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20.5%</w:t>
            </w:r>
          </w:p>
        </w:tc>
        <w:tc>
          <w:tcPr>
            <w:tcW w:w="540" w:type="dxa"/>
            <w:tcBorders>
              <w:bottom w:val="single" w:sz="4"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0</w:t>
            </w:r>
          </w:p>
        </w:tc>
      </w:tr>
      <w:tr w:rsidR="00AC40FC" w:rsidRPr="00487A50" w:rsidTr="00A57D87">
        <w:trPr>
          <w:jc w:val="center"/>
        </w:trPr>
        <w:tc>
          <w:tcPr>
            <w:tcW w:w="2128" w:type="dxa"/>
            <w:tcBorders>
              <w:bottom w:val="single" w:sz="12" w:space="0" w:color="auto"/>
            </w:tcBorders>
            <w:tcMar>
              <w:left w:w="58" w:type="dxa"/>
              <w:right w:w="58" w:type="dxa"/>
            </w:tcMar>
          </w:tcPr>
          <w:p w:rsidR="00AC40FC" w:rsidRPr="00487A50" w:rsidRDefault="00AC40FC" w:rsidP="00A57D87">
            <w:pPr>
              <w:spacing w:after="0"/>
              <w:rPr>
                <w:rFonts w:cs="Arial"/>
                <w:sz w:val="16"/>
                <w:szCs w:val="16"/>
              </w:rPr>
            </w:pPr>
            <w:r w:rsidRPr="00487A50">
              <w:rPr>
                <w:rFonts w:cs="Arial"/>
                <w:sz w:val="16"/>
                <w:szCs w:val="16"/>
              </w:rPr>
              <w:t>11-Senior Manager</w:t>
            </w:r>
          </w:p>
        </w:tc>
        <w:tc>
          <w:tcPr>
            <w:tcW w:w="540" w:type="dxa"/>
            <w:tcBorders>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25</w:t>
            </w:r>
          </w:p>
        </w:tc>
        <w:tc>
          <w:tcPr>
            <w:tcW w:w="450" w:type="dxa"/>
            <w:tcBorders>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2</w:t>
            </w:r>
          </w:p>
        </w:tc>
        <w:tc>
          <w:tcPr>
            <w:tcW w:w="630" w:type="dxa"/>
            <w:tcBorders>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8.0%</w:t>
            </w:r>
          </w:p>
        </w:tc>
        <w:tc>
          <w:tcPr>
            <w:tcW w:w="630" w:type="dxa"/>
            <w:tcBorders>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11.3%</w:t>
            </w:r>
          </w:p>
        </w:tc>
        <w:tc>
          <w:tcPr>
            <w:tcW w:w="540" w:type="dxa"/>
            <w:tcBorders>
              <w:bottom w:val="single" w:sz="12" w:space="0" w:color="auto"/>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0</w:t>
            </w:r>
          </w:p>
        </w:tc>
        <w:tc>
          <w:tcPr>
            <w:tcW w:w="630" w:type="dxa"/>
            <w:tcBorders>
              <w:left w:val="single" w:sz="12" w:space="0" w:color="auto"/>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20</w:t>
            </w:r>
          </w:p>
        </w:tc>
        <w:tc>
          <w:tcPr>
            <w:tcW w:w="450" w:type="dxa"/>
            <w:tcBorders>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3</w:t>
            </w:r>
          </w:p>
        </w:tc>
        <w:tc>
          <w:tcPr>
            <w:tcW w:w="630" w:type="dxa"/>
            <w:tcBorders>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15.0%</w:t>
            </w:r>
          </w:p>
        </w:tc>
        <w:tc>
          <w:tcPr>
            <w:tcW w:w="630" w:type="dxa"/>
            <w:tcBorders>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12.5%</w:t>
            </w:r>
          </w:p>
        </w:tc>
        <w:tc>
          <w:tcPr>
            <w:tcW w:w="450" w:type="dxa"/>
            <w:tcBorders>
              <w:bottom w:val="single" w:sz="12" w:space="0" w:color="auto"/>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0</w:t>
            </w:r>
          </w:p>
        </w:tc>
        <w:tc>
          <w:tcPr>
            <w:tcW w:w="630" w:type="dxa"/>
            <w:tcBorders>
              <w:left w:val="single" w:sz="12" w:space="0" w:color="auto"/>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540" w:type="dxa"/>
            <w:tcBorders>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630" w:type="dxa"/>
            <w:tcBorders>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630" w:type="dxa"/>
            <w:tcBorders>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450" w:type="dxa"/>
            <w:tcBorders>
              <w:bottom w:val="single" w:sz="12" w:space="0" w:color="auto"/>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540" w:type="dxa"/>
            <w:tcBorders>
              <w:left w:val="single" w:sz="12" w:space="0" w:color="auto"/>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450" w:type="dxa"/>
            <w:tcBorders>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630" w:type="dxa"/>
            <w:tcBorders>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630" w:type="dxa"/>
            <w:tcBorders>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540" w:type="dxa"/>
            <w:tcBorders>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r>
      <w:tr w:rsidR="00AC40FC" w:rsidRPr="00487A50" w:rsidTr="00A57D87">
        <w:trPr>
          <w:jc w:val="center"/>
        </w:trPr>
        <w:tc>
          <w:tcPr>
            <w:tcW w:w="2128" w:type="dxa"/>
            <w:tcBorders>
              <w:top w:val="single" w:sz="12" w:space="0" w:color="auto"/>
            </w:tcBorders>
            <w:tcMar>
              <w:left w:w="58" w:type="dxa"/>
              <w:right w:w="58" w:type="dxa"/>
            </w:tcMar>
          </w:tcPr>
          <w:p w:rsidR="00AC40FC" w:rsidRPr="00487A50" w:rsidRDefault="00AC40FC" w:rsidP="00A57D87">
            <w:pPr>
              <w:spacing w:after="0"/>
              <w:rPr>
                <w:rFonts w:cs="Arial"/>
                <w:sz w:val="16"/>
                <w:szCs w:val="16"/>
              </w:rPr>
            </w:pPr>
            <w:r w:rsidRPr="00487A50">
              <w:rPr>
                <w:rFonts w:cs="Arial"/>
                <w:sz w:val="16"/>
                <w:szCs w:val="16"/>
              </w:rPr>
              <w:t>11-Sr Director &amp; Director</w:t>
            </w:r>
          </w:p>
        </w:tc>
        <w:tc>
          <w:tcPr>
            <w:tcW w:w="540" w:type="dxa"/>
            <w:tcBorders>
              <w:top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450" w:type="dxa"/>
            <w:tcBorders>
              <w:top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630" w:type="dxa"/>
            <w:tcBorders>
              <w:top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630" w:type="dxa"/>
            <w:tcBorders>
              <w:top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540" w:type="dxa"/>
            <w:tcBorders>
              <w:top w:val="single" w:sz="12" w:space="0" w:color="auto"/>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630" w:type="dxa"/>
            <w:tcBorders>
              <w:top w:val="single" w:sz="12" w:space="0" w:color="auto"/>
              <w:lef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450" w:type="dxa"/>
            <w:tcBorders>
              <w:top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630" w:type="dxa"/>
            <w:tcBorders>
              <w:top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630" w:type="dxa"/>
            <w:tcBorders>
              <w:top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450" w:type="dxa"/>
            <w:tcBorders>
              <w:top w:val="single" w:sz="12" w:space="0" w:color="auto"/>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630" w:type="dxa"/>
            <w:tcBorders>
              <w:top w:val="single" w:sz="12" w:space="0" w:color="auto"/>
              <w:lef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20</w:t>
            </w:r>
          </w:p>
        </w:tc>
        <w:tc>
          <w:tcPr>
            <w:tcW w:w="540" w:type="dxa"/>
            <w:tcBorders>
              <w:top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2</w:t>
            </w:r>
          </w:p>
        </w:tc>
        <w:tc>
          <w:tcPr>
            <w:tcW w:w="630" w:type="dxa"/>
            <w:tcBorders>
              <w:top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10.0%</w:t>
            </w:r>
          </w:p>
        </w:tc>
        <w:tc>
          <w:tcPr>
            <w:tcW w:w="630" w:type="dxa"/>
            <w:tcBorders>
              <w:top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13.4%</w:t>
            </w:r>
          </w:p>
        </w:tc>
        <w:tc>
          <w:tcPr>
            <w:tcW w:w="450" w:type="dxa"/>
            <w:tcBorders>
              <w:top w:val="single" w:sz="12" w:space="0" w:color="auto"/>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0</w:t>
            </w:r>
          </w:p>
        </w:tc>
        <w:tc>
          <w:tcPr>
            <w:tcW w:w="540" w:type="dxa"/>
            <w:tcBorders>
              <w:top w:val="single" w:sz="12" w:space="0" w:color="auto"/>
              <w:lef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22</w:t>
            </w:r>
          </w:p>
        </w:tc>
        <w:tc>
          <w:tcPr>
            <w:tcW w:w="450" w:type="dxa"/>
            <w:tcBorders>
              <w:top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2</w:t>
            </w:r>
          </w:p>
        </w:tc>
        <w:tc>
          <w:tcPr>
            <w:tcW w:w="630" w:type="dxa"/>
            <w:tcBorders>
              <w:top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9.1%</w:t>
            </w:r>
          </w:p>
        </w:tc>
        <w:tc>
          <w:tcPr>
            <w:tcW w:w="630" w:type="dxa"/>
            <w:tcBorders>
              <w:top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14.5%</w:t>
            </w:r>
          </w:p>
        </w:tc>
        <w:tc>
          <w:tcPr>
            <w:tcW w:w="540" w:type="dxa"/>
            <w:tcBorders>
              <w:top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1</w:t>
            </w:r>
          </w:p>
        </w:tc>
      </w:tr>
      <w:tr w:rsidR="00AC40FC" w:rsidRPr="00487A50" w:rsidTr="00A57D87">
        <w:trPr>
          <w:jc w:val="center"/>
        </w:trPr>
        <w:tc>
          <w:tcPr>
            <w:tcW w:w="2128" w:type="dxa"/>
            <w:tcMar>
              <w:left w:w="58" w:type="dxa"/>
              <w:right w:w="58" w:type="dxa"/>
            </w:tcMar>
          </w:tcPr>
          <w:p w:rsidR="00AC40FC" w:rsidRPr="00487A50" w:rsidRDefault="00AC40FC" w:rsidP="00A57D87">
            <w:pPr>
              <w:spacing w:after="0"/>
              <w:rPr>
                <w:rFonts w:cs="Arial"/>
                <w:sz w:val="16"/>
                <w:szCs w:val="16"/>
              </w:rPr>
            </w:pPr>
            <w:r w:rsidRPr="00487A50">
              <w:rPr>
                <w:rFonts w:cs="Arial"/>
                <w:sz w:val="16"/>
                <w:szCs w:val="16"/>
              </w:rPr>
              <w:t>12-Manger</w:t>
            </w:r>
          </w:p>
        </w:tc>
        <w:tc>
          <w:tcPr>
            <w:tcW w:w="54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84</w:t>
            </w:r>
          </w:p>
        </w:tc>
        <w:tc>
          <w:tcPr>
            <w:tcW w:w="45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9</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10.7%</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10.1%</w:t>
            </w:r>
          </w:p>
        </w:tc>
        <w:tc>
          <w:tcPr>
            <w:tcW w:w="540" w:type="dxa"/>
            <w:tcBorders>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0</w:t>
            </w:r>
          </w:p>
        </w:tc>
        <w:tc>
          <w:tcPr>
            <w:tcW w:w="630" w:type="dxa"/>
            <w:tcBorders>
              <w:lef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79</w:t>
            </w:r>
          </w:p>
        </w:tc>
        <w:tc>
          <w:tcPr>
            <w:tcW w:w="45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7</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8.9%</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10.3%</w:t>
            </w:r>
          </w:p>
        </w:tc>
        <w:tc>
          <w:tcPr>
            <w:tcW w:w="450" w:type="dxa"/>
            <w:tcBorders>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w:t>
            </w:r>
          </w:p>
        </w:tc>
        <w:tc>
          <w:tcPr>
            <w:tcW w:w="630" w:type="dxa"/>
            <w:tcBorders>
              <w:lef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540" w:type="dxa"/>
            <w:tcMar>
              <w:left w:w="58" w:type="dxa"/>
              <w:right w:w="58" w:type="dxa"/>
            </w:tcMar>
            <w:vAlign w:val="center"/>
          </w:tcPr>
          <w:p w:rsidR="00AC40FC" w:rsidRPr="00487A50" w:rsidRDefault="00AC40FC" w:rsidP="00A57D87">
            <w:pPr>
              <w:spacing w:after="0"/>
              <w:jc w:val="center"/>
              <w:rPr>
                <w:rFonts w:cs="Arial"/>
                <w:sz w:val="16"/>
                <w:szCs w:val="16"/>
              </w:rPr>
            </w:pP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p>
        </w:tc>
        <w:tc>
          <w:tcPr>
            <w:tcW w:w="450" w:type="dxa"/>
            <w:tcBorders>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540" w:type="dxa"/>
            <w:tcBorders>
              <w:lef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450" w:type="dxa"/>
            <w:tcMar>
              <w:left w:w="58" w:type="dxa"/>
              <w:right w:w="58" w:type="dxa"/>
            </w:tcMar>
            <w:vAlign w:val="center"/>
          </w:tcPr>
          <w:p w:rsidR="00AC40FC" w:rsidRPr="00487A50" w:rsidRDefault="00AC40FC" w:rsidP="00A57D87">
            <w:pPr>
              <w:spacing w:after="0"/>
              <w:jc w:val="center"/>
              <w:rPr>
                <w:rFonts w:cs="Arial"/>
                <w:sz w:val="16"/>
                <w:szCs w:val="16"/>
              </w:rPr>
            </w:pP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p>
        </w:tc>
        <w:tc>
          <w:tcPr>
            <w:tcW w:w="540" w:type="dxa"/>
            <w:tcMar>
              <w:left w:w="58" w:type="dxa"/>
              <w:right w:w="58" w:type="dxa"/>
            </w:tcMar>
            <w:vAlign w:val="center"/>
          </w:tcPr>
          <w:p w:rsidR="00AC40FC" w:rsidRPr="00487A50" w:rsidRDefault="00AC40FC" w:rsidP="00A57D87">
            <w:pPr>
              <w:spacing w:after="0"/>
              <w:jc w:val="center"/>
              <w:rPr>
                <w:rFonts w:cs="Arial"/>
                <w:sz w:val="16"/>
                <w:szCs w:val="16"/>
              </w:rPr>
            </w:pPr>
          </w:p>
        </w:tc>
      </w:tr>
      <w:tr w:rsidR="00AC40FC" w:rsidRPr="00487A50" w:rsidTr="00A57D87">
        <w:trPr>
          <w:jc w:val="center"/>
        </w:trPr>
        <w:tc>
          <w:tcPr>
            <w:tcW w:w="2128" w:type="dxa"/>
            <w:tcMar>
              <w:left w:w="58" w:type="dxa"/>
              <w:right w:w="58" w:type="dxa"/>
            </w:tcMar>
          </w:tcPr>
          <w:p w:rsidR="00AC40FC" w:rsidRPr="00487A50" w:rsidRDefault="00AC40FC" w:rsidP="00A57D87">
            <w:pPr>
              <w:spacing w:after="0"/>
              <w:rPr>
                <w:rFonts w:cs="Arial"/>
                <w:sz w:val="16"/>
                <w:szCs w:val="16"/>
              </w:rPr>
            </w:pPr>
            <w:r w:rsidRPr="00487A50">
              <w:rPr>
                <w:rFonts w:cs="Arial"/>
                <w:sz w:val="16"/>
                <w:szCs w:val="16"/>
              </w:rPr>
              <w:t>12-Sr Manager &amp; Manager</w:t>
            </w:r>
          </w:p>
        </w:tc>
        <w:tc>
          <w:tcPr>
            <w:tcW w:w="540" w:type="dxa"/>
            <w:tcMar>
              <w:left w:w="58" w:type="dxa"/>
              <w:right w:w="58" w:type="dxa"/>
            </w:tcMar>
            <w:vAlign w:val="center"/>
          </w:tcPr>
          <w:p w:rsidR="00AC40FC" w:rsidRPr="00487A50" w:rsidRDefault="00AC40FC" w:rsidP="00A57D87">
            <w:pPr>
              <w:spacing w:after="0"/>
              <w:jc w:val="center"/>
              <w:rPr>
                <w:rFonts w:cs="Arial"/>
                <w:sz w:val="16"/>
                <w:szCs w:val="16"/>
              </w:rPr>
            </w:pPr>
          </w:p>
        </w:tc>
        <w:tc>
          <w:tcPr>
            <w:tcW w:w="450" w:type="dxa"/>
            <w:tcMar>
              <w:left w:w="58" w:type="dxa"/>
              <w:right w:w="58" w:type="dxa"/>
            </w:tcMar>
            <w:vAlign w:val="center"/>
          </w:tcPr>
          <w:p w:rsidR="00AC40FC" w:rsidRPr="00487A50" w:rsidRDefault="00AC40FC" w:rsidP="00A57D87">
            <w:pPr>
              <w:spacing w:after="0"/>
              <w:jc w:val="center"/>
              <w:rPr>
                <w:rFonts w:cs="Arial"/>
                <w:sz w:val="16"/>
                <w:szCs w:val="16"/>
              </w:rPr>
            </w:pP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p>
        </w:tc>
        <w:tc>
          <w:tcPr>
            <w:tcW w:w="540" w:type="dxa"/>
            <w:tcBorders>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630" w:type="dxa"/>
            <w:tcBorders>
              <w:lef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450" w:type="dxa"/>
            <w:tcMar>
              <w:left w:w="58" w:type="dxa"/>
              <w:right w:w="58" w:type="dxa"/>
            </w:tcMar>
            <w:vAlign w:val="center"/>
          </w:tcPr>
          <w:p w:rsidR="00AC40FC" w:rsidRPr="00487A50" w:rsidRDefault="00AC40FC" w:rsidP="00A57D87">
            <w:pPr>
              <w:spacing w:after="0"/>
              <w:jc w:val="center"/>
              <w:rPr>
                <w:rFonts w:cs="Arial"/>
                <w:sz w:val="16"/>
                <w:szCs w:val="16"/>
              </w:rPr>
            </w:pP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p>
        </w:tc>
        <w:tc>
          <w:tcPr>
            <w:tcW w:w="450" w:type="dxa"/>
            <w:tcBorders>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630" w:type="dxa"/>
            <w:tcBorders>
              <w:lef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84</w:t>
            </w:r>
          </w:p>
        </w:tc>
        <w:tc>
          <w:tcPr>
            <w:tcW w:w="54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7</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8.3%</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13.1%</w:t>
            </w:r>
          </w:p>
        </w:tc>
        <w:tc>
          <w:tcPr>
            <w:tcW w:w="450" w:type="dxa"/>
            <w:tcBorders>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3</w:t>
            </w:r>
          </w:p>
        </w:tc>
        <w:tc>
          <w:tcPr>
            <w:tcW w:w="540" w:type="dxa"/>
            <w:tcBorders>
              <w:lef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84</w:t>
            </w:r>
          </w:p>
        </w:tc>
        <w:tc>
          <w:tcPr>
            <w:tcW w:w="450" w:type="dxa"/>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11</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13.1%</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12.3%</w:t>
            </w:r>
          </w:p>
        </w:tc>
        <w:tc>
          <w:tcPr>
            <w:tcW w:w="540" w:type="dxa"/>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0</w:t>
            </w:r>
          </w:p>
        </w:tc>
      </w:tr>
      <w:tr w:rsidR="00AC40FC" w:rsidRPr="00487A50" w:rsidTr="00A57D87">
        <w:trPr>
          <w:jc w:val="center"/>
        </w:trPr>
        <w:tc>
          <w:tcPr>
            <w:tcW w:w="2128" w:type="dxa"/>
            <w:tcMar>
              <w:left w:w="58" w:type="dxa"/>
              <w:right w:w="58" w:type="dxa"/>
            </w:tcMar>
          </w:tcPr>
          <w:p w:rsidR="00AC40FC" w:rsidRPr="00487A50" w:rsidRDefault="00AC40FC" w:rsidP="00A57D87">
            <w:pPr>
              <w:spacing w:after="0"/>
              <w:rPr>
                <w:rFonts w:cs="Arial"/>
                <w:sz w:val="16"/>
                <w:szCs w:val="16"/>
              </w:rPr>
            </w:pPr>
            <w:r w:rsidRPr="00487A50">
              <w:rPr>
                <w:rFonts w:cs="Arial"/>
                <w:sz w:val="16"/>
                <w:szCs w:val="16"/>
              </w:rPr>
              <w:t>14-Foreman</w:t>
            </w:r>
          </w:p>
        </w:tc>
        <w:tc>
          <w:tcPr>
            <w:tcW w:w="54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98</w:t>
            </w:r>
          </w:p>
        </w:tc>
        <w:tc>
          <w:tcPr>
            <w:tcW w:w="45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9</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9.2%</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8.8%</w:t>
            </w:r>
          </w:p>
        </w:tc>
        <w:tc>
          <w:tcPr>
            <w:tcW w:w="540" w:type="dxa"/>
            <w:tcBorders>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0</w:t>
            </w:r>
          </w:p>
        </w:tc>
        <w:tc>
          <w:tcPr>
            <w:tcW w:w="630" w:type="dxa"/>
            <w:tcBorders>
              <w:lef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92</w:t>
            </w:r>
          </w:p>
        </w:tc>
        <w:tc>
          <w:tcPr>
            <w:tcW w:w="45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6</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6.5%</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4.5%</w:t>
            </w:r>
          </w:p>
        </w:tc>
        <w:tc>
          <w:tcPr>
            <w:tcW w:w="450" w:type="dxa"/>
            <w:tcBorders>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0</w:t>
            </w:r>
          </w:p>
        </w:tc>
        <w:tc>
          <w:tcPr>
            <w:tcW w:w="630" w:type="dxa"/>
            <w:tcBorders>
              <w:lef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82</w:t>
            </w:r>
          </w:p>
        </w:tc>
        <w:tc>
          <w:tcPr>
            <w:tcW w:w="54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6</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7.3%</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6.6%</w:t>
            </w:r>
          </w:p>
        </w:tc>
        <w:tc>
          <w:tcPr>
            <w:tcW w:w="450" w:type="dxa"/>
            <w:tcBorders>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0</w:t>
            </w:r>
          </w:p>
        </w:tc>
        <w:tc>
          <w:tcPr>
            <w:tcW w:w="540" w:type="dxa"/>
            <w:tcBorders>
              <w:lef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72</w:t>
            </w:r>
          </w:p>
        </w:tc>
        <w:tc>
          <w:tcPr>
            <w:tcW w:w="450" w:type="dxa"/>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6</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8.3%</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4.7%</w:t>
            </w:r>
          </w:p>
        </w:tc>
        <w:tc>
          <w:tcPr>
            <w:tcW w:w="540" w:type="dxa"/>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0</w:t>
            </w:r>
          </w:p>
        </w:tc>
      </w:tr>
      <w:tr w:rsidR="00AC40FC" w:rsidRPr="00487A50" w:rsidTr="00A57D87">
        <w:trPr>
          <w:jc w:val="center"/>
        </w:trPr>
        <w:tc>
          <w:tcPr>
            <w:tcW w:w="2128" w:type="dxa"/>
            <w:tcMar>
              <w:left w:w="58" w:type="dxa"/>
              <w:right w:w="58" w:type="dxa"/>
            </w:tcMar>
          </w:tcPr>
          <w:p w:rsidR="00AC40FC" w:rsidRPr="00487A50" w:rsidRDefault="00AC40FC" w:rsidP="00A57D87">
            <w:pPr>
              <w:spacing w:after="0"/>
              <w:rPr>
                <w:rFonts w:cs="Arial"/>
                <w:sz w:val="16"/>
                <w:szCs w:val="16"/>
              </w:rPr>
            </w:pPr>
            <w:r w:rsidRPr="00487A50">
              <w:rPr>
                <w:rFonts w:cs="Arial"/>
                <w:sz w:val="16"/>
                <w:szCs w:val="16"/>
              </w:rPr>
              <w:t>15-Supervisory</w:t>
            </w:r>
          </w:p>
        </w:tc>
        <w:tc>
          <w:tcPr>
            <w:tcW w:w="54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163</w:t>
            </w:r>
          </w:p>
        </w:tc>
        <w:tc>
          <w:tcPr>
            <w:tcW w:w="45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9</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5.5%</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10.1%</w:t>
            </w:r>
          </w:p>
        </w:tc>
        <w:tc>
          <w:tcPr>
            <w:tcW w:w="540" w:type="dxa"/>
            <w:tcBorders>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7</w:t>
            </w:r>
          </w:p>
        </w:tc>
        <w:tc>
          <w:tcPr>
            <w:tcW w:w="630" w:type="dxa"/>
            <w:tcBorders>
              <w:lef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161</w:t>
            </w:r>
          </w:p>
        </w:tc>
        <w:tc>
          <w:tcPr>
            <w:tcW w:w="45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7</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4.3%</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8.7%</w:t>
            </w:r>
          </w:p>
        </w:tc>
        <w:tc>
          <w:tcPr>
            <w:tcW w:w="450" w:type="dxa"/>
            <w:tcBorders>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6</w:t>
            </w:r>
          </w:p>
        </w:tc>
        <w:tc>
          <w:tcPr>
            <w:tcW w:w="630" w:type="dxa"/>
            <w:tcBorders>
              <w:lef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177</w:t>
            </w:r>
          </w:p>
        </w:tc>
        <w:tc>
          <w:tcPr>
            <w:tcW w:w="54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12</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6.8%</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8.8%</w:t>
            </w:r>
          </w:p>
        </w:tc>
        <w:tc>
          <w:tcPr>
            <w:tcW w:w="450" w:type="dxa"/>
            <w:tcBorders>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3</w:t>
            </w:r>
          </w:p>
        </w:tc>
        <w:tc>
          <w:tcPr>
            <w:tcW w:w="540" w:type="dxa"/>
            <w:tcBorders>
              <w:lef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168</w:t>
            </w:r>
          </w:p>
        </w:tc>
        <w:tc>
          <w:tcPr>
            <w:tcW w:w="450" w:type="dxa"/>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11</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6.5%</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6.5%</w:t>
            </w:r>
          </w:p>
        </w:tc>
        <w:tc>
          <w:tcPr>
            <w:tcW w:w="540" w:type="dxa"/>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0</w:t>
            </w:r>
          </w:p>
        </w:tc>
      </w:tr>
      <w:tr w:rsidR="00AC40FC" w:rsidRPr="00487A50" w:rsidTr="00A57D87">
        <w:trPr>
          <w:jc w:val="center"/>
        </w:trPr>
        <w:tc>
          <w:tcPr>
            <w:tcW w:w="2128" w:type="dxa"/>
            <w:tcMar>
              <w:left w:w="58" w:type="dxa"/>
              <w:right w:w="58" w:type="dxa"/>
            </w:tcMar>
          </w:tcPr>
          <w:p w:rsidR="00AC40FC" w:rsidRPr="00487A50" w:rsidRDefault="00AC40FC" w:rsidP="00A57D87">
            <w:pPr>
              <w:spacing w:after="0"/>
              <w:rPr>
                <w:rFonts w:cs="Arial"/>
                <w:sz w:val="16"/>
                <w:szCs w:val="16"/>
              </w:rPr>
            </w:pPr>
            <w:r w:rsidRPr="00487A50">
              <w:rPr>
                <w:rFonts w:cs="Arial"/>
                <w:sz w:val="16"/>
                <w:szCs w:val="16"/>
              </w:rPr>
              <w:t>20-IT Professional</w:t>
            </w:r>
          </w:p>
        </w:tc>
        <w:tc>
          <w:tcPr>
            <w:tcW w:w="540" w:type="dxa"/>
            <w:tcMar>
              <w:left w:w="58" w:type="dxa"/>
              <w:right w:w="58" w:type="dxa"/>
            </w:tcMar>
            <w:vAlign w:val="center"/>
          </w:tcPr>
          <w:p w:rsidR="00AC40FC" w:rsidRPr="00487A50" w:rsidRDefault="00AC40FC" w:rsidP="00A57D87">
            <w:pPr>
              <w:spacing w:after="0"/>
              <w:jc w:val="center"/>
              <w:rPr>
                <w:rFonts w:cs="Arial"/>
                <w:sz w:val="16"/>
                <w:szCs w:val="16"/>
              </w:rPr>
            </w:pPr>
          </w:p>
        </w:tc>
        <w:tc>
          <w:tcPr>
            <w:tcW w:w="450" w:type="dxa"/>
            <w:tcMar>
              <w:left w:w="58" w:type="dxa"/>
              <w:right w:w="58" w:type="dxa"/>
            </w:tcMar>
            <w:vAlign w:val="center"/>
          </w:tcPr>
          <w:p w:rsidR="00AC40FC" w:rsidRPr="00487A50" w:rsidRDefault="00AC40FC" w:rsidP="00A57D87">
            <w:pPr>
              <w:spacing w:after="0"/>
              <w:jc w:val="center"/>
              <w:rPr>
                <w:rFonts w:cs="Arial"/>
                <w:sz w:val="16"/>
                <w:szCs w:val="16"/>
              </w:rPr>
            </w:pP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p>
        </w:tc>
        <w:tc>
          <w:tcPr>
            <w:tcW w:w="540" w:type="dxa"/>
            <w:tcBorders>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630" w:type="dxa"/>
            <w:tcBorders>
              <w:lef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450" w:type="dxa"/>
            <w:tcMar>
              <w:left w:w="58" w:type="dxa"/>
              <w:right w:w="58" w:type="dxa"/>
            </w:tcMar>
            <w:vAlign w:val="center"/>
          </w:tcPr>
          <w:p w:rsidR="00AC40FC" w:rsidRPr="00487A50" w:rsidRDefault="00AC40FC" w:rsidP="00A57D87">
            <w:pPr>
              <w:spacing w:after="0"/>
              <w:jc w:val="center"/>
              <w:rPr>
                <w:rFonts w:cs="Arial"/>
                <w:sz w:val="16"/>
                <w:szCs w:val="16"/>
              </w:rPr>
            </w:pP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p>
        </w:tc>
        <w:tc>
          <w:tcPr>
            <w:tcW w:w="450" w:type="dxa"/>
            <w:tcBorders>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630" w:type="dxa"/>
            <w:tcBorders>
              <w:lef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w:t>
            </w:r>
          </w:p>
        </w:tc>
        <w:tc>
          <w:tcPr>
            <w:tcW w:w="54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0</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0.0%</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9.5%</w:t>
            </w:r>
          </w:p>
        </w:tc>
        <w:tc>
          <w:tcPr>
            <w:tcW w:w="450" w:type="dxa"/>
            <w:tcBorders>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0</w:t>
            </w:r>
          </w:p>
        </w:tc>
        <w:tc>
          <w:tcPr>
            <w:tcW w:w="540" w:type="dxa"/>
            <w:tcBorders>
              <w:lef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450" w:type="dxa"/>
            <w:tcMar>
              <w:left w:w="58" w:type="dxa"/>
              <w:right w:w="58" w:type="dxa"/>
            </w:tcMar>
            <w:vAlign w:val="center"/>
          </w:tcPr>
          <w:p w:rsidR="00AC40FC" w:rsidRPr="00487A50" w:rsidRDefault="00AC40FC" w:rsidP="00A57D87">
            <w:pPr>
              <w:spacing w:after="0"/>
              <w:jc w:val="center"/>
              <w:rPr>
                <w:rFonts w:cs="Arial"/>
                <w:sz w:val="16"/>
                <w:szCs w:val="16"/>
              </w:rPr>
            </w:pP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p>
        </w:tc>
        <w:tc>
          <w:tcPr>
            <w:tcW w:w="540" w:type="dxa"/>
            <w:tcMar>
              <w:left w:w="58" w:type="dxa"/>
              <w:right w:w="58" w:type="dxa"/>
            </w:tcMar>
            <w:vAlign w:val="center"/>
          </w:tcPr>
          <w:p w:rsidR="00AC40FC" w:rsidRPr="00487A50" w:rsidRDefault="00AC40FC" w:rsidP="00A57D87">
            <w:pPr>
              <w:spacing w:after="0"/>
              <w:jc w:val="center"/>
              <w:rPr>
                <w:rFonts w:cs="Arial"/>
                <w:sz w:val="16"/>
                <w:szCs w:val="16"/>
              </w:rPr>
            </w:pPr>
          </w:p>
        </w:tc>
      </w:tr>
      <w:tr w:rsidR="00AC40FC" w:rsidRPr="00487A50" w:rsidTr="00A57D87">
        <w:trPr>
          <w:jc w:val="center"/>
        </w:trPr>
        <w:tc>
          <w:tcPr>
            <w:tcW w:w="2128" w:type="dxa"/>
            <w:tcMar>
              <w:left w:w="58" w:type="dxa"/>
              <w:right w:w="58" w:type="dxa"/>
            </w:tcMar>
          </w:tcPr>
          <w:p w:rsidR="00AC40FC" w:rsidRPr="00487A50" w:rsidRDefault="00AC40FC" w:rsidP="00A57D87">
            <w:pPr>
              <w:spacing w:after="0"/>
              <w:rPr>
                <w:rFonts w:cs="Arial"/>
                <w:sz w:val="16"/>
                <w:szCs w:val="16"/>
              </w:rPr>
            </w:pPr>
            <w:r w:rsidRPr="00487A50">
              <w:rPr>
                <w:rFonts w:cs="Arial"/>
                <w:sz w:val="16"/>
                <w:szCs w:val="16"/>
              </w:rPr>
              <w:t>22-Senior Professional</w:t>
            </w:r>
          </w:p>
        </w:tc>
        <w:tc>
          <w:tcPr>
            <w:tcW w:w="54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255</w:t>
            </w:r>
          </w:p>
        </w:tc>
        <w:tc>
          <w:tcPr>
            <w:tcW w:w="45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15</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5.9%</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12.3%</w:t>
            </w:r>
          </w:p>
        </w:tc>
        <w:tc>
          <w:tcPr>
            <w:tcW w:w="540" w:type="dxa"/>
            <w:tcBorders>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016</w:t>
            </w:r>
          </w:p>
        </w:tc>
        <w:tc>
          <w:tcPr>
            <w:tcW w:w="630" w:type="dxa"/>
            <w:tcBorders>
              <w:lef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238</w:t>
            </w:r>
          </w:p>
        </w:tc>
        <w:tc>
          <w:tcPr>
            <w:tcW w:w="45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13</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5.5%</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9.4%</w:t>
            </w:r>
          </w:p>
        </w:tc>
        <w:tc>
          <w:tcPr>
            <w:tcW w:w="450" w:type="dxa"/>
            <w:tcBorders>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9</w:t>
            </w:r>
          </w:p>
        </w:tc>
        <w:tc>
          <w:tcPr>
            <w:tcW w:w="630" w:type="dxa"/>
            <w:tcBorders>
              <w:lef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266</w:t>
            </w:r>
          </w:p>
        </w:tc>
        <w:tc>
          <w:tcPr>
            <w:tcW w:w="54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16</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6.0%</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8.4%</w:t>
            </w:r>
          </w:p>
        </w:tc>
        <w:tc>
          <w:tcPr>
            <w:tcW w:w="450" w:type="dxa"/>
            <w:tcBorders>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6</w:t>
            </w:r>
          </w:p>
        </w:tc>
        <w:tc>
          <w:tcPr>
            <w:tcW w:w="540" w:type="dxa"/>
            <w:tcBorders>
              <w:lef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257</w:t>
            </w:r>
          </w:p>
        </w:tc>
        <w:tc>
          <w:tcPr>
            <w:tcW w:w="450" w:type="dxa"/>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24</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9.3%</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10.0%</w:t>
            </w:r>
          </w:p>
        </w:tc>
        <w:tc>
          <w:tcPr>
            <w:tcW w:w="540" w:type="dxa"/>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1</w:t>
            </w:r>
          </w:p>
        </w:tc>
      </w:tr>
      <w:tr w:rsidR="00AC40FC" w:rsidRPr="00487A50" w:rsidTr="00A57D87">
        <w:trPr>
          <w:jc w:val="center"/>
        </w:trPr>
        <w:tc>
          <w:tcPr>
            <w:tcW w:w="2128" w:type="dxa"/>
            <w:tcMar>
              <w:left w:w="58" w:type="dxa"/>
              <w:right w:w="58" w:type="dxa"/>
            </w:tcMar>
          </w:tcPr>
          <w:p w:rsidR="00AC40FC" w:rsidRPr="00487A50" w:rsidRDefault="00AC40FC" w:rsidP="00A57D87">
            <w:pPr>
              <w:spacing w:after="0"/>
              <w:rPr>
                <w:rFonts w:cs="Arial"/>
                <w:sz w:val="16"/>
                <w:szCs w:val="16"/>
              </w:rPr>
            </w:pPr>
            <w:r w:rsidRPr="00487A50">
              <w:rPr>
                <w:rFonts w:cs="Arial"/>
                <w:sz w:val="16"/>
                <w:szCs w:val="16"/>
              </w:rPr>
              <w:t>23-Accounting &amp; Finance</w:t>
            </w:r>
          </w:p>
        </w:tc>
        <w:tc>
          <w:tcPr>
            <w:tcW w:w="54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9</w:t>
            </w:r>
          </w:p>
        </w:tc>
        <w:tc>
          <w:tcPr>
            <w:tcW w:w="45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0</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0.0%</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4.2%</w:t>
            </w:r>
          </w:p>
        </w:tc>
        <w:tc>
          <w:tcPr>
            <w:tcW w:w="540" w:type="dxa"/>
            <w:tcBorders>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20</w:t>
            </w:r>
          </w:p>
        </w:tc>
        <w:tc>
          <w:tcPr>
            <w:tcW w:w="630" w:type="dxa"/>
            <w:tcBorders>
              <w:lef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6</w:t>
            </w:r>
          </w:p>
        </w:tc>
        <w:tc>
          <w:tcPr>
            <w:tcW w:w="45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0</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0.0%</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4.3%</w:t>
            </w:r>
          </w:p>
        </w:tc>
        <w:tc>
          <w:tcPr>
            <w:tcW w:w="450" w:type="dxa"/>
            <w:tcBorders>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0</w:t>
            </w:r>
          </w:p>
        </w:tc>
        <w:tc>
          <w:tcPr>
            <w:tcW w:w="630" w:type="dxa"/>
            <w:tcBorders>
              <w:lef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10</w:t>
            </w:r>
          </w:p>
        </w:tc>
        <w:tc>
          <w:tcPr>
            <w:tcW w:w="54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0</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0.0%</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4.5%</w:t>
            </w:r>
          </w:p>
        </w:tc>
        <w:tc>
          <w:tcPr>
            <w:tcW w:w="450" w:type="dxa"/>
            <w:tcBorders>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0</w:t>
            </w:r>
          </w:p>
        </w:tc>
        <w:tc>
          <w:tcPr>
            <w:tcW w:w="540" w:type="dxa"/>
            <w:tcBorders>
              <w:lef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16</w:t>
            </w:r>
          </w:p>
        </w:tc>
        <w:tc>
          <w:tcPr>
            <w:tcW w:w="450" w:type="dxa"/>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1</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6.3%</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9.4%</w:t>
            </w:r>
          </w:p>
        </w:tc>
        <w:tc>
          <w:tcPr>
            <w:tcW w:w="540" w:type="dxa"/>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0</w:t>
            </w:r>
          </w:p>
        </w:tc>
      </w:tr>
      <w:tr w:rsidR="00AC40FC" w:rsidRPr="00487A50" w:rsidTr="00A57D87">
        <w:trPr>
          <w:jc w:val="center"/>
        </w:trPr>
        <w:tc>
          <w:tcPr>
            <w:tcW w:w="2128" w:type="dxa"/>
            <w:tcMar>
              <w:left w:w="58" w:type="dxa"/>
              <w:right w:w="58" w:type="dxa"/>
            </w:tcMar>
          </w:tcPr>
          <w:p w:rsidR="00AC40FC" w:rsidRPr="00487A50" w:rsidRDefault="00AC40FC" w:rsidP="00A57D87">
            <w:pPr>
              <w:spacing w:after="0"/>
              <w:rPr>
                <w:rFonts w:cs="Arial"/>
                <w:sz w:val="16"/>
                <w:szCs w:val="16"/>
              </w:rPr>
            </w:pPr>
            <w:r w:rsidRPr="00487A50">
              <w:rPr>
                <w:rFonts w:cs="Arial"/>
                <w:sz w:val="16"/>
                <w:szCs w:val="16"/>
              </w:rPr>
              <w:t>25-Engineer</w:t>
            </w:r>
          </w:p>
        </w:tc>
        <w:tc>
          <w:tcPr>
            <w:tcW w:w="54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109</w:t>
            </w:r>
          </w:p>
        </w:tc>
        <w:tc>
          <w:tcPr>
            <w:tcW w:w="45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17</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15.6%</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18.3%</w:t>
            </w:r>
          </w:p>
        </w:tc>
        <w:tc>
          <w:tcPr>
            <w:tcW w:w="540" w:type="dxa"/>
            <w:tcBorders>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02</w:t>
            </w:r>
          </w:p>
        </w:tc>
        <w:tc>
          <w:tcPr>
            <w:tcW w:w="630" w:type="dxa"/>
            <w:tcBorders>
              <w:lef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120</w:t>
            </w:r>
          </w:p>
        </w:tc>
        <w:tc>
          <w:tcPr>
            <w:tcW w:w="45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20</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16.7%</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16.8%</w:t>
            </w:r>
          </w:p>
        </w:tc>
        <w:tc>
          <w:tcPr>
            <w:tcW w:w="450" w:type="dxa"/>
            <w:tcBorders>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0</w:t>
            </w:r>
          </w:p>
        </w:tc>
        <w:tc>
          <w:tcPr>
            <w:tcW w:w="630" w:type="dxa"/>
            <w:tcBorders>
              <w:lef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119</w:t>
            </w:r>
          </w:p>
        </w:tc>
        <w:tc>
          <w:tcPr>
            <w:tcW w:w="54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15</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12.6%</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15.4%</w:t>
            </w:r>
          </w:p>
        </w:tc>
        <w:tc>
          <w:tcPr>
            <w:tcW w:w="450" w:type="dxa"/>
            <w:tcBorders>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3</w:t>
            </w:r>
          </w:p>
        </w:tc>
        <w:tc>
          <w:tcPr>
            <w:tcW w:w="540" w:type="dxa"/>
            <w:tcBorders>
              <w:lef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111</w:t>
            </w:r>
          </w:p>
        </w:tc>
        <w:tc>
          <w:tcPr>
            <w:tcW w:w="450" w:type="dxa"/>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21</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18.9%</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18.2%</w:t>
            </w:r>
          </w:p>
        </w:tc>
        <w:tc>
          <w:tcPr>
            <w:tcW w:w="540" w:type="dxa"/>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0</w:t>
            </w:r>
          </w:p>
        </w:tc>
      </w:tr>
      <w:tr w:rsidR="00AC40FC" w:rsidRPr="00487A50" w:rsidTr="00A57D87">
        <w:trPr>
          <w:jc w:val="center"/>
        </w:trPr>
        <w:tc>
          <w:tcPr>
            <w:tcW w:w="2128" w:type="dxa"/>
            <w:tcMar>
              <w:left w:w="58" w:type="dxa"/>
              <w:right w:w="58" w:type="dxa"/>
            </w:tcMar>
          </w:tcPr>
          <w:p w:rsidR="00AC40FC" w:rsidRPr="00487A50" w:rsidRDefault="00AC40FC" w:rsidP="00A57D87">
            <w:pPr>
              <w:spacing w:after="0"/>
              <w:rPr>
                <w:rFonts w:cs="Arial"/>
                <w:sz w:val="16"/>
                <w:szCs w:val="16"/>
              </w:rPr>
            </w:pPr>
            <w:r w:rsidRPr="00487A50">
              <w:rPr>
                <w:rFonts w:cs="Arial"/>
                <w:sz w:val="16"/>
                <w:szCs w:val="16"/>
              </w:rPr>
              <w:t xml:space="preserve">29-Professional </w:t>
            </w:r>
          </w:p>
        </w:tc>
        <w:tc>
          <w:tcPr>
            <w:tcW w:w="54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55</w:t>
            </w:r>
          </w:p>
        </w:tc>
        <w:tc>
          <w:tcPr>
            <w:tcW w:w="45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8</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14.5%</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14.5%</w:t>
            </w:r>
          </w:p>
        </w:tc>
        <w:tc>
          <w:tcPr>
            <w:tcW w:w="540" w:type="dxa"/>
            <w:tcBorders>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0</w:t>
            </w:r>
          </w:p>
        </w:tc>
        <w:tc>
          <w:tcPr>
            <w:tcW w:w="630" w:type="dxa"/>
            <w:tcBorders>
              <w:lef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95</w:t>
            </w:r>
          </w:p>
        </w:tc>
        <w:tc>
          <w:tcPr>
            <w:tcW w:w="45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11</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11.6%</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9.3%</w:t>
            </w:r>
          </w:p>
        </w:tc>
        <w:tc>
          <w:tcPr>
            <w:tcW w:w="450" w:type="dxa"/>
            <w:tcBorders>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0</w:t>
            </w:r>
          </w:p>
        </w:tc>
        <w:tc>
          <w:tcPr>
            <w:tcW w:w="630" w:type="dxa"/>
            <w:tcBorders>
              <w:lef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53</w:t>
            </w:r>
          </w:p>
        </w:tc>
        <w:tc>
          <w:tcPr>
            <w:tcW w:w="54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6</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11.3%</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13.1%</w:t>
            </w:r>
          </w:p>
        </w:tc>
        <w:tc>
          <w:tcPr>
            <w:tcW w:w="450" w:type="dxa"/>
            <w:tcBorders>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0</w:t>
            </w:r>
          </w:p>
        </w:tc>
        <w:tc>
          <w:tcPr>
            <w:tcW w:w="540" w:type="dxa"/>
            <w:tcBorders>
              <w:lef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55</w:t>
            </w:r>
          </w:p>
        </w:tc>
        <w:tc>
          <w:tcPr>
            <w:tcW w:w="450" w:type="dxa"/>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4</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7.3%</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15.2%</w:t>
            </w:r>
          </w:p>
        </w:tc>
        <w:tc>
          <w:tcPr>
            <w:tcW w:w="540" w:type="dxa"/>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4</w:t>
            </w:r>
          </w:p>
        </w:tc>
      </w:tr>
      <w:tr w:rsidR="00AC40FC" w:rsidRPr="00487A50" w:rsidTr="00A57D87">
        <w:trPr>
          <w:jc w:val="center"/>
        </w:trPr>
        <w:tc>
          <w:tcPr>
            <w:tcW w:w="2128" w:type="dxa"/>
            <w:tcMar>
              <w:left w:w="58" w:type="dxa"/>
              <w:right w:w="58" w:type="dxa"/>
            </w:tcMar>
          </w:tcPr>
          <w:p w:rsidR="00AC40FC" w:rsidRPr="00487A50" w:rsidRDefault="00AC40FC" w:rsidP="00A57D87">
            <w:pPr>
              <w:spacing w:after="0"/>
              <w:rPr>
                <w:rFonts w:cs="Arial"/>
                <w:sz w:val="16"/>
                <w:szCs w:val="16"/>
              </w:rPr>
            </w:pPr>
            <w:r w:rsidRPr="00487A50">
              <w:rPr>
                <w:rFonts w:cs="Arial"/>
                <w:sz w:val="16"/>
                <w:szCs w:val="16"/>
              </w:rPr>
              <w:t>31-Drafting</w:t>
            </w:r>
          </w:p>
        </w:tc>
        <w:tc>
          <w:tcPr>
            <w:tcW w:w="54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26</w:t>
            </w:r>
          </w:p>
        </w:tc>
        <w:tc>
          <w:tcPr>
            <w:tcW w:w="45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3.8%</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7.3%</w:t>
            </w:r>
          </w:p>
        </w:tc>
        <w:tc>
          <w:tcPr>
            <w:tcW w:w="540" w:type="dxa"/>
            <w:tcBorders>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0</w:t>
            </w:r>
          </w:p>
        </w:tc>
        <w:tc>
          <w:tcPr>
            <w:tcW w:w="630" w:type="dxa"/>
            <w:tcBorders>
              <w:lef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25</w:t>
            </w:r>
          </w:p>
        </w:tc>
        <w:tc>
          <w:tcPr>
            <w:tcW w:w="45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4.0%</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5.5%</w:t>
            </w:r>
          </w:p>
        </w:tc>
        <w:tc>
          <w:tcPr>
            <w:tcW w:w="450" w:type="dxa"/>
            <w:tcBorders>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0</w:t>
            </w:r>
          </w:p>
        </w:tc>
        <w:tc>
          <w:tcPr>
            <w:tcW w:w="630" w:type="dxa"/>
            <w:tcBorders>
              <w:lef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23</w:t>
            </w:r>
          </w:p>
        </w:tc>
        <w:tc>
          <w:tcPr>
            <w:tcW w:w="54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4.3%</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4.3%</w:t>
            </w:r>
          </w:p>
        </w:tc>
        <w:tc>
          <w:tcPr>
            <w:tcW w:w="450" w:type="dxa"/>
            <w:tcBorders>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0</w:t>
            </w:r>
          </w:p>
        </w:tc>
        <w:tc>
          <w:tcPr>
            <w:tcW w:w="540" w:type="dxa"/>
            <w:tcBorders>
              <w:lef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21</w:t>
            </w:r>
          </w:p>
        </w:tc>
        <w:tc>
          <w:tcPr>
            <w:tcW w:w="450" w:type="dxa"/>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1</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4.8%</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4.8%</w:t>
            </w:r>
          </w:p>
        </w:tc>
        <w:tc>
          <w:tcPr>
            <w:tcW w:w="540" w:type="dxa"/>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0</w:t>
            </w:r>
          </w:p>
        </w:tc>
      </w:tr>
      <w:tr w:rsidR="00AC40FC" w:rsidRPr="00487A50" w:rsidTr="00A57D87">
        <w:trPr>
          <w:jc w:val="center"/>
        </w:trPr>
        <w:tc>
          <w:tcPr>
            <w:tcW w:w="2128" w:type="dxa"/>
            <w:tcMar>
              <w:left w:w="58" w:type="dxa"/>
              <w:right w:w="58" w:type="dxa"/>
            </w:tcMar>
          </w:tcPr>
          <w:p w:rsidR="00AC40FC" w:rsidRPr="00487A50" w:rsidRDefault="00AC40FC" w:rsidP="00A57D87">
            <w:pPr>
              <w:spacing w:after="0"/>
              <w:rPr>
                <w:rFonts w:cs="Arial"/>
                <w:sz w:val="16"/>
                <w:szCs w:val="16"/>
              </w:rPr>
            </w:pPr>
            <w:r w:rsidRPr="00487A50">
              <w:rPr>
                <w:rFonts w:cs="Arial"/>
                <w:sz w:val="16"/>
                <w:szCs w:val="16"/>
              </w:rPr>
              <w:t>34-Technician BU</w:t>
            </w:r>
          </w:p>
        </w:tc>
        <w:tc>
          <w:tcPr>
            <w:tcW w:w="54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150</w:t>
            </w:r>
          </w:p>
        </w:tc>
        <w:tc>
          <w:tcPr>
            <w:tcW w:w="45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7</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4.7%</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3.7%</w:t>
            </w:r>
          </w:p>
        </w:tc>
        <w:tc>
          <w:tcPr>
            <w:tcW w:w="540" w:type="dxa"/>
            <w:tcBorders>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0</w:t>
            </w:r>
          </w:p>
        </w:tc>
        <w:tc>
          <w:tcPr>
            <w:tcW w:w="630" w:type="dxa"/>
            <w:tcBorders>
              <w:lef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138</w:t>
            </w:r>
          </w:p>
        </w:tc>
        <w:tc>
          <w:tcPr>
            <w:tcW w:w="45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6</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4.3%</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5.3%</w:t>
            </w:r>
          </w:p>
        </w:tc>
        <w:tc>
          <w:tcPr>
            <w:tcW w:w="450" w:type="dxa"/>
            <w:tcBorders>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w:t>
            </w:r>
          </w:p>
        </w:tc>
        <w:tc>
          <w:tcPr>
            <w:tcW w:w="630" w:type="dxa"/>
            <w:tcBorders>
              <w:lef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132</w:t>
            </w:r>
          </w:p>
        </w:tc>
        <w:tc>
          <w:tcPr>
            <w:tcW w:w="54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6</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4.5%</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5.3%</w:t>
            </w:r>
          </w:p>
        </w:tc>
        <w:tc>
          <w:tcPr>
            <w:tcW w:w="450" w:type="dxa"/>
            <w:tcBorders>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w:t>
            </w:r>
          </w:p>
        </w:tc>
        <w:tc>
          <w:tcPr>
            <w:tcW w:w="540" w:type="dxa"/>
            <w:tcBorders>
              <w:lef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128</w:t>
            </w:r>
          </w:p>
        </w:tc>
        <w:tc>
          <w:tcPr>
            <w:tcW w:w="450" w:type="dxa"/>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6</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4.7%</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5.1%</w:t>
            </w:r>
          </w:p>
        </w:tc>
        <w:tc>
          <w:tcPr>
            <w:tcW w:w="540" w:type="dxa"/>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0</w:t>
            </w:r>
          </w:p>
        </w:tc>
      </w:tr>
      <w:tr w:rsidR="00AC40FC" w:rsidRPr="00487A50" w:rsidTr="00A57D87">
        <w:trPr>
          <w:jc w:val="center"/>
        </w:trPr>
        <w:tc>
          <w:tcPr>
            <w:tcW w:w="2128" w:type="dxa"/>
            <w:tcMar>
              <w:left w:w="58" w:type="dxa"/>
              <w:right w:w="58" w:type="dxa"/>
            </w:tcMar>
          </w:tcPr>
          <w:p w:rsidR="00AC40FC" w:rsidRPr="00487A50" w:rsidRDefault="00AC40FC" w:rsidP="00A57D87">
            <w:pPr>
              <w:spacing w:after="0"/>
              <w:rPr>
                <w:rFonts w:cs="Arial"/>
                <w:sz w:val="16"/>
                <w:szCs w:val="16"/>
              </w:rPr>
            </w:pPr>
            <w:r w:rsidRPr="00487A50">
              <w:rPr>
                <w:rFonts w:cs="Arial"/>
                <w:sz w:val="16"/>
                <w:szCs w:val="16"/>
              </w:rPr>
              <w:t>52-Senior Admin Support</w:t>
            </w:r>
          </w:p>
        </w:tc>
        <w:tc>
          <w:tcPr>
            <w:tcW w:w="54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3</w:t>
            </w:r>
          </w:p>
        </w:tc>
        <w:tc>
          <w:tcPr>
            <w:tcW w:w="45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0</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0.0%</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6.8%</w:t>
            </w:r>
          </w:p>
        </w:tc>
        <w:tc>
          <w:tcPr>
            <w:tcW w:w="540" w:type="dxa"/>
            <w:tcBorders>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0</w:t>
            </w:r>
          </w:p>
        </w:tc>
        <w:tc>
          <w:tcPr>
            <w:tcW w:w="630" w:type="dxa"/>
            <w:tcBorders>
              <w:lef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5</w:t>
            </w:r>
          </w:p>
        </w:tc>
        <w:tc>
          <w:tcPr>
            <w:tcW w:w="45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0</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0.0%</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8.8%</w:t>
            </w:r>
          </w:p>
        </w:tc>
        <w:tc>
          <w:tcPr>
            <w:tcW w:w="450" w:type="dxa"/>
            <w:tcBorders>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0</w:t>
            </w:r>
          </w:p>
        </w:tc>
        <w:tc>
          <w:tcPr>
            <w:tcW w:w="630" w:type="dxa"/>
            <w:tcBorders>
              <w:lef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3</w:t>
            </w:r>
          </w:p>
        </w:tc>
        <w:tc>
          <w:tcPr>
            <w:tcW w:w="54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0</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0.0%</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8.7%</w:t>
            </w:r>
          </w:p>
        </w:tc>
        <w:tc>
          <w:tcPr>
            <w:tcW w:w="450" w:type="dxa"/>
            <w:tcBorders>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0</w:t>
            </w:r>
          </w:p>
        </w:tc>
        <w:tc>
          <w:tcPr>
            <w:tcW w:w="540" w:type="dxa"/>
            <w:tcBorders>
              <w:lef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2</w:t>
            </w:r>
          </w:p>
        </w:tc>
        <w:tc>
          <w:tcPr>
            <w:tcW w:w="450" w:type="dxa"/>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0</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0.0%</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9.5%</w:t>
            </w:r>
          </w:p>
        </w:tc>
        <w:tc>
          <w:tcPr>
            <w:tcW w:w="540" w:type="dxa"/>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0</w:t>
            </w:r>
          </w:p>
        </w:tc>
      </w:tr>
      <w:tr w:rsidR="00AC40FC" w:rsidRPr="00487A50" w:rsidTr="00A57D87">
        <w:trPr>
          <w:jc w:val="center"/>
        </w:trPr>
        <w:tc>
          <w:tcPr>
            <w:tcW w:w="2128" w:type="dxa"/>
            <w:tcMar>
              <w:left w:w="58" w:type="dxa"/>
              <w:right w:w="58" w:type="dxa"/>
            </w:tcMar>
          </w:tcPr>
          <w:p w:rsidR="00AC40FC" w:rsidRPr="00487A50" w:rsidRDefault="00AC40FC" w:rsidP="00A57D87">
            <w:pPr>
              <w:spacing w:after="0"/>
              <w:rPr>
                <w:rFonts w:cs="Arial"/>
                <w:sz w:val="16"/>
                <w:szCs w:val="16"/>
              </w:rPr>
            </w:pPr>
            <w:r w:rsidRPr="00487A50">
              <w:rPr>
                <w:rFonts w:cs="Arial"/>
                <w:sz w:val="16"/>
                <w:szCs w:val="16"/>
              </w:rPr>
              <w:t>54-Admin &amp; Clerical</w:t>
            </w:r>
          </w:p>
        </w:tc>
        <w:tc>
          <w:tcPr>
            <w:tcW w:w="540" w:type="dxa"/>
            <w:tcMar>
              <w:left w:w="58" w:type="dxa"/>
              <w:right w:w="58" w:type="dxa"/>
            </w:tcMar>
            <w:vAlign w:val="center"/>
          </w:tcPr>
          <w:p w:rsidR="00AC40FC" w:rsidRPr="00487A50" w:rsidRDefault="00AC40FC" w:rsidP="00A57D87">
            <w:pPr>
              <w:spacing w:after="0"/>
              <w:jc w:val="center"/>
              <w:rPr>
                <w:rFonts w:cs="Arial"/>
                <w:sz w:val="16"/>
                <w:szCs w:val="16"/>
              </w:rPr>
            </w:pPr>
          </w:p>
        </w:tc>
        <w:tc>
          <w:tcPr>
            <w:tcW w:w="450" w:type="dxa"/>
            <w:tcMar>
              <w:left w:w="58" w:type="dxa"/>
              <w:right w:w="58" w:type="dxa"/>
            </w:tcMar>
            <w:vAlign w:val="center"/>
          </w:tcPr>
          <w:p w:rsidR="00AC40FC" w:rsidRPr="00487A50" w:rsidRDefault="00AC40FC" w:rsidP="00A57D87">
            <w:pPr>
              <w:spacing w:after="0"/>
              <w:jc w:val="center"/>
              <w:rPr>
                <w:rFonts w:cs="Arial"/>
                <w:sz w:val="16"/>
                <w:szCs w:val="16"/>
              </w:rPr>
            </w:pP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p>
        </w:tc>
        <w:tc>
          <w:tcPr>
            <w:tcW w:w="540" w:type="dxa"/>
            <w:tcBorders>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630" w:type="dxa"/>
            <w:tcBorders>
              <w:lef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450" w:type="dxa"/>
            <w:tcMar>
              <w:left w:w="58" w:type="dxa"/>
              <w:right w:w="58" w:type="dxa"/>
            </w:tcMar>
            <w:vAlign w:val="center"/>
          </w:tcPr>
          <w:p w:rsidR="00AC40FC" w:rsidRPr="00487A50" w:rsidRDefault="00AC40FC" w:rsidP="00A57D87">
            <w:pPr>
              <w:spacing w:after="0"/>
              <w:jc w:val="center"/>
              <w:rPr>
                <w:rFonts w:cs="Arial"/>
                <w:sz w:val="16"/>
                <w:szCs w:val="16"/>
              </w:rPr>
            </w:pP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p>
        </w:tc>
        <w:tc>
          <w:tcPr>
            <w:tcW w:w="450" w:type="dxa"/>
            <w:tcBorders>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630" w:type="dxa"/>
            <w:tcBorders>
              <w:lef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136</w:t>
            </w:r>
          </w:p>
        </w:tc>
        <w:tc>
          <w:tcPr>
            <w:tcW w:w="54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11</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8.1%</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9.1%</w:t>
            </w:r>
          </w:p>
        </w:tc>
        <w:tc>
          <w:tcPr>
            <w:tcW w:w="450" w:type="dxa"/>
            <w:tcBorders>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w:t>
            </w:r>
          </w:p>
        </w:tc>
        <w:tc>
          <w:tcPr>
            <w:tcW w:w="540" w:type="dxa"/>
            <w:tcBorders>
              <w:lef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150</w:t>
            </w:r>
          </w:p>
        </w:tc>
        <w:tc>
          <w:tcPr>
            <w:tcW w:w="450" w:type="dxa"/>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13</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8.7%</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9.9%</w:t>
            </w:r>
          </w:p>
        </w:tc>
        <w:tc>
          <w:tcPr>
            <w:tcW w:w="540" w:type="dxa"/>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1</w:t>
            </w:r>
          </w:p>
        </w:tc>
      </w:tr>
      <w:tr w:rsidR="00AC40FC" w:rsidRPr="00487A50" w:rsidTr="00A57D87">
        <w:trPr>
          <w:jc w:val="center"/>
        </w:trPr>
        <w:tc>
          <w:tcPr>
            <w:tcW w:w="2128" w:type="dxa"/>
            <w:tcMar>
              <w:left w:w="58" w:type="dxa"/>
              <w:right w:w="58" w:type="dxa"/>
            </w:tcMar>
          </w:tcPr>
          <w:p w:rsidR="00AC40FC" w:rsidRPr="00487A50" w:rsidRDefault="00AC40FC" w:rsidP="00A57D87">
            <w:pPr>
              <w:spacing w:after="0"/>
              <w:rPr>
                <w:rFonts w:cs="Arial"/>
                <w:sz w:val="16"/>
                <w:szCs w:val="16"/>
              </w:rPr>
            </w:pPr>
            <w:r w:rsidRPr="00487A50">
              <w:rPr>
                <w:rFonts w:cs="Arial"/>
                <w:sz w:val="16"/>
                <w:szCs w:val="16"/>
              </w:rPr>
              <w:t>54-Admin Support</w:t>
            </w:r>
          </w:p>
        </w:tc>
        <w:tc>
          <w:tcPr>
            <w:tcW w:w="54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163</w:t>
            </w:r>
          </w:p>
        </w:tc>
        <w:tc>
          <w:tcPr>
            <w:tcW w:w="45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15</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9.2%</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10.1%</w:t>
            </w:r>
          </w:p>
        </w:tc>
        <w:tc>
          <w:tcPr>
            <w:tcW w:w="540" w:type="dxa"/>
            <w:tcBorders>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w:t>
            </w:r>
          </w:p>
        </w:tc>
        <w:tc>
          <w:tcPr>
            <w:tcW w:w="630" w:type="dxa"/>
            <w:tcBorders>
              <w:lef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146</w:t>
            </w:r>
          </w:p>
        </w:tc>
        <w:tc>
          <w:tcPr>
            <w:tcW w:w="45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12</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8.2%</w:t>
            </w: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10.0%</w:t>
            </w:r>
          </w:p>
        </w:tc>
        <w:tc>
          <w:tcPr>
            <w:tcW w:w="450" w:type="dxa"/>
            <w:tcBorders>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2</w:t>
            </w:r>
          </w:p>
        </w:tc>
        <w:tc>
          <w:tcPr>
            <w:tcW w:w="630" w:type="dxa"/>
            <w:tcBorders>
              <w:lef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540" w:type="dxa"/>
            <w:tcMar>
              <w:left w:w="58" w:type="dxa"/>
              <w:right w:w="58" w:type="dxa"/>
            </w:tcMar>
            <w:vAlign w:val="center"/>
          </w:tcPr>
          <w:p w:rsidR="00AC40FC" w:rsidRPr="00487A50" w:rsidRDefault="00AC40FC" w:rsidP="00A57D87">
            <w:pPr>
              <w:spacing w:after="0"/>
              <w:jc w:val="center"/>
              <w:rPr>
                <w:rFonts w:cs="Arial"/>
                <w:sz w:val="16"/>
                <w:szCs w:val="16"/>
              </w:rPr>
            </w:pP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p>
        </w:tc>
        <w:tc>
          <w:tcPr>
            <w:tcW w:w="450" w:type="dxa"/>
            <w:tcBorders>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540" w:type="dxa"/>
            <w:tcBorders>
              <w:lef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450" w:type="dxa"/>
            <w:tcMar>
              <w:left w:w="58" w:type="dxa"/>
              <w:right w:w="58" w:type="dxa"/>
            </w:tcMar>
            <w:vAlign w:val="center"/>
          </w:tcPr>
          <w:p w:rsidR="00AC40FC" w:rsidRPr="00487A50" w:rsidRDefault="00AC40FC" w:rsidP="00A57D87">
            <w:pPr>
              <w:spacing w:after="0"/>
              <w:jc w:val="center"/>
              <w:rPr>
                <w:rFonts w:cs="Arial"/>
                <w:sz w:val="16"/>
                <w:szCs w:val="16"/>
              </w:rPr>
            </w:pP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p>
        </w:tc>
        <w:tc>
          <w:tcPr>
            <w:tcW w:w="630" w:type="dxa"/>
            <w:tcMar>
              <w:left w:w="58" w:type="dxa"/>
              <w:right w:w="58" w:type="dxa"/>
            </w:tcMar>
            <w:vAlign w:val="center"/>
          </w:tcPr>
          <w:p w:rsidR="00AC40FC" w:rsidRPr="00487A50" w:rsidRDefault="00AC40FC" w:rsidP="00A57D87">
            <w:pPr>
              <w:spacing w:after="0"/>
              <w:jc w:val="center"/>
              <w:rPr>
                <w:rFonts w:cs="Arial"/>
                <w:sz w:val="16"/>
                <w:szCs w:val="16"/>
              </w:rPr>
            </w:pPr>
          </w:p>
        </w:tc>
        <w:tc>
          <w:tcPr>
            <w:tcW w:w="540" w:type="dxa"/>
            <w:tcMar>
              <w:left w:w="58" w:type="dxa"/>
              <w:right w:w="58" w:type="dxa"/>
            </w:tcMar>
            <w:vAlign w:val="center"/>
          </w:tcPr>
          <w:p w:rsidR="00AC40FC" w:rsidRPr="00487A50" w:rsidRDefault="00AC40FC" w:rsidP="00A57D87">
            <w:pPr>
              <w:spacing w:after="0"/>
              <w:jc w:val="center"/>
              <w:rPr>
                <w:rFonts w:cs="Arial"/>
                <w:sz w:val="16"/>
                <w:szCs w:val="16"/>
              </w:rPr>
            </w:pPr>
          </w:p>
        </w:tc>
      </w:tr>
      <w:tr w:rsidR="00AC40FC" w:rsidRPr="00487A50" w:rsidTr="00A57D87">
        <w:trPr>
          <w:jc w:val="center"/>
        </w:trPr>
        <w:tc>
          <w:tcPr>
            <w:tcW w:w="2128" w:type="dxa"/>
            <w:tcBorders>
              <w:bottom w:val="single" w:sz="4" w:space="0" w:color="auto"/>
            </w:tcBorders>
            <w:tcMar>
              <w:left w:w="58" w:type="dxa"/>
              <w:right w:w="58" w:type="dxa"/>
            </w:tcMar>
          </w:tcPr>
          <w:p w:rsidR="00AC40FC" w:rsidRPr="00487A50" w:rsidRDefault="00AC40FC" w:rsidP="00A57D87">
            <w:pPr>
              <w:spacing w:after="0"/>
              <w:rPr>
                <w:rFonts w:cs="Arial"/>
                <w:sz w:val="16"/>
                <w:szCs w:val="16"/>
              </w:rPr>
            </w:pPr>
            <w:r w:rsidRPr="00487A50">
              <w:rPr>
                <w:rFonts w:cs="Arial"/>
                <w:sz w:val="16"/>
                <w:szCs w:val="16"/>
              </w:rPr>
              <w:t>56-Customer Service</w:t>
            </w:r>
          </w:p>
        </w:tc>
        <w:tc>
          <w:tcPr>
            <w:tcW w:w="540" w:type="dxa"/>
            <w:tcBorders>
              <w:bottom w:val="single" w:sz="4"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249</w:t>
            </w:r>
          </w:p>
        </w:tc>
        <w:tc>
          <w:tcPr>
            <w:tcW w:w="450" w:type="dxa"/>
            <w:tcBorders>
              <w:bottom w:val="single" w:sz="4"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44</w:t>
            </w:r>
          </w:p>
        </w:tc>
        <w:tc>
          <w:tcPr>
            <w:tcW w:w="630" w:type="dxa"/>
            <w:tcBorders>
              <w:bottom w:val="single" w:sz="4"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17.7%</w:t>
            </w:r>
          </w:p>
        </w:tc>
        <w:tc>
          <w:tcPr>
            <w:tcW w:w="630" w:type="dxa"/>
            <w:tcBorders>
              <w:bottom w:val="single" w:sz="4"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16.1%</w:t>
            </w:r>
          </w:p>
        </w:tc>
        <w:tc>
          <w:tcPr>
            <w:tcW w:w="540" w:type="dxa"/>
            <w:tcBorders>
              <w:bottom w:val="single" w:sz="4" w:space="0" w:color="auto"/>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0</w:t>
            </w:r>
          </w:p>
        </w:tc>
        <w:tc>
          <w:tcPr>
            <w:tcW w:w="630" w:type="dxa"/>
            <w:tcBorders>
              <w:left w:val="single" w:sz="12" w:space="0" w:color="auto"/>
              <w:bottom w:val="single" w:sz="4"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248</w:t>
            </w:r>
          </w:p>
        </w:tc>
        <w:tc>
          <w:tcPr>
            <w:tcW w:w="450" w:type="dxa"/>
            <w:tcBorders>
              <w:bottom w:val="single" w:sz="4"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48</w:t>
            </w:r>
          </w:p>
        </w:tc>
        <w:tc>
          <w:tcPr>
            <w:tcW w:w="630" w:type="dxa"/>
            <w:tcBorders>
              <w:bottom w:val="single" w:sz="4"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19.4%</w:t>
            </w:r>
          </w:p>
        </w:tc>
        <w:tc>
          <w:tcPr>
            <w:tcW w:w="630" w:type="dxa"/>
            <w:tcBorders>
              <w:bottom w:val="single" w:sz="4"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17.1%</w:t>
            </w:r>
          </w:p>
        </w:tc>
        <w:tc>
          <w:tcPr>
            <w:tcW w:w="450" w:type="dxa"/>
            <w:tcBorders>
              <w:bottom w:val="single" w:sz="4" w:space="0" w:color="auto"/>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0</w:t>
            </w:r>
          </w:p>
        </w:tc>
        <w:tc>
          <w:tcPr>
            <w:tcW w:w="630" w:type="dxa"/>
            <w:tcBorders>
              <w:left w:val="single" w:sz="12" w:space="0" w:color="auto"/>
              <w:bottom w:val="single" w:sz="4"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227</w:t>
            </w:r>
          </w:p>
        </w:tc>
        <w:tc>
          <w:tcPr>
            <w:tcW w:w="540" w:type="dxa"/>
            <w:tcBorders>
              <w:bottom w:val="single" w:sz="4"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43</w:t>
            </w:r>
          </w:p>
        </w:tc>
        <w:tc>
          <w:tcPr>
            <w:tcW w:w="630" w:type="dxa"/>
            <w:tcBorders>
              <w:bottom w:val="single" w:sz="4"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18.9%</w:t>
            </w:r>
          </w:p>
        </w:tc>
        <w:tc>
          <w:tcPr>
            <w:tcW w:w="630" w:type="dxa"/>
            <w:tcBorders>
              <w:bottom w:val="single" w:sz="4"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16.8%</w:t>
            </w:r>
          </w:p>
        </w:tc>
        <w:tc>
          <w:tcPr>
            <w:tcW w:w="450" w:type="dxa"/>
            <w:tcBorders>
              <w:bottom w:val="single" w:sz="4" w:space="0" w:color="auto"/>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0</w:t>
            </w:r>
          </w:p>
        </w:tc>
        <w:tc>
          <w:tcPr>
            <w:tcW w:w="540" w:type="dxa"/>
            <w:tcBorders>
              <w:left w:val="single" w:sz="12" w:space="0" w:color="auto"/>
              <w:bottom w:val="single" w:sz="4"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209</w:t>
            </w:r>
          </w:p>
        </w:tc>
        <w:tc>
          <w:tcPr>
            <w:tcW w:w="450" w:type="dxa"/>
            <w:tcBorders>
              <w:bottom w:val="single" w:sz="4"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38</w:t>
            </w:r>
          </w:p>
        </w:tc>
        <w:tc>
          <w:tcPr>
            <w:tcW w:w="630" w:type="dxa"/>
            <w:tcBorders>
              <w:bottom w:val="single" w:sz="4"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18.2%</w:t>
            </w:r>
          </w:p>
        </w:tc>
        <w:tc>
          <w:tcPr>
            <w:tcW w:w="630" w:type="dxa"/>
            <w:tcBorders>
              <w:bottom w:val="single" w:sz="4"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17.3%</w:t>
            </w:r>
          </w:p>
        </w:tc>
        <w:tc>
          <w:tcPr>
            <w:tcW w:w="540" w:type="dxa"/>
            <w:tcBorders>
              <w:bottom w:val="single" w:sz="4"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0</w:t>
            </w:r>
          </w:p>
        </w:tc>
      </w:tr>
      <w:tr w:rsidR="00AC40FC" w:rsidRPr="00487A50" w:rsidTr="00A57D87">
        <w:trPr>
          <w:jc w:val="center"/>
        </w:trPr>
        <w:tc>
          <w:tcPr>
            <w:tcW w:w="2128" w:type="dxa"/>
            <w:tcBorders>
              <w:bottom w:val="single" w:sz="12" w:space="0" w:color="auto"/>
            </w:tcBorders>
            <w:tcMar>
              <w:left w:w="58" w:type="dxa"/>
              <w:right w:w="58" w:type="dxa"/>
            </w:tcMar>
          </w:tcPr>
          <w:p w:rsidR="00AC40FC" w:rsidRPr="00487A50" w:rsidRDefault="00AC40FC" w:rsidP="00A57D87">
            <w:pPr>
              <w:spacing w:after="0"/>
              <w:rPr>
                <w:rFonts w:cs="Arial"/>
                <w:sz w:val="16"/>
                <w:szCs w:val="16"/>
              </w:rPr>
            </w:pPr>
            <w:r w:rsidRPr="00487A50">
              <w:rPr>
                <w:rFonts w:cs="Arial"/>
                <w:sz w:val="16"/>
                <w:szCs w:val="16"/>
              </w:rPr>
              <w:t>63-Skilled</w:t>
            </w:r>
          </w:p>
        </w:tc>
        <w:tc>
          <w:tcPr>
            <w:tcW w:w="540" w:type="dxa"/>
            <w:tcBorders>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450" w:type="dxa"/>
            <w:tcBorders>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630" w:type="dxa"/>
            <w:tcBorders>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630" w:type="dxa"/>
            <w:tcBorders>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540" w:type="dxa"/>
            <w:tcBorders>
              <w:bottom w:val="single" w:sz="12" w:space="0" w:color="auto"/>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630" w:type="dxa"/>
            <w:tcBorders>
              <w:left w:val="single" w:sz="12" w:space="0" w:color="auto"/>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450" w:type="dxa"/>
            <w:tcBorders>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630" w:type="dxa"/>
            <w:tcBorders>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630" w:type="dxa"/>
            <w:tcBorders>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450" w:type="dxa"/>
            <w:tcBorders>
              <w:bottom w:val="single" w:sz="12" w:space="0" w:color="auto"/>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630" w:type="dxa"/>
            <w:tcBorders>
              <w:left w:val="single" w:sz="12" w:space="0" w:color="auto"/>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402</w:t>
            </w:r>
          </w:p>
        </w:tc>
        <w:tc>
          <w:tcPr>
            <w:tcW w:w="540" w:type="dxa"/>
            <w:tcBorders>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26</w:t>
            </w:r>
          </w:p>
        </w:tc>
        <w:tc>
          <w:tcPr>
            <w:tcW w:w="630" w:type="dxa"/>
            <w:tcBorders>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6.5%</w:t>
            </w:r>
          </w:p>
        </w:tc>
        <w:tc>
          <w:tcPr>
            <w:tcW w:w="630" w:type="dxa"/>
            <w:tcBorders>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3.5%</w:t>
            </w:r>
          </w:p>
        </w:tc>
        <w:tc>
          <w:tcPr>
            <w:tcW w:w="450" w:type="dxa"/>
            <w:tcBorders>
              <w:bottom w:val="single" w:sz="12" w:space="0" w:color="auto"/>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0</w:t>
            </w:r>
          </w:p>
        </w:tc>
        <w:tc>
          <w:tcPr>
            <w:tcW w:w="540" w:type="dxa"/>
            <w:tcBorders>
              <w:left w:val="single" w:sz="12" w:space="0" w:color="auto"/>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422</w:t>
            </w:r>
          </w:p>
        </w:tc>
        <w:tc>
          <w:tcPr>
            <w:tcW w:w="450" w:type="dxa"/>
            <w:tcBorders>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29</w:t>
            </w:r>
          </w:p>
        </w:tc>
        <w:tc>
          <w:tcPr>
            <w:tcW w:w="630" w:type="dxa"/>
            <w:tcBorders>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6.9%</w:t>
            </w:r>
          </w:p>
        </w:tc>
        <w:tc>
          <w:tcPr>
            <w:tcW w:w="630" w:type="dxa"/>
            <w:tcBorders>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5.7%</w:t>
            </w:r>
          </w:p>
        </w:tc>
        <w:tc>
          <w:tcPr>
            <w:tcW w:w="540" w:type="dxa"/>
            <w:tcBorders>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0</w:t>
            </w:r>
          </w:p>
        </w:tc>
      </w:tr>
      <w:tr w:rsidR="00AC40FC" w:rsidRPr="00487A50" w:rsidTr="00A57D87">
        <w:trPr>
          <w:jc w:val="center"/>
        </w:trPr>
        <w:tc>
          <w:tcPr>
            <w:tcW w:w="2128" w:type="dxa"/>
            <w:tcBorders>
              <w:top w:val="single" w:sz="12" w:space="0" w:color="auto"/>
              <w:bottom w:val="single" w:sz="12" w:space="0" w:color="auto"/>
            </w:tcBorders>
            <w:tcMar>
              <w:left w:w="58" w:type="dxa"/>
              <w:right w:w="58" w:type="dxa"/>
            </w:tcMar>
          </w:tcPr>
          <w:p w:rsidR="00AC40FC" w:rsidRPr="00487A50" w:rsidRDefault="00AC40FC" w:rsidP="00A57D87">
            <w:pPr>
              <w:spacing w:after="0"/>
              <w:rPr>
                <w:rFonts w:cs="Arial"/>
                <w:sz w:val="16"/>
                <w:szCs w:val="16"/>
              </w:rPr>
            </w:pPr>
            <w:r w:rsidRPr="00487A50">
              <w:rPr>
                <w:rFonts w:cs="Arial"/>
                <w:sz w:val="16"/>
                <w:szCs w:val="16"/>
              </w:rPr>
              <w:t>64-Skilled-Field</w:t>
            </w:r>
          </w:p>
        </w:tc>
        <w:tc>
          <w:tcPr>
            <w:tcW w:w="540" w:type="dxa"/>
            <w:tcBorders>
              <w:top w:val="single" w:sz="12" w:space="0" w:color="auto"/>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453</w:t>
            </w:r>
          </w:p>
        </w:tc>
        <w:tc>
          <w:tcPr>
            <w:tcW w:w="450" w:type="dxa"/>
            <w:tcBorders>
              <w:top w:val="single" w:sz="12" w:space="0" w:color="auto"/>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30</w:t>
            </w:r>
          </w:p>
        </w:tc>
        <w:tc>
          <w:tcPr>
            <w:tcW w:w="630" w:type="dxa"/>
            <w:tcBorders>
              <w:top w:val="single" w:sz="12" w:space="0" w:color="auto"/>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6.8%</w:t>
            </w:r>
          </w:p>
        </w:tc>
        <w:tc>
          <w:tcPr>
            <w:tcW w:w="630" w:type="dxa"/>
            <w:tcBorders>
              <w:top w:val="single" w:sz="12" w:space="0" w:color="auto"/>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6.2%</w:t>
            </w:r>
          </w:p>
        </w:tc>
        <w:tc>
          <w:tcPr>
            <w:tcW w:w="540" w:type="dxa"/>
            <w:tcBorders>
              <w:top w:val="single" w:sz="12" w:space="0" w:color="auto"/>
              <w:bottom w:val="single" w:sz="12" w:space="0" w:color="auto"/>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0</w:t>
            </w:r>
          </w:p>
        </w:tc>
        <w:tc>
          <w:tcPr>
            <w:tcW w:w="630" w:type="dxa"/>
            <w:tcBorders>
              <w:top w:val="single" w:sz="12" w:space="0" w:color="auto"/>
              <w:left w:val="single" w:sz="12" w:space="0" w:color="auto"/>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436</w:t>
            </w:r>
          </w:p>
        </w:tc>
        <w:tc>
          <w:tcPr>
            <w:tcW w:w="450" w:type="dxa"/>
            <w:tcBorders>
              <w:top w:val="single" w:sz="12" w:space="0" w:color="auto"/>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25</w:t>
            </w:r>
          </w:p>
        </w:tc>
        <w:tc>
          <w:tcPr>
            <w:tcW w:w="630" w:type="dxa"/>
            <w:tcBorders>
              <w:top w:val="single" w:sz="12" w:space="0" w:color="auto"/>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5.7%</w:t>
            </w:r>
          </w:p>
        </w:tc>
        <w:tc>
          <w:tcPr>
            <w:tcW w:w="630" w:type="dxa"/>
            <w:tcBorders>
              <w:top w:val="single" w:sz="12" w:space="0" w:color="auto"/>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6.7%</w:t>
            </w:r>
          </w:p>
        </w:tc>
        <w:tc>
          <w:tcPr>
            <w:tcW w:w="450" w:type="dxa"/>
            <w:tcBorders>
              <w:top w:val="single" w:sz="12" w:space="0" w:color="auto"/>
              <w:bottom w:val="single" w:sz="12" w:space="0" w:color="auto"/>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4</w:t>
            </w:r>
          </w:p>
        </w:tc>
        <w:tc>
          <w:tcPr>
            <w:tcW w:w="630" w:type="dxa"/>
            <w:tcBorders>
              <w:top w:val="single" w:sz="12" w:space="0" w:color="auto"/>
              <w:left w:val="single" w:sz="12" w:space="0" w:color="auto"/>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9</w:t>
            </w:r>
          </w:p>
        </w:tc>
        <w:tc>
          <w:tcPr>
            <w:tcW w:w="540" w:type="dxa"/>
            <w:tcBorders>
              <w:top w:val="single" w:sz="12" w:space="0" w:color="auto"/>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2</w:t>
            </w:r>
          </w:p>
        </w:tc>
        <w:tc>
          <w:tcPr>
            <w:tcW w:w="630" w:type="dxa"/>
            <w:tcBorders>
              <w:top w:val="single" w:sz="12" w:space="0" w:color="auto"/>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22.2%</w:t>
            </w:r>
          </w:p>
        </w:tc>
        <w:tc>
          <w:tcPr>
            <w:tcW w:w="630" w:type="dxa"/>
            <w:tcBorders>
              <w:top w:val="single" w:sz="12" w:space="0" w:color="auto"/>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18.8%</w:t>
            </w:r>
          </w:p>
        </w:tc>
        <w:tc>
          <w:tcPr>
            <w:tcW w:w="450" w:type="dxa"/>
            <w:tcBorders>
              <w:top w:val="single" w:sz="12" w:space="0" w:color="auto"/>
              <w:bottom w:val="single" w:sz="12" w:space="0" w:color="auto"/>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0</w:t>
            </w:r>
          </w:p>
        </w:tc>
        <w:tc>
          <w:tcPr>
            <w:tcW w:w="540" w:type="dxa"/>
            <w:tcBorders>
              <w:top w:val="single" w:sz="12" w:space="0" w:color="auto"/>
              <w:left w:val="single" w:sz="12" w:space="0" w:color="auto"/>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450" w:type="dxa"/>
            <w:tcBorders>
              <w:top w:val="single" w:sz="12" w:space="0" w:color="auto"/>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630" w:type="dxa"/>
            <w:tcBorders>
              <w:top w:val="single" w:sz="12" w:space="0" w:color="auto"/>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630" w:type="dxa"/>
            <w:tcBorders>
              <w:top w:val="single" w:sz="12" w:space="0" w:color="auto"/>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540" w:type="dxa"/>
            <w:tcBorders>
              <w:top w:val="single" w:sz="12" w:space="0" w:color="auto"/>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r>
      <w:tr w:rsidR="00AC40FC" w:rsidRPr="00487A50" w:rsidTr="00A57D87">
        <w:trPr>
          <w:jc w:val="center"/>
        </w:trPr>
        <w:tc>
          <w:tcPr>
            <w:tcW w:w="2128" w:type="dxa"/>
            <w:tcBorders>
              <w:top w:val="single" w:sz="12" w:space="0" w:color="auto"/>
              <w:bottom w:val="single" w:sz="12" w:space="0" w:color="auto"/>
            </w:tcBorders>
            <w:tcMar>
              <w:left w:w="58" w:type="dxa"/>
              <w:right w:w="58" w:type="dxa"/>
            </w:tcMar>
          </w:tcPr>
          <w:p w:rsidR="00AC40FC" w:rsidRPr="00487A50" w:rsidRDefault="00AC40FC" w:rsidP="00A57D87">
            <w:pPr>
              <w:spacing w:after="0"/>
              <w:rPr>
                <w:rFonts w:cs="Arial"/>
                <w:sz w:val="16"/>
                <w:szCs w:val="16"/>
              </w:rPr>
            </w:pPr>
            <w:r w:rsidRPr="00487A50">
              <w:rPr>
                <w:rFonts w:cs="Arial"/>
                <w:sz w:val="16"/>
                <w:szCs w:val="16"/>
              </w:rPr>
              <w:t>65-Line Technician</w:t>
            </w:r>
          </w:p>
        </w:tc>
        <w:tc>
          <w:tcPr>
            <w:tcW w:w="540" w:type="dxa"/>
            <w:tcBorders>
              <w:top w:val="single" w:sz="12" w:space="0" w:color="auto"/>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346</w:t>
            </w:r>
          </w:p>
        </w:tc>
        <w:tc>
          <w:tcPr>
            <w:tcW w:w="450" w:type="dxa"/>
            <w:tcBorders>
              <w:top w:val="single" w:sz="12" w:space="0" w:color="auto"/>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14</w:t>
            </w:r>
          </w:p>
        </w:tc>
        <w:tc>
          <w:tcPr>
            <w:tcW w:w="630" w:type="dxa"/>
            <w:tcBorders>
              <w:top w:val="single" w:sz="12" w:space="0" w:color="auto"/>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4.0%</w:t>
            </w:r>
          </w:p>
        </w:tc>
        <w:tc>
          <w:tcPr>
            <w:tcW w:w="630" w:type="dxa"/>
            <w:tcBorders>
              <w:top w:val="single" w:sz="12" w:space="0" w:color="auto"/>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6.3%</w:t>
            </w:r>
          </w:p>
        </w:tc>
        <w:tc>
          <w:tcPr>
            <w:tcW w:w="540" w:type="dxa"/>
            <w:tcBorders>
              <w:top w:val="single" w:sz="12" w:space="0" w:color="auto"/>
              <w:bottom w:val="single" w:sz="12" w:space="0" w:color="auto"/>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7</w:t>
            </w:r>
          </w:p>
        </w:tc>
        <w:tc>
          <w:tcPr>
            <w:tcW w:w="630" w:type="dxa"/>
            <w:tcBorders>
              <w:top w:val="single" w:sz="12" w:space="0" w:color="auto"/>
              <w:left w:val="single" w:sz="12" w:space="0" w:color="auto"/>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345</w:t>
            </w:r>
          </w:p>
        </w:tc>
        <w:tc>
          <w:tcPr>
            <w:tcW w:w="450" w:type="dxa"/>
            <w:tcBorders>
              <w:top w:val="single" w:sz="12" w:space="0" w:color="auto"/>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15</w:t>
            </w:r>
          </w:p>
        </w:tc>
        <w:tc>
          <w:tcPr>
            <w:tcW w:w="630" w:type="dxa"/>
            <w:tcBorders>
              <w:top w:val="single" w:sz="12" w:space="0" w:color="auto"/>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4.3%</w:t>
            </w:r>
          </w:p>
        </w:tc>
        <w:tc>
          <w:tcPr>
            <w:tcW w:w="630" w:type="dxa"/>
            <w:tcBorders>
              <w:top w:val="single" w:sz="12" w:space="0" w:color="auto"/>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5.3%</w:t>
            </w:r>
          </w:p>
        </w:tc>
        <w:tc>
          <w:tcPr>
            <w:tcW w:w="450" w:type="dxa"/>
            <w:tcBorders>
              <w:top w:val="single" w:sz="12" w:space="0" w:color="auto"/>
              <w:bottom w:val="single" w:sz="12" w:space="0" w:color="auto"/>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3</w:t>
            </w:r>
          </w:p>
        </w:tc>
        <w:tc>
          <w:tcPr>
            <w:tcW w:w="630" w:type="dxa"/>
            <w:tcBorders>
              <w:top w:val="single" w:sz="12" w:space="0" w:color="auto"/>
              <w:left w:val="single" w:sz="12" w:space="0" w:color="auto"/>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349</w:t>
            </w:r>
          </w:p>
        </w:tc>
        <w:tc>
          <w:tcPr>
            <w:tcW w:w="540" w:type="dxa"/>
            <w:tcBorders>
              <w:top w:val="single" w:sz="12" w:space="0" w:color="auto"/>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13</w:t>
            </w:r>
          </w:p>
        </w:tc>
        <w:tc>
          <w:tcPr>
            <w:tcW w:w="630" w:type="dxa"/>
            <w:tcBorders>
              <w:top w:val="single" w:sz="12" w:space="0" w:color="auto"/>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3.7%</w:t>
            </w:r>
          </w:p>
        </w:tc>
        <w:tc>
          <w:tcPr>
            <w:tcW w:w="630" w:type="dxa"/>
            <w:tcBorders>
              <w:top w:val="single" w:sz="12" w:space="0" w:color="auto"/>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13.3%</w:t>
            </w:r>
          </w:p>
        </w:tc>
        <w:tc>
          <w:tcPr>
            <w:tcW w:w="450" w:type="dxa"/>
            <w:tcBorders>
              <w:top w:val="single" w:sz="12" w:space="0" w:color="auto"/>
              <w:bottom w:val="single" w:sz="12" w:space="0" w:color="auto"/>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33</w:t>
            </w:r>
          </w:p>
        </w:tc>
        <w:tc>
          <w:tcPr>
            <w:tcW w:w="540" w:type="dxa"/>
            <w:tcBorders>
              <w:top w:val="single" w:sz="12" w:space="0" w:color="auto"/>
              <w:left w:val="single" w:sz="12" w:space="0" w:color="auto"/>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339</w:t>
            </w:r>
          </w:p>
        </w:tc>
        <w:tc>
          <w:tcPr>
            <w:tcW w:w="450" w:type="dxa"/>
            <w:tcBorders>
              <w:top w:val="single" w:sz="12" w:space="0" w:color="auto"/>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10</w:t>
            </w:r>
          </w:p>
        </w:tc>
        <w:tc>
          <w:tcPr>
            <w:tcW w:w="630" w:type="dxa"/>
            <w:tcBorders>
              <w:top w:val="single" w:sz="12" w:space="0" w:color="auto"/>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2.9%</w:t>
            </w:r>
          </w:p>
        </w:tc>
        <w:tc>
          <w:tcPr>
            <w:tcW w:w="630" w:type="dxa"/>
            <w:tcBorders>
              <w:top w:val="single" w:sz="12" w:space="0" w:color="auto"/>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3.3%</w:t>
            </w:r>
          </w:p>
        </w:tc>
        <w:tc>
          <w:tcPr>
            <w:tcW w:w="540" w:type="dxa"/>
            <w:tcBorders>
              <w:top w:val="single" w:sz="12" w:space="0" w:color="auto"/>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1</w:t>
            </w:r>
          </w:p>
        </w:tc>
      </w:tr>
      <w:tr w:rsidR="00AC40FC" w:rsidRPr="00487A50" w:rsidTr="00A57D87">
        <w:trPr>
          <w:jc w:val="center"/>
        </w:trPr>
        <w:tc>
          <w:tcPr>
            <w:tcW w:w="2128" w:type="dxa"/>
            <w:tcBorders>
              <w:top w:val="single" w:sz="12" w:space="0" w:color="auto"/>
              <w:bottom w:val="single" w:sz="4" w:space="0" w:color="auto"/>
            </w:tcBorders>
            <w:tcMar>
              <w:left w:w="58" w:type="dxa"/>
              <w:right w:w="58" w:type="dxa"/>
            </w:tcMar>
          </w:tcPr>
          <w:p w:rsidR="00AC40FC" w:rsidRPr="00487A50" w:rsidRDefault="00AC40FC" w:rsidP="00A57D87">
            <w:pPr>
              <w:spacing w:after="0"/>
              <w:rPr>
                <w:rFonts w:cs="Arial"/>
                <w:sz w:val="16"/>
                <w:szCs w:val="16"/>
              </w:rPr>
            </w:pPr>
            <w:r w:rsidRPr="00487A50">
              <w:rPr>
                <w:rFonts w:cs="Arial"/>
                <w:sz w:val="16"/>
                <w:szCs w:val="16"/>
              </w:rPr>
              <w:t>73-SemiSkilled</w:t>
            </w:r>
          </w:p>
        </w:tc>
        <w:tc>
          <w:tcPr>
            <w:tcW w:w="540" w:type="dxa"/>
            <w:tcBorders>
              <w:top w:val="single" w:sz="12" w:space="0" w:color="auto"/>
              <w:bottom w:val="single" w:sz="4"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450" w:type="dxa"/>
            <w:tcBorders>
              <w:top w:val="single" w:sz="12" w:space="0" w:color="auto"/>
              <w:bottom w:val="single" w:sz="4"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630" w:type="dxa"/>
            <w:tcBorders>
              <w:top w:val="single" w:sz="12" w:space="0" w:color="auto"/>
              <w:bottom w:val="single" w:sz="4"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630" w:type="dxa"/>
            <w:tcBorders>
              <w:top w:val="single" w:sz="12" w:space="0" w:color="auto"/>
              <w:bottom w:val="single" w:sz="4"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540" w:type="dxa"/>
            <w:tcBorders>
              <w:top w:val="single" w:sz="12" w:space="0" w:color="auto"/>
              <w:bottom w:val="single" w:sz="4" w:space="0" w:color="auto"/>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630" w:type="dxa"/>
            <w:tcBorders>
              <w:top w:val="single" w:sz="12" w:space="0" w:color="auto"/>
              <w:left w:val="single" w:sz="12" w:space="0" w:color="auto"/>
              <w:bottom w:val="single" w:sz="4"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450" w:type="dxa"/>
            <w:tcBorders>
              <w:top w:val="single" w:sz="12" w:space="0" w:color="auto"/>
              <w:bottom w:val="single" w:sz="4"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630" w:type="dxa"/>
            <w:tcBorders>
              <w:top w:val="single" w:sz="12" w:space="0" w:color="auto"/>
              <w:bottom w:val="single" w:sz="4"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630" w:type="dxa"/>
            <w:tcBorders>
              <w:top w:val="single" w:sz="12" w:space="0" w:color="auto"/>
              <w:bottom w:val="single" w:sz="4"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450" w:type="dxa"/>
            <w:tcBorders>
              <w:top w:val="single" w:sz="12" w:space="0" w:color="auto"/>
              <w:bottom w:val="single" w:sz="4" w:space="0" w:color="auto"/>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630" w:type="dxa"/>
            <w:tcBorders>
              <w:top w:val="single" w:sz="12" w:space="0" w:color="auto"/>
              <w:left w:val="single" w:sz="12" w:space="0" w:color="auto"/>
              <w:bottom w:val="single" w:sz="4"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36</w:t>
            </w:r>
          </w:p>
        </w:tc>
        <w:tc>
          <w:tcPr>
            <w:tcW w:w="540" w:type="dxa"/>
            <w:tcBorders>
              <w:top w:val="single" w:sz="12" w:space="0" w:color="auto"/>
              <w:bottom w:val="single" w:sz="4"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w:t>
            </w:r>
          </w:p>
        </w:tc>
        <w:tc>
          <w:tcPr>
            <w:tcW w:w="630" w:type="dxa"/>
            <w:tcBorders>
              <w:top w:val="single" w:sz="12" w:space="0" w:color="auto"/>
              <w:bottom w:val="single" w:sz="4"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2.8%</w:t>
            </w:r>
          </w:p>
        </w:tc>
        <w:tc>
          <w:tcPr>
            <w:tcW w:w="630" w:type="dxa"/>
            <w:tcBorders>
              <w:top w:val="single" w:sz="12" w:space="0" w:color="auto"/>
              <w:bottom w:val="single" w:sz="4"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4.4%</w:t>
            </w:r>
          </w:p>
        </w:tc>
        <w:tc>
          <w:tcPr>
            <w:tcW w:w="450" w:type="dxa"/>
            <w:tcBorders>
              <w:top w:val="single" w:sz="12" w:space="0" w:color="auto"/>
              <w:bottom w:val="single" w:sz="4" w:space="0" w:color="auto"/>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0</w:t>
            </w:r>
          </w:p>
        </w:tc>
        <w:tc>
          <w:tcPr>
            <w:tcW w:w="540" w:type="dxa"/>
            <w:tcBorders>
              <w:top w:val="single" w:sz="12" w:space="0" w:color="auto"/>
              <w:left w:val="single" w:sz="12" w:space="0" w:color="auto"/>
              <w:bottom w:val="single" w:sz="4"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50</w:t>
            </w:r>
          </w:p>
        </w:tc>
        <w:tc>
          <w:tcPr>
            <w:tcW w:w="450" w:type="dxa"/>
            <w:tcBorders>
              <w:top w:val="single" w:sz="12" w:space="0" w:color="auto"/>
              <w:bottom w:val="single" w:sz="4"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2</w:t>
            </w:r>
          </w:p>
        </w:tc>
        <w:tc>
          <w:tcPr>
            <w:tcW w:w="630" w:type="dxa"/>
            <w:tcBorders>
              <w:top w:val="single" w:sz="12" w:space="0" w:color="auto"/>
              <w:bottom w:val="single" w:sz="4"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4.0%</w:t>
            </w:r>
          </w:p>
        </w:tc>
        <w:tc>
          <w:tcPr>
            <w:tcW w:w="630" w:type="dxa"/>
            <w:tcBorders>
              <w:top w:val="single" w:sz="12" w:space="0" w:color="auto"/>
              <w:bottom w:val="single" w:sz="4"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4.4%</w:t>
            </w:r>
          </w:p>
        </w:tc>
        <w:tc>
          <w:tcPr>
            <w:tcW w:w="540" w:type="dxa"/>
            <w:tcBorders>
              <w:top w:val="single" w:sz="12" w:space="0" w:color="auto"/>
              <w:bottom w:val="single" w:sz="4"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0</w:t>
            </w:r>
          </w:p>
        </w:tc>
      </w:tr>
      <w:tr w:rsidR="00AC40FC" w:rsidRPr="00487A50" w:rsidTr="00A57D87">
        <w:trPr>
          <w:jc w:val="center"/>
        </w:trPr>
        <w:tc>
          <w:tcPr>
            <w:tcW w:w="2128" w:type="dxa"/>
            <w:tcBorders>
              <w:bottom w:val="single" w:sz="12" w:space="0" w:color="auto"/>
            </w:tcBorders>
            <w:tcMar>
              <w:left w:w="58" w:type="dxa"/>
              <w:right w:w="58" w:type="dxa"/>
            </w:tcMar>
          </w:tcPr>
          <w:p w:rsidR="00AC40FC" w:rsidRPr="00487A50" w:rsidRDefault="00AC40FC" w:rsidP="00A57D87">
            <w:pPr>
              <w:spacing w:after="0"/>
              <w:rPr>
                <w:rFonts w:cs="Arial"/>
                <w:sz w:val="16"/>
                <w:szCs w:val="16"/>
              </w:rPr>
            </w:pPr>
            <w:r w:rsidRPr="00487A50">
              <w:rPr>
                <w:rFonts w:cs="Arial"/>
                <w:sz w:val="16"/>
                <w:szCs w:val="16"/>
              </w:rPr>
              <w:t>74-SemiSkilled-Field</w:t>
            </w:r>
          </w:p>
        </w:tc>
        <w:tc>
          <w:tcPr>
            <w:tcW w:w="540" w:type="dxa"/>
            <w:tcBorders>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46</w:t>
            </w:r>
          </w:p>
        </w:tc>
        <w:tc>
          <w:tcPr>
            <w:tcW w:w="450" w:type="dxa"/>
            <w:tcBorders>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2</w:t>
            </w:r>
          </w:p>
        </w:tc>
        <w:tc>
          <w:tcPr>
            <w:tcW w:w="630" w:type="dxa"/>
            <w:tcBorders>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4.3%</w:t>
            </w:r>
          </w:p>
        </w:tc>
        <w:tc>
          <w:tcPr>
            <w:tcW w:w="630" w:type="dxa"/>
            <w:tcBorders>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7.7%</w:t>
            </w:r>
          </w:p>
        </w:tc>
        <w:tc>
          <w:tcPr>
            <w:tcW w:w="540" w:type="dxa"/>
            <w:tcBorders>
              <w:bottom w:val="single" w:sz="12" w:space="0" w:color="auto"/>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w:t>
            </w:r>
          </w:p>
        </w:tc>
        <w:tc>
          <w:tcPr>
            <w:tcW w:w="630" w:type="dxa"/>
            <w:tcBorders>
              <w:left w:val="single" w:sz="12" w:space="0" w:color="auto"/>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40</w:t>
            </w:r>
          </w:p>
        </w:tc>
        <w:tc>
          <w:tcPr>
            <w:tcW w:w="450" w:type="dxa"/>
            <w:tcBorders>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w:t>
            </w:r>
          </w:p>
        </w:tc>
        <w:tc>
          <w:tcPr>
            <w:tcW w:w="630" w:type="dxa"/>
            <w:tcBorders>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2.5%</w:t>
            </w:r>
          </w:p>
        </w:tc>
        <w:tc>
          <w:tcPr>
            <w:tcW w:w="630" w:type="dxa"/>
            <w:tcBorders>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6.3%</w:t>
            </w:r>
          </w:p>
        </w:tc>
        <w:tc>
          <w:tcPr>
            <w:tcW w:w="450" w:type="dxa"/>
            <w:tcBorders>
              <w:bottom w:val="single" w:sz="12" w:space="0" w:color="auto"/>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w:t>
            </w:r>
          </w:p>
        </w:tc>
        <w:tc>
          <w:tcPr>
            <w:tcW w:w="630" w:type="dxa"/>
            <w:tcBorders>
              <w:left w:val="single" w:sz="12" w:space="0" w:color="auto"/>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540" w:type="dxa"/>
            <w:tcBorders>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630" w:type="dxa"/>
            <w:tcBorders>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630" w:type="dxa"/>
            <w:tcBorders>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450" w:type="dxa"/>
            <w:tcBorders>
              <w:bottom w:val="single" w:sz="12" w:space="0" w:color="auto"/>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540" w:type="dxa"/>
            <w:tcBorders>
              <w:left w:val="single" w:sz="12" w:space="0" w:color="auto"/>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450" w:type="dxa"/>
            <w:tcBorders>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630" w:type="dxa"/>
            <w:tcBorders>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630" w:type="dxa"/>
            <w:tcBorders>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c>
          <w:tcPr>
            <w:tcW w:w="540" w:type="dxa"/>
            <w:tcBorders>
              <w:bottom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p>
        </w:tc>
      </w:tr>
      <w:tr w:rsidR="00AC40FC" w:rsidRPr="00487A50" w:rsidTr="00A57D87">
        <w:trPr>
          <w:jc w:val="center"/>
        </w:trPr>
        <w:tc>
          <w:tcPr>
            <w:tcW w:w="2128" w:type="dxa"/>
            <w:tcBorders>
              <w:top w:val="single" w:sz="12" w:space="0" w:color="auto"/>
            </w:tcBorders>
            <w:tcMar>
              <w:left w:w="58" w:type="dxa"/>
              <w:right w:w="58" w:type="dxa"/>
            </w:tcMar>
          </w:tcPr>
          <w:p w:rsidR="00AC40FC" w:rsidRPr="00487A50" w:rsidRDefault="00AC40FC" w:rsidP="00A57D87">
            <w:pPr>
              <w:spacing w:after="0"/>
              <w:rPr>
                <w:rFonts w:cs="Arial"/>
                <w:sz w:val="16"/>
                <w:szCs w:val="16"/>
              </w:rPr>
            </w:pPr>
            <w:r w:rsidRPr="00487A50">
              <w:rPr>
                <w:rFonts w:cs="Arial"/>
                <w:sz w:val="16"/>
                <w:szCs w:val="16"/>
              </w:rPr>
              <w:t>81-Laborer &amp; Helper</w:t>
            </w:r>
          </w:p>
        </w:tc>
        <w:tc>
          <w:tcPr>
            <w:tcW w:w="540" w:type="dxa"/>
            <w:tcBorders>
              <w:top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71</w:t>
            </w:r>
          </w:p>
        </w:tc>
        <w:tc>
          <w:tcPr>
            <w:tcW w:w="450" w:type="dxa"/>
            <w:tcBorders>
              <w:top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4</w:t>
            </w:r>
          </w:p>
        </w:tc>
        <w:tc>
          <w:tcPr>
            <w:tcW w:w="630" w:type="dxa"/>
            <w:tcBorders>
              <w:top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5.6%</w:t>
            </w:r>
          </w:p>
        </w:tc>
        <w:tc>
          <w:tcPr>
            <w:tcW w:w="630" w:type="dxa"/>
            <w:tcBorders>
              <w:top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10.4%</w:t>
            </w:r>
          </w:p>
        </w:tc>
        <w:tc>
          <w:tcPr>
            <w:tcW w:w="540" w:type="dxa"/>
            <w:tcBorders>
              <w:top w:val="single" w:sz="12" w:space="0" w:color="auto"/>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3</w:t>
            </w:r>
          </w:p>
        </w:tc>
        <w:tc>
          <w:tcPr>
            <w:tcW w:w="630" w:type="dxa"/>
            <w:tcBorders>
              <w:top w:val="single" w:sz="12" w:space="0" w:color="auto"/>
              <w:lef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40</w:t>
            </w:r>
          </w:p>
        </w:tc>
        <w:tc>
          <w:tcPr>
            <w:tcW w:w="450" w:type="dxa"/>
            <w:tcBorders>
              <w:top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4</w:t>
            </w:r>
          </w:p>
        </w:tc>
        <w:tc>
          <w:tcPr>
            <w:tcW w:w="630" w:type="dxa"/>
            <w:tcBorders>
              <w:top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10.0%</w:t>
            </w:r>
          </w:p>
        </w:tc>
        <w:tc>
          <w:tcPr>
            <w:tcW w:w="630" w:type="dxa"/>
            <w:tcBorders>
              <w:top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14.1%</w:t>
            </w:r>
          </w:p>
        </w:tc>
        <w:tc>
          <w:tcPr>
            <w:tcW w:w="450" w:type="dxa"/>
            <w:tcBorders>
              <w:top w:val="single" w:sz="12" w:space="0" w:color="auto"/>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w:t>
            </w:r>
          </w:p>
        </w:tc>
        <w:tc>
          <w:tcPr>
            <w:tcW w:w="630" w:type="dxa"/>
            <w:tcBorders>
              <w:top w:val="single" w:sz="12" w:space="0" w:color="auto"/>
              <w:lef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132</w:t>
            </w:r>
          </w:p>
        </w:tc>
        <w:tc>
          <w:tcPr>
            <w:tcW w:w="540" w:type="dxa"/>
            <w:tcBorders>
              <w:top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9</w:t>
            </w:r>
          </w:p>
        </w:tc>
        <w:tc>
          <w:tcPr>
            <w:tcW w:w="630" w:type="dxa"/>
            <w:tcBorders>
              <w:top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6.8%</w:t>
            </w:r>
          </w:p>
        </w:tc>
        <w:tc>
          <w:tcPr>
            <w:tcW w:w="630" w:type="dxa"/>
            <w:tcBorders>
              <w:top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11.5%</w:t>
            </w:r>
          </w:p>
        </w:tc>
        <w:tc>
          <w:tcPr>
            <w:tcW w:w="450" w:type="dxa"/>
            <w:tcBorders>
              <w:top w:val="single" w:sz="12" w:space="0" w:color="auto"/>
              <w:righ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sidRPr="00487A50">
              <w:rPr>
                <w:rFonts w:cs="Arial"/>
                <w:sz w:val="16"/>
                <w:szCs w:val="16"/>
              </w:rPr>
              <w:t>6</w:t>
            </w:r>
          </w:p>
        </w:tc>
        <w:tc>
          <w:tcPr>
            <w:tcW w:w="540" w:type="dxa"/>
            <w:tcBorders>
              <w:top w:val="single" w:sz="12" w:space="0" w:color="auto"/>
              <w:left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94</w:t>
            </w:r>
          </w:p>
        </w:tc>
        <w:tc>
          <w:tcPr>
            <w:tcW w:w="450" w:type="dxa"/>
            <w:tcBorders>
              <w:top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6</w:t>
            </w:r>
          </w:p>
        </w:tc>
        <w:tc>
          <w:tcPr>
            <w:tcW w:w="630" w:type="dxa"/>
            <w:tcBorders>
              <w:top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6.4%</w:t>
            </w:r>
          </w:p>
        </w:tc>
        <w:tc>
          <w:tcPr>
            <w:tcW w:w="630" w:type="dxa"/>
            <w:tcBorders>
              <w:top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12.53%</w:t>
            </w:r>
          </w:p>
        </w:tc>
        <w:tc>
          <w:tcPr>
            <w:tcW w:w="540" w:type="dxa"/>
            <w:tcBorders>
              <w:top w:val="single" w:sz="12" w:space="0" w:color="auto"/>
            </w:tcBorders>
            <w:tcMar>
              <w:left w:w="58" w:type="dxa"/>
              <w:right w:w="58" w:type="dxa"/>
            </w:tcMar>
            <w:vAlign w:val="center"/>
          </w:tcPr>
          <w:p w:rsidR="00AC40FC" w:rsidRPr="00487A50" w:rsidRDefault="00AC40FC" w:rsidP="00A57D87">
            <w:pPr>
              <w:spacing w:after="0"/>
              <w:jc w:val="center"/>
              <w:rPr>
                <w:rFonts w:cs="Arial"/>
                <w:sz w:val="16"/>
                <w:szCs w:val="16"/>
              </w:rPr>
            </w:pPr>
            <w:r>
              <w:rPr>
                <w:rFonts w:cs="Arial"/>
                <w:sz w:val="16"/>
                <w:szCs w:val="16"/>
              </w:rPr>
              <w:t>5</w:t>
            </w:r>
          </w:p>
        </w:tc>
      </w:tr>
      <w:tr w:rsidR="00AC40FC" w:rsidRPr="00487A50" w:rsidTr="00A57D87">
        <w:trPr>
          <w:jc w:val="center"/>
        </w:trPr>
        <w:tc>
          <w:tcPr>
            <w:tcW w:w="2128" w:type="dxa"/>
            <w:tcMar>
              <w:left w:w="58" w:type="dxa"/>
              <w:right w:w="58" w:type="dxa"/>
            </w:tcMar>
          </w:tcPr>
          <w:p w:rsidR="00AC40FC" w:rsidRPr="00487A50" w:rsidRDefault="00AC40FC" w:rsidP="00A57D87">
            <w:pPr>
              <w:spacing w:after="0"/>
              <w:jc w:val="right"/>
              <w:rPr>
                <w:rFonts w:cs="Arial"/>
                <w:b/>
                <w:sz w:val="16"/>
                <w:szCs w:val="16"/>
              </w:rPr>
            </w:pPr>
            <w:r w:rsidRPr="00487A50">
              <w:rPr>
                <w:rFonts w:cs="Arial"/>
                <w:b/>
                <w:sz w:val="16"/>
                <w:szCs w:val="16"/>
              </w:rPr>
              <w:t>TOTALS:</w:t>
            </w:r>
          </w:p>
        </w:tc>
        <w:tc>
          <w:tcPr>
            <w:tcW w:w="540" w:type="dxa"/>
            <w:tcMar>
              <w:left w:w="58" w:type="dxa"/>
              <w:right w:w="58" w:type="dxa"/>
            </w:tcMar>
            <w:vAlign w:val="center"/>
          </w:tcPr>
          <w:p w:rsidR="00AC40FC" w:rsidRPr="00487A50" w:rsidRDefault="00AC40FC" w:rsidP="00A57D87">
            <w:pPr>
              <w:spacing w:after="0"/>
              <w:jc w:val="center"/>
              <w:rPr>
                <w:rFonts w:cs="Arial"/>
                <w:b/>
                <w:sz w:val="16"/>
                <w:szCs w:val="16"/>
              </w:rPr>
            </w:pPr>
            <w:r w:rsidRPr="00487A50">
              <w:rPr>
                <w:rFonts w:cs="Arial"/>
                <w:b/>
                <w:sz w:val="16"/>
                <w:szCs w:val="16"/>
              </w:rPr>
              <w:t>2,309</w:t>
            </w:r>
          </w:p>
        </w:tc>
        <w:tc>
          <w:tcPr>
            <w:tcW w:w="450" w:type="dxa"/>
            <w:tcMar>
              <w:left w:w="58" w:type="dxa"/>
              <w:right w:w="58" w:type="dxa"/>
            </w:tcMar>
            <w:vAlign w:val="center"/>
          </w:tcPr>
          <w:p w:rsidR="00AC40FC" w:rsidRPr="00487A50" w:rsidRDefault="00AC40FC" w:rsidP="00A57D87">
            <w:pPr>
              <w:spacing w:after="0"/>
              <w:jc w:val="center"/>
              <w:rPr>
                <w:rFonts w:cs="Arial"/>
                <w:b/>
                <w:sz w:val="16"/>
                <w:szCs w:val="16"/>
              </w:rPr>
            </w:pPr>
            <w:r w:rsidRPr="00487A50">
              <w:rPr>
                <w:rFonts w:cs="Arial"/>
                <w:b/>
                <w:sz w:val="16"/>
                <w:szCs w:val="16"/>
              </w:rPr>
              <w:t>186</w:t>
            </w:r>
          </w:p>
        </w:tc>
        <w:tc>
          <w:tcPr>
            <w:tcW w:w="630" w:type="dxa"/>
            <w:tcMar>
              <w:left w:w="58" w:type="dxa"/>
              <w:right w:w="58" w:type="dxa"/>
            </w:tcMar>
            <w:vAlign w:val="center"/>
          </w:tcPr>
          <w:p w:rsidR="00AC40FC" w:rsidRPr="00487A50" w:rsidRDefault="00AC40FC" w:rsidP="00A57D87">
            <w:pPr>
              <w:spacing w:after="0"/>
              <w:jc w:val="center"/>
              <w:rPr>
                <w:rFonts w:cs="Arial"/>
                <w:b/>
                <w:sz w:val="16"/>
                <w:szCs w:val="16"/>
              </w:rPr>
            </w:pPr>
            <w:r w:rsidRPr="00487A50">
              <w:rPr>
                <w:rFonts w:cs="Arial"/>
                <w:b/>
                <w:sz w:val="16"/>
                <w:szCs w:val="16"/>
              </w:rPr>
              <w:t>8.1</w:t>
            </w:r>
            <w:r w:rsidRPr="00487A50">
              <w:rPr>
                <w:rFonts w:cs="Arial"/>
                <w:sz w:val="16"/>
                <w:szCs w:val="16"/>
              </w:rPr>
              <w:t>%</w:t>
            </w:r>
          </w:p>
        </w:tc>
        <w:tc>
          <w:tcPr>
            <w:tcW w:w="630" w:type="dxa"/>
            <w:tcMar>
              <w:left w:w="58" w:type="dxa"/>
              <w:right w:w="58" w:type="dxa"/>
            </w:tcMar>
            <w:vAlign w:val="center"/>
          </w:tcPr>
          <w:p w:rsidR="00AC40FC" w:rsidRPr="00487A50" w:rsidRDefault="00AC40FC" w:rsidP="00A57D87">
            <w:pPr>
              <w:spacing w:after="0"/>
              <w:jc w:val="center"/>
              <w:rPr>
                <w:rFonts w:cs="Arial"/>
                <w:b/>
                <w:sz w:val="16"/>
                <w:szCs w:val="16"/>
              </w:rPr>
            </w:pPr>
            <w:r w:rsidRPr="00487A50">
              <w:rPr>
                <w:rFonts w:cs="Arial"/>
                <w:b/>
                <w:sz w:val="16"/>
                <w:szCs w:val="16"/>
              </w:rPr>
              <w:t>9.6</w:t>
            </w:r>
            <w:r w:rsidRPr="00487A50">
              <w:rPr>
                <w:rFonts w:cs="Arial"/>
                <w:sz w:val="16"/>
                <w:szCs w:val="16"/>
              </w:rPr>
              <w:t>%</w:t>
            </w:r>
          </w:p>
        </w:tc>
        <w:tc>
          <w:tcPr>
            <w:tcW w:w="540" w:type="dxa"/>
            <w:tcBorders>
              <w:right w:val="single" w:sz="12" w:space="0" w:color="auto"/>
            </w:tcBorders>
            <w:tcMar>
              <w:left w:w="58" w:type="dxa"/>
              <w:right w:w="58" w:type="dxa"/>
            </w:tcMar>
            <w:vAlign w:val="center"/>
          </w:tcPr>
          <w:p w:rsidR="00AC40FC" w:rsidRPr="00487A50" w:rsidRDefault="00AC40FC" w:rsidP="00A57D87">
            <w:pPr>
              <w:spacing w:after="0"/>
              <w:jc w:val="center"/>
              <w:rPr>
                <w:rFonts w:cs="Arial"/>
                <w:b/>
                <w:sz w:val="16"/>
                <w:szCs w:val="16"/>
              </w:rPr>
            </w:pPr>
            <w:r w:rsidRPr="00487A50">
              <w:rPr>
                <w:rFonts w:cs="Arial"/>
                <w:b/>
                <w:sz w:val="16"/>
                <w:szCs w:val="16"/>
              </w:rPr>
              <w:t>37</w:t>
            </w:r>
          </w:p>
        </w:tc>
        <w:tc>
          <w:tcPr>
            <w:tcW w:w="630" w:type="dxa"/>
            <w:tcBorders>
              <w:left w:val="single" w:sz="12" w:space="0" w:color="auto"/>
            </w:tcBorders>
            <w:tcMar>
              <w:left w:w="58" w:type="dxa"/>
              <w:right w:w="58" w:type="dxa"/>
            </w:tcMar>
            <w:vAlign w:val="center"/>
          </w:tcPr>
          <w:p w:rsidR="00AC40FC" w:rsidRPr="00487A50" w:rsidRDefault="00AC40FC" w:rsidP="00A57D87">
            <w:pPr>
              <w:spacing w:after="0"/>
              <w:jc w:val="center"/>
              <w:rPr>
                <w:rFonts w:cs="Arial"/>
                <w:b/>
                <w:sz w:val="16"/>
                <w:szCs w:val="16"/>
              </w:rPr>
            </w:pPr>
            <w:r w:rsidRPr="00487A50">
              <w:rPr>
                <w:rFonts w:cs="Arial"/>
                <w:b/>
                <w:sz w:val="16"/>
                <w:szCs w:val="16"/>
              </w:rPr>
              <w:t>2,238</w:t>
            </w:r>
          </w:p>
        </w:tc>
        <w:tc>
          <w:tcPr>
            <w:tcW w:w="450" w:type="dxa"/>
            <w:tcMar>
              <w:left w:w="58" w:type="dxa"/>
              <w:right w:w="58" w:type="dxa"/>
            </w:tcMar>
            <w:vAlign w:val="center"/>
          </w:tcPr>
          <w:p w:rsidR="00AC40FC" w:rsidRPr="00487A50" w:rsidRDefault="00AC40FC" w:rsidP="00A57D87">
            <w:pPr>
              <w:spacing w:after="0"/>
              <w:jc w:val="center"/>
              <w:rPr>
                <w:rFonts w:cs="Arial"/>
                <w:b/>
                <w:sz w:val="16"/>
                <w:szCs w:val="16"/>
              </w:rPr>
            </w:pPr>
            <w:r w:rsidRPr="00487A50">
              <w:rPr>
                <w:rFonts w:cs="Arial"/>
                <w:b/>
                <w:sz w:val="16"/>
                <w:szCs w:val="16"/>
              </w:rPr>
              <w:t>179</w:t>
            </w:r>
          </w:p>
        </w:tc>
        <w:tc>
          <w:tcPr>
            <w:tcW w:w="630" w:type="dxa"/>
            <w:tcMar>
              <w:left w:w="58" w:type="dxa"/>
              <w:right w:w="58" w:type="dxa"/>
            </w:tcMar>
            <w:vAlign w:val="center"/>
          </w:tcPr>
          <w:p w:rsidR="00AC40FC" w:rsidRPr="00487A50" w:rsidRDefault="00AC40FC" w:rsidP="00A57D87">
            <w:pPr>
              <w:spacing w:after="0"/>
              <w:jc w:val="center"/>
              <w:rPr>
                <w:rFonts w:cs="Arial"/>
                <w:b/>
                <w:sz w:val="16"/>
                <w:szCs w:val="16"/>
              </w:rPr>
            </w:pPr>
            <w:r w:rsidRPr="00487A50">
              <w:rPr>
                <w:rFonts w:cs="Arial"/>
                <w:b/>
                <w:sz w:val="16"/>
                <w:szCs w:val="16"/>
              </w:rPr>
              <w:t>8.0</w:t>
            </w:r>
            <w:r w:rsidRPr="00487A50">
              <w:rPr>
                <w:rFonts w:cs="Arial"/>
                <w:sz w:val="16"/>
                <w:szCs w:val="16"/>
              </w:rPr>
              <w:t>%</w:t>
            </w:r>
          </w:p>
        </w:tc>
        <w:tc>
          <w:tcPr>
            <w:tcW w:w="630" w:type="dxa"/>
            <w:tcMar>
              <w:left w:w="58" w:type="dxa"/>
              <w:right w:w="58" w:type="dxa"/>
            </w:tcMar>
            <w:vAlign w:val="center"/>
          </w:tcPr>
          <w:p w:rsidR="00AC40FC" w:rsidRPr="00487A50" w:rsidRDefault="00AC40FC" w:rsidP="00A57D87">
            <w:pPr>
              <w:spacing w:after="0"/>
              <w:jc w:val="center"/>
              <w:rPr>
                <w:rFonts w:cs="Arial"/>
                <w:b/>
                <w:sz w:val="16"/>
                <w:szCs w:val="16"/>
              </w:rPr>
            </w:pPr>
            <w:r w:rsidRPr="00487A50">
              <w:rPr>
                <w:rFonts w:cs="Arial"/>
                <w:b/>
                <w:sz w:val="16"/>
                <w:szCs w:val="16"/>
              </w:rPr>
              <w:t>9.0</w:t>
            </w:r>
            <w:r w:rsidRPr="00487A50">
              <w:rPr>
                <w:rFonts w:cs="Arial"/>
                <w:sz w:val="16"/>
                <w:szCs w:val="16"/>
              </w:rPr>
              <w:t>%</w:t>
            </w:r>
          </w:p>
        </w:tc>
        <w:tc>
          <w:tcPr>
            <w:tcW w:w="450" w:type="dxa"/>
            <w:tcBorders>
              <w:right w:val="single" w:sz="12" w:space="0" w:color="auto"/>
            </w:tcBorders>
            <w:tcMar>
              <w:left w:w="58" w:type="dxa"/>
              <w:right w:w="58" w:type="dxa"/>
            </w:tcMar>
            <w:vAlign w:val="center"/>
          </w:tcPr>
          <w:p w:rsidR="00AC40FC" w:rsidRPr="00487A50" w:rsidRDefault="00AC40FC" w:rsidP="00A57D87">
            <w:pPr>
              <w:spacing w:after="0"/>
              <w:jc w:val="center"/>
              <w:rPr>
                <w:rFonts w:cs="Arial"/>
                <w:b/>
                <w:sz w:val="16"/>
                <w:szCs w:val="16"/>
              </w:rPr>
            </w:pPr>
            <w:r w:rsidRPr="00487A50">
              <w:rPr>
                <w:rFonts w:cs="Arial"/>
                <w:b/>
                <w:sz w:val="16"/>
                <w:szCs w:val="16"/>
              </w:rPr>
              <w:t>28</w:t>
            </w:r>
          </w:p>
        </w:tc>
        <w:tc>
          <w:tcPr>
            <w:tcW w:w="630" w:type="dxa"/>
            <w:tcBorders>
              <w:left w:val="single" w:sz="12" w:space="0" w:color="auto"/>
            </w:tcBorders>
            <w:tcMar>
              <w:left w:w="58" w:type="dxa"/>
              <w:right w:w="58" w:type="dxa"/>
            </w:tcMar>
            <w:vAlign w:val="center"/>
          </w:tcPr>
          <w:p w:rsidR="00AC40FC" w:rsidRPr="00487A50" w:rsidRDefault="00AC40FC" w:rsidP="00A57D87">
            <w:pPr>
              <w:spacing w:after="0"/>
              <w:jc w:val="center"/>
              <w:rPr>
                <w:rFonts w:cs="Arial"/>
                <w:b/>
                <w:sz w:val="16"/>
                <w:szCs w:val="16"/>
              </w:rPr>
            </w:pPr>
            <w:r w:rsidRPr="00487A50">
              <w:rPr>
                <w:rFonts w:cs="Arial"/>
                <w:b/>
                <w:sz w:val="16"/>
                <w:szCs w:val="16"/>
              </w:rPr>
              <w:t>2,265</w:t>
            </w:r>
          </w:p>
        </w:tc>
        <w:tc>
          <w:tcPr>
            <w:tcW w:w="540" w:type="dxa"/>
            <w:tcMar>
              <w:left w:w="58" w:type="dxa"/>
              <w:right w:w="58" w:type="dxa"/>
            </w:tcMar>
            <w:vAlign w:val="center"/>
          </w:tcPr>
          <w:p w:rsidR="00AC40FC" w:rsidRPr="00487A50" w:rsidRDefault="00AC40FC" w:rsidP="00A57D87">
            <w:pPr>
              <w:spacing w:after="0"/>
              <w:jc w:val="center"/>
              <w:rPr>
                <w:rFonts w:cs="Arial"/>
                <w:b/>
                <w:sz w:val="16"/>
                <w:szCs w:val="16"/>
              </w:rPr>
            </w:pPr>
            <w:r w:rsidRPr="00487A50">
              <w:rPr>
                <w:rFonts w:cs="Arial"/>
                <w:b/>
                <w:sz w:val="16"/>
                <w:szCs w:val="16"/>
              </w:rPr>
              <w:t>177</w:t>
            </w:r>
          </w:p>
        </w:tc>
        <w:tc>
          <w:tcPr>
            <w:tcW w:w="630" w:type="dxa"/>
            <w:tcMar>
              <w:left w:w="58" w:type="dxa"/>
              <w:right w:w="58" w:type="dxa"/>
            </w:tcMar>
            <w:vAlign w:val="center"/>
          </w:tcPr>
          <w:p w:rsidR="00AC40FC" w:rsidRPr="00487A50" w:rsidRDefault="00AC40FC" w:rsidP="00A57D87">
            <w:pPr>
              <w:spacing w:after="0"/>
              <w:jc w:val="center"/>
              <w:rPr>
                <w:rFonts w:cs="Arial"/>
                <w:b/>
                <w:sz w:val="16"/>
                <w:szCs w:val="16"/>
              </w:rPr>
            </w:pPr>
            <w:r w:rsidRPr="00487A50">
              <w:rPr>
                <w:rFonts w:cs="Arial"/>
                <w:b/>
                <w:sz w:val="16"/>
                <w:szCs w:val="16"/>
              </w:rPr>
              <w:t>7.8</w:t>
            </w:r>
            <w:r w:rsidRPr="00487A50">
              <w:rPr>
                <w:rFonts w:cs="Arial"/>
                <w:sz w:val="16"/>
                <w:szCs w:val="16"/>
              </w:rPr>
              <w:t>%</w:t>
            </w:r>
          </w:p>
        </w:tc>
        <w:tc>
          <w:tcPr>
            <w:tcW w:w="630" w:type="dxa"/>
            <w:tcMar>
              <w:left w:w="58" w:type="dxa"/>
              <w:right w:w="58" w:type="dxa"/>
            </w:tcMar>
            <w:vAlign w:val="center"/>
          </w:tcPr>
          <w:p w:rsidR="00AC40FC" w:rsidRPr="00487A50" w:rsidRDefault="00AC40FC" w:rsidP="00A57D87">
            <w:pPr>
              <w:spacing w:after="0"/>
              <w:jc w:val="center"/>
              <w:rPr>
                <w:rFonts w:cs="Arial"/>
                <w:b/>
                <w:sz w:val="16"/>
                <w:szCs w:val="16"/>
              </w:rPr>
            </w:pPr>
            <w:r w:rsidRPr="00487A50">
              <w:rPr>
                <w:rFonts w:cs="Arial"/>
                <w:b/>
                <w:sz w:val="16"/>
                <w:szCs w:val="16"/>
              </w:rPr>
              <w:t>9.8</w:t>
            </w:r>
            <w:r w:rsidRPr="00487A50">
              <w:rPr>
                <w:rFonts w:cs="Arial"/>
                <w:sz w:val="16"/>
                <w:szCs w:val="16"/>
              </w:rPr>
              <w:t>%</w:t>
            </w:r>
          </w:p>
        </w:tc>
        <w:tc>
          <w:tcPr>
            <w:tcW w:w="450" w:type="dxa"/>
            <w:tcBorders>
              <w:right w:val="single" w:sz="12" w:space="0" w:color="auto"/>
            </w:tcBorders>
            <w:tcMar>
              <w:left w:w="58" w:type="dxa"/>
              <w:right w:w="58" w:type="dxa"/>
            </w:tcMar>
            <w:vAlign w:val="center"/>
          </w:tcPr>
          <w:p w:rsidR="00AC40FC" w:rsidRPr="00487A50" w:rsidRDefault="00AC40FC" w:rsidP="00A57D87">
            <w:pPr>
              <w:spacing w:after="0"/>
              <w:jc w:val="center"/>
              <w:rPr>
                <w:rFonts w:cs="Arial"/>
                <w:b/>
                <w:sz w:val="16"/>
                <w:szCs w:val="16"/>
              </w:rPr>
            </w:pPr>
            <w:r w:rsidRPr="00487A50">
              <w:rPr>
                <w:rFonts w:cs="Arial"/>
                <w:b/>
                <w:sz w:val="16"/>
                <w:szCs w:val="16"/>
              </w:rPr>
              <w:t>56</w:t>
            </w:r>
          </w:p>
        </w:tc>
        <w:tc>
          <w:tcPr>
            <w:tcW w:w="540" w:type="dxa"/>
            <w:tcBorders>
              <w:left w:val="single" w:sz="12" w:space="0" w:color="auto"/>
            </w:tcBorders>
            <w:tcMar>
              <w:left w:w="58" w:type="dxa"/>
              <w:right w:w="58" w:type="dxa"/>
            </w:tcMar>
            <w:vAlign w:val="center"/>
          </w:tcPr>
          <w:p w:rsidR="00AC40FC" w:rsidRPr="00487A50" w:rsidRDefault="00AC40FC" w:rsidP="00A57D87">
            <w:pPr>
              <w:spacing w:after="0"/>
              <w:jc w:val="center"/>
              <w:rPr>
                <w:rFonts w:cs="Arial"/>
                <w:b/>
                <w:sz w:val="16"/>
                <w:szCs w:val="16"/>
              </w:rPr>
            </w:pPr>
          </w:p>
        </w:tc>
        <w:tc>
          <w:tcPr>
            <w:tcW w:w="450" w:type="dxa"/>
            <w:tcMar>
              <w:left w:w="58" w:type="dxa"/>
              <w:right w:w="58" w:type="dxa"/>
            </w:tcMar>
            <w:vAlign w:val="center"/>
          </w:tcPr>
          <w:p w:rsidR="00AC40FC" w:rsidRPr="00487A50" w:rsidRDefault="00AC40FC" w:rsidP="00A57D87">
            <w:pPr>
              <w:spacing w:after="0"/>
              <w:jc w:val="center"/>
              <w:rPr>
                <w:rFonts w:cs="Arial"/>
                <w:b/>
                <w:sz w:val="16"/>
                <w:szCs w:val="16"/>
              </w:rPr>
            </w:pPr>
            <w:r>
              <w:rPr>
                <w:rFonts w:cs="Arial"/>
                <w:b/>
                <w:sz w:val="16"/>
                <w:szCs w:val="16"/>
              </w:rPr>
              <w:t>186</w:t>
            </w:r>
          </w:p>
        </w:tc>
        <w:tc>
          <w:tcPr>
            <w:tcW w:w="630" w:type="dxa"/>
            <w:tcMar>
              <w:left w:w="58" w:type="dxa"/>
              <w:right w:w="58" w:type="dxa"/>
            </w:tcMar>
            <w:vAlign w:val="center"/>
          </w:tcPr>
          <w:p w:rsidR="00AC40FC" w:rsidRPr="00487A50" w:rsidRDefault="00AC40FC" w:rsidP="00A57D87">
            <w:pPr>
              <w:spacing w:after="0"/>
              <w:jc w:val="center"/>
              <w:rPr>
                <w:rFonts w:cs="Arial"/>
                <w:b/>
                <w:sz w:val="16"/>
                <w:szCs w:val="16"/>
              </w:rPr>
            </w:pPr>
          </w:p>
        </w:tc>
        <w:tc>
          <w:tcPr>
            <w:tcW w:w="630" w:type="dxa"/>
            <w:tcMar>
              <w:left w:w="58" w:type="dxa"/>
              <w:right w:w="58" w:type="dxa"/>
            </w:tcMar>
            <w:vAlign w:val="center"/>
          </w:tcPr>
          <w:p w:rsidR="00AC40FC" w:rsidRPr="00487A50" w:rsidRDefault="00AC40FC" w:rsidP="00A57D87">
            <w:pPr>
              <w:spacing w:after="0"/>
              <w:jc w:val="center"/>
              <w:rPr>
                <w:rFonts w:cs="Arial"/>
                <w:b/>
                <w:sz w:val="16"/>
                <w:szCs w:val="16"/>
              </w:rPr>
            </w:pPr>
          </w:p>
        </w:tc>
        <w:tc>
          <w:tcPr>
            <w:tcW w:w="540" w:type="dxa"/>
            <w:tcMar>
              <w:left w:w="58" w:type="dxa"/>
              <w:right w:w="58" w:type="dxa"/>
            </w:tcMar>
            <w:vAlign w:val="center"/>
          </w:tcPr>
          <w:p w:rsidR="00AC40FC" w:rsidRPr="00487A50" w:rsidRDefault="00AC40FC" w:rsidP="00A57D87">
            <w:pPr>
              <w:spacing w:after="0"/>
              <w:jc w:val="center"/>
              <w:rPr>
                <w:rFonts w:cs="Arial"/>
                <w:b/>
                <w:sz w:val="16"/>
                <w:szCs w:val="16"/>
              </w:rPr>
            </w:pPr>
            <w:r>
              <w:rPr>
                <w:rFonts w:cs="Arial"/>
                <w:b/>
                <w:sz w:val="16"/>
                <w:szCs w:val="16"/>
              </w:rPr>
              <w:t>13</w:t>
            </w:r>
          </w:p>
        </w:tc>
      </w:tr>
      <w:tr w:rsidR="00AC40FC" w:rsidRPr="00487A50" w:rsidTr="00A57D87">
        <w:trPr>
          <w:jc w:val="center"/>
        </w:trPr>
        <w:tc>
          <w:tcPr>
            <w:tcW w:w="13378" w:type="dxa"/>
            <w:gridSpan w:val="21"/>
            <w:tcMar>
              <w:left w:w="58" w:type="dxa"/>
              <w:right w:w="58" w:type="dxa"/>
            </w:tcMar>
          </w:tcPr>
          <w:p w:rsidR="00AC40FC" w:rsidRPr="00487A50" w:rsidRDefault="00AC40FC" w:rsidP="00A57D87">
            <w:pPr>
              <w:spacing w:after="0"/>
              <w:rPr>
                <w:rFonts w:cs="Arial"/>
                <w:sz w:val="16"/>
                <w:szCs w:val="16"/>
              </w:rPr>
            </w:pPr>
            <w:r w:rsidRPr="00487A50">
              <w:rPr>
                <w:rFonts w:cs="Arial"/>
                <w:sz w:val="16"/>
                <w:szCs w:val="16"/>
              </w:rPr>
              <w:t>Sources: DN 17-101; DN 17-108a; DN 17-128; DN 17-144; DN 17-146</w:t>
            </w:r>
          </w:p>
        </w:tc>
      </w:tr>
    </w:tbl>
    <w:p w:rsidR="00AC40FC" w:rsidRDefault="00AC40FC" w:rsidP="00A57D87">
      <w:pPr>
        <w:pStyle w:val="Normal-aftertable"/>
      </w:pPr>
      <w:r>
        <w:t>The table above allows for identification of job groups in which there is a greater availability of minorities than what is represented in the employee compliment.  Out of 21 job groups, only eight had potential underutilization in 2014. Goals have been established based on the data outlined in this table for those eight job groups and PPL EU has made progress toward the established goals. This improvement is demonstrated in the fact that in 2015, out of 21 job groups, only six have potential underutilization.</w:t>
      </w:r>
    </w:p>
    <w:p w:rsidR="00AC40FC" w:rsidRDefault="00AC40FC">
      <w:pPr>
        <w:spacing w:after="0"/>
        <w:jc w:val="left"/>
        <w:rPr>
          <w:b/>
        </w:rPr>
      </w:pPr>
    </w:p>
    <w:p w:rsidR="00AC40FC" w:rsidRDefault="00AC40FC" w:rsidP="00A57D87">
      <w:pPr>
        <w:rPr>
          <w:b/>
        </w:rPr>
      </w:pPr>
      <w:r>
        <w:t>The following table shows PPL EU’s utilization of females during the period of 2012–2015.    The data is reported using the 80% rule which is an analysis methodology approved for use by the OFCCP.</w:t>
      </w:r>
    </w:p>
    <w:p w:rsidR="00AC40FC" w:rsidRDefault="00AC40FC" w:rsidP="002B3172">
      <w:pPr>
        <w:pStyle w:val="Caption"/>
      </w:pPr>
      <w:bookmarkStart w:id="330" w:name="_Toc462648485"/>
      <w:bookmarkStart w:id="331" w:name="_Toc464553107"/>
      <w:r>
        <w:t xml:space="preserve">Exhibit </w:t>
      </w:r>
      <w:fldSimple w:instr=" STYLEREF 1 \s ">
        <w:r w:rsidR="00A24205">
          <w:rPr>
            <w:noProof/>
          </w:rPr>
          <w:t>XIV</w:t>
        </w:r>
      </w:fldSimple>
      <w:r w:rsidR="00264A1B">
        <w:noBreakHyphen/>
      </w:r>
      <w:fldSimple w:instr=" SEQ Exhibit \* ARABIC \s 1 ">
        <w:r w:rsidR="00A24205">
          <w:rPr>
            <w:noProof/>
          </w:rPr>
          <w:t>20</w:t>
        </w:r>
      </w:fldSimple>
      <w:r>
        <w:br/>
        <w:t>Female Utilization 2012–2015</w:t>
      </w:r>
      <w:bookmarkEnd w:id="330"/>
      <w:bookmarkEnd w:id="331"/>
    </w:p>
    <w:tbl>
      <w:tblPr>
        <w:tblStyle w:val="TableGrid"/>
        <w:tblW w:w="13378" w:type="dxa"/>
        <w:jc w:val="center"/>
        <w:tblLayout w:type="fixed"/>
        <w:tblLook w:val="04A0"/>
      </w:tblPr>
      <w:tblGrid>
        <w:gridCol w:w="2128"/>
        <w:gridCol w:w="630"/>
        <w:gridCol w:w="540"/>
        <w:gridCol w:w="630"/>
        <w:gridCol w:w="630"/>
        <w:gridCol w:w="540"/>
        <w:gridCol w:w="601"/>
        <w:gridCol w:w="450"/>
        <w:gridCol w:w="630"/>
        <w:gridCol w:w="630"/>
        <w:gridCol w:w="389"/>
        <w:gridCol w:w="540"/>
        <w:gridCol w:w="540"/>
        <w:gridCol w:w="630"/>
        <w:gridCol w:w="630"/>
        <w:gridCol w:w="540"/>
        <w:gridCol w:w="664"/>
        <w:gridCol w:w="387"/>
        <w:gridCol w:w="630"/>
        <w:gridCol w:w="630"/>
        <w:gridCol w:w="389"/>
      </w:tblGrid>
      <w:tr w:rsidR="00AC40FC" w:rsidRPr="005E5DF1" w:rsidTr="00582143">
        <w:trPr>
          <w:trHeight w:val="260"/>
          <w:tblHeader/>
          <w:jc w:val="center"/>
        </w:trPr>
        <w:tc>
          <w:tcPr>
            <w:tcW w:w="2128" w:type="dxa"/>
            <w:vMerge w:val="restart"/>
            <w:shd w:val="clear" w:color="auto" w:fill="A5CD7E"/>
            <w:tcMar>
              <w:left w:w="58" w:type="dxa"/>
              <w:right w:w="58" w:type="dxa"/>
            </w:tcMar>
            <w:vAlign w:val="bottom"/>
          </w:tcPr>
          <w:p w:rsidR="00AC40FC" w:rsidRPr="005E5DF1" w:rsidRDefault="00AC40FC" w:rsidP="00A57D87">
            <w:pPr>
              <w:spacing w:after="0"/>
              <w:jc w:val="center"/>
              <w:rPr>
                <w:rFonts w:cs="Arial"/>
                <w:b/>
                <w:sz w:val="16"/>
                <w:szCs w:val="16"/>
              </w:rPr>
            </w:pPr>
            <w:r w:rsidRPr="005E5DF1">
              <w:rPr>
                <w:rFonts w:cs="Arial"/>
                <w:b/>
                <w:sz w:val="16"/>
                <w:szCs w:val="16"/>
              </w:rPr>
              <w:t>Job Group</w:t>
            </w:r>
          </w:p>
        </w:tc>
        <w:tc>
          <w:tcPr>
            <w:tcW w:w="2970" w:type="dxa"/>
            <w:gridSpan w:val="5"/>
            <w:tcBorders>
              <w:right w:val="single" w:sz="12" w:space="0" w:color="auto"/>
            </w:tcBorders>
            <w:shd w:val="clear" w:color="auto" w:fill="A5CD7E"/>
            <w:tcMar>
              <w:left w:w="58" w:type="dxa"/>
              <w:right w:w="58" w:type="dxa"/>
            </w:tcMar>
            <w:vAlign w:val="center"/>
          </w:tcPr>
          <w:p w:rsidR="00AC40FC" w:rsidRPr="005E5DF1" w:rsidRDefault="00AC40FC" w:rsidP="00A57D87">
            <w:pPr>
              <w:spacing w:after="0"/>
              <w:jc w:val="center"/>
              <w:rPr>
                <w:rFonts w:cs="Arial"/>
                <w:b/>
                <w:sz w:val="16"/>
                <w:szCs w:val="16"/>
              </w:rPr>
            </w:pPr>
            <w:r w:rsidRPr="005E5DF1">
              <w:rPr>
                <w:rFonts w:cs="Arial"/>
                <w:b/>
                <w:sz w:val="16"/>
                <w:szCs w:val="16"/>
              </w:rPr>
              <w:t>2012</w:t>
            </w:r>
          </w:p>
        </w:tc>
        <w:tc>
          <w:tcPr>
            <w:tcW w:w="2700" w:type="dxa"/>
            <w:gridSpan w:val="5"/>
            <w:tcBorders>
              <w:left w:val="single" w:sz="12" w:space="0" w:color="auto"/>
              <w:right w:val="single" w:sz="12" w:space="0" w:color="auto"/>
            </w:tcBorders>
            <w:shd w:val="clear" w:color="auto" w:fill="A5CD7E"/>
            <w:tcMar>
              <w:left w:w="58" w:type="dxa"/>
              <w:right w:w="58" w:type="dxa"/>
            </w:tcMar>
            <w:vAlign w:val="center"/>
          </w:tcPr>
          <w:p w:rsidR="00AC40FC" w:rsidRPr="005E5DF1" w:rsidRDefault="00AC40FC" w:rsidP="00A57D87">
            <w:pPr>
              <w:spacing w:after="0"/>
              <w:jc w:val="center"/>
              <w:rPr>
                <w:rFonts w:cs="Arial"/>
                <w:b/>
                <w:sz w:val="16"/>
                <w:szCs w:val="16"/>
              </w:rPr>
            </w:pPr>
            <w:r w:rsidRPr="005E5DF1">
              <w:rPr>
                <w:rFonts w:cs="Arial"/>
                <w:b/>
                <w:sz w:val="16"/>
                <w:szCs w:val="16"/>
              </w:rPr>
              <w:t>2013</w:t>
            </w:r>
          </w:p>
        </w:tc>
        <w:tc>
          <w:tcPr>
            <w:tcW w:w="2880" w:type="dxa"/>
            <w:gridSpan w:val="5"/>
            <w:tcBorders>
              <w:left w:val="single" w:sz="12" w:space="0" w:color="auto"/>
              <w:right w:val="single" w:sz="12" w:space="0" w:color="auto"/>
            </w:tcBorders>
            <w:shd w:val="clear" w:color="auto" w:fill="A5CD7E"/>
            <w:tcMar>
              <w:left w:w="58" w:type="dxa"/>
              <w:right w:w="58" w:type="dxa"/>
            </w:tcMar>
            <w:vAlign w:val="center"/>
          </w:tcPr>
          <w:p w:rsidR="00AC40FC" w:rsidRPr="005E5DF1" w:rsidRDefault="00AC40FC" w:rsidP="00A57D87">
            <w:pPr>
              <w:spacing w:after="0"/>
              <w:jc w:val="center"/>
              <w:rPr>
                <w:rFonts w:cs="Arial"/>
                <w:b/>
                <w:sz w:val="16"/>
                <w:szCs w:val="16"/>
              </w:rPr>
            </w:pPr>
            <w:r w:rsidRPr="005E5DF1">
              <w:rPr>
                <w:rFonts w:cs="Arial"/>
                <w:b/>
                <w:sz w:val="16"/>
                <w:szCs w:val="16"/>
              </w:rPr>
              <w:t>2014</w:t>
            </w:r>
          </w:p>
        </w:tc>
        <w:tc>
          <w:tcPr>
            <w:tcW w:w="2700" w:type="dxa"/>
            <w:gridSpan w:val="5"/>
            <w:tcBorders>
              <w:left w:val="single" w:sz="12" w:space="0" w:color="auto"/>
            </w:tcBorders>
            <w:shd w:val="clear" w:color="auto" w:fill="A5CD7E"/>
            <w:tcMar>
              <w:left w:w="58" w:type="dxa"/>
              <w:right w:w="58" w:type="dxa"/>
            </w:tcMar>
            <w:vAlign w:val="center"/>
          </w:tcPr>
          <w:p w:rsidR="00AC40FC" w:rsidRPr="005E5DF1" w:rsidRDefault="00AC40FC" w:rsidP="00A57D87">
            <w:pPr>
              <w:spacing w:after="0"/>
              <w:jc w:val="center"/>
              <w:rPr>
                <w:rFonts w:cs="Arial"/>
                <w:b/>
                <w:sz w:val="16"/>
                <w:szCs w:val="16"/>
              </w:rPr>
            </w:pPr>
            <w:r w:rsidRPr="005E5DF1">
              <w:rPr>
                <w:rFonts w:cs="Arial"/>
                <w:b/>
                <w:sz w:val="16"/>
                <w:szCs w:val="16"/>
              </w:rPr>
              <w:t>2015</w:t>
            </w:r>
          </w:p>
        </w:tc>
      </w:tr>
      <w:tr w:rsidR="00AC40FC" w:rsidRPr="005E5DF1" w:rsidTr="00582143">
        <w:trPr>
          <w:tblHeader/>
          <w:jc w:val="center"/>
        </w:trPr>
        <w:tc>
          <w:tcPr>
            <w:tcW w:w="2128" w:type="dxa"/>
            <w:vMerge/>
            <w:shd w:val="clear" w:color="auto" w:fill="A5CD7E"/>
            <w:tcMar>
              <w:left w:w="58" w:type="dxa"/>
              <w:right w:w="58" w:type="dxa"/>
            </w:tcMar>
          </w:tcPr>
          <w:p w:rsidR="00AC40FC" w:rsidRPr="005E5DF1" w:rsidRDefault="00AC40FC" w:rsidP="00A57D87">
            <w:pPr>
              <w:spacing w:after="0"/>
              <w:rPr>
                <w:rFonts w:cs="Arial"/>
                <w:sz w:val="16"/>
                <w:szCs w:val="16"/>
              </w:rPr>
            </w:pPr>
          </w:p>
        </w:tc>
        <w:tc>
          <w:tcPr>
            <w:tcW w:w="630" w:type="dxa"/>
            <w:vMerge w:val="restart"/>
            <w:shd w:val="clear" w:color="auto" w:fill="A5CD7E"/>
            <w:tcMar>
              <w:left w:w="58" w:type="dxa"/>
              <w:right w:w="58" w:type="dxa"/>
            </w:tcMar>
            <w:textDirection w:val="btLr"/>
            <w:vAlign w:val="center"/>
          </w:tcPr>
          <w:p w:rsidR="00AC40FC" w:rsidRPr="005E5DF1" w:rsidRDefault="00AC40FC" w:rsidP="00A57D87">
            <w:pPr>
              <w:spacing w:after="0"/>
              <w:rPr>
                <w:rFonts w:cs="Arial"/>
                <w:b/>
                <w:sz w:val="16"/>
                <w:szCs w:val="16"/>
              </w:rPr>
            </w:pPr>
            <w:r w:rsidRPr="005E5DF1">
              <w:rPr>
                <w:rFonts w:cs="Arial"/>
                <w:b/>
                <w:sz w:val="16"/>
                <w:szCs w:val="16"/>
              </w:rPr>
              <w:t>Total Employees</w:t>
            </w:r>
          </w:p>
        </w:tc>
        <w:tc>
          <w:tcPr>
            <w:tcW w:w="1170" w:type="dxa"/>
            <w:gridSpan w:val="2"/>
            <w:shd w:val="clear" w:color="auto" w:fill="A5CD7E"/>
            <w:tcMar>
              <w:left w:w="58" w:type="dxa"/>
              <w:right w:w="58" w:type="dxa"/>
            </w:tcMar>
          </w:tcPr>
          <w:p w:rsidR="00AC40FC" w:rsidRPr="005E5DF1" w:rsidRDefault="00AC40FC" w:rsidP="00A57D87">
            <w:pPr>
              <w:spacing w:after="0"/>
              <w:jc w:val="center"/>
              <w:rPr>
                <w:rFonts w:cs="Arial"/>
                <w:b/>
                <w:sz w:val="16"/>
                <w:szCs w:val="16"/>
              </w:rPr>
            </w:pPr>
            <w:r w:rsidRPr="005E5DF1">
              <w:rPr>
                <w:rFonts w:cs="Arial"/>
                <w:b/>
                <w:sz w:val="16"/>
                <w:szCs w:val="16"/>
              </w:rPr>
              <w:t>Utilization</w:t>
            </w:r>
          </w:p>
        </w:tc>
        <w:tc>
          <w:tcPr>
            <w:tcW w:w="1170" w:type="dxa"/>
            <w:gridSpan w:val="2"/>
            <w:tcBorders>
              <w:right w:val="single" w:sz="12" w:space="0" w:color="auto"/>
            </w:tcBorders>
            <w:shd w:val="clear" w:color="auto" w:fill="A5CD7E"/>
            <w:tcMar>
              <w:left w:w="58" w:type="dxa"/>
              <w:right w:w="58" w:type="dxa"/>
            </w:tcMar>
          </w:tcPr>
          <w:p w:rsidR="00AC40FC" w:rsidRPr="005E5DF1" w:rsidRDefault="00AC40FC" w:rsidP="00A57D87">
            <w:pPr>
              <w:spacing w:after="0"/>
              <w:rPr>
                <w:rFonts w:cs="Arial"/>
                <w:sz w:val="16"/>
                <w:szCs w:val="16"/>
              </w:rPr>
            </w:pPr>
          </w:p>
        </w:tc>
        <w:tc>
          <w:tcPr>
            <w:tcW w:w="601" w:type="dxa"/>
            <w:vMerge w:val="restart"/>
            <w:tcBorders>
              <w:left w:val="single" w:sz="12" w:space="0" w:color="auto"/>
            </w:tcBorders>
            <w:shd w:val="clear" w:color="auto" w:fill="A5CD7E"/>
            <w:tcMar>
              <w:left w:w="58" w:type="dxa"/>
              <w:right w:w="58" w:type="dxa"/>
            </w:tcMar>
            <w:textDirection w:val="btLr"/>
            <w:vAlign w:val="center"/>
          </w:tcPr>
          <w:p w:rsidR="00AC40FC" w:rsidRPr="005E5DF1" w:rsidRDefault="00AC40FC" w:rsidP="00A57D87">
            <w:pPr>
              <w:spacing w:after="0"/>
              <w:rPr>
                <w:rFonts w:cs="Arial"/>
                <w:sz w:val="16"/>
                <w:szCs w:val="16"/>
              </w:rPr>
            </w:pPr>
            <w:r w:rsidRPr="005E5DF1">
              <w:rPr>
                <w:rFonts w:cs="Arial"/>
                <w:b/>
                <w:sz w:val="16"/>
                <w:szCs w:val="16"/>
              </w:rPr>
              <w:t>Total Employees</w:t>
            </w:r>
          </w:p>
        </w:tc>
        <w:tc>
          <w:tcPr>
            <w:tcW w:w="1080" w:type="dxa"/>
            <w:gridSpan w:val="2"/>
            <w:shd w:val="clear" w:color="auto" w:fill="A5CD7E"/>
            <w:tcMar>
              <w:left w:w="58" w:type="dxa"/>
              <w:right w:w="58" w:type="dxa"/>
            </w:tcMar>
          </w:tcPr>
          <w:p w:rsidR="00AC40FC" w:rsidRPr="005E5DF1" w:rsidRDefault="00AC40FC" w:rsidP="00A57D87">
            <w:pPr>
              <w:spacing w:after="0"/>
              <w:jc w:val="center"/>
              <w:rPr>
                <w:rFonts w:cs="Arial"/>
                <w:sz w:val="16"/>
                <w:szCs w:val="16"/>
              </w:rPr>
            </w:pPr>
            <w:r w:rsidRPr="005E5DF1">
              <w:rPr>
                <w:rFonts w:cs="Arial"/>
                <w:b/>
                <w:sz w:val="16"/>
                <w:szCs w:val="16"/>
              </w:rPr>
              <w:t>Utilization</w:t>
            </w:r>
          </w:p>
        </w:tc>
        <w:tc>
          <w:tcPr>
            <w:tcW w:w="1019" w:type="dxa"/>
            <w:gridSpan w:val="2"/>
            <w:tcBorders>
              <w:right w:val="single" w:sz="12" w:space="0" w:color="auto"/>
            </w:tcBorders>
            <w:shd w:val="clear" w:color="auto" w:fill="A5CD7E"/>
            <w:tcMar>
              <w:left w:w="58" w:type="dxa"/>
              <w:right w:w="58" w:type="dxa"/>
            </w:tcMar>
          </w:tcPr>
          <w:p w:rsidR="00AC40FC" w:rsidRPr="005E5DF1" w:rsidRDefault="00AC40FC" w:rsidP="00A57D87">
            <w:pPr>
              <w:spacing w:after="0"/>
              <w:rPr>
                <w:rFonts w:cs="Arial"/>
                <w:sz w:val="16"/>
                <w:szCs w:val="16"/>
              </w:rPr>
            </w:pPr>
          </w:p>
        </w:tc>
        <w:tc>
          <w:tcPr>
            <w:tcW w:w="540" w:type="dxa"/>
            <w:vMerge w:val="restart"/>
            <w:tcBorders>
              <w:left w:val="single" w:sz="12" w:space="0" w:color="auto"/>
            </w:tcBorders>
            <w:shd w:val="clear" w:color="auto" w:fill="A5CD7E"/>
            <w:tcMar>
              <w:left w:w="58" w:type="dxa"/>
              <w:right w:w="58" w:type="dxa"/>
            </w:tcMar>
            <w:textDirection w:val="btLr"/>
            <w:vAlign w:val="center"/>
          </w:tcPr>
          <w:p w:rsidR="00AC40FC" w:rsidRPr="005E5DF1" w:rsidRDefault="00AC40FC" w:rsidP="00A57D87">
            <w:pPr>
              <w:spacing w:after="0"/>
              <w:rPr>
                <w:rFonts w:cs="Arial"/>
                <w:sz w:val="16"/>
                <w:szCs w:val="16"/>
              </w:rPr>
            </w:pPr>
            <w:r w:rsidRPr="005E5DF1">
              <w:rPr>
                <w:rFonts w:cs="Arial"/>
                <w:b/>
                <w:sz w:val="16"/>
                <w:szCs w:val="16"/>
              </w:rPr>
              <w:t>Total Employees</w:t>
            </w:r>
          </w:p>
        </w:tc>
        <w:tc>
          <w:tcPr>
            <w:tcW w:w="1170" w:type="dxa"/>
            <w:gridSpan w:val="2"/>
            <w:shd w:val="clear" w:color="auto" w:fill="A5CD7E"/>
            <w:tcMar>
              <w:left w:w="58" w:type="dxa"/>
              <w:right w:w="58" w:type="dxa"/>
            </w:tcMar>
          </w:tcPr>
          <w:p w:rsidR="00AC40FC" w:rsidRPr="005E5DF1" w:rsidRDefault="00AC40FC" w:rsidP="00A57D87">
            <w:pPr>
              <w:spacing w:after="0"/>
              <w:jc w:val="center"/>
              <w:rPr>
                <w:rFonts w:cs="Arial"/>
                <w:sz w:val="16"/>
                <w:szCs w:val="16"/>
              </w:rPr>
            </w:pPr>
            <w:r w:rsidRPr="005E5DF1">
              <w:rPr>
                <w:rFonts w:cs="Arial"/>
                <w:b/>
                <w:sz w:val="16"/>
                <w:szCs w:val="16"/>
              </w:rPr>
              <w:t>Utilization</w:t>
            </w:r>
          </w:p>
        </w:tc>
        <w:tc>
          <w:tcPr>
            <w:tcW w:w="1170" w:type="dxa"/>
            <w:gridSpan w:val="2"/>
            <w:tcBorders>
              <w:right w:val="single" w:sz="12" w:space="0" w:color="auto"/>
            </w:tcBorders>
            <w:shd w:val="clear" w:color="auto" w:fill="A5CD7E"/>
            <w:tcMar>
              <w:left w:w="58" w:type="dxa"/>
              <w:right w:w="58" w:type="dxa"/>
            </w:tcMar>
          </w:tcPr>
          <w:p w:rsidR="00AC40FC" w:rsidRPr="005E5DF1" w:rsidRDefault="00AC40FC" w:rsidP="00A57D87">
            <w:pPr>
              <w:spacing w:after="0"/>
              <w:rPr>
                <w:rFonts w:cs="Arial"/>
                <w:sz w:val="16"/>
                <w:szCs w:val="16"/>
              </w:rPr>
            </w:pPr>
          </w:p>
        </w:tc>
        <w:tc>
          <w:tcPr>
            <w:tcW w:w="664" w:type="dxa"/>
            <w:vMerge w:val="restart"/>
            <w:tcBorders>
              <w:left w:val="single" w:sz="12" w:space="0" w:color="auto"/>
            </w:tcBorders>
            <w:shd w:val="clear" w:color="auto" w:fill="A5CD7E"/>
            <w:tcMar>
              <w:left w:w="58" w:type="dxa"/>
              <w:right w:w="58" w:type="dxa"/>
            </w:tcMar>
            <w:textDirection w:val="btLr"/>
            <w:vAlign w:val="center"/>
          </w:tcPr>
          <w:p w:rsidR="00AC40FC" w:rsidRPr="005E5DF1" w:rsidRDefault="00AC40FC" w:rsidP="00A57D87">
            <w:pPr>
              <w:spacing w:after="0"/>
              <w:rPr>
                <w:rFonts w:cs="Arial"/>
                <w:sz w:val="16"/>
                <w:szCs w:val="16"/>
              </w:rPr>
            </w:pPr>
            <w:r w:rsidRPr="005E5DF1">
              <w:rPr>
                <w:rFonts w:cs="Arial"/>
                <w:b/>
                <w:sz w:val="16"/>
                <w:szCs w:val="16"/>
              </w:rPr>
              <w:t>Total Employees</w:t>
            </w:r>
          </w:p>
        </w:tc>
        <w:tc>
          <w:tcPr>
            <w:tcW w:w="1017" w:type="dxa"/>
            <w:gridSpan w:val="2"/>
            <w:shd w:val="clear" w:color="auto" w:fill="A5CD7E"/>
            <w:tcMar>
              <w:left w:w="58" w:type="dxa"/>
              <w:right w:w="58" w:type="dxa"/>
            </w:tcMar>
          </w:tcPr>
          <w:p w:rsidR="00AC40FC" w:rsidRPr="005E5DF1" w:rsidRDefault="00AC40FC" w:rsidP="00A57D87">
            <w:pPr>
              <w:spacing w:after="0"/>
              <w:jc w:val="center"/>
              <w:rPr>
                <w:rFonts w:cs="Arial"/>
                <w:sz w:val="16"/>
                <w:szCs w:val="16"/>
              </w:rPr>
            </w:pPr>
            <w:r w:rsidRPr="005E5DF1">
              <w:rPr>
                <w:rFonts w:cs="Arial"/>
                <w:b/>
                <w:sz w:val="16"/>
                <w:szCs w:val="16"/>
              </w:rPr>
              <w:t>Utilization</w:t>
            </w:r>
          </w:p>
        </w:tc>
        <w:tc>
          <w:tcPr>
            <w:tcW w:w="1019" w:type="dxa"/>
            <w:gridSpan w:val="2"/>
            <w:shd w:val="clear" w:color="auto" w:fill="A5CD7E"/>
            <w:tcMar>
              <w:left w:w="58" w:type="dxa"/>
              <w:right w:w="58" w:type="dxa"/>
            </w:tcMar>
          </w:tcPr>
          <w:p w:rsidR="00AC40FC" w:rsidRPr="005E5DF1" w:rsidRDefault="00AC40FC" w:rsidP="00A57D87">
            <w:pPr>
              <w:spacing w:after="0"/>
              <w:rPr>
                <w:rFonts w:cs="Arial"/>
                <w:sz w:val="16"/>
                <w:szCs w:val="16"/>
              </w:rPr>
            </w:pPr>
          </w:p>
        </w:tc>
      </w:tr>
      <w:tr w:rsidR="00AC40FC" w:rsidRPr="005E5DF1" w:rsidTr="00582143">
        <w:trPr>
          <w:cantSplit/>
          <w:trHeight w:val="1358"/>
          <w:tblHeader/>
          <w:jc w:val="center"/>
        </w:trPr>
        <w:tc>
          <w:tcPr>
            <w:tcW w:w="2128" w:type="dxa"/>
            <w:vMerge/>
            <w:shd w:val="clear" w:color="auto" w:fill="A5CD7E"/>
            <w:tcMar>
              <w:left w:w="58" w:type="dxa"/>
              <w:right w:w="58" w:type="dxa"/>
            </w:tcMar>
          </w:tcPr>
          <w:p w:rsidR="00AC40FC" w:rsidRPr="005E5DF1" w:rsidRDefault="00AC40FC" w:rsidP="00A57D87">
            <w:pPr>
              <w:spacing w:after="0"/>
              <w:rPr>
                <w:rFonts w:cs="Arial"/>
                <w:sz w:val="16"/>
                <w:szCs w:val="16"/>
              </w:rPr>
            </w:pPr>
          </w:p>
        </w:tc>
        <w:tc>
          <w:tcPr>
            <w:tcW w:w="630" w:type="dxa"/>
            <w:vMerge/>
            <w:shd w:val="clear" w:color="auto" w:fill="A5CD7E"/>
            <w:tcMar>
              <w:left w:w="58" w:type="dxa"/>
              <w:right w:w="58" w:type="dxa"/>
            </w:tcMar>
          </w:tcPr>
          <w:p w:rsidR="00AC40FC" w:rsidRPr="005E5DF1" w:rsidRDefault="00AC40FC" w:rsidP="00A57D87">
            <w:pPr>
              <w:spacing w:after="0"/>
              <w:rPr>
                <w:rFonts w:cs="Arial"/>
                <w:sz w:val="16"/>
                <w:szCs w:val="16"/>
              </w:rPr>
            </w:pPr>
          </w:p>
        </w:tc>
        <w:tc>
          <w:tcPr>
            <w:tcW w:w="540" w:type="dxa"/>
            <w:shd w:val="clear" w:color="auto" w:fill="A5CD7E"/>
            <w:tcMar>
              <w:left w:w="58" w:type="dxa"/>
              <w:right w:w="58" w:type="dxa"/>
            </w:tcMar>
            <w:vAlign w:val="bottom"/>
          </w:tcPr>
          <w:p w:rsidR="00AC40FC" w:rsidRPr="005E5DF1" w:rsidRDefault="00AC40FC" w:rsidP="00A57D87">
            <w:pPr>
              <w:spacing w:after="0"/>
              <w:jc w:val="center"/>
              <w:rPr>
                <w:rFonts w:cs="Arial"/>
                <w:b/>
                <w:sz w:val="16"/>
                <w:szCs w:val="16"/>
              </w:rPr>
            </w:pPr>
            <w:r w:rsidRPr="005E5DF1">
              <w:rPr>
                <w:rFonts w:cs="Arial"/>
                <w:b/>
                <w:sz w:val="16"/>
                <w:szCs w:val="16"/>
              </w:rPr>
              <w:t>#</w:t>
            </w:r>
          </w:p>
        </w:tc>
        <w:tc>
          <w:tcPr>
            <w:tcW w:w="630" w:type="dxa"/>
            <w:shd w:val="clear" w:color="auto" w:fill="A5CD7E"/>
            <w:tcMar>
              <w:left w:w="58" w:type="dxa"/>
              <w:right w:w="58" w:type="dxa"/>
            </w:tcMar>
            <w:vAlign w:val="bottom"/>
          </w:tcPr>
          <w:p w:rsidR="00AC40FC" w:rsidRPr="005E5DF1" w:rsidRDefault="00AC40FC" w:rsidP="00A57D87">
            <w:pPr>
              <w:spacing w:after="0"/>
              <w:jc w:val="center"/>
              <w:rPr>
                <w:rFonts w:cs="Arial"/>
                <w:b/>
                <w:sz w:val="16"/>
                <w:szCs w:val="16"/>
              </w:rPr>
            </w:pPr>
            <w:r w:rsidRPr="005E5DF1">
              <w:rPr>
                <w:rFonts w:cs="Arial"/>
                <w:b/>
                <w:sz w:val="16"/>
                <w:szCs w:val="16"/>
              </w:rPr>
              <w:t>%</w:t>
            </w:r>
          </w:p>
        </w:tc>
        <w:tc>
          <w:tcPr>
            <w:tcW w:w="630" w:type="dxa"/>
            <w:shd w:val="clear" w:color="auto" w:fill="A5CD7E"/>
            <w:tcMar>
              <w:left w:w="58" w:type="dxa"/>
              <w:right w:w="58" w:type="dxa"/>
            </w:tcMar>
            <w:textDirection w:val="btLr"/>
            <w:vAlign w:val="center"/>
          </w:tcPr>
          <w:p w:rsidR="00AC40FC" w:rsidRPr="005E5DF1" w:rsidRDefault="00AC40FC" w:rsidP="00A57D87">
            <w:pPr>
              <w:spacing w:after="0"/>
              <w:rPr>
                <w:rFonts w:cs="Arial"/>
                <w:b/>
                <w:sz w:val="16"/>
                <w:szCs w:val="16"/>
              </w:rPr>
            </w:pPr>
            <w:r w:rsidRPr="005E5DF1">
              <w:rPr>
                <w:rFonts w:cs="Arial"/>
                <w:b/>
                <w:sz w:val="16"/>
                <w:szCs w:val="16"/>
              </w:rPr>
              <w:t>Availability Percent</w:t>
            </w:r>
          </w:p>
        </w:tc>
        <w:tc>
          <w:tcPr>
            <w:tcW w:w="540" w:type="dxa"/>
            <w:tcBorders>
              <w:right w:val="single" w:sz="12" w:space="0" w:color="auto"/>
            </w:tcBorders>
            <w:shd w:val="clear" w:color="auto" w:fill="A5CD7E"/>
            <w:tcMar>
              <w:left w:w="58" w:type="dxa"/>
              <w:right w:w="58" w:type="dxa"/>
            </w:tcMar>
            <w:textDirection w:val="btLr"/>
            <w:vAlign w:val="center"/>
          </w:tcPr>
          <w:p w:rsidR="00AC40FC" w:rsidRPr="005E5DF1" w:rsidRDefault="00AC40FC" w:rsidP="00A57D87">
            <w:pPr>
              <w:spacing w:after="0"/>
              <w:rPr>
                <w:rFonts w:cs="Arial"/>
                <w:b/>
                <w:sz w:val="16"/>
                <w:szCs w:val="16"/>
              </w:rPr>
            </w:pPr>
            <w:r w:rsidRPr="005E5DF1">
              <w:rPr>
                <w:rFonts w:cs="Arial"/>
                <w:b/>
                <w:sz w:val="16"/>
                <w:szCs w:val="16"/>
              </w:rPr>
              <w:t xml:space="preserve">Number </w:t>
            </w:r>
            <w:r w:rsidRPr="005E5DF1">
              <w:rPr>
                <w:rFonts w:cs="Arial"/>
                <w:b/>
                <w:sz w:val="16"/>
                <w:szCs w:val="16"/>
              </w:rPr>
              <w:br/>
              <w:t>Under Utilized</w:t>
            </w:r>
          </w:p>
        </w:tc>
        <w:tc>
          <w:tcPr>
            <w:tcW w:w="601" w:type="dxa"/>
            <w:vMerge/>
            <w:tcBorders>
              <w:left w:val="single" w:sz="12" w:space="0" w:color="auto"/>
            </w:tcBorders>
            <w:shd w:val="clear" w:color="auto" w:fill="A5CD7E"/>
            <w:tcMar>
              <w:left w:w="58" w:type="dxa"/>
              <w:right w:w="58" w:type="dxa"/>
            </w:tcMar>
          </w:tcPr>
          <w:p w:rsidR="00AC40FC" w:rsidRPr="005E5DF1" w:rsidRDefault="00AC40FC" w:rsidP="00A57D87">
            <w:pPr>
              <w:spacing w:after="0"/>
              <w:rPr>
                <w:rFonts w:cs="Arial"/>
                <w:b/>
                <w:sz w:val="16"/>
                <w:szCs w:val="16"/>
              </w:rPr>
            </w:pPr>
          </w:p>
        </w:tc>
        <w:tc>
          <w:tcPr>
            <w:tcW w:w="450" w:type="dxa"/>
            <w:shd w:val="clear" w:color="auto" w:fill="A5CD7E"/>
            <w:tcMar>
              <w:left w:w="58" w:type="dxa"/>
              <w:right w:w="58" w:type="dxa"/>
            </w:tcMar>
            <w:vAlign w:val="bottom"/>
          </w:tcPr>
          <w:p w:rsidR="00AC40FC" w:rsidRPr="005E5DF1" w:rsidRDefault="00AC40FC" w:rsidP="00A57D87">
            <w:pPr>
              <w:spacing w:after="0"/>
              <w:jc w:val="center"/>
              <w:rPr>
                <w:rFonts w:cs="Arial"/>
                <w:b/>
                <w:sz w:val="16"/>
                <w:szCs w:val="16"/>
              </w:rPr>
            </w:pPr>
            <w:r w:rsidRPr="005E5DF1">
              <w:rPr>
                <w:rFonts w:cs="Arial"/>
                <w:b/>
                <w:sz w:val="16"/>
                <w:szCs w:val="16"/>
              </w:rPr>
              <w:t>#</w:t>
            </w:r>
          </w:p>
        </w:tc>
        <w:tc>
          <w:tcPr>
            <w:tcW w:w="630" w:type="dxa"/>
            <w:shd w:val="clear" w:color="auto" w:fill="A5CD7E"/>
            <w:tcMar>
              <w:left w:w="58" w:type="dxa"/>
              <w:right w:w="58" w:type="dxa"/>
            </w:tcMar>
            <w:vAlign w:val="bottom"/>
          </w:tcPr>
          <w:p w:rsidR="00AC40FC" w:rsidRPr="005E5DF1" w:rsidRDefault="00AC40FC" w:rsidP="00A57D87">
            <w:pPr>
              <w:spacing w:after="0"/>
              <w:jc w:val="center"/>
              <w:rPr>
                <w:rFonts w:cs="Arial"/>
                <w:b/>
                <w:sz w:val="16"/>
                <w:szCs w:val="16"/>
              </w:rPr>
            </w:pPr>
            <w:r w:rsidRPr="005E5DF1">
              <w:rPr>
                <w:rFonts w:cs="Arial"/>
                <w:b/>
                <w:sz w:val="16"/>
                <w:szCs w:val="16"/>
              </w:rPr>
              <w:t>%</w:t>
            </w:r>
          </w:p>
        </w:tc>
        <w:tc>
          <w:tcPr>
            <w:tcW w:w="630" w:type="dxa"/>
            <w:shd w:val="clear" w:color="auto" w:fill="A5CD7E"/>
            <w:tcMar>
              <w:left w:w="58" w:type="dxa"/>
              <w:right w:w="58" w:type="dxa"/>
            </w:tcMar>
            <w:textDirection w:val="btLr"/>
            <w:vAlign w:val="center"/>
          </w:tcPr>
          <w:p w:rsidR="00AC40FC" w:rsidRPr="005E5DF1" w:rsidRDefault="00AC40FC" w:rsidP="00A57D87">
            <w:pPr>
              <w:spacing w:after="0"/>
              <w:rPr>
                <w:rFonts w:cs="Arial"/>
                <w:b/>
                <w:sz w:val="16"/>
                <w:szCs w:val="16"/>
              </w:rPr>
            </w:pPr>
            <w:r w:rsidRPr="005E5DF1">
              <w:rPr>
                <w:rFonts w:cs="Arial"/>
                <w:b/>
                <w:sz w:val="16"/>
                <w:szCs w:val="16"/>
              </w:rPr>
              <w:t>Availability Percent</w:t>
            </w:r>
          </w:p>
        </w:tc>
        <w:tc>
          <w:tcPr>
            <w:tcW w:w="389" w:type="dxa"/>
            <w:tcBorders>
              <w:right w:val="single" w:sz="12" w:space="0" w:color="auto"/>
            </w:tcBorders>
            <w:shd w:val="clear" w:color="auto" w:fill="A5CD7E"/>
            <w:tcMar>
              <w:left w:w="58" w:type="dxa"/>
              <w:right w:w="58" w:type="dxa"/>
            </w:tcMar>
            <w:textDirection w:val="btLr"/>
            <w:vAlign w:val="center"/>
          </w:tcPr>
          <w:p w:rsidR="00AC40FC" w:rsidRPr="005E5DF1" w:rsidRDefault="00AC40FC" w:rsidP="00A57D87">
            <w:pPr>
              <w:spacing w:after="0"/>
              <w:rPr>
                <w:rFonts w:cs="Arial"/>
                <w:b/>
                <w:sz w:val="16"/>
                <w:szCs w:val="16"/>
              </w:rPr>
            </w:pPr>
            <w:r w:rsidRPr="005E5DF1">
              <w:rPr>
                <w:rFonts w:cs="Arial"/>
                <w:b/>
                <w:sz w:val="16"/>
                <w:szCs w:val="16"/>
              </w:rPr>
              <w:t xml:space="preserve">Number </w:t>
            </w:r>
            <w:r w:rsidRPr="005E5DF1">
              <w:rPr>
                <w:rFonts w:cs="Arial"/>
                <w:b/>
                <w:sz w:val="16"/>
                <w:szCs w:val="16"/>
              </w:rPr>
              <w:br/>
              <w:t>Under Utilized</w:t>
            </w:r>
          </w:p>
        </w:tc>
        <w:tc>
          <w:tcPr>
            <w:tcW w:w="540" w:type="dxa"/>
            <w:vMerge/>
            <w:tcBorders>
              <w:left w:val="single" w:sz="12" w:space="0" w:color="auto"/>
            </w:tcBorders>
            <w:shd w:val="clear" w:color="auto" w:fill="A5CD7E"/>
            <w:tcMar>
              <w:left w:w="58" w:type="dxa"/>
              <w:right w:w="58" w:type="dxa"/>
            </w:tcMar>
          </w:tcPr>
          <w:p w:rsidR="00AC40FC" w:rsidRPr="005E5DF1" w:rsidRDefault="00AC40FC" w:rsidP="00A57D87">
            <w:pPr>
              <w:spacing w:after="0"/>
              <w:rPr>
                <w:rFonts w:cs="Arial"/>
                <w:b/>
                <w:sz w:val="16"/>
                <w:szCs w:val="16"/>
              </w:rPr>
            </w:pPr>
          </w:p>
        </w:tc>
        <w:tc>
          <w:tcPr>
            <w:tcW w:w="540" w:type="dxa"/>
            <w:shd w:val="clear" w:color="auto" w:fill="A5CD7E"/>
            <w:tcMar>
              <w:left w:w="58" w:type="dxa"/>
              <w:right w:w="58" w:type="dxa"/>
            </w:tcMar>
            <w:vAlign w:val="bottom"/>
          </w:tcPr>
          <w:p w:rsidR="00AC40FC" w:rsidRPr="005E5DF1" w:rsidRDefault="00AC40FC" w:rsidP="00A57D87">
            <w:pPr>
              <w:spacing w:after="0"/>
              <w:jc w:val="center"/>
              <w:rPr>
                <w:rFonts w:cs="Arial"/>
                <w:b/>
                <w:sz w:val="16"/>
                <w:szCs w:val="16"/>
              </w:rPr>
            </w:pPr>
            <w:r w:rsidRPr="005E5DF1">
              <w:rPr>
                <w:rFonts w:cs="Arial"/>
                <w:b/>
                <w:sz w:val="16"/>
                <w:szCs w:val="16"/>
              </w:rPr>
              <w:t>#</w:t>
            </w:r>
          </w:p>
        </w:tc>
        <w:tc>
          <w:tcPr>
            <w:tcW w:w="630" w:type="dxa"/>
            <w:shd w:val="clear" w:color="auto" w:fill="A5CD7E"/>
            <w:tcMar>
              <w:left w:w="58" w:type="dxa"/>
              <w:right w:w="58" w:type="dxa"/>
            </w:tcMar>
            <w:vAlign w:val="bottom"/>
          </w:tcPr>
          <w:p w:rsidR="00AC40FC" w:rsidRPr="005E5DF1" w:rsidRDefault="00AC40FC" w:rsidP="00A57D87">
            <w:pPr>
              <w:spacing w:after="0"/>
              <w:jc w:val="center"/>
              <w:rPr>
                <w:rFonts w:cs="Arial"/>
                <w:b/>
                <w:sz w:val="16"/>
                <w:szCs w:val="16"/>
              </w:rPr>
            </w:pPr>
            <w:r w:rsidRPr="005E5DF1">
              <w:rPr>
                <w:rFonts w:cs="Arial"/>
                <w:b/>
                <w:sz w:val="16"/>
                <w:szCs w:val="16"/>
              </w:rPr>
              <w:t>%</w:t>
            </w:r>
          </w:p>
        </w:tc>
        <w:tc>
          <w:tcPr>
            <w:tcW w:w="630" w:type="dxa"/>
            <w:shd w:val="clear" w:color="auto" w:fill="A5CD7E"/>
            <w:tcMar>
              <w:left w:w="58" w:type="dxa"/>
              <w:right w:w="58" w:type="dxa"/>
            </w:tcMar>
            <w:textDirection w:val="btLr"/>
            <w:vAlign w:val="center"/>
          </w:tcPr>
          <w:p w:rsidR="00AC40FC" w:rsidRPr="005E5DF1" w:rsidRDefault="00AC40FC" w:rsidP="00A57D87">
            <w:pPr>
              <w:spacing w:after="0"/>
              <w:rPr>
                <w:rFonts w:cs="Arial"/>
                <w:b/>
                <w:sz w:val="16"/>
                <w:szCs w:val="16"/>
              </w:rPr>
            </w:pPr>
            <w:r w:rsidRPr="005E5DF1">
              <w:rPr>
                <w:rFonts w:cs="Arial"/>
                <w:b/>
                <w:sz w:val="16"/>
                <w:szCs w:val="16"/>
              </w:rPr>
              <w:t>Availability Percent</w:t>
            </w:r>
          </w:p>
        </w:tc>
        <w:tc>
          <w:tcPr>
            <w:tcW w:w="540" w:type="dxa"/>
            <w:tcBorders>
              <w:right w:val="single" w:sz="12" w:space="0" w:color="auto"/>
            </w:tcBorders>
            <w:shd w:val="clear" w:color="auto" w:fill="A5CD7E"/>
            <w:tcMar>
              <w:left w:w="58" w:type="dxa"/>
              <w:right w:w="58" w:type="dxa"/>
            </w:tcMar>
            <w:textDirection w:val="btLr"/>
            <w:vAlign w:val="center"/>
          </w:tcPr>
          <w:p w:rsidR="00AC40FC" w:rsidRPr="005E5DF1" w:rsidRDefault="00AC40FC" w:rsidP="00A57D87">
            <w:pPr>
              <w:spacing w:after="0"/>
              <w:rPr>
                <w:rFonts w:cs="Arial"/>
                <w:b/>
                <w:sz w:val="16"/>
                <w:szCs w:val="16"/>
              </w:rPr>
            </w:pPr>
            <w:r w:rsidRPr="005E5DF1">
              <w:rPr>
                <w:rFonts w:cs="Arial"/>
                <w:b/>
                <w:sz w:val="16"/>
                <w:szCs w:val="16"/>
              </w:rPr>
              <w:t xml:space="preserve">Number </w:t>
            </w:r>
            <w:r w:rsidRPr="005E5DF1">
              <w:rPr>
                <w:rFonts w:cs="Arial"/>
                <w:b/>
                <w:sz w:val="16"/>
                <w:szCs w:val="16"/>
              </w:rPr>
              <w:br/>
              <w:t>Under Utilized</w:t>
            </w:r>
          </w:p>
        </w:tc>
        <w:tc>
          <w:tcPr>
            <w:tcW w:w="664" w:type="dxa"/>
            <w:vMerge/>
            <w:tcBorders>
              <w:left w:val="single" w:sz="12" w:space="0" w:color="auto"/>
            </w:tcBorders>
            <w:shd w:val="clear" w:color="auto" w:fill="A5CD7E"/>
            <w:tcMar>
              <w:left w:w="58" w:type="dxa"/>
              <w:right w:w="58" w:type="dxa"/>
            </w:tcMar>
          </w:tcPr>
          <w:p w:rsidR="00AC40FC" w:rsidRPr="005E5DF1" w:rsidRDefault="00AC40FC" w:rsidP="00A57D87">
            <w:pPr>
              <w:spacing w:after="0"/>
              <w:rPr>
                <w:rFonts w:cs="Arial"/>
                <w:b/>
                <w:sz w:val="16"/>
                <w:szCs w:val="16"/>
              </w:rPr>
            </w:pPr>
          </w:p>
        </w:tc>
        <w:tc>
          <w:tcPr>
            <w:tcW w:w="387" w:type="dxa"/>
            <w:shd w:val="clear" w:color="auto" w:fill="A5CD7E"/>
            <w:tcMar>
              <w:left w:w="58" w:type="dxa"/>
              <w:right w:w="58" w:type="dxa"/>
            </w:tcMar>
            <w:vAlign w:val="bottom"/>
          </w:tcPr>
          <w:p w:rsidR="00AC40FC" w:rsidRPr="005E5DF1" w:rsidRDefault="00AC40FC" w:rsidP="00A57D87">
            <w:pPr>
              <w:spacing w:after="0"/>
              <w:jc w:val="center"/>
              <w:rPr>
                <w:rFonts w:cs="Arial"/>
                <w:b/>
                <w:sz w:val="16"/>
                <w:szCs w:val="16"/>
              </w:rPr>
            </w:pPr>
            <w:r w:rsidRPr="005E5DF1">
              <w:rPr>
                <w:rFonts w:cs="Arial"/>
                <w:b/>
                <w:sz w:val="16"/>
                <w:szCs w:val="16"/>
              </w:rPr>
              <w:t>#</w:t>
            </w:r>
          </w:p>
        </w:tc>
        <w:tc>
          <w:tcPr>
            <w:tcW w:w="630" w:type="dxa"/>
            <w:shd w:val="clear" w:color="auto" w:fill="A5CD7E"/>
            <w:tcMar>
              <w:left w:w="58" w:type="dxa"/>
              <w:right w:w="58" w:type="dxa"/>
            </w:tcMar>
            <w:vAlign w:val="bottom"/>
          </w:tcPr>
          <w:p w:rsidR="00AC40FC" w:rsidRPr="005E5DF1" w:rsidRDefault="00AC40FC" w:rsidP="00A57D87">
            <w:pPr>
              <w:spacing w:after="0"/>
              <w:jc w:val="center"/>
              <w:rPr>
                <w:rFonts w:cs="Arial"/>
                <w:b/>
                <w:sz w:val="16"/>
                <w:szCs w:val="16"/>
              </w:rPr>
            </w:pPr>
            <w:r w:rsidRPr="005E5DF1">
              <w:rPr>
                <w:rFonts w:cs="Arial"/>
                <w:b/>
                <w:sz w:val="16"/>
                <w:szCs w:val="16"/>
              </w:rPr>
              <w:t>%</w:t>
            </w:r>
          </w:p>
        </w:tc>
        <w:tc>
          <w:tcPr>
            <w:tcW w:w="630" w:type="dxa"/>
            <w:shd w:val="clear" w:color="auto" w:fill="A5CD7E"/>
            <w:tcMar>
              <w:left w:w="58" w:type="dxa"/>
              <w:right w:w="58" w:type="dxa"/>
            </w:tcMar>
            <w:textDirection w:val="btLr"/>
            <w:vAlign w:val="center"/>
          </w:tcPr>
          <w:p w:rsidR="00AC40FC" w:rsidRPr="005E5DF1" w:rsidRDefault="00AC40FC" w:rsidP="00A57D87">
            <w:pPr>
              <w:spacing w:after="0"/>
              <w:rPr>
                <w:rFonts w:cs="Arial"/>
                <w:b/>
                <w:sz w:val="16"/>
                <w:szCs w:val="16"/>
              </w:rPr>
            </w:pPr>
            <w:r w:rsidRPr="005E5DF1">
              <w:rPr>
                <w:rFonts w:cs="Arial"/>
                <w:b/>
                <w:sz w:val="16"/>
                <w:szCs w:val="16"/>
              </w:rPr>
              <w:t>Availability Percent</w:t>
            </w:r>
          </w:p>
        </w:tc>
        <w:tc>
          <w:tcPr>
            <w:tcW w:w="389" w:type="dxa"/>
            <w:shd w:val="clear" w:color="auto" w:fill="A5CD7E"/>
            <w:tcMar>
              <w:left w:w="58" w:type="dxa"/>
              <w:right w:w="58" w:type="dxa"/>
            </w:tcMar>
            <w:textDirection w:val="btLr"/>
            <w:vAlign w:val="center"/>
          </w:tcPr>
          <w:p w:rsidR="00AC40FC" w:rsidRPr="005E5DF1" w:rsidRDefault="00AC40FC" w:rsidP="00A57D87">
            <w:pPr>
              <w:spacing w:after="0"/>
              <w:rPr>
                <w:rFonts w:cs="Arial"/>
                <w:b/>
                <w:sz w:val="16"/>
                <w:szCs w:val="16"/>
              </w:rPr>
            </w:pPr>
            <w:r w:rsidRPr="005E5DF1">
              <w:rPr>
                <w:rFonts w:cs="Arial"/>
                <w:b/>
                <w:sz w:val="16"/>
                <w:szCs w:val="16"/>
              </w:rPr>
              <w:t xml:space="preserve">Number </w:t>
            </w:r>
            <w:r w:rsidRPr="005E5DF1">
              <w:rPr>
                <w:rFonts w:cs="Arial"/>
                <w:b/>
                <w:sz w:val="16"/>
                <w:szCs w:val="16"/>
              </w:rPr>
              <w:br/>
              <w:t>Under Utilized</w:t>
            </w:r>
          </w:p>
        </w:tc>
      </w:tr>
      <w:tr w:rsidR="00AC40FC" w:rsidRPr="005E5DF1" w:rsidTr="00A57D87">
        <w:trPr>
          <w:jc w:val="center"/>
        </w:trPr>
        <w:tc>
          <w:tcPr>
            <w:tcW w:w="2128" w:type="dxa"/>
            <w:tcMar>
              <w:left w:w="58" w:type="dxa"/>
              <w:right w:w="58" w:type="dxa"/>
            </w:tcMar>
            <w:vAlign w:val="center"/>
          </w:tcPr>
          <w:p w:rsidR="00AC40FC" w:rsidRPr="005E5DF1" w:rsidRDefault="00AC40FC" w:rsidP="00A57D87">
            <w:pPr>
              <w:spacing w:after="0"/>
              <w:rPr>
                <w:rFonts w:cs="Arial"/>
                <w:sz w:val="16"/>
                <w:szCs w:val="16"/>
              </w:rPr>
            </w:pPr>
            <w:r w:rsidRPr="005E5DF1">
              <w:rPr>
                <w:rFonts w:cs="Arial"/>
                <w:sz w:val="16"/>
                <w:szCs w:val="16"/>
              </w:rPr>
              <w:t>10-Officer &amp; Executive</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4</w:t>
            </w:r>
          </w:p>
        </w:tc>
        <w:tc>
          <w:tcPr>
            <w:tcW w:w="54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1</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25.0%</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27.4%</w:t>
            </w:r>
          </w:p>
        </w:tc>
        <w:tc>
          <w:tcPr>
            <w:tcW w:w="540"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w:t>
            </w:r>
          </w:p>
        </w:tc>
        <w:tc>
          <w:tcPr>
            <w:tcW w:w="601"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4</w:t>
            </w:r>
          </w:p>
        </w:tc>
        <w:tc>
          <w:tcPr>
            <w:tcW w:w="45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1</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25.0%</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33.2%</w:t>
            </w:r>
          </w:p>
        </w:tc>
        <w:tc>
          <w:tcPr>
            <w:tcW w:w="389"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w:t>
            </w:r>
          </w:p>
        </w:tc>
        <w:tc>
          <w:tcPr>
            <w:tcW w:w="540"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4</w:t>
            </w:r>
          </w:p>
        </w:tc>
        <w:tc>
          <w:tcPr>
            <w:tcW w:w="54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1</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25.0%</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29.5%</w:t>
            </w:r>
          </w:p>
        </w:tc>
        <w:tc>
          <w:tcPr>
            <w:tcW w:w="540"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w:t>
            </w:r>
          </w:p>
        </w:tc>
        <w:tc>
          <w:tcPr>
            <w:tcW w:w="664"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3</w:t>
            </w:r>
          </w:p>
        </w:tc>
        <w:tc>
          <w:tcPr>
            <w:tcW w:w="387"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1</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33.3%</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33.0%</w:t>
            </w:r>
          </w:p>
        </w:tc>
        <w:tc>
          <w:tcPr>
            <w:tcW w:w="389"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0</w:t>
            </w:r>
          </w:p>
        </w:tc>
      </w:tr>
      <w:tr w:rsidR="00AC40FC" w:rsidRPr="005E5DF1" w:rsidTr="00A57D87">
        <w:trPr>
          <w:jc w:val="center"/>
        </w:trPr>
        <w:tc>
          <w:tcPr>
            <w:tcW w:w="2128" w:type="dxa"/>
            <w:tcMar>
              <w:left w:w="58" w:type="dxa"/>
              <w:right w:w="58" w:type="dxa"/>
            </w:tcMar>
          </w:tcPr>
          <w:p w:rsidR="00AC40FC" w:rsidRPr="005E5DF1" w:rsidRDefault="00AC40FC" w:rsidP="00A57D87">
            <w:pPr>
              <w:spacing w:after="0"/>
              <w:rPr>
                <w:rFonts w:cs="Arial"/>
                <w:sz w:val="16"/>
                <w:szCs w:val="16"/>
              </w:rPr>
            </w:pPr>
            <w:r w:rsidRPr="005E5DF1">
              <w:rPr>
                <w:rFonts w:cs="Arial"/>
                <w:sz w:val="16"/>
                <w:szCs w:val="16"/>
              </w:rPr>
              <w:t>11-Sr Director &amp; Director</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25</w:t>
            </w:r>
          </w:p>
        </w:tc>
        <w:tc>
          <w:tcPr>
            <w:tcW w:w="54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8</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32.0%</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26.5%</w:t>
            </w:r>
          </w:p>
        </w:tc>
        <w:tc>
          <w:tcPr>
            <w:tcW w:w="540"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w:t>
            </w:r>
          </w:p>
        </w:tc>
        <w:tc>
          <w:tcPr>
            <w:tcW w:w="601"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20</w:t>
            </w:r>
          </w:p>
        </w:tc>
        <w:tc>
          <w:tcPr>
            <w:tcW w:w="45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8</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40.0%</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32.4%</w:t>
            </w:r>
          </w:p>
        </w:tc>
        <w:tc>
          <w:tcPr>
            <w:tcW w:w="389"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w:t>
            </w:r>
          </w:p>
        </w:tc>
        <w:tc>
          <w:tcPr>
            <w:tcW w:w="540"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20</w:t>
            </w:r>
          </w:p>
        </w:tc>
        <w:tc>
          <w:tcPr>
            <w:tcW w:w="54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8</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40.0%</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33.8%</w:t>
            </w:r>
          </w:p>
        </w:tc>
        <w:tc>
          <w:tcPr>
            <w:tcW w:w="540"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w:t>
            </w:r>
          </w:p>
        </w:tc>
        <w:tc>
          <w:tcPr>
            <w:tcW w:w="664"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22</w:t>
            </w:r>
          </w:p>
        </w:tc>
        <w:tc>
          <w:tcPr>
            <w:tcW w:w="387"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8</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36.4%</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31.7%</w:t>
            </w:r>
          </w:p>
        </w:tc>
        <w:tc>
          <w:tcPr>
            <w:tcW w:w="389"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0</w:t>
            </w:r>
          </w:p>
        </w:tc>
      </w:tr>
      <w:tr w:rsidR="00AC40FC" w:rsidRPr="005E5DF1" w:rsidTr="00A57D87">
        <w:trPr>
          <w:jc w:val="center"/>
        </w:trPr>
        <w:tc>
          <w:tcPr>
            <w:tcW w:w="2128" w:type="dxa"/>
            <w:tcMar>
              <w:left w:w="58" w:type="dxa"/>
              <w:right w:w="58" w:type="dxa"/>
            </w:tcMar>
          </w:tcPr>
          <w:p w:rsidR="00AC40FC" w:rsidRPr="005E5DF1" w:rsidRDefault="00AC40FC" w:rsidP="00A57D87">
            <w:pPr>
              <w:spacing w:after="0"/>
              <w:rPr>
                <w:rFonts w:cs="Arial"/>
                <w:sz w:val="16"/>
                <w:szCs w:val="16"/>
              </w:rPr>
            </w:pPr>
            <w:r w:rsidRPr="005E5DF1">
              <w:rPr>
                <w:rFonts w:cs="Arial"/>
                <w:sz w:val="16"/>
                <w:szCs w:val="16"/>
              </w:rPr>
              <w:t>12-Sr Manager &amp; Manager</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85</w:t>
            </w:r>
          </w:p>
        </w:tc>
        <w:tc>
          <w:tcPr>
            <w:tcW w:w="54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15</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17.9%</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25.2%</w:t>
            </w:r>
          </w:p>
        </w:tc>
        <w:tc>
          <w:tcPr>
            <w:tcW w:w="540"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6</w:t>
            </w:r>
          </w:p>
        </w:tc>
        <w:tc>
          <w:tcPr>
            <w:tcW w:w="601"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79</w:t>
            </w:r>
          </w:p>
        </w:tc>
        <w:tc>
          <w:tcPr>
            <w:tcW w:w="45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23</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29.1%</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27.1%</w:t>
            </w:r>
          </w:p>
        </w:tc>
        <w:tc>
          <w:tcPr>
            <w:tcW w:w="389"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w:t>
            </w:r>
          </w:p>
        </w:tc>
        <w:tc>
          <w:tcPr>
            <w:tcW w:w="540"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84</w:t>
            </w:r>
          </w:p>
        </w:tc>
        <w:tc>
          <w:tcPr>
            <w:tcW w:w="54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20</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23.8%</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24.7%</w:t>
            </w:r>
          </w:p>
        </w:tc>
        <w:tc>
          <w:tcPr>
            <w:tcW w:w="540"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w:t>
            </w:r>
          </w:p>
        </w:tc>
        <w:tc>
          <w:tcPr>
            <w:tcW w:w="664"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84</w:t>
            </w:r>
          </w:p>
        </w:tc>
        <w:tc>
          <w:tcPr>
            <w:tcW w:w="387"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22</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26.2%</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24.5%</w:t>
            </w:r>
          </w:p>
        </w:tc>
        <w:tc>
          <w:tcPr>
            <w:tcW w:w="389"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0</w:t>
            </w:r>
          </w:p>
        </w:tc>
      </w:tr>
      <w:tr w:rsidR="00AC40FC" w:rsidRPr="005E5DF1" w:rsidTr="00A57D87">
        <w:trPr>
          <w:jc w:val="center"/>
        </w:trPr>
        <w:tc>
          <w:tcPr>
            <w:tcW w:w="2128" w:type="dxa"/>
            <w:tcMar>
              <w:left w:w="58" w:type="dxa"/>
              <w:right w:w="58" w:type="dxa"/>
            </w:tcMar>
          </w:tcPr>
          <w:p w:rsidR="00AC40FC" w:rsidRPr="005E5DF1" w:rsidRDefault="00AC40FC" w:rsidP="00A57D87">
            <w:pPr>
              <w:spacing w:after="0"/>
              <w:rPr>
                <w:rFonts w:cs="Arial"/>
                <w:sz w:val="16"/>
                <w:szCs w:val="16"/>
              </w:rPr>
            </w:pPr>
            <w:r w:rsidRPr="005E5DF1">
              <w:rPr>
                <w:rFonts w:cs="Arial"/>
                <w:sz w:val="16"/>
                <w:szCs w:val="16"/>
              </w:rPr>
              <w:t>14-Foreman</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98</w:t>
            </w:r>
          </w:p>
        </w:tc>
        <w:tc>
          <w:tcPr>
            <w:tcW w:w="54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0.0%</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5.0%</w:t>
            </w:r>
          </w:p>
        </w:tc>
        <w:tc>
          <w:tcPr>
            <w:tcW w:w="540"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4</w:t>
            </w:r>
          </w:p>
        </w:tc>
        <w:tc>
          <w:tcPr>
            <w:tcW w:w="601"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92</w:t>
            </w:r>
          </w:p>
        </w:tc>
        <w:tc>
          <w:tcPr>
            <w:tcW w:w="45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0.0%</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5.1%</w:t>
            </w:r>
          </w:p>
        </w:tc>
        <w:tc>
          <w:tcPr>
            <w:tcW w:w="389"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4</w:t>
            </w:r>
          </w:p>
        </w:tc>
        <w:tc>
          <w:tcPr>
            <w:tcW w:w="540"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82</w:t>
            </w:r>
          </w:p>
        </w:tc>
        <w:tc>
          <w:tcPr>
            <w:tcW w:w="54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1</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1.2%</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4.0%</w:t>
            </w:r>
          </w:p>
        </w:tc>
        <w:tc>
          <w:tcPr>
            <w:tcW w:w="540"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2</w:t>
            </w:r>
          </w:p>
        </w:tc>
        <w:tc>
          <w:tcPr>
            <w:tcW w:w="664"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72</w:t>
            </w:r>
          </w:p>
        </w:tc>
        <w:tc>
          <w:tcPr>
            <w:tcW w:w="387"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0</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0.0%</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6.0%</w:t>
            </w:r>
          </w:p>
        </w:tc>
        <w:tc>
          <w:tcPr>
            <w:tcW w:w="389"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4</w:t>
            </w:r>
          </w:p>
        </w:tc>
      </w:tr>
      <w:tr w:rsidR="00AC40FC" w:rsidRPr="005E5DF1" w:rsidTr="00A57D87">
        <w:trPr>
          <w:jc w:val="center"/>
        </w:trPr>
        <w:tc>
          <w:tcPr>
            <w:tcW w:w="2128" w:type="dxa"/>
            <w:tcMar>
              <w:left w:w="58" w:type="dxa"/>
              <w:right w:w="58" w:type="dxa"/>
            </w:tcMar>
          </w:tcPr>
          <w:p w:rsidR="00AC40FC" w:rsidRPr="005E5DF1" w:rsidRDefault="00AC40FC" w:rsidP="00A57D87">
            <w:pPr>
              <w:spacing w:after="0"/>
              <w:rPr>
                <w:rFonts w:cs="Arial"/>
                <w:sz w:val="16"/>
                <w:szCs w:val="16"/>
              </w:rPr>
            </w:pPr>
            <w:r w:rsidRPr="005E5DF1">
              <w:rPr>
                <w:rFonts w:cs="Arial"/>
                <w:sz w:val="16"/>
                <w:szCs w:val="16"/>
              </w:rPr>
              <w:t>15-Supervisory</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163</w:t>
            </w:r>
          </w:p>
        </w:tc>
        <w:tc>
          <w:tcPr>
            <w:tcW w:w="54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51</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31.3%</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26.8%</w:t>
            </w:r>
          </w:p>
        </w:tc>
        <w:tc>
          <w:tcPr>
            <w:tcW w:w="540"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w:t>
            </w:r>
          </w:p>
        </w:tc>
        <w:tc>
          <w:tcPr>
            <w:tcW w:w="601"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161</w:t>
            </w:r>
          </w:p>
        </w:tc>
        <w:tc>
          <w:tcPr>
            <w:tcW w:w="45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43</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26.7%</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24.1%</w:t>
            </w:r>
          </w:p>
        </w:tc>
        <w:tc>
          <w:tcPr>
            <w:tcW w:w="389"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w:t>
            </w:r>
          </w:p>
        </w:tc>
        <w:tc>
          <w:tcPr>
            <w:tcW w:w="540"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177</w:t>
            </w:r>
          </w:p>
        </w:tc>
        <w:tc>
          <w:tcPr>
            <w:tcW w:w="54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47</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26.6%</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22.3%</w:t>
            </w:r>
          </w:p>
        </w:tc>
        <w:tc>
          <w:tcPr>
            <w:tcW w:w="540"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w:t>
            </w:r>
          </w:p>
        </w:tc>
        <w:tc>
          <w:tcPr>
            <w:tcW w:w="664"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168</w:t>
            </w:r>
          </w:p>
        </w:tc>
        <w:tc>
          <w:tcPr>
            <w:tcW w:w="387"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47</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28.0%</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27.9%</w:t>
            </w:r>
          </w:p>
        </w:tc>
        <w:tc>
          <w:tcPr>
            <w:tcW w:w="389"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0</w:t>
            </w:r>
          </w:p>
        </w:tc>
      </w:tr>
      <w:tr w:rsidR="00AC40FC" w:rsidRPr="005E5DF1" w:rsidTr="00A57D87">
        <w:trPr>
          <w:jc w:val="center"/>
        </w:trPr>
        <w:tc>
          <w:tcPr>
            <w:tcW w:w="2128" w:type="dxa"/>
            <w:tcMar>
              <w:left w:w="58" w:type="dxa"/>
              <w:right w:w="58" w:type="dxa"/>
            </w:tcMar>
          </w:tcPr>
          <w:p w:rsidR="00AC40FC" w:rsidRPr="005E5DF1" w:rsidRDefault="00AC40FC" w:rsidP="00A57D87">
            <w:pPr>
              <w:spacing w:after="0"/>
              <w:rPr>
                <w:rFonts w:cs="Arial"/>
                <w:sz w:val="16"/>
                <w:szCs w:val="16"/>
              </w:rPr>
            </w:pPr>
            <w:r w:rsidRPr="005E5DF1">
              <w:rPr>
                <w:rFonts w:cs="Arial"/>
                <w:sz w:val="16"/>
                <w:szCs w:val="16"/>
              </w:rPr>
              <w:t>20-IT Professional</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p>
        </w:tc>
        <w:tc>
          <w:tcPr>
            <w:tcW w:w="540" w:type="dxa"/>
            <w:tcMar>
              <w:left w:w="58" w:type="dxa"/>
              <w:right w:w="58" w:type="dxa"/>
            </w:tcMar>
            <w:vAlign w:val="center"/>
          </w:tcPr>
          <w:p w:rsidR="00AC40FC" w:rsidRPr="005E5DF1" w:rsidRDefault="00AC40FC" w:rsidP="00A57D87">
            <w:pPr>
              <w:spacing w:after="0"/>
              <w:jc w:val="center"/>
              <w:rPr>
                <w:rFonts w:cs="Arial"/>
                <w:sz w:val="16"/>
                <w:szCs w:val="16"/>
              </w:rPr>
            </w:pP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p>
        </w:tc>
        <w:tc>
          <w:tcPr>
            <w:tcW w:w="540"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w:t>
            </w:r>
          </w:p>
        </w:tc>
        <w:tc>
          <w:tcPr>
            <w:tcW w:w="601"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p>
        </w:tc>
        <w:tc>
          <w:tcPr>
            <w:tcW w:w="450" w:type="dxa"/>
            <w:tcMar>
              <w:left w:w="58" w:type="dxa"/>
              <w:right w:w="58" w:type="dxa"/>
            </w:tcMar>
            <w:vAlign w:val="center"/>
          </w:tcPr>
          <w:p w:rsidR="00AC40FC" w:rsidRPr="005E5DF1" w:rsidRDefault="00AC40FC" w:rsidP="00A57D87">
            <w:pPr>
              <w:spacing w:after="0"/>
              <w:jc w:val="center"/>
              <w:rPr>
                <w:rFonts w:cs="Arial"/>
                <w:sz w:val="16"/>
                <w:szCs w:val="16"/>
              </w:rPr>
            </w:pP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p>
        </w:tc>
        <w:tc>
          <w:tcPr>
            <w:tcW w:w="389"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p>
        </w:tc>
        <w:tc>
          <w:tcPr>
            <w:tcW w:w="540"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1</w:t>
            </w:r>
          </w:p>
        </w:tc>
        <w:tc>
          <w:tcPr>
            <w:tcW w:w="54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0.0%</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22.1%</w:t>
            </w:r>
          </w:p>
        </w:tc>
        <w:tc>
          <w:tcPr>
            <w:tcW w:w="540"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w:t>
            </w:r>
          </w:p>
        </w:tc>
        <w:tc>
          <w:tcPr>
            <w:tcW w:w="664"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p>
        </w:tc>
        <w:tc>
          <w:tcPr>
            <w:tcW w:w="387" w:type="dxa"/>
            <w:tcMar>
              <w:left w:w="58" w:type="dxa"/>
              <w:right w:w="58" w:type="dxa"/>
            </w:tcMar>
            <w:vAlign w:val="center"/>
          </w:tcPr>
          <w:p w:rsidR="00AC40FC" w:rsidRPr="005E5DF1" w:rsidRDefault="00AC40FC" w:rsidP="00A57D87">
            <w:pPr>
              <w:spacing w:after="0"/>
              <w:jc w:val="center"/>
              <w:rPr>
                <w:rFonts w:cs="Arial"/>
                <w:sz w:val="16"/>
                <w:szCs w:val="16"/>
              </w:rPr>
            </w:pP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p>
        </w:tc>
        <w:tc>
          <w:tcPr>
            <w:tcW w:w="389" w:type="dxa"/>
            <w:tcMar>
              <w:left w:w="58" w:type="dxa"/>
              <w:right w:w="58" w:type="dxa"/>
            </w:tcMar>
            <w:vAlign w:val="center"/>
          </w:tcPr>
          <w:p w:rsidR="00AC40FC" w:rsidRPr="005E5DF1" w:rsidRDefault="00AC40FC" w:rsidP="00A57D87">
            <w:pPr>
              <w:spacing w:after="0"/>
              <w:jc w:val="center"/>
              <w:rPr>
                <w:rFonts w:cs="Arial"/>
                <w:sz w:val="16"/>
                <w:szCs w:val="16"/>
              </w:rPr>
            </w:pPr>
          </w:p>
        </w:tc>
      </w:tr>
      <w:tr w:rsidR="00AC40FC" w:rsidRPr="005E5DF1" w:rsidTr="00A57D87">
        <w:trPr>
          <w:jc w:val="center"/>
        </w:trPr>
        <w:tc>
          <w:tcPr>
            <w:tcW w:w="2128" w:type="dxa"/>
            <w:tcMar>
              <w:left w:w="58" w:type="dxa"/>
              <w:right w:w="58" w:type="dxa"/>
            </w:tcMar>
          </w:tcPr>
          <w:p w:rsidR="00AC40FC" w:rsidRPr="005E5DF1" w:rsidRDefault="00AC40FC" w:rsidP="00A57D87">
            <w:pPr>
              <w:spacing w:after="0"/>
              <w:rPr>
                <w:rFonts w:cs="Arial"/>
                <w:sz w:val="16"/>
                <w:szCs w:val="16"/>
              </w:rPr>
            </w:pPr>
            <w:r w:rsidRPr="005E5DF1">
              <w:rPr>
                <w:rFonts w:cs="Arial"/>
                <w:sz w:val="16"/>
                <w:szCs w:val="16"/>
              </w:rPr>
              <w:t>22-Senior Professional</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255</w:t>
            </w:r>
          </w:p>
        </w:tc>
        <w:tc>
          <w:tcPr>
            <w:tcW w:w="54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84</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32.9%</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38.4%</w:t>
            </w:r>
          </w:p>
        </w:tc>
        <w:tc>
          <w:tcPr>
            <w:tcW w:w="540"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w:t>
            </w:r>
          </w:p>
        </w:tc>
        <w:tc>
          <w:tcPr>
            <w:tcW w:w="601"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238</w:t>
            </w:r>
          </w:p>
        </w:tc>
        <w:tc>
          <w:tcPr>
            <w:tcW w:w="45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78</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32.8%</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35.6%</w:t>
            </w:r>
          </w:p>
        </w:tc>
        <w:tc>
          <w:tcPr>
            <w:tcW w:w="389"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w:t>
            </w:r>
          </w:p>
        </w:tc>
        <w:tc>
          <w:tcPr>
            <w:tcW w:w="540"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266</w:t>
            </w:r>
          </w:p>
        </w:tc>
        <w:tc>
          <w:tcPr>
            <w:tcW w:w="54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68</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25.6%</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31.4%</w:t>
            </w:r>
          </w:p>
        </w:tc>
        <w:tc>
          <w:tcPr>
            <w:tcW w:w="540"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w:t>
            </w:r>
          </w:p>
        </w:tc>
        <w:tc>
          <w:tcPr>
            <w:tcW w:w="664"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257</w:t>
            </w:r>
          </w:p>
        </w:tc>
        <w:tc>
          <w:tcPr>
            <w:tcW w:w="387"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66</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25.7%</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32.8%</w:t>
            </w:r>
          </w:p>
        </w:tc>
        <w:tc>
          <w:tcPr>
            <w:tcW w:w="389"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18</w:t>
            </w:r>
          </w:p>
        </w:tc>
      </w:tr>
      <w:tr w:rsidR="00AC40FC" w:rsidRPr="005E5DF1" w:rsidTr="00A57D87">
        <w:trPr>
          <w:jc w:val="center"/>
        </w:trPr>
        <w:tc>
          <w:tcPr>
            <w:tcW w:w="2128" w:type="dxa"/>
            <w:tcMar>
              <w:left w:w="58" w:type="dxa"/>
              <w:right w:w="58" w:type="dxa"/>
            </w:tcMar>
          </w:tcPr>
          <w:p w:rsidR="00AC40FC" w:rsidRPr="005E5DF1" w:rsidRDefault="00AC40FC" w:rsidP="00A57D87">
            <w:pPr>
              <w:spacing w:after="0"/>
              <w:rPr>
                <w:rFonts w:cs="Arial"/>
                <w:sz w:val="16"/>
                <w:szCs w:val="16"/>
              </w:rPr>
            </w:pPr>
            <w:r w:rsidRPr="005E5DF1">
              <w:rPr>
                <w:rFonts w:cs="Arial"/>
                <w:sz w:val="16"/>
                <w:szCs w:val="16"/>
              </w:rPr>
              <w:t>23-Accounting &amp; Finance</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9</w:t>
            </w:r>
          </w:p>
        </w:tc>
        <w:tc>
          <w:tcPr>
            <w:tcW w:w="54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2</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22.2%</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37.5%</w:t>
            </w:r>
          </w:p>
        </w:tc>
        <w:tc>
          <w:tcPr>
            <w:tcW w:w="540"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1</w:t>
            </w:r>
          </w:p>
        </w:tc>
        <w:tc>
          <w:tcPr>
            <w:tcW w:w="601"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6</w:t>
            </w:r>
          </w:p>
        </w:tc>
        <w:tc>
          <w:tcPr>
            <w:tcW w:w="45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2</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33.3%</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41.8%</w:t>
            </w:r>
          </w:p>
        </w:tc>
        <w:tc>
          <w:tcPr>
            <w:tcW w:w="389"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w:t>
            </w:r>
          </w:p>
        </w:tc>
        <w:tc>
          <w:tcPr>
            <w:tcW w:w="540"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10</w:t>
            </w:r>
          </w:p>
        </w:tc>
        <w:tc>
          <w:tcPr>
            <w:tcW w:w="54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6</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60.0%</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49.7%</w:t>
            </w:r>
          </w:p>
        </w:tc>
        <w:tc>
          <w:tcPr>
            <w:tcW w:w="540"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w:t>
            </w:r>
          </w:p>
        </w:tc>
        <w:tc>
          <w:tcPr>
            <w:tcW w:w="664"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16</w:t>
            </w:r>
          </w:p>
        </w:tc>
        <w:tc>
          <w:tcPr>
            <w:tcW w:w="387"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3</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18.8%</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40.8%</w:t>
            </w:r>
          </w:p>
        </w:tc>
        <w:tc>
          <w:tcPr>
            <w:tcW w:w="389"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3</w:t>
            </w:r>
          </w:p>
        </w:tc>
      </w:tr>
      <w:tr w:rsidR="00AC40FC" w:rsidRPr="005E5DF1" w:rsidTr="00A57D87">
        <w:trPr>
          <w:jc w:val="center"/>
        </w:trPr>
        <w:tc>
          <w:tcPr>
            <w:tcW w:w="2128" w:type="dxa"/>
            <w:tcMar>
              <w:left w:w="58" w:type="dxa"/>
              <w:right w:w="58" w:type="dxa"/>
            </w:tcMar>
          </w:tcPr>
          <w:p w:rsidR="00AC40FC" w:rsidRPr="005E5DF1" w:rsidRDefault="00AC40FC" w:rsidP="00A57D87">
            <w:pPr>
              <w:spacing w:after="0"/>
              <w:rPr>
                <w:rFonts w:cs="Arial"/>
                <w:sz w:val="16"/>
                <w:szCs w:val="16"/>
              </w:rPr>
            </w:pPr>
            <w:r w:rsidRPr="005E5DF1">
              <w:rPr>
                <w:rFonts w:cs="Arial"/>
                <w:sz w:val="16"/>
                <w:szCs w:val="16"/>
              </w:rPr>
              <w:t>25-Engineer</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109</w:t>
            </w:r>
          </w:p>
        </w:tc>
        <w:tc>
          <w:tcPr>
            <w:tcW w:w="54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9</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8.3%</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9.8%</w:t>
            </w:r>
          </w:p>
        </w:tc>
        <w:tc>
          <w:tcPr>
            <w:tcW w:w="540"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w:t>
            </w:r>
          </w:p>
        </w:tc>
        <w:tc>
          <w:tcPr>
            <w:tcW w:w="601"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120</w:t>
            </w:r>
          </w:p>
        </w:tc>
        <w:tc>
          <w:tcPr>
            <w:tcW w:w="45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12</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10.0%</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10.1%</w:t>
            </w:r>
          </w:p>
        </w:tc>
        <w:tc>
          <w:tcPr>
            <w:tcW w:w="389"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w:t>
            </w:r>
          </w:p>
        </w:tc>
        <w:tc>
          <w:tcPr>
            <w:tcW w:w="540"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119</w:t>
            </w:r>
          </w:p>
        </w:tc>
        <w:tc>
          <w:tcPr>
            <w:tcW w:w="54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13</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10.9%</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11.0%</w:t>
            </w:r>
          </w:p>
        </w:tc>
        <w:tc>
          <w:tcPr>
            <w:tcW w:w="540"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w:t>
            </w:r>
          </w:p>
        </w:tc>
        <w:tc>
          <w:tcPr>
            <w:tcW w:w="664"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111</w:t>
            </w:r>
          </w:p>
        </w:tc>
        <w:tc>
          <w:tcPr>
            <w:tcW w:w="387"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13</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11.7%</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12.8%</w:t>
            </w:r>
          </w:p>
        </w:tc>
        <w:tc>
          <w:tcPr>
            <w:tcW w:w="389"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1</w:t>
            </w:r>
          </w:p>
        </w:tc>
      </w:tr>
      <w:tr w:rsidR="00AC40FC" w:rsidRPr="005E5DF1" w:rsidTr="00A57D87">
        <w:trPr>
          <w:jc w:val="center"/>
        </w:trPr>
        <w:tc>
          <w:tcPr>
            <w:tcW w:w="2128" w:type="dxa"/>
            <w:tcMar>
              <w:left w:w="58" w:type="dxa"/>
              <w:right w:w="58" w:type="dxa"/>
            </w:tcMar>
          </w:tcPr>
          <w:p w:rsidR="00AC40FC" w:rsidRPr="005E5DF1" w:rsidRDefault="00AC40FC" w:rsidP="00A57D87">
            <w:pPr>
              <w:spacing w:after="0"/>
              <w:rPr>
                <w:rFonts w:cs="Arial"/>
                <w:sz w:val="16"/>
                <w:szCs w:val="16"/>
              </w:rPr>
            </w:pPr>
            <w:r w:rsidRPr="005E5DF1">
              <w:rPr>
                <w:rFonts w:cs="Arial"/>
                <w:sz w:val="16"/>
                <w:szCs w:val="16"/>
              </w:rPr>
              <w:t xml:space="preserve">29-Professional </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55</w:t>
            </w:r>
          </w:p>
        </w:tc>
        <w:tc>
          <w:tcPr>
            <w:tcW w:w="54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27</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49.1%</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50.6%</w:t>
            </w:r>
          </w:p>
        </w:tc>
        <w:tc>
          <w:tcPr>
            <w:tcW w:w="540"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w:t>
            </w:r>
          </w:p>
        </w:tc>
        <w:tc>
          <w:tcPr>
            <w:tcW w:w="601"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95</w:t>
            </w:r>
          </w:p>
        </w:tc>
        <w:tc>
          <w:tcPr>
            <w:tcW w:w="45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31</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32.6%</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34.2%</w:t>
            </w:r>
          </w:p>
        </w:tc>
        <w:tc>
          <w:tcPr>
            <w:tcW w:w="389"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w:t>
            </w:r>
          </w:p>
        </w:tc>
        <w:tc>
          <w:tcPr>
            <w:tcW w:w="540"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53</w:t>
            </w:r>
          </w:p>
        </w:tc>
        <w:tc>
          <w:tcPr>
            <w:tcW w:w="54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27</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50.9%</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48.6%</w:t>
            </w:r>
          </w:p>
        </w:tc>
        <w:tc>
          <w:tcPr>
            <w:tcW w:w="540"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w:t>
            </w:r>
          </w:p>
        </w:tc>
        <w:tc>
          <w:tcPr>
            <w:tcW w:w="664"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55</w:t>
            </w:r>
          </w:p>
        </w:tc>
        <w:tc>
          <w:tcPr>
            <w:tcW w:w="387"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31</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56.4%</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56.4%</w:t>
            </w:r>
          </w:p>
        </w:tc>
        <w:tc>
          <w:tcPr>
            <w:tcW w:w="389"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0</w:t>
            </w:r>
          </w:p>
        </w:tc>
      </w:tr>
      <w:tr w:rsidR="00AC40FC" w:rsidRPr="005E5DF1" w:rsidTr="00A57D87">
        <w:trPr>
          <w:jc w:val="center"/>
        </w:trPr>
        <w:tc>
          <w:tcPr>
            <w:tcW w:w="2128" w:type="dxa"/>
            <w:tcMar>
              <w:left w:w="58" w:type="dxa"/>
              <w:right w:w="58" w:type="dxa"/>
            </w:tcMar>
          </w:tcPr>
          <w:p w:rsidR="00AC40FC" w:rsidRPr="005E5DF1" w:rsidRDefault="00AC40FC" w:rsidP="00A57D87">
            <w:pPr>
              <w:spacing w:after="0"/>
              <w:rPr>
                <w:rFonts w:cs="Arial"/>
                <w:sz w:val="16"/>
                <w:szCs w:val="16"/>
              </w:rPr>
            </w:pPr>
            <w:r w:rsidRPr="005E5DF1">
              <w:rPr>
                <w:rFonts w:cs="Arial"/>
                <w:sz w:val="16"/>
                <w:szCs w:val="16"/>
              </w:rPr>
              <w:t>31-Drafting</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26</w:t>
            </w:r>
          </w:p>
        </w:tc>
        <w:tc>
          <w:tcPr>
            <w:tcW w:w="54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4</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15.4%</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25.4%</w:t>
            </w:r>
          </w:p>
        </w:tc>
        <w:tc>
          <w:tcPr>
            <w:tcW w:w="540"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2</w:t>
            </w:r>
          </w:p>
        </w:tc>
        <w:tc>
          <w:tcPr>
            <w:tcW w:w="601"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25</w:t>
            </w:r>
          </w:p>
        </w:tc>
        <w:tc>
          <w:tcPr>
            <w:tcW w:w="45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4</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16.0%</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14.9%</w:t>
            </w:r>
          </w:p>
        </w:tc>
        <w:tc>
          <w:tcPr>
            <w:tcW w:w="389"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w:t>
            </w:r>
          </w:p>
        </w:tc>
        <w:tc>
          <w:tcPr>
            <w:tcW w:w="540"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23</w:t>
            </w:r>
          </w:p>
        </w:tc>
        <w:tc>
          <w:tcPr>
            <w:tcW w:w="54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4</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17.4%</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17.4%</w:t>
            </w:r>
          </w:p>
        </w:tc>
        <w:tc>
          <w:tcPr>
            <w:tcW w:w="540"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w:t>
            </w:r>
          </w:p>
        </w:tc>
        <w:tc>
          <w:tcPr>
            <w:tcW w:w="664"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21</w:t>
            </w:r>
          </w:p>
        </w:tc>
        <w:tc>
          <w:tcPr>
            <w:tcW w:w="387"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4</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19.0%</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19.0%</w:t>
            </w:r>
          </w:p>
        </w:tc>
        <w:tc>
          <w:tcPr>
            <w:tcW w:w="389"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0</w:t>
            </w:r>
          </w:p>
        </w:tc>
      </w:tr>
      <w:tr w:rsidR="00AC40FC" w:rsidRPr="005E5DF1" w:rsidTr="00A57D87">
        <w:trPr>
          <w:jc w:val="center"/>
        </w:trPr>
        <w:tc>
          <w:tcPr>
            <w:tcW w:w="2128" w:type="dxa"/>
            <w:tcMar>
              <w:left w:w="58" w:type="dxa"/>
              <w:right w:w="58" w:type="dxa"/>
            </w:tcMar>
          </w:tcPr>
          <w:p w:rsidR="00AC40FC" w:rsidRPr="005E5DF1" w:rsidRDefault="00AC40FC" w:rsidP="00A57D87">
            <w:pPr>
              <w:spacing w:after="0"/>
              <w:rPr>
                <w:rFonts w:cs="Arial"/>
                <w:sz w:val="16"/>
                <w:szCs w:val="16"/>
              </w:rPr>
            </w:pPr>
            <w:r w:rsidRPr="005E5DF1">
              <w:rPr>
                <w:rFonts w:cs="Arial"/>
                <w:sz w:val="16"/>
                <w:szCs w:val="16"/>
              </w:rPr>
              <w:t>34-Technician BU</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150</w:t>
            </w:r>
          </w:p>
        </w:tc>
        <w:tc>
          <w:tcPr>
            <w:tcW w:w="54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10</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6.7%</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4.8%</w:t>
            </w:r>
          </w:p>
        </w:tc>
        <w:tc>
          <w:tcPr>
            <w:tcW w:w="540"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w:t>
            </w:r>
          </w:p>
        </w:tc>
        <w:tc>
          <w:tcPr>
            <w:tcW w:w="601"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138</w:t>
            </w:r>
          </w:p>
        </w:tc>
        <w:tc>
          <w:tcPr>
            <w:tcW w:w="45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9</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6.5%</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5.9%</w:t>
            </w:r>
          </w:p>
        </w:tc>
        <w:tc>
          <w:tcPr>
            <w:tcW w:w="389"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w:t>
            </w:r>
          </w:p>
        </w:tc>
        <w:tc>
          <w:tcPr>
            <w:tcW w:w="540"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132</w:t>
            </w:r>
          </w:p>
        </w:tc>
        <w:tc>
          <w:tcPr>
            <w:tcW w:w="54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7</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5.3%</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6.0%</w:t>
            </w:r>
          </w:p>
        </w:tc>
        <w:tc>
          <w:tcPr>
            <w:tcW w:w="540"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w:t>
            </w:r>
          </w:p>
        </w:tc>
        <w:tc>
          <w:tcPr>
            <w:tcW w:w="664"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128</w:t>
            </w:r>
          </w:p>
        </w:tc>
        <w:tc>
          <w:tcPr>
            <w:tcW w:w="387"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6</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4.7%</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5.7%</w:t>
            </w:r>
          </w:p>
        </w:tc>
        <w:tc>
          <w:tcPr>
            <w:tcW w:w="389"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1</w:t>
            </w:r>
          </w:p>
        </w:tc>
      </w:tr>
      <w:tr w:rsidR="00AC40FC" w:rsidRPr="005E5DF1" w:rsidTr="00A57D87">
        <w:trPr>
          <w:jc w:val="center"/>
        </w:trPr>
        <w:tc>
          <w:tcPr>
            <w:tcW w:w="2128" w:type="dxa"/>
            <w:tcMar>
              <w:left w:w="58" w:type="dxa"/>
              <w:right w:w="58" w:type="dxa"/>
            </w:tcMar>
          </w:tcPr>
          <w:p w:rsidR="00AC40FC" w:rsidRPr="005E5DF1" w:rsidRDefault="00AC40FC" w:rsidP="00A57D87">
            <w:pPr>
              <w:spacing w:after="0"/>
              <w:rPr>
                <w:rFonts w:cs="Arial"/>
                <w:sz w:val="16"/>
                <w:szCs w:val="16"/>
              </w:rPr>
            </w:pPr>
            <w:r w:rsidRPr="005E5DF1">
              <w:rPr>
                <w:rFonts w:cs="Arial"/>
                <w:sz w:val="16"/>
                <w:szCs w:val="16"/>
              </w:rPr>
              <w:t>52-Senior Admin Support</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3</w:t>
            </w:r>
          </w:p>
        </w:tc>
        <w:tc>
          <w:tcPr>
            <w:tcW w:w="54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3</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100%</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96.5%</w:t>
            </w:r>
          </w:p>
        </w:tc>
        <w:tc>
          <w:tcPr>
            <w:tcW w:w="540"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w:t>
            </w:r>
          </w:p>
        </w:tc>
        <w:tc>
          <w:tcPr>
            <w:tcW w:w="601"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5</w:t>
            </w:r>
          </w:p>
        </w:tc>
        <w:tc>
          <w:tcPr>
            <w:tcW w:w="45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5</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100%</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93.7%</w:t>
            </w:r>
          </w:p>
        </w:tc>
        <w:tc>
          <w:tcPr>
            <w:tcW w:w="389"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w:t>
            </w:r>
          </w:p>
        </w:tc>
        <w:tc>
          <w:tcPr>
            <w:tcW w:w="540"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3</w:t>
            </w:r>
          </w:p>
        </w:tc>
        <w:tc>
          <w:tcPr>
            <w:tcW w:w="54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3</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100%</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95.3%</w:t>
            </w:r>
          </w:p>
        </w:tc>
        <w:tc>
          <w:tcPr>
            <w:tcW w:w="540"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w:t>
            </w:r>
          </w:p>
        </w:tc>
        <w:tc>
          <w:tcPr>
            <w:tcW w:w="664"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2</w:t>
            </w:r>
          </w:p>
        </w:tc>
        <w:tc>
          <w:tcPr>
            <w:tcW w:w="387"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2</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100%</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84.8%</w:t>
            </w:r>
          </w:p>
        </w:tc>
        <w:tc>
          <w:tcPr>
            <w:tcW w:w="389"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0</w:t>
            </w:r>
          </w:p>
        </w:tc>
      </w:tr>
      <w:tr w:rsidR="00AC40FC" w:rsidRPr="005E5DF1" w:rsidTr="00A57D87">
        <w:trPr>
          <w:jc w:val="center"/>
        </w:trPr>
        <w:tc>
          <w:tcPr>
            <w:tcW w:w="2128" w:type="dxa"/>
            <w:tcMar>
              <w:left w:w="58" w:type="dxa"/>
              <w:right w:w="58" w:type="dxa"/>
            </w:tcMar>
          </w:tcPr>
          <w:p w:rsidR="00AC40FC" w:rsidRPr="005E5DF1" w:rsidRDefault="00AC40FC" w:rsidP="00A57D87">
            <w:pPr>
              <w:spacing w:after="0"/>
              <w:rPr>
                <w:rFonts w:cs="Arial"/>
                <w:sz w:val="16"/>
                <w:szCs w:val="16"/>
              </w:rPr>
            </w:pPr>
            <w:r w:rsidRPr="005E5DF1">
              <w:rPr>
                <w:rFonts w:cs="Arial"/>
                <w:sz w:val="16"/>
                <w:szCs w:val="16"/>
              </w:rPr>
              <w:t>54-Admin Support</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163</w:t>
            </w:r>
          </w:p>
        </w:tc>
        <w:tc>
          <w:tcPr>
            <w:tcW w:w="54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145</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89.0%</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84.1%</w:t>
            </w:r>
          </w:p>
        </w:tc>
        <w:tc>
          <w:tcPr>
            <w:tcW w:w="540"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w:t>
            </w:r>
          </w:p>
        </w:tc>
        <w:tc>
          <w:tcPr>
            <w:tcW w:w="601"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146</w:t>
            </w:r>
          </w:p>
        </w:tc>
        <w:tc>
          <w:tcPr>
            <w:tcW w:w="45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132</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90.4%</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82.6%</w:t>
            </w:r>
          </w:p>
        </w:tc>
        <w:tc>
          <w:tcPr>
            <w:tcW w:w="389"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w:t>
            </w:r>
          </w:p>
        </w:tc>
        <w:tc>
          <w:tcPr>
            <w:tcW w:w="540"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136</w:t>
            </w:r>
          </w:p>
        </w:tc>
        <w:tc>
          <w:tcPr>
            <w:tcW w:w="54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124</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91.2%</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84.0%</w:t>
            </w:r>
          </w:p>
        </w:tc>
        <w:tc>
          <w:tcPr>
            <w:tcW w:w="540"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w:t>
            </w:r>
          </w:p>
        </w:tc>
        <w:tc>
          <w:tcPr>
            <w:tcW w:w="664"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150</w:t>
            </w:r>
          </w:p>
        </w:tc>
        <w:tc>
          <w:tcPr>
            <w:tcW w:w="387"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120</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80.0%</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72.6%</w:t>
            </w:r>
          </w:p>
        </w:tc>
        <w:tc>
          <w:tcPr>
            <w:tcW w:w="389"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0</w:t>
            </w:r>
          </w:p>
        </w:tc>
      </w:tr>
      <w:tr w:rsidR="00AC40FC" w:rsidRPr="005E5DF1" w:rsidTr="00A57D87">
        <w:trPr>
          <w:jc w:val="center"/>
        </w:trPr>
        <w:tc>
          <w:tcPr>
            <w:tcW w:w="2128" w:type="dxa"/>
            <w:tcMar>
              <w:left w:w="58" w:type="dxa"/>
              <w:right w:w="58" w:type="dxa"/>
            </w:tcMar>
          </w:tcPr>
          <w:p w:rsidR="00AC40FC" w:rsidRPr="005E5DF1" w:rsidRDefault="00AC40FC" w:rsidP="00A57D87">
            <w:pPr>
              <w:spacing w:after="0"/>
              <w:rPr>
                <w:rFonts w:cs="Arial"/>
                <w:sz w:val="16"/>
                <w:szCs w:val="16"/>
              </w:rPr>
            </w:pPr>
            <w:r w:rsidRPr="005E5DF1">
              <w:rPr>
                <w:rFonts w:cs="Arial"/>
                <w:sz w:val="16"/>
                <w:szCs w:val="16"/>
              </w:rPr>
              <w:t>56-Customer Service</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249</w:t>
            </w:r>
          </w:p>
        </w:tc>
        <w:tc>
          <w:tcPr>
            <w:tcW w:w="54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213</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85.5%</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78.7%</w:t>
            </w:r>
          </w:p>
        </w:tc>
        <w:tc>
          <w:tcPr>
            <w:tcW w:w="540"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w:t>
            </w:r>
          </w:p>
        </w:tc>
        <w:tc>
          <w:tcPr>
            <w:tcW w:w="601"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248</w:t>
            </w:r>
          </w:p>
        </w:tc>
        <w:tc>
          <w:tcPr>
            <w:tcW w:w="45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211</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85.1%</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77.4%</w:t>
            </w:r>
          </w:p>
        </w:tc>
        <w:tc>
          <w:tcPr>
            <w:tcW w:w="389"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w:t>
            </w:r>
          </w:p>
        </w:tc>
        <w:tc>
          <w:tcPr>
            <w:tcW w:w="540"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227</w:t>
            </w:r>
          </w:p>
        </w:tc>
        <w:tc>
          <w:tcPr>
            <w:tcW w:w="54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198</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87.2%</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77.9%</w:t>
            </w:r>
          </w:p>
        </w:tc>
        <w:tc>
          <w:tcPr>
            <w:tcW w:w="540"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w:t>
            </w:r>
          </w:p>
        </w:tc>
        <w:tc>
          <w:tcPr>
            <w:tcW w:w="664"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209</w:t>
            </w:r>
          </w:p>
        </w:tc>
        <w:tc>
          <w:tcPr>
            <w:tcW w:w="387"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182</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87.1%</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82.4%</w:t>
            </w:r>
          </w:p>
        </w:tc>
        <w:tc>
          <w:tcPr>
            <w:tcW w:w="389"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0</w:t>
            </w:r>
          </w:p>
        </w:tc>
      </w:tr>
      <w:tr w:rsidR="00AC40FC" w:rsidRPr="005E5DF1" w:rsidTr="00A57D87">
        <w:trPr>
          <w:jc w:val="center"/>
        </w:trPr>
        <w:tc>
          <w:tcPr>
            <w:tcW w:w="2128" w:type="dxa"/>
            <w:tcMar>
              <w:left w:w="58" w:type="dxa"/>
              <w:right w:w="58" w:type="dxa"/>
            </w:tcMar>
          </w:tcPr>
          <w:p w:rsidR="00AC40FC" w:rsidRPr="005E5DF1" w:rsidRDefault="00AC40FC" w:rsidP="00A57D87">
            <w:pPr>
              <w:spacing w:after="0"/>
              <w:rPr>
                <w:rFonts w:cs="Arial"/>
                <w:sz w:val="16"/>
                <w:szCs w:val="16"/>
              </w:rPr>
            </w:pPr>
            <w:r w:rsidRPr="005E5DF1">
              <w:rPr>
                <w:rFonts w:cs="Arial"/>
                <w:sz w:val="16"/>
                <w:szCs w:val="16"/>
              </w:rPr>
              <w:t>63-Skilled</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p>
        </w:tc>
        <w:tc>
          <w:tcPr>
            <w:tcW w:w="540" w:type="dxa"/>
            <w:tcMar>
              <w:left w:w="58" w:type="dxa"/>
              <w:right w:w="58" w:type="dxa"/>
            </w:tcMar>
            <w:vAlign w:val="center"/>
          </w:tcPr>
          <w:p w:rsidR="00AC40FC" w:rsidRPr="005E5DF1" w:rsidRDefault="00AC40FC" w:rsidP="00A57D87">
            <w:pPr>
              <w:spacing w:after="0"/>
              <w:jc w:val="center"/>
              <w:rPr>
                <w:rFonts w:cs="Arial"/>
                <w:sz w:val="16"/>
                <w:szCs w:val="16"/>
              </w:rPr>
            </w:pP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p>
        </w:tc>
        <w:tc>
          <w:tcPr>
            <w:tcW w:w="540"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w:t>
            </w:r>
          </w:p>
        </w:tc>
        <w:tc>
          <w:tcPr>
            <w:tcW w:w="601"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p>
        </w:tc>
        <w:tc>
          <w:tcPr>
            <w:tcW w:w="450" w:type="dxa"/>
            <w:tcMar>
              <w:left w:w="58" w:type="dxa"/>
              <w:right w:w="58" w:type="dxa"/>
            </w:tcMar>
            <w:vAlign w:val="center"/>
          </w:tcPr>
          <w:p w:rsidR="00AC40FC" w:rsidRPr="005E5DF1" w:rsidRDefault="00AC40FC" w:rsidP="00A57D87">
            <w:pPr>
              <w:spacing w:after="0"/>
              <w:jc w:val="center"/>
              <w:rPr>
                <w:rFonts w:cs="Arial"/>
                <w:sz w:val="16"/>
                <w:szCs w:val="16"/>
              </w:rPr>
            </w:pP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p>
        </w:tc>
        <w:tc>
          <w:tcPr>
            <w:tcW w:w="389"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p>
        </w:tc>
        <w:tc>
          <w:tcPr>
            <w:tcW w:w="540"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402</w:t>
            </w:r>
          </w:p>
        </w:tc>
        <w:tc>
          <w:tcPr>
            <w:tcW w:w="54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17</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4.2%</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18.6%</w:t>
            </w:r>
          </w:p>
        </w:tc>
        <w:tc>
          <w:tcPr>
            <w:tcW w:w="540"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57</w:t>
            </w:r>
          </w:p>
        </w:tc>
        <w:tc>
          <w:tcPr>
            <w:tcW w:w="664"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422</w:t>
            </w:r>
          </w:p>
        </w:tc>
        <w:tc>
          <w:tcPr>
            <w:tcW w:w="387"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19</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4.5%</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15.7%</w:t>
            </w:r>
          </w:p>
        </w:tc>
        <w:tc>
          <w:tcPr>
            <w:tcW w:w="389"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47</w:t>
            </w:r>
          </w:p>
        </w:tc>
      </w:tr>
      <w:tr w:rsidR="00AC40FC" w:rsidRPr="005E5DF1" w:rsidTr="00A57D87">
        <w:trPr>
          <w:jc w:val="center"/>
        </w:trPr>
        <w:tc>
          <w:tcPr>
            <w:tcW w:w="2128" w:type="dxa"/>
            <w:tcMar>
              <w:left w:w="58" w:type="dxa"/>
              <w:right w:w="58" w:type="dxa"/>
            </w:tcMar>
          </w:tcPr>
          <w:p w:rsidR="00AC40FC" w:rsidRPr="005E5DF1" w:rsidRDefault="00AC40FC" w:rsidP="00A57D87">
            <w:pPr>
              <w:spacing w:after="0"/>
              <w:rPr>
                <w:rFonts w:cs="Arial"/>
                <w:sz w:val="16"/>
                <w:szCs w:val="16"/>
              </w:rPr>
            </w:pPr>
            <w:r w:rsidRPr="005E5DF1">
              <w:rPr>
                <w:rFonts w:cs="Arial"/>
                <w:sz w:val="16"/>
                <w:szCs w:val="16"/>
              </w:rPr>
              <w:t>64-Skilled-Field</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453</w:t>
            </w:r>
          </w:p>
        </w:tc>
        <w:tc>
          <w:tcPr>
            <w:tcW w:w="54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14</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3.1%</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4.2%</w:t>
            </w:r>
          </w:p>
        </w:tc>
        <w:tc>
          <w:tcPr>
            <w:tcW w:w="540"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5</w:t>
            </w:r>
          </w:p>
        </w:tc>
        <w:tc>
          <w:tcPr>
            <w:tcW w:w="601"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436</w:t>
            </w:r>
          </w:p>
        </w:tc>
        <w:tc>
          <w:tcPr>
            <w:tcW w:w="45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16</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3.7%</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3.6%</w:t>
            </w:r>
          </w:p>
        </w:tc>
        <w:tc>
          <w:tcPr>
            <w:tcW w:w="389"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w:t>
            </w:r>
          </w:p>
        </w:tc>
        <w:tc>
          <w:tcPr>
            <w:tcW w:w="540"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9</w:t>
            </w:r>
          </w:p>
        </w:tc>
        <w:tc>
          <w:tcPr>
            <w:tcW w:w="54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0.0%</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2.9%</w:t>
            </w:r>
          </w:p>
        </w:tc>
        <w:tc>
          <w:tcPr>
            <w:tcW w:w="540"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w:t>
            </w:r>
          </w:p>
        </w:tc>
        <w:tc>
          <w:tcPr>
            <w:tcW w:w="664"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p>
        </w:tc>
        <w:tc>
          <w:tcPr>
            <w:tcW w:w="387" w:type="dxa"/>
            <w:tcMar>
              <w:left w:w="58" w:type="dxa"/>
              <w:right w:w="58" w:type="dxa"/>
            </w:tcMar>
            <w:vAlign w:val="center"/>
          </w:tcPr>
          <w:p w:rsidR="00AC40FC" w:rsidRPr="005E5DF1" w:rsidRDefault="00AC40FC" w:rsidP="00A57D87">
            <w:pPr>
              <w:spacing w:after="0"/>
              <w:jc w:val="center"/>
              <w:rPr>
                <w:rFonts w:cs="Arial"/>
                <w:sz w:val="16"/>
                <w:szCs w:val="16"/>
              </w:rPr>
            </w:pP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p>
        </w:tc>
        <w:tc>
          <w:tcPr>
            <w:tcW w:w="389" w:type="dxa"/>
            <w:tcMar>
              <w:left w:w="58" w:type="dxa"/>
              <w:right w:w="58" w:type="dxa"/>
            </w:tcMar>
            <w:vAlign w:val="center"/>
          </w:tcPr>
          <w:p w:rsidR="00AC40FC" w:rsidRPr="005E5DF1" w:rsidRDefault="00AC40FC" w:rsidP="00A57D87">
            <w:pPr>
              <w:spacing w:after="0"/>
              <w:jc w:val="center"/>
              <w:rPr>
                <w:rFonts w:cs="Arial"/>
                <w:sz w:val="16"/>
                <w:szCs w:val="16"/>
              </w:rPr>
            </w:pPr>
          </w:p>
        </w:tc>
      </w:tr>
      <w:tr w:rsidR="00AC40FC" w:rsidRPr="005E5DF1" w:rsidTr="00A57D87">
        <w:trPr>
          <w:jc w:val="center"/>
        </w:trPr>
        <w:tc>
          <w:tcPr>
            <w:tcW w:w="2128" w:type="dxa"/>
            <w:tcMar>
              <w:left w:w="58" w:type="dxa"/>
              <w:right w:w="58" w:type="dxa"/>
            </w:tcMar>
          </w:tcPr>
          <w:p w:rsidR="00AC40FC" w:rsidRPr="005E5DF1" w:rsidRDefault="00AC40FC" w:rsidP="00A57D87">
            <w:pPr>
              <w:spacing w:after="0"/>
              <w:rPr>
                <w:rFonts w:cs="Arial"/>
                <w:sz w:val="16"/>
                <w:szCs w:val="16"/>
              </w:rPr>
            </w:pPr>
            <w:r w:rsidRPr="005E5DF1">
              <w:rPr>
                <w:rFonts w:cs="Arial"/>
                <w:sz w:val="16"/>
                <w:szCs w:val="16"/>
              </w:rPr>
              <w:t>65-Line Technician</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346</w:t>
            </w:r>
          </w:p>
        </w:tc>
        <w:tc>
          <w:tcPr>
            <w:tcW w:w="54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0.0%</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2.0%</w:t>
            </w:r>
          </w:p>
        </w:tc>
        <w:tc>
          <w:tcPr>
            <w:tcW w:w="540"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6</w:t>
            </w:r>
          </w:p>
        </w:tc>
        <w:tc>
          <w:tcPr>
            <w:tcW w:w="601"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345</w:t>
            </w:r>
          </w:p>
        </w:tc>
        <w:tc>
          <w:tcPr>
            <w:tcW w:w="45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0.0%</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2.4%</w:t>
            </w:r>
          </w:p>
        </w:tc>
        <w:tc>
          <w:tcPr>
            <w:tcW w:w="389"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8</w:t>
            </w:r>
          </w:p>
        </w:tc>
        <w:tc>
          <w:tcPr>
            <w:tcW w:w="540"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349</w:t>
            </w:r>
          </w:p>
        </w:tc>
        <w:tc>
          <w:tcPr>
            <w:tcW w:w="54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1</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0.3%</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0.2%</w:t>
            </w:r>
          </w:p>
        </w:tc>
        <w:tc>
          <w:tcPr>
            <w:tcW w:w="540"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w:t>
            </w:r>
          </w:p>
        </w:tc>
        <w:tc>
          <w:tcPr>
            <w:tcW w:w="664"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339</w:t>
            </w:r>
          </w:p>
        </w:tc>
        <w:tc>
          <w:tcPr>
            <w:tcW w:w="387"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1</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0.3%</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0.4%</w:t>
            </w:r>
          </w:p>
        </w:tc>
        <w:tc>
          <w:tcPr>
            <w:tcW w:w="389"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0</w:t>
            </w:r>
          </w:p>
        </w:tc>
      </w:tr>
      <w:tr w:rsidR="00AC40FC" w:rsidRPr="005E5DF1" w:rsidTr="00A57D87">
        <w:trPr>
          <w:jc w:val="center"/>
        </w:trPr>
        <w:tc>
          <w:tcPr>
            <w:tcW w:w="2128" w:type="dxa"/>
            <w:tcMar>
              <w:left w:w="58" w:type="dxa"/>
              <w:right w:w="58" w:type="dxa"/>
            </w:tcMar>
          </w:tcPr>
          <w:p w:rsidR="00AC40FC" w:rsidRPr="005E5DF1" w:rsidRDefault="00AC40FC" w:rsidP="00A57D87">
            <w:pPr>
              <w:spacing w:after="0"/>
              <w:rPr>
                <w:rFonts w:cs="Arial"/>
                <w:sz w:val="16"/>
                <w:szCs w:val="16"/>
              </w:rPr>
            </w:pPr>
            <w:r w:rsidRPr="005E5DF1">
              <w:rPr>
                <w:rFonts w:cs="Arial"/>
                <w:sz w:val="16"/>
                <w:szCs w:val="16"/>
              </w:rPr>
              <w:t>73-SemiSkilled</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p>
        </w:tc>
        <w:tc>
          <w:tcPr>
            <w:tcW w:w="540" w:type="dxa"/>
            <w:tcMar>
              <w:left w:w="58" w:type="dxa"/>
              <w:right w:w="58" w:type="dxa"/>
            </w:tcMar>
            <w:vAlign w:val="center"/>
          </w:tcPr>
          <w:p w:rsidR="00AC40FC" w:rsidRPr="005E5DF1" w:rsidRDefault="00AC40FC" w:rsidP="00A57D87">
            <w:pPr>
              <w:spacing w:after="0"/>
              <w:jc w:val="center"/>
              <w:rPr>
                <w:rFonts w:cs="Arial"/>
                <w:sz w:val="16"/>
                <w:szCs w:val="16"/>
              </w:rPr>
            </w:pP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p>
        </w:tc>
        <w:tc>
          <w:tcPr>
            <w:tcW w:w="540"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w:t>
            </w:r>
          </w:p>
        </w:tc>
        <w:tc>
          <w:tcPr>
            <w:tcW w:w="601"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p>
        </w:tc>
        <w:tc>
          <w:tcPr>
            <w:tcW w:w="450" w:type="dxa"/>
            <w:tcMar>
              <w:left w:w="58" w:type="dxa"/>
              <w:right w:w="58" w:type="dxa"/>
            </w:tcMar>
            <w:vAlign w:val="center"/>
          </w:tcPr>
          <w:p w:rsidR="00AC40FC" w:rsidRPr="005E5DF1" w:rsidRDefault="00AC40FC" w:rsidP="00A57D87">
            <w:pPr>
              <w:spacing w:after="0"/>
              <w:jc w:val="center"/>
              <w:rPr>
                <w:rFonts w:cs="Arial"/>
                <w:sz w:val="16"/>
                <w:szCs w:val="16"/>
              </w:rPr>
            </w:pP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p>
        </w:tc>
        <w:tc>
          <w:tcPr>
            <w:tcW w:w="389"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p>
        </w:tc>
        <w:tc>
          <w:tcPr>
            <w:tcW w:w="540"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36</w:t>
            </w:r>
          </w:p>
        </w:tc>
        <w:tc>
          <w:tcPr>
            <w:tcW w:w="54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8</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22.2%</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29.2%</w:t>
            </w:r>
          </w:p>
        </w:tc>
        <w:tc>
          <w:tcPr>
            <w:tcW w:w="540"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2</w:t>
            </w:r>
          </w:p>
        </w:tc>
        <w:tc>
          <w:tcPr>
            <w:tcW w:w="664"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50</w:t>
            </w:r>
          </w:p>
        </w:tc>
        <w:tc>
          <w:tcPr>
            <w:tcW w:w="387"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11</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22.0%</w:t>
            </w:r>
          </w:p>
        </w:tc>
        <w:tc>
          <w:tcPr>
            <w:tcW w:w="630"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25.6%</w:t>
            </w:r>
          </w:p>
        </w:tc>
        <w:tc>
          <w:tcPr>
            <w:tcW w:w="389" w:type="dxa"/>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1</w:t>
            </w:r>
          </w:p>
        </w:tc>
      </w:tr>
      <w:tr w:rsidR="00AC40FC" w:rsidRPr="005E5DF1" w:rsidTr="00A57D87">
        <w:trPr>
          <w:jc w:val="center"/>
        </w:trPr>
        <w:tc>
          <w:tcPr>
            <w:tcW w:w="2128" w:type="dxa"/>
            <w:tcBorders>
              <w:bottom w:val="single" w:sz="12" w:space="0" w:color="auto"/>
            </w:tcBorders>
            <w:tcMar>
              <w:left w:w="58" w:type="dxa"/>
              <w:right w:w="58" w:type="dxa"/>
            </w:tcMar>
          </w:tcPr>
          <w:p w:rsidR="00AC40FC" w:rsidRPr="005E5DF1" w:rsidRDefault="00AC40FC" w:rsidP="00A57D87">
            <w:pPr>
              <w:spacing w:after="0"/>
              <w:rPr>
                <w:rFonts w:cs="Arial"/>
                <w:sz w:val="16"/>
                <w:szCs w:val="16"/>
              </w:rPr>
            </w:pPr>
            <w:r w:rsidRPr="005E5DF1">
              <w:rPr>
                <w:rFonts w:cs="Arial"/>
                <w:sz w:val="16"/>
                <w:szCs w:val="16"/>
              </w:rPr>
              <w:t>74-SemiSkilled-Field</w:t>
            </w:r>
          </w:p>
        </w:tc>
        <w:tc>
          <w:tcPr>
            <w:tcW w:w="630" w:type="dxa"/>
            <w:tcBorders>
              <w:bottom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46</w:t>
            </w:r>
          </w:p>
        </w:tc>
        <w:tc>
          <w:tcPr>
            <w:tcW w:w="540" w:type="dxa"/>
            <w:tcBorders>
              <w:bottom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9</w:t>
            </w:r>
          </w:p>
        </w:tc>
        <w:tc>
          <w:tcPr>
            <w:tcW w:w="630" w:type="dxa"/>
            <w:tcBorders>
              <w:bottom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19.6%</w:t>
            </w:r>
          </w:p>
        </w:tc>
        <w:tc>
          <w:tcPr>
            <w:tcW w:w="630" w:type="dxa"/>
            <w:tcBorders>
              <w:bottom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16.7%</w:t>
            </w:r>
          </w:p>
        </w:tc>
        <w:tc>
          <w:tcPr>
            <w:tcW w:w="540" w:type="dxa"/>
            <w:tcBorders>
              <w:bottom w:val="single" w:sz="12" w:space="0" w:color="auto"/>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w:t>
            </w:r>
          </w:p>
        </w:tc>
        <w:tc>
          <w:tcPr>
            <w:tcW w:w="601" w:type="dxa"/>
            <w:tcBorders>
              <w:left w:val="single" w:sz="12" w:space="0" w:color="auto"/>
              <w:bottom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40</w:t>
            </w:r>
          </w:p>
        </w:tc>
        <w:tc>
          <w:tcPr>
            <w:tcW w:w="450" w:type="dxa"/>
            <w:tcBorders>
              <w:bottom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6</w:t>
            </w:r>
          </w:p>
        </w:tc>
        <w:tc>
          <w:tcPr>
            <w:tcW w:w="630" w:type="dxa"/>
            <w:tcBorders>
              <w:bottom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15.0%</w:t>
            </w:r>
          </w:p>
        </w:tc>
        <w:tc>
          <w:tcPr>
            <w:tcW w:w="630" w:type="dxa"/>
            <w:tcBorders>
              <w:bottom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8.8%</w:t>
            </w:r>
          </w:p>
        </w:tc>
        <w:tc>
          <w:tcPr>
            <w:tcW w:w="389" w:type="dxa"/>
            <w:tcBorders>
              <w:bottom w:val="single" w:sz="12" w:space="0" w:color="auto"/>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w:t>
            </w:r>
          </w:p>
        </w:tc>
        <w:tc>
          <w:tcPr>
            <w:tcW w:w="540" w:type="dxa"/>
            <w:tcBorders>
              <w:left w:val="single" w:sz="12" w:space="0" w:color="auto"/>
              <w:bottom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p>
        </w:tc>
        <w:tc>
          <w:tcPr>
            <w:tcW w:w="540" w:type="dxa"/>
            <w:tcBorders>
              <w:bottom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p>
        </w:tc>
        <w:tc>
          <w:tcPr>
            <w:tcW w:w="630" w:type="dxa"/>
            <w:tcBorders>
              <w:bottom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p>
        </w:tc>
        <w:tc>
          <w:tcPr>
            <w:tcW w:w="630" w:type="dxa"/>
            <w:tcBorders>
              <w:bottom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p>
        </w:tc>
        <w:tc>
          <w:tcPr>
            <w:tcW w:w="540" w:type="dxa"/>
            <w:tcBorders>
              <w:bottom w:val="single" w:sz="12" w:space="0" w:color="auto"/>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p>
        </w:tc>
        <w:tc>
          <w:tcPr>
            <w:tcW w:w="664" w:type="dxa"/>
            <w:tcBorders>
              <w:left w:val="single" w:sz="12" w:space="0" w:color="auto"/>
              <w:bottom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p>
        </w:tc>
        <w:tc>
          <w:tcPr>
            <w:tcW w:w="387" w:type="dxa"/>
            <w:tcBorders>
              <w:bottom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p>
        </w:tc>
        <w:tc>
          <w:tcPr>
            <w:tcW w:w="630" w:type="dxa"/>
            <w:tcBorders>
              <w:bottom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p>
        </w:tc>
        <w:tc>
          <w:tcPr>
            <w:tcW w:w="630" w:type="dxa"/>
            <w:tcBorders>
              <w:bottom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p>
        </w:tc>
        <w:tc>
          <w:tcPr>
            <w:tcW w:w="389" w:type="dxa"/>
            <w:tcBorders>
              <w:bottom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p>
        </w:tc>
      </w:tr>
      <w:tr w:rsidR="00AC40FC" w:rsidRPr="005E5DF1" w:rsidTr="00A57D87">
        <w:trPr>
          <w:jc w:val="center"/>
        </w:trPr>
        <w:tc>
          <w:tcPr>
            <w:tcW w:w="2128" w:type="dxa"/>
            <w:tcBorders>
              <w:top w:val="single" w:sz="12" w:space="0" w:color="auto"/>
            </w:tcBorders>
            <w:tcMar>
              <w:left w:w="58" w:type="dxa"/>
              <w:right w:w="58" w:type="dxa"/>
            </w:tcMar>
          </w:tcPr>
          <w:p w:rsidR="00AC40FC" w:rsidRPr="005E5DF1" w:rsidRDefault="00AC40FC" w:rsidP="00A57D87">
            <w:pPr>
              <w:spacing w:after="0"/>
              <w:rPr>
                <w:rFonts w:cs="Arial"/>
                <w:sz w:val="16"/>
                <w:szCs w:val="16"/>
              </w:rPr>
            </w:pPr>
            <w:r w:rsidRPr="005E5DF1">
              <w:rPr>
                <w:rFonts w:cs="Arial"/>
                <w:sz w:val="16"/>
                <w:szCs w:val="16"/>
              </w:rPr>
              <w:t>81-Laborer &amp; Helper</w:t>
            </w:r>
          </w:p>
        </w:tc>
        <w:tc>
          <w:tcPr>
            <w:tcW w:w="630" w:type="dxa"/>
            <w:tcBorders>
              <w:top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71</w:t>
            </w:r>
          </w:p>
        </w:tc>
        <w:tc>
          <w:tcPr>
            <w:tcW w:w="540" w:type="dxa"/>
            <w:tcBorders>
              <w:top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4</w:t>
            </w:r>
          </w:p>
        </w:tc>
        <w:tc>
          <w:tcPr>
            <w:tcW w:w="630" w:type="dxa"/>
            <w:tcBorders>
              <w:top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5.6%</w:t>
            </w:r>
          </w:p>
        </w:tc>
        <w:tc>
          <w:tcPr>
            <w:tcW w:w="630" w:type="dxa"/>
            <w:tcBorders>
              <w:top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11.1%</w:t>
            </w:r>
          </w:p>
        </w:tc>
        <w:tc>
          <w:tcPr>
            <w:tcW w:w="540" w:type="dxa"/>
            <w:tcBorders>
              <w:top w:val="single" w:sz="12" w:space="0" w:color="auto"/>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3</w:t>
            </w:r>
          </w:p>
        </w:tc>
        <w:tc>
          <w:tcPr>
            <w:tcW w:w="601" w:type="dxa"/>
            <w:tcBorders>
              <w:top w:val="single" w:sz="12" w:space="0" w:color="auto"/>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40</w:t>
            </w:r>
          </w:p>
        </w:tc>
        <w:tc>
          <w:tcPr>
            <w:tcW w:w="450" w:type="dxa"/>
            <w:tcBorders>
              <w:top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1</w:t>
            </w:r>
          </w:p>
        </w:tc>
        <w:tc>
          <w:tcPr>
            <w:tcW w:w="630" w:type="dxa"/>
            <w:tcBorders>
              <w:top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2.5%</w:t>
            </w:r>
          </w:p>
        </w:tc>
        <w:tc>
          <w:tcPr>
            <w:tcW w:w="630" w:type="dxa"/>
            <w:tcBorders>
              <w:top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14.4%</w:t>
            </w:r>
          </w:p>
        </w:tc>
        <w:tc>
          <w:tcPr>
            <w:tcW w:w="389" w:type="dxa"/>
            <w:tcBorders>
              <w:top w:val="single" w:sz="12" w:space="0" w:color="auto"/>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4</w:t>
            </w:r>
          </w:p>
        </w:tc>
        <w:tc>
          <w:tcPr>
            <w:tcW w:w="540" w:type="dxa"/>
            <w:tcBorders>
              <w:top w:val="single" w:sz="12" w:space="0" w:color="auto"/>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132</w:t>
            </w:r>
          </w:p>
        </w:tc>
        <w:tc>
          <w:tcPr>
            <w:tcW w:w="540" w:type="dxa"/>
            <w:tcBorders>
              <w:top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17</w:t>
            </w:r>
          </w:p>
        </w:tc>
        <w:tc>
          <w:tcPr>
            <w:tcW w:w="630" w:type="dxa"/>
            <w:tcBorders>
              <w:top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12.9%</w:t>
            </w:r>
          </w:p>
        </w:tc>
        <w:tc>
          <w:tcPr>
            <w:tcW w:w="630" w:type="dxa"/>
            <w:tcBorders>
              <w:top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13.8%</w:t>
            </w:r>
          </w:p>
        </w:tc>
        <w:tc>
          <w:tcPr>
            <w:tcW w:w="540" w:type="dxa"/>
            <w:tcBorders>
              <w:top w:val="single" w:sz="12" w:space="0" w:color="auto"/>
              <w:righ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sidRPr="005E5DF1">
              <w:rPr>
                <w:rFonts w:cs="Arial"/>
                <w:sz w:val="16"/>
                <w:szCs w:val="16"/>
              </w:rPr>
              <w:t>0</w:t>
            </w:r>
          </w:p>
        </w:tc>
        <w:tc>
          <w:tcPr>
            <w:tcW w:w="664" w:type="dxa"/>
            <w:tcBorders>
              <w:top w:val="single" w:sz="12" w:space="0" w:color="auto"/>
              <w:left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94</w:t>
            </w:r>
          </w:p>
        </w:tc>
        <w:tc>
          <w:tcPr>
            <w:tcW w:w="387" w:type="dxa"/>
            <w:tcBorders>
              <w:top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14</w:t>
            </w:r>
          </w:p>
        </w:tc>
        <w:tc>
          <w:tcPr>
            <w:tcW w:w="630" w:type="dxa"/>
            <w:tcBorders>
              <w:top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14.9%</w:t>
            </w:r>
          </w:p>
        </w:tc>
        <w:tc>
          <w:tcPr>
            <w:tcW w:w="630" w:type="dxa"/>
            <w:tcBorders>
              <w:top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15.6%</w:t>
            </w:r>
          </w:p>
        </w:tc>
        <w:tc>
          <w:tcPr>
            <w:tcW w:w="389" w:type="dxa"/>
            <w:tcBorders>
              <w:top w:val="single" w:sz="12" w:space="0" w:color="auto"/>
            </w:tcBorders>
            <w:tcMar>
              <w:left w:w="58" w:type="dxa"/>
              <w:right w:w="58" w:type="dxa"/>
            </w:tcMar>
            <w:vAlign w:val="center"/>
          </w:tcPr>
          <w:p w:rsidR="00AC40FC" w:rsidRPr="005E5DF1" w:rsidRDefault="00AC40FC" w:rsidP="00A57D87">
            <w:pPr>
              <w:spacing w:after="0"/>
              <w:jc w:val="center"/>
              <w:rPr>
                <w:rFonts w:cs="Arial"/>
                <w:sz w:val="16"/>
                <w:szCs w:val="16"/>
              </w:rPr>
            </w:pPr>
            <w:r>
              <w:rPr>
                <w:rFonts w:cs="Arial"/>
                <w:sz w:val="16"/>
                <w:szCs w:val="16"/>
              </w:rPr>
              <w:t>0</w:t>
            </w:r>
          </w:p>
        </w:tc>
      </w:tr>
      <w:tr w:rsidR="00AC40FC" w:rsidRPr="005E5DF1" w:rsidTr="00A57D87">
        <w:trPr>
          <w:jc w:val="center"/>
        </w:trPr>
        <w:tc>
          <w:tcPr>
            <w:tcW w:w="2128" w:type="dxa"/>
            <w:tcMar>
              <w:left w:w="58" w:type="dxa"/>
              <w:right w:w="58" w:type="dxa"/>
            </w:tcMar>
          </w:tcPr>
          <w:p w:rsidR="00AC40FC" w:rsidRPr="005E5DF1" w:rsidRDefault="00AC40FC" w:rsidP="00A57D87">
            <w:pPr>
              <w:spacing w:after="0"/>
              <w:jc w:val="right"/>
              <w:rPr>
                <w:rFonts w:cs="Arial"/>
                <w:b/>
                <w:sz w:val="16"/>
                <w:szCs w:val="16"/>
              </w:rPr>
            </w:pPr>
            <w:r w:rsidRPr="005E5DF1">
              <w:rPr>
                <w:rFonts w:cs="Arial"/>
                <w:b/>
                <w:sz w:val="16"/>
                <w:szCs w:val="16"/>
              </w:rPr>
              <w:t>TOTALS:</w:t>
            </w:r>
          </w:p>
        </w:tc>
        <w:tc>
          <w:tcPr>
            <w:tcW w:w="630" w:type="dxa"/>
            <w:tcMar>
              <w:left w:w="58" w:type="dxa"/>
              <w:right w:w="58" w:type="dxa"/>
            </w:tcMar>
            <w:vAlign w:val="center"/>
          </w:tcPr>
          <w:p w:rsidR="00AC40FC" w:rsidRPr="005E5DF1" w:rsidRDefault="00AC40FC" w:rsidP="00A57D87">
            <w:pPr>
              <w:spacing w:after="0"/>
              <w:jc w:val="center"/>
              <w:rPr>
                <w:rFonts w:cs="Arial"/>
                <w:b/>
                <w:sz w:val="16"/>
                <w:szCs w:val="16"/>
              </w:rPr>
            </w:pPr>
            <w:r w:rsidRPr="005E5DF1">
              <w:rPr>
                <w:rFonts w:cs="Arial"/>
                <w:b/>
                <w:sz w:val="16"/>
                <w:szCs w:val="16"/>
              </w:rPr>
              <w:t>2,309</w:t>
            </w:r>
          </w:p>
        </w:tc>
        <w:tc>
          <w:tcPr>
            <w:tcW w:w="540" w:type="dxa"/>
            <w:tcMar>
              <w:left w:w="58" w:type="dxa"/>
              <w:right w:w="58" w:type="dxa"/>
            </w:tcMar>
            <w:vAlign w:val="center"/>
          </w:tcPr>
          <w:p w:rsidR="00AC40FC" w:rsidRPr="005E5DF1" w:rsidRDefault="00AC40FC" w:rsidP="00A57D87">
            <w:pPr>
              <w:spacing w:after="0"/>
              <w:jc w:val="center"/>
              <w:rPr>
                <w:rFonts w:cs="Arial"/>
                <w:b/>
                <w:sz w:val="16"/>
                <w:szCs w:val="16"/>
              </w:rPr>
            </w:pPr>
            <w:r w:rsidRPr="005E5DF1">
              <w:rPr>
                <w:rFonts w:cs="Arial"/>
                <w:b/>
                <w:sz w:val="16"/>
                <w:szCs w:val="16"/>
              </w:rPr>
              <w:t>599</w:t>
            </w:r>
          </w:p>
        </w:tc>
        <w:tc>
          <w:tcPr>
            <w:tcW w:w="630" w:type="dxa"/>
            <w:tcMar>
              <w:left w:w="58" w:type="dxa"/>
              <w:right w:w="58" w:type="dxa"/>
            </w:tcMar>
            <w:vAlign w:val="center"/>
          </w:tcPr>
          <w:p w:rsidR="00AC40FC" w:rsidRPr="005E5DF1" w:rsidRDefault="00AC40FC" w:rsidP="00A57D87">
            <w:pPr>
              <w:spacing w:after="0"/>
              <w:jc w:val="center"/>
              <w:rPr>
                <w:rFonts w:cs="Arial"/>
                <w:b/>
                <w:sz w:val="16"/>
                <w:szCs w:val="16"/>
              </w:rPr>
            </w:pPr>
            <w:r w:rsidRPr="005E5DF1">
              <w:rPr>
                <w:rFonts w:cs="Arial"/>
                <w:b/>
                <w:sz w:val="16"/>
                <w:szCs w:val="16"/>
              </w:rPr>
              <w:t>25.9</w:t>
            </w:r>
            <w:r w:rsidRPr="005E5DF1">
              <w:rPr>
                <w:rFonts w:cs="Arial"/>
                <w:sz w:val="16"/>
                <w:szCs w:val="16"/>
              </w:rPr>
              <w:t>%</w:t>
            </w:r>
          </w:p>
        </w:tc>
        <w:tc>
          <w:tcPr>
            <w:tcW w:w="630" w:type="dxa"/>
            <w:tcMar>
              <w:left w:w="58" w:type="dxa"/>
              <w:right w:w="58" w:type="dxa"/>
            </w:tcMar>
            <w:vAlign w:val="center"/>
          </w:tcPr>
          <w:p w:rsidR="00AC40FC" w:rsidRPr="005E5DF1" w:rsidRDefault="00AC40FC" w:rsidP="00A57D87">
            <w:pPr>
              <w:spacing w:after="0"/>
              <w:jc w:val="center"/>
              <w:rPr>
                <w:rFonts w:cs="Arial"/>
                <w:b/>
                <w:sz w:val="16"/>
                <w:szCs w:val="16"/>
              </w:rPr>
            </w:pPr>
            <w:r w:rsidRPr="005E5DF1">
              <w:rPr>
                <w:rFonts w:cs="Arial"/>
                <w:b/>
                <w:sz w:val="16"/>
                <w:szCs w:val="16"/>
              </w:rPr>
              <w:t>26.4</w:t>
            </w:r>
            <w:r w:rsidRPr="005E5DF1">
              <w:rPr>
                <w:rFonts w:cs="Arial"/>
                <w:sz w:val="16"/>
                <w:szCs w:val="16"/>
              </w:rPr>
              <w:t>%</w:t>
            </w:r>
          </w:p>
        </w:tc>
        <w:tc>
          <w:tcPr>
            <w:tcW w:w="540"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b/>
                <w:sz w:val="16"/>
                <w:szCs w:val="16"/>
              </w:rPr>
            </w:pPr>
            <w:r w:rsidRPr="005E5DF1">
              <w:rPr>
                <w:rFonts w:cs="Arial"/>
                <w:b/>
                <w:sz w:val="16"/>
                <w:szCs w:val="16"/>
              </w:rPr>
              <w:t>27</w:t>
            </w:r>
          </w:p>
        </w:tc>
        <w:tc>
          <w:tcPr>
            <w:tcW w:w="601"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b/>
                <w:sz w:val="16"/>
                <w:szCs w:val="16"/>
              </w:rPr>
            </w:pPr>
            <w:r w:rsidRPr="005E5DF1">
              <w:rPr>
                <w:rFonts w:cs="Arial"/>
                <w:b/>
                <w:sz w:val="16"/>
                <w:szCs w:val="16"/>
              </w:rPr>
              <w:t>2,238</w:t>
            </w:r>
          </w:p>
        </w:tc>
        <w:tc>
          <w:tcPr>
            <w:tcW w:w="450" w:type="dxa"/>
            <w:tcMar>
              <w:left w:w="58" w:type="dxa"/>
              <w:right w:w="58" w:type="dxa"/>
            </w:tcMar>
            <w:vAlign w:val="center"/>
          </w:tcPr>
          <w:p w:rsidR="00AC40FC" w:rsidRPr="005E5DF1" w:rsidRDefault="00AC40FC" w:rsidP="00A57D87">
            <w:pPr>
              <w:spacing w:after="0"/>
              <w:jc w:val="center"/>
              <w:rPr>
                <w:rFonts w:cs="Arial"/>
                <w:b/>
                <w:sz w:val="16"/>
                <w:szCs w:val="16"/>
              </w:rPr>
            </w:pPr>
            <w:r w:rsidRPr="005E5DF1">
              <w:rPr>
                <w:rFonts w:cs="Arial"/>
                <w:b/>
                <w:sz w:val="16"/>
                <w:szCs w:val="16"/>
              </w:rPr>
              <w:t>582</w:t>
            </w:r>
          </w:p>
        </w:tc>
        <w:tc>
          <w:tcPr>
            <w:tcW w:w="630" w:type="dxa"/>
            <w:tcMar>
              <w:left w:w="58" w:type="dxa"/>
              <w:right w:w="58" w:type="dxa"/>
            </w:tcMar>
            <w:vAlign w:val="center"/>
          </w:tcPr>
          <w:p w:rsidR="00AC40FC" w:rsidRPr="005E5DF1" w:rsidRDefault="00AC40FC" w:rsidP="00A57D87">
            <w:pPr>
              <w:spacing w:after="0"/>
              <w:jc w:val="center"/>
              <w:rPr>
                <w:rFonts w:cs="Arial"/>
                <w:b/>
                <w:sz w:val="16"/>
                <w:szCs w:val="16"/>
              </w:rPr>
            </w:pPr>
            <w:r w:rsidRPr="005E5DF1">
              <w:rPr>
                <w:rFonts w:cs="Arial"/>
                <w:b/>
                <w:sz w:val="16"/>
                <w:szCs w:val="16"/>
              </w:rPr>
              <w:t>26.0</w:t>
            </w:r>
            <w:r w:rsidRPr="005E5DF1">
              <w:rPr>
                <w:rFonts w:cs="Arial"/>
                <w:sz w:val="16"/>
                <w:szCs w:val="16"/>
              </w:rPr>
              <w:t>%</w:t>
            </w:r>
          </w:p>
        </w:tc>
        <w:tc>
          <w:tcPr>
            <w:tcW w:w="630" w:type="dxa"/>
            <w:tcMar>
              <w:left w:w="58" w:type="dxa"/>
              <w:right w:w="58" w:type="dxa"/>
            </w:tcMar>
            <w:vAlign w:val="center"/>
          </w:tcPr>
          <w:p w:rsidR="00AC40FC" w:rsidRPr="005E5DF1" w:rsidRDefault="00AC40FC" w:rsidP="00A57D87">
            <w:pPr>
              <w:spacing w:after="0"/>
              <w:jc w:val="center"/>
              <w:rPr>
                <w:rFonts w:cs="Arial"/>
                <w:b/>
                <w:sz w:val="16"/>
                <w:szCs w:val="16"/>
              </w:rPr>
            </w:pPr>
            <w:r w:rsidRPr="005E5DF1">
              <w:rPr>
                <w:rFonts w:cs="Arial"/>
                <w:b/>
                <w:sz w:val="16"/>
                <w:szCs w:val="16"/>
              </w:rPr>
              <w:t>25.3</w:t>
            </w:r>
            <w:r w:rsidRPr="005E5DF1">
              <w:rPr>
                <w:rFonts w:cs="Arial"/>
                <w:sz w:val="16"/>
                <w:szCs w:val="16"/>
              </w:rPr>
              <w:t>%</w:t>
            </w:r>
          </w:p>
        </w:tc>
        <w:tc>
          <w:tcPr>
            <w:tcW w:w="389"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b/>
                <w:sz w:val="16"/>
                <w:szCs w:val="16"/>
              </w:rPr>
            </w:pPr>
            <w:r w:rsidRPr="005E5DF1">
              <w:rPr>
                <w:rFonts w:cs="Arial"/>
                <w:b/>
                <w:sz w:val="16"/>
                <w:szCs w:val="16"/>
              </w:rPr>
              <w:t>16</w:t>
            </w:r>
          </w:p>
        </w:tc>
        <w:tc>
          <w:tcPr>
            <w:tcW w:w="540"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b/>
                <w:sz w:val="16"/>
                <w:szCs w:val="16"/>
              </w:rPr>
            </w:pPr>
            <w:r w:rsidRPr="005E5DF1">
              <w:rPr>
                <w:rFonts w:cs="Arial"/>
                <w:b/>
                <w:sz w:val="16"/>
                <w:szCs w:val="16"/>
              </w:rPr>
              <w:t>2,265</w:t>
            </w:r>
          </w:p>
        </w:tc>
        <w:tc>
          <w:tcPr>
            <w:tcW w:w="540" w:type="dxa"/>
            <w:tcMar>
              <w:left w:w="58" w:type="dxa"/>
              <w:right w:w="58" w:type="dxa"/>
            </w:tcMar>
            <w:vAlign w:val="center"/>
          </w:tcPr>
          <w:p w:rsidR="00AC40FC" w:rsidRPr="005E5DF1" w:rsidRDefault="00AC40FC" w:rsidP="00A57D87">
            <w:pPr>
              <w:spacing w:after="0"/>
              <w:jc w:val="center"/>
              <w:rPr>
                <w:rFonts w:cs="Arial"/>
                <w:b/>
                <w:sz w:val="16"/>
                <w:szCs w:val="16"/>
              </w:rPr>
            </w:pPr>
            <w:r w:rsidRPr="005E5DF1">
              <w:rPr>
                <w:rFonts w:cs="Arial"/>
                <w:b/>
                <w:sz w:val="16"/>
                <w:szCs w:val="16"/>
              </w:rPr>
              <w:t>570</w:t>
            </w:r>
          </w:p>
        </w:tc>
        <w:tc>
          <w:tcPr>
            <w:tcW w:w="630" w:type="dxa"/>
            <w:tcMar>
              <w:left w:w="58" w:type="dxa"/>
              <w:right w:w="58" w:type="dxa"/>
            </w:tcMar>
            <w:vAlign w:val="center"/>
          </w:tcPr>
          <w:p w:rsidR="00AC40FC" w:rsidRPr="005E5DF1" w:rsidRDefault="00AC40FC" w:rsidP="00A57D87">
            <w:pPr>
              <w:spacing w:after="0"/>
              <w:jc w:val="center"/>
              <w:rPr>
                <w:rFonts w:cs="Arial"/>
                <w:b/>
                <w:sz w:val="16"/>
                <w:szCs w:val="16"/>
              </w:rPr>
            </w:pPr>
            <w:r w:rsidRPr="005E5DF1">
              <w:rPr>
                <w:rFonts w:cs="Arial"/>
                <w:b/>
                <w:sz w:val="16"/>
                <w:szCs w:val="16"/>
              </w:rPr>
              <w:t>25.2</w:t>
            </w:r>
            <w:r w:rsidRPr="005E5DF1">
              <w:rPr>
                <w:rFonts w:cs="Arial"/>
                <w:sz w:val="16"/>
                <w:szCs w:val="16"/>
              </w:rPr>
              <w:t>%</w:t>
            </w:r>
          </w:p>
        </w:tc>
        <w:tc>
          <w:tcPr>
            <w:tcW w:w="630" w:type="dxa"/>
            <w:tcMar>
              <w:left w:w="58" w:type="dxa"/>
              <w:right w:w="58" w:type="dxa"/>
            </w:tcMar>
            <w:vAlign w:val="center"/>
          </w:tcPr>
          <w:p w:rsidR="00AC40FC" w:rsidRPr="005E5DF1" w:rsidRDefault="00AC40FC" w:rsidP="00A57D87">
            <w:pPr>
              <w:spacing w:after="0"/>
              <w:jc w:val="center"/>
              <w:rPr>
                <w:rFonts w:cs="Arial"/>
                <w:b/>
                <w:sz w:val="16"/>
                <w:szCs w:val="16"/>
              </w:rPr>
            </w:pPr>
            <w:r w:rsidRPr="005E5DF1">
              <w:rPr>
                <w:rFonts w:cs="Arial"/>
                <w:b/>
                <w:sz w:val="16"/>
                <w:szCs w:val="16"/>
              </w:rPr>
              <w:t>26.9</w:t>
            </w:r>
            <w:r w:rsidRPr="005E5DF1">
              <w:rPr>
                <w:rFonts w:cs="Arial"/>
                <w:sz w:val="16"/>
                <w:szCs w:val="16"/>
              </w:rPr>
              <w:t>%</w:t>
            </w:r>
          </w:p>
        </w:tc>
        <w:tc>
          <w:tcPr>
            <w:tcW w:w="540" w:type="dxa"/>
            <w:tcBorders>
              <w:right w:val="single" w:sz="12" w:space="0" w:color="auto"/>
            </w:tcBorders>
            <w:tcMar>
              <w:left w:w="58" w:type="dxa"/>
              <w:right w:w="58" w:type="dxa"/>
            </w:tcMar>
            <w:vAlign w:val="center"/>
          </w:tcPr>
          <w:p w:rsidR="00AC40FC" w:rsidRPr="005E5DF1" w:rsidRDefault="00AC40FC" w:rsidP="00A57D87">
            <w:pPr>
              <w:spacing w:after="0"/>
              <w:jc w:val="center"/>
              <w:rPr>
                <w:rFonts w:cs="Arial"/>
                <w:b/>
                <w:sz w:val="16"/>
                <w:szCs w:val="16"/>
              </w:rPr>
            </w:pPr>
            <w:r w:rsidRPr="005E5DF1">
              <w:rPr>
                <w:rFonts w:cs="Arial"/>
                <w:b/>
                <w:sz w:val="16"/>
                <w:szCs w:val="16"/>
              </w:rPr>
              <w:t>61</w:t>
            </w:r>
          </w:p>
        </w:tc>
        <w:tc>
          <w:tcPr>
            <w:tcW w:w="664" w:type="dxa"/>
            <w:tcBorders>
              <w:left w:val="single" w:sz="12" w:space="0" w:color="auto"/>
            </w:tcBorders>
            <w:tcMar>
              <w:left w:w="58" w:type="dxa"/>
              <w:right w:w="58" w:type="dxa"/>
            </w:tcMar>
            <w:vAlign w:val="center"/>
          </w:tcPr>
          <w:p w:rsidR="00AC40FC" w:rsidRPr="005E5DF1" w:rsidRDefault="00AC40FC" w:rsidP="00A57D87">
            <w:pPr>
              <w:spacing w:after="0"/>
              <w:jc w:val="center"/>
              <w:rPr>
                <w:rFonts w:cs="Arial"/>
                <w:b/>
                <w:sz w:val="16"/>
                <w:szCs w:val="16"/>
              </w:rPr>
            </w:pPr>
            <w:r>
              <w:rPr>
                <w:rFonts w:cs="Arial"/>
                <w:b/>
                <w:sz w:val="16"/>
                <w:szCs w:val="16"/>
              </w:rPr>
              <w:t>2,203</w:t>
            </w:r>
          </w:p>
        </w:tc>
        <w:tc>
          <w:tcPr>
            <w:tcW w:w="387" w:type="dxa"/>
            <w:tcMar>
              <w:left w:w="58" w:type="dxa"/>
              <w:right w:w="58" w:type="dxa"/>
            </w:tcMar>
            <w:vAlign w:val="center"/>
          </w:tcPr>
          <w:p w:rsidR="00AC40FC" w:rsidRPr="005E5DF1" w:rsidRDefault="00AC40FC" w:rsidP="00A57D87">
            <w:pPr>
              <w:spacing w:after="0"/>
              <w:jc w:val="center"/>
              <w:rPr>
                <w:rFonts w:cs="Arial"/>
                <w:b/>
                <w:sz w:val="16"/>
                <w:szCs w:val="16"/>
              </w:rPr>
            </w:pPr>
            <w:r>
              <w:rPr>
                <w:rFonts w:cs="Arial"/>
                <w:b/>
                <w:sz w:val="16"/>
                <w:szCs w:val="16"/>
              </w:rPr>
              <w:t>550</w:t>
            </w:r>
          </w:p>
        </w:tc>
        <w:tc>
          <w:tcPr>
            <w:tcW w:w="630" w:type="dxa"/>
            <w:tcMar>
              <w:left w:w="58" w:type="dxa"/>
              <w:right w:w="58" w:type="dxa"/>
            </w:tcMar>
            <w:vAlign w:val="center"/>
          </w:tcPr>
          <w:p w:rsidR="00AC40FC" w:rsidRPr="005E5DF1" w:rsidRDefault="00AC40FC" w:rsidP="00A57D87">
            <w:pPr>
              <w:spacing w:after="0"/>
              <w:jc w:val="center"/>
              <w:rPr>
                <w:rFonts w:cs="Arial"/>
                <w:b/>
                <w:sz w:val="16"/>
                <w:szCs w:val="16"/>
              </w:rPr>
            </w:pPr>
          </w:p>
        </w:tc>
        <w:tc>
          <w:tcPr>
            <w:tcW w:w="630" w:type="dxa"/>
            <w:tcMar>
              <w:left w:w="58" w:type="dxa"/>
              <w:right w:w="58" w:type="dxa"/>
            </w:tcMar>
            <w:vAlign w:val="center"/>
          </w:tcPr>
          <w:p w:rsidR="00AC40FC" w:rsidRPr="005E5DF1" w:rsidRDefault="00AC40FC" w:rsidP="00A57D87">
            <w:pPr>
              <w:spacing w:after="0"/>
              <w:jc w:val="center"/>
              <w:rPr>
                <w:rFonts w:cs="Arial"/>
                <w:b/>
                <w:sz w:val="16"/>
                <w:szCs w:val="16"/>
              </w:rPr>
            </w:pPr>
          </w:p>
        </w:tc>
        <w:tc>
          <w:tcPr>
            <w:tcW w:w="389" w:type="dxa"/>
            <w:tcMar>
              <w:left w:w="58" w:type="dxa"/>
              <w:right w:w="58" w:type="dxa"/>
            </w:tcMar>
            <w:vAlign w:val="center"/>
          </w:tcPr>
          <w:p w:rsidR="00AC40FC" w:rsidRPr="005E5DF1" w:rsidRDefault="00AC40FC" w:rsidP="00A57D87">
            <w:pPr>
              <w:spacing w:after="0"/>
              <w:jc w:val="center"/>
              <w:rPr>
                <w:rFonts w:cs="Arial"/>
                <w:b/>
                <w:sz w:val="16"/>
                <w:szCs w:val="16"/>
              </w:rPr>
            </w:pPr>
            <w:r>
              <w:rPr>
                <w:rFonts w:cs="Arial"/>
                <w:b/>
                <w:sz w:val="16"/>
                <w:szCs w:val="16"/>
              </w:rPr>
              <w:t>75</w:t>
            </w:r>
          </w:p>
        </w:tc>
      </w:tr>
      <w:tr w:rsidR="00AC40FC" w:rsidRPr="005E5DF1" w:rsidTr="00A57D87">
        <w:trPr>
          <w:jc w:val="center"/>
        </w:trPr>
        <w:tc>
          <w:tcPr>
            <w:tcW w:w="13378" w:type="dxa"/>
            <w:gridSpan w:val="21"/>
            <w:tcMar>
              <w:left w:w="58" w:type="dxa"/>
              <w:right w:w="58" w:type="dxa"/>
            </w:tcMar>
          </w:tcPr>
          <w:p w:rsidR="00AC40FC" w:rsidRPr="005E5DF1" w:rsidRDefault="00AC40FC" w:rsidP="00A57D87">
            <w:pPr>
              <w:spacing w:after="0"/>
              <w:rPr>
                <w:rFonts w:cs="Arial"/>
                <w:sz w:val="16"/>
                <w:szCs w:val="16"/>
              </w:rPr>
            </w:pPr>
            <w:r w:rsidRPr="005E5DF1">
              <w:rPr>
                <w:rFonts w:cs="Arial"/>
                <w:sz w:val="16"/>
                <w:szCs w:val="16"/>
              </w:rPr>
              <w:t>Sources: DN 17-101; DN 17-108a; DN 17-128; DN 17-144; DN 17-146</w:t>
            </w:r>
          </w:p>
        </w:tc>
      </w:tr>
    </w:tbl>
    <w:p w:rsidR="00AC40FC" w:rsidRDefault="00AC40FC" w:rsidP="00A57D87">
      <w:pPr>
        <w:pStyle w:val="Normal-aftertable"/>
        <w:sectPr w:rsidR="00AC40FC" w:rsidSect="00A57D87">
          <w:headerReference w:type="default" r:id="rId87"/>
          <w:footerReference w:type="default" r:id="rId88"/>
          <w:pgSz w:w="15840" w:h="12240" w:orient="landscape"/>
          <w:pgMar w:top="1440" w:right="1080" w:bottom="1440" w:left="1080" w:header="720" w:footer="576" w:gutter="0"/>
          <w:cols w:space="720"/>
          <w:docGrid w:linePitch="360"/>
        </w:sectPr>
      </w:pPr>
    </w:p>
    <w:p w:rsidR="00AC40FC" w:rsidRDefault="00AC40FC" w:rsidP="00A57D87">
      <w:pPr>
        <w:pStyle w:val="Normal-aftertable"/>
      </w:pPr>
      <w:r>
        <w:lastRenderedPageBreak/>
        <w:t>The table above allows for identification of job groups in which there is a greater availability of females than what is represented in the employee compliment.  In 2014, only three of 21 job groups had identified potential underutilization.  Goals have established based on the data outlined in this table for those three job groups and progress has been made toward these established goals.  However, in 2015, seven of 21 job groups have identified potential underutilization.  Female utilization will need to continue being an area of focus for goal setting and goal achievement.</w:t>
      </w:r>
    </w:p>
    <w:p w:rsidR="00AC40FC" w:rsidRDefault="00AC40FC" w:rsidP="00A57D87">
      <w:r>
        <w:t>It should be noted that PPL EU was only required to determine utilization and set goals for minorities and females through 2015.  Beginning in 2016, it would be expected that PPL EU would determine utilization and set goals for individuals with disabilities as well as veterans in accordance with VEVRAA and Section 503 of the Rehabilitation Act.</w:t>
      </w:r>
    </w:p>
    <w:p w:rsidR="00AC40FC" w:rsidRDefault="00AC40FC" w:rsidP="00582143">
      <w:pPr>
        <w:pStyle w:val="Findings"/>
      </w:pPr>
      <w:r w:rsidRPr="00C332AA">
        <w:t xml:space="preserve">PPL EU </w:t>
      </w:r>
      <w:r w:rsidRPr="00582143">
        <w:t>complies</w:t>
      </w:r>
      <w:r w:rsidRPr="00C332AA">
        <w:t xml:space="preserve"> with Section 503 of the Rehabilitation Act and VEVRAA.</w:t>
      </w:r>
    </w:p>
    <w:p w:rsidR="00AC40FC" w:rsidRDefault="00AC40FC" w:rsidP="00A57D87">
      <w:r>
        <w:t>Overall, PPL EU does comply with Section 503 of the Rehabilitation Act and VEVRAA by taking affirmative action with respect to individuals with disabilities and veterans.  Such actions include prevention of discrimination in the workplace, gathering self-identification information from applicants, analyzing workplace data to determine if any adverse impact is occurring, and make efforts to recruit diverse candidate pools and utilize individuals with disabilities and veterans at approximately the same rate as those individuals comprise the relevant workforce.</w:t>
      </w:r>
      <w:r w:rsidDel="003D19A9">
        <w:rPr>
          <w:rStyle w:val="CommentReference"/>
        </w:rPr>
        <w:t xml:space="preserve"> </w:t>
      </w:r>
      <w:r>
        <w:t>Beginning in 2016, placement goals for veterans and individuals with disabilities will need to be established against the national percentage in the civilian labor force as published by the OFCCP on an annual basis.</w:t>
      </w:r>
    </w:p>
    <w:p w:rsidR="00AC40FC" w:rsidRDefault="00AC40FC" w:rsidP="00582143">
      <w:pPr>
        <w:pStyle w:val="Findings"/>
      </w:pPr>
      <w:r>
        <w:t xml:space="preserve">The </w:t>
      </w:r>
      <w:r w:rsidRPr="00582143">
        <w:t>EEO</w:t>
      </w:r>
      <w:r>
        <w:t>/AAP tagline on job advertisements is not sufficient.</w:t>
      </w:r>
    </w:p>
    <w:p w:rsidR="00AC40FC" w:rsidRDefault="00AC40FC" w:rsidP="00A57D87">
      <w:r>
        <w:t>Recent job advertisements include the following statement supporting PPL EU’s commitment to Affirmative Action and Equal Employment Opportunity:</w:t>
      </w:r>
      <w:r w:rsidRPr="00F11EC3">
        <w:t xml:space="preserve">  “PPL is an equal opportunity, affirmative action employer dedicated to diversity and</w:t>
      </w:r>
      <w:r>
        <w:t xml:space="preserve"> </w:t>
      </w:r>
      <w:r w:rsidRPr="00F11EC3">
        <w:t>the strength it brings to the workplace.</w:t>
      </w:r>
      <w:r>
        <w:t xml:space="preserve"> </w:t>
      </w:r>
      <w:r w:rsidRPr="00F11EC3">
        <w:t xml:space="preserve"> All qualified applicants will receive</w:t>
      </w:r>
      <w:r>
        <w:t xml:space="preserve"> </w:t>
      </w:r>
      <w:r w:rsidRPr="00F11EC3">
        <w:t>consideration for employment without regard to race, color, religion, sex, national</w:t>
      </w:r>
      <w:r>
        <w:t xml:space="preserve"> </w:t>
      </w:r>
      <w:r w:rsidRPr="00F11EC3">
        <w:t>origin, protected veteran status, or disability status</w:t>
      </w:r>
      <w:r>
        <w:t>.”</w:t>
      </w:r>
    </w:p>
    <w:p w:rsidR="00AC40FC" w:rsidRDefault="00AC40FC" w:rsidP="00A57D87">
      <w:r>
        <w:t>The tagline needs to include the protected classes of sexual orientation and gender ident</w:t>
      </w:r>
      <w:r w:rsidRPr="00D922B9">
        <w:t>ity as required by Executive Order 1367</w:t>
      </w:r>
      <w:r>
        <w:t>2.  Executive Order 13672, issued in late 2014, amended Executive Order 11246 by creating the additional protected classes of sexual orientation and gender identity and prohibiting federal government contractors from discriminating against individuals based on these protected characteristics.</w:t>
      </w:r>
    </w:p>
    <w:p w:rsidR="00AC40FC" w:rsidRDefault="00AC40FC" w:rsidP="00582143">
      <w:pPr>
        <w:pStyle w:val="Findings"/>
      </w:pPr>
      <w:r>
        <w:t>Job descriptions do not contain mental and physical demands of the job.</w:t>
      </w:r>
    </w:p>
    <w:p w:rsidR="00AC40FC" w:rsidRDefault="00AC40FC" w:rsidP="00A57D87">
      <w:r>
        <w:t xml:space="preserve">Job descriptions for salaried personnel and for bargaining unit positions at PPL EU contain a brief description of the overall purpose of the job and a description of duties and required qualifications but do not contain the mental and physical demands of the job. However, PPL EU has identified physical demands of most bargaining unit positions where such requirements are necessary for the fulfillment of the position.  In other jobs, particularly non-bargaining unit jobs, PPL EU has taken the position that it is extremely difficult to identify mental and physical demands and that by not identifying the mental and physical demands of the jobs it is less likely that an individual with a disability would be screened out in the early recruiting/application stages.  PPL EU does </w:t>
      </w:r>
      <w:r>
        <w:lastRenderedPageBreak/>
        <w:t xml:space="preserve">ask applicants if they will need a reasonable accommodation to perform the job and this issue is discussed with the Recruiter.  In addition, PPL EU does periodically review the mental and physical demands of the jobs for which this information has been identified.  </w:t>
      </w:r>
    </w:p>
    <w:p w:rsidR="00AC40FC" w:rsidRDefault="00AC40FC" w:rsidP="00A57D87">
      <w:r>
        <w:t>Pursuant to Section 503 of the Rehabilitation Act and VEVRAA, federal government contractors are required to periodically review the mental and physical demands of their jobs in order to ensure that they do not screen out qualified disabled veterans or qualified individuals with disabilities. In addition, federal government contractors are required to explore reasonable accommodations for the mental and physical demands of jobs.</w:t>
      </w:r>
    </w:p>
    <w:p w:rsidR="00AC40FC" w:rsidRDefault="00AC40FC" w:rsidP="00582143">
      <w:pPr>
        <w:pStyle w:val="Findings"/>
      </w:pPr>
      <w:r>
        <w:t xml:space="preserve">The </w:t>
      </w:r>
      <w:r w:rsidRPr="00582143">
        <w:t>process</w:t>
      </w:r>
      <w:r>
        <w:t xml:space="preserve"> for receiving and resolving employee complaints is robust and appears to be effective.</w:t>
      </w:r>
    </w:p>
    <w:p w:rsidR="00AC40FC" w:rsidRDefault="00AC40FC" w:rsidP="00A57D87">
      <w:r>
        <w:t>The process for receiving and resolving employee complaints is widely communicated to employees through policies as well as through the collective bargaining agreement.  Employees have many reporting avenues available to them including reporting to a supervisor and a hotline.  Roles and responsibilities for receiving and resolving complaints are well defined, and the number of employee concerns received is tracked by PPL. The concerns received historically are listed in the table below:</w:t>
      </w:r>
    </w:p>
    <w:p w:rsidR="00AC40FC" w:rsidRDefault="00AC40FC" w:rsidP="002B3172">
      <w:pPr>
        <w:pStyle w:val="Caption"/>
      </w:pPr>
      <w:bookmarkStart w:id="332" w:name="_Toc462648486"/>
      <w:bookmarkStart w:id="333" w:name="_Toc464553108"/>
      <w:r>
        <w:t xml:space="preserve">Exhibit </w:t>
      </w:r>
      <w:fldSimple w:instr=" STYLEREF 1 \s ">
        <w:r w:rsidR="00A24205">
          <w:rPr>
            <w:noProof/>
          </w:rPr>
          <w:t>XIV</w:t>
        </w:r>
      </w:fldSimple>
      <w:r w:rsidR="00264A1B">
        <w:noBreakHyphen/>
      </w:r>
      <w:fldSimple w:instr=" SEQ Exhibit \* ARABIC \s 1 ">
        <w:r w:rsidR="00A24205">
          <w:rPr>
            <w:noProof/>
          </w:rPr>
          <w:t>21</w:t>
        </w:r>
      </w:fldSimple>
      <w:r>
        <w:br/>
        <w:t>PPL EU Employee Concerns, 2012–2015</w:t>
      </w:r>
      <w:bookmarkEnd w:id="332"/>
      <w:bookmarkEnd w:id="3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15" w:type="dxa"/>
          <w:bottom w:w="14" w:type="dxa"/>
          <w:right w:w="115" w:type="dxa"/>
        </w:tblCellMar>
        <w:tblLook w:val="04A0"/>
      </w:tblPr>
      <w:tblGrid>
        <w:gridCol w:w="2154"/>
        <w:gridCol w:w="1152"/>
        <w:gridCol w:w="1152"/>
        <w:gridCol w:w="1152"/>
        <w:gridCol w:w="1152"/>
      </w:tblGrid>
      <w:tr w:rsidR="00AC40FC" w:rsidRPr="00D6083E" w:rsidTr="00582143">
        <w:trPr>
          <w:cantSplit/>
          <w:tblHeader/>
          <w:jc w:val="center"/>
        </w:trPr>
        <w:tc>
          <w:tcPr>
            <w:tcW w:w="2154" w:type="dxa"/>
            <w:shd w:val="clear" w:color="auto" w:fill="A5CD7E"/>
            <w:vAlign w:val="center"/>
          </w:tcPr>
          <w:p w:rsidR="00AC40FC" w:rsidRPr="00184FF7" w:rsidRDefault="00AC40FC" w:rsidP="00D6083E">
            <w:pPr>
              <w:spacing w:before="120"/>
              <w:jc w:val="center"/>
              <w:rPr>
                <w:b/>
              </w:rPr>
            </w:pPr>
            <w:r>
              <w:rPr>
                <w:b/>
              </w:rPr>
              <w:t>Allegation Type</w:t>
            </w:r>
          </w:p>
        </w:tc>
        <w:tc>
          <w:tcPr>
            <w:tcW w:w="1152" w:type="dxa"/>
            <w:shd w:val="clear" w:color="auto" w:fill="A5CD7E"/>
            <w:vAlign w:val="center"/>
          </w:tcPr>
          <w:p w:rsidR="00AC40FC" w:rsidRPr="00184FF7" w:rsidRDefault="00AC40FC" w:rsidP="00D6083E">
            <w:pPr>
              <w:spacing w:before="120"/>
              <w:jc w:val="center"/>
              <w:rPr>
                <w:b/>
              </w:rPr>
            </w:pPr>
            <w:r>
              <w:rPr>
                <w:b/>
              </w:rPr>
              <w:t>2012</w:t>
            </w:r>
          </w:p>
        </w:tc>
        <w:tc>
          <w:tcPr>
            <w:tcW w:w="1152" w:type="dxa"/>
            <w:shd w:val="clear" w:color="auto" w:fill="A5CD7E"/>
          </w:tcPr>
          <w:p w:rsidR="00AC40FC" w:rsidRDefault="00AC40FC" w:rsidP="00D6083E">
            <w:pPr>
              <w:spacing w:before="120"/>
              <w:jc w:val="center"/>
              <w:rPr>
                <w:b/>
              </w:rPr>
            </w:pPr>
            <w:r>
              <w:rPr>
                <w:b/>
              </w:rPr>
              <w:t>2013</w:t>
            </w:r>
          </w:p>
        </w:tc>
        <w:tc>
          <w:tcPr>
            <w:tcW w:w="1152" w:type="dxa"/>
            <w:shd w:val="clear" w:color="auto" w:fill="A5CD7E"/>
          </w:tcPr>
          <w:p w:rsidR="00AC40FC" w:rsidRPr="00184FF7" w:rsidRDefault="00AC40FC" w:rsidP="00D6083E">
            <w:pPr>
              <w:spacing w:before="120"/>
              <w:jc w:val="center"/>
              <w:rPr>
                <w:b/>
              </w:rPr>
            </w:pPr>
            <w:r>
              <w:rPr>
                <w:b/>
              </w:rPr>
              <w:t>2014</w:t>
            </w:r>
          </w:p>
        </w:tc>
        <w:tc>
          <w:tcPr>
            <w:tcW w:w="1152" w:type="dxa"/>
            <w:shd w:val="clear" w:color="auto" w:fill="A5CD7E"/>
            <w:vAlign w:val="center"/>
          </w:tcPr>
          <w:p w:rsidR="00AC40FC" w:rsidRPr="00184FF7" w:rsidRDefault="00AC40FC" w:rsidP="00D6083E">
            <w:pPr>
              <w:spacing w:before="120"/>
              <w:jc w:val="center"/>
              <w:rPr>
                <w:b/>
              </w:rPr>
            </w:pPr>
            <w:r>
              <w:rPr>
                <w:b/>
              </w:rPr>
              <w:t>2015</w:t>
            </w:r>
          </w:p>
        </w:tc>
      </w:tr>
      <w:tr w:rsidR="00AC40FC" w:rsidTr="00A57D87">
        <w:trPr>
          <w:jc w:val="center"/>
        </w:trPr>
        <w:tc>
          <w:tcPr>
            <w:tcW w:w="2154" w:type="dxa"/>
            <w:vAlign w:val="center"/>
          </w:tcPr>
          <w:p w:rsidR="00AC40FC" w:rsidRPr="00CF14CE" w:rsidRDefault="00AC40FC" w:rsidP="00A57D87">
            <w:pPr>
              <w:spacing w:after="0"/>
              <w:jc w:val="center"/>
            </w:pPr>
            <w:r w:rsidRPr="00CF14CE">
              <w:t>Unsubstantiated</w:t>
            </w:r>
          </w:p>
        </w:tc>
        <w:tc>
          <w:tcPr>
            <w:tcW w:w="1152" w:type="dxa"/>
            <w:vAlign w:val="center"/>
          </w:tcPr>
          <w:p w:rsidR="00AC40FC" w:rsidRDefault="00AC40FC" w:rsidP="00A57D87">
            <w:pPr>
              <w:spacing w:after="0"/>
              <w:jc w:val="center"/>
            </w:pPr>
            <w:r>
              <w:t>31</w:t>
            </w:r>
          </w:p>
        </w:tc>
        <w:tc>
          <w:tcPr>
            <w:tcW w:w="1152" w:type="dxa"/>
            <w:vAlign w:val="center"/>
          </w:tcPr>
          <w:p w:rsidR="00AC40FC" w:rsidRDefault="00AC40FC" w:rsidP="00A57D87">
            <w:pPr>
              <w:spacing w:after="0"/>
              <w:jc w:val="center"/>
            </w:pPr>
            <w:r>
              <w:t>17</w:t>
            </w:r>
          </w:p>
        </w:tc>
        <w:tc>
          <w:tcPr>
            <w:tcW w:w="1152" w:type="dxa"/>
            <w:vAlign w:val="center"/>
          </w:tcPr>
          <w:p w:rsidR="00AC40FC" w:rsidRDefault="00AC40FC" w:rsidP="00A57D87">
            <w:pPr>
              <w:spacing w:after="0"/>
              <w:jc w:val="center"/>
            </w:pPr>
            <w:r>
              <w:t>20</w:t>
            </w:r>
          </w:p>
        </w:tc>
        <w:tc>
          <w:tcPr>
            <w:tcW w:w="1152" w:type="dxa"/>
            <w:vAlign w:val="center"/>
          </w:tcPr>
          <w:p w:rsidR="00AC40FC" w:rsidRDefault="00AC40FC" w:rsidP="00A57D87">
            <w:pPr>
              <w:spacing w:after="0"/>
              <w:jc w:val="center"/>
            </w:pPr>
            <w:r>
              <w:t>11</w:t>
            </w:r>
          </w:p>
        </w:tc>
      </w:tr>
      <w:tr w:rsidR="00AC40FC" w:rsidTr="00A57D87">
        <w:trPr>
          <w:trHeight w:val="530"/>
          <w:jc w:val="center"/>
        </w:trPr>
        <w:tc>
          <w:tcPr>
            <w:tcW w:w="2154" w:type="dxa"/>
            <w:vAlign w:val="center"/>
          </w:tcPr>
          <w:p w:rsidR="00AC40FC" w:rsidRPr="00CF14CE" w:rsidRDefault="00AC40FC" w:rsidP="00A57D87">
            <w:pPr>
              <w:spacing w:after="0"/>
              <w:jc w:val="center"/>
            </w:pPr>
            <w:r w:rsidRPr="00CF14CE">
              <w:t>Substantiated in Whole or Part</w:t>
            </w:r>
          </w:p>
        </w:tc>
        <w:tc>
          <w:tcPr>
            <w:tcW w:w="1152" w:type="dxa"/>
            <w:vAlign w:val="center"/>
          </w:tcPr>
          <w:p w:rsidR="00AC40FC" w:rsidRDefault="00AC40FC" w:rsidP="00A57D87">
            <w:pPr>
              <w:spacing w:after="0"/>
              <w:jc w:val="center"/>
            </w:pPr>
            <w:r>
              <w:t>9</w:t>
            </w:r>
          </w:p>
        </w:tc>
        <w:tc>
          <w:tcPr>
            <w:tcW w:w="1152" w:type="dxa"/>
            <w:vAlign w:val="center"/>
          </w:tcPr>
          <w:p w:rsidR="00AC40FC" w:rsidRDefault="00AC40FC" w:rsidP="00A57D87">
            <w:pPr>
              <w:spacing w:after="0"/>
              <w:jc w:val="center"/>
            </w:pPr>
            <w:r>
              <w:t>5</w:t>
            </w:r>
          </w:p>
        </w:tc>
        <w:tc>
          <w:tcPr>
            <w:tcW w:w="1152" w:type="dxa"/>
            <w:vAlign w:val="center"/>
          </w:tcPr>
          <w:p w:rsidR="00AC40FC" w:rsidRDefault="00AC40FC" w:rsidP="00A57D87">
            <w:pPr>
              <w:spacing w:after="0"/>
              <w:jc w:val="center"/>
            </w:pPr>
            <w:r>
              <w:t>7</w:t>
            </w:r>
          </w:p>
        </w:tc>
        <w:tc>
          <w:tcPr>
            <w:tcW w:w="1152" w:type="dxa"/>
            <w:vAlign w:val="center"/>
          </w:tcPr>
          <w:p w:rsidR="00AC40FC" w:rsidRDefault="00AC40FC" w:rsidP="00A57D87">
            <w:pPr>
              <w:spacing w:after="0"/>
              <w:jc w:val="center"/>
            </w:pPr>
            <w:r>
              <w:t>1</w:t>
            </w:r>
          </w:p>
        </w:tc>
      </w:tr>
      <w:tr w:rsidR="00AC40FC" w:rsidTr="00A57D87">
        <w:trPr>
          <w:jc w:val="center"/>
        </w:trPr>
        <w:tc>
          <w:tcPr>
            <w:tcW w:w="2154" w:type="dxa"/>
            <w:vAlign w:val="center"/>
          </w:tcPr>
          <w:p w:rsidR="00AC40FC" w:rsidRPr="00CF14CE" w:rsidRDefault="00AC40FC" w:rsidP="00A57D87">
            <w:pPr>
              <w:spacing w:after="0"/>
              <w:jc w:val="center"/>
            </w:pPr>
            <w:r w:rsidRPr="00CF14CE">
              <w:t>Total Allegations</w:t>
            </w:r>
          </w:p>
        </w:tc>
        <w:tc>
          <w:tcPr>
            <w:tcW w:w="1152" w:type="dxa"/>
            <w:vAlign w:val="center"/>
          </w:tcPr>
          <w:p w:rsidR="00AC40FC" w:rsidRDefault="00AC40FC" w:rsidP="00A57D87">
            <w:pPr>
              <w:spacing w:after="0"/>
              <w:jc w:val="center"/>
            </w:pPr>
            <w:r>
              <w:t>40</w:t>
            </w:r>
          </w:p>
        </w:tc>
        <w:tc>
          <w:tcPr>
            <w:tcW w:w="1152" w:type="dxa"/>
            <w:vAlign w:val="center"/>
          </w:tcPr>
          <w:p w:rsidR="00AC40FC" w:rsidRDefault="00AC40FC" w:rsidP="00A57D87">
            <w:pPr>
              <w:spacing w:after="0"/>
              <w:jc w:val="center"/>
            </w:pPr>
            <w:r>
              <w:t>22</w:t>
            </w:r>
          </w:p>
        </w:tc>
        <w:tc>
          <w:tcPr>
            <w:tcW w:w="1152" w:type="dxa"/>
            <w:vAlign w:val="center"/>
          </w:tcPr>
          <w:p w:rsidR="00AC40FC" w:rsidRDefault="00AC40FC" w:rsidP="00A57D87">
            <w:pPr>
              <w:spacing w:after="0"/>
              <w:jc w:val="center"/>
            </w:pPr>
            <w:r>
              <w:t>27</w:t>
            </w:r>
          </w:p>
        </w:tc>
        <w:tc>
          <w:tcPr>
            <w:tcW w:w="1152" w:type="dxa"/>
            <w:vAlign w:val="center"/>
          </w:tcPr>
          <w:p w:rsidR="00AC40FC" w:rsidRDefault="00AC40FC" w:rsidP="00A57D87">
            <w:pPr>
              <w:spacing w:after="0"/>
              <w:jc w:val="center"/>
            </w:pPr>
            <w:r>
              <w:t>12</w:t>
            </w:r>
          </w:p>
        </w:tc>
      </w:tr>
      <w:tr w:rsidR="00AC40FC" w:rsidTr="00A57D87">
        <w:trPr>
          <w:jc w:val="center"/>
        </w:trPr>
        <w:tc>
          <w:tcPr>
            <w:tcW w:w="2154" w:type="dxa"/>
            <w:vAlign w:val="center"/>
          </w:tcPr>
          <w:p w:rsidR="00AC40FC" w:rsidRPr="00CF14CE" w:rsidRDefault="00AC40FC" w:rsidP="00A57D87">
            <w:pPr>
              <w:spacing w:after="0"/>
              <w:jc w:val="center"/>
            </w:pPr>
            <w:r>
              <w:t>Percent</w:t>
            </w:r>
            <w:r w:rsidRPr="00CF14CE">
              <w:t xml:space="preserve"> Substantiated in Whole or Part</w:t>
            </w:r>
          </w:p>
        </w:tc>
        <w:tc>
          <w:tcPr>
            <w:tcW w:w="1152" w:type="dxa"/>
            <w:vAlign w:val="center"/>
          </w:tcPr>
          <w:p w:rsidR="00AC40FC" w:rsidRDefault="00AC40FC" w:rsidP="00A57D87">
            <w:pPr>
              <w:spacing w:after="0"/>
              <w:jc w:val="center"/>
            </w:pPr>
            <w:r>
              <w:t>23%</w:t>
            </w:r>
          </w:p>
        </w:tc>
        <w:tc>
          <w:tcPr>
            <w:tcW w:w="1152" w:type="dxa"/>
            <w:vAlign w:val="center"/>
          </w:tcPr>
          <w:p w:rsidR="00AC40FC" w:rsidRDefault="00AC40FC" w:rsidP="00A57D87">
            <w:pPr>
              <w:spacing w:after="0"/>
              <w:jc w:val="center"/>
            </w:pPr>
            <w:r>
              <w:t>23%</w:t>
            </w:r>
          </w:p>
        </w:tc>
        <w:tc>
          <w:tcPr>
            <w:tcW w:w="1152" w:type="dxa"/>
            <w:vAlign w:val="center"/>
          </w:tcPr>
          <w:p w:rsidR="00AC40FC" w:rsidRDefault="00AC40FC" w:rsidP="00A57D87">
            <w:pPr>
              <w:spacing w:after="0"/>
              <w:jc w:val="center"/>
            </w:pPr>
            <w:r>
              <w:t>26%</w:t>
            </w:r>
          </w:p>
        </w:tc>
        <w:tc>
          <w:tcPr>
            <w:tcW w:w="1152" w:type="dxa"/>
            <w:vAlign w:val="center"/>
          </w:tcPr>
          <w:p w:rsidR="00AC40FC" w:rsidRDefault="00AC40FC" w:rsidP="00A57D87">
            <w:pPr>
              <w:spacing w:after="0"/>
              <w:jc w:val="center"/>
            </w:pPr>
            <w:r>
              <w:t>9.1%</w:t>
            </w:r>
          </w:p>
        </w:tc>
      </w:tr>
      <w:tr w:rsidR="00AC40FC" w:rsidTr="00A57D87">
        <w:trPr>
          <w:jc w:val="center"/>
        </w:trPr>
        <w:tc>
          <w:tcPr>
            <w:tcW w:w="6762" w:type="dxa"/>
            <w:gridSpan w:val="5"/>
            <w:vAlign w:val="center"/>
          </w:tcPr>
          <w:p w:rsidR="00AC40FC" w:rsidRDefault="00AC40FC" w:rsidP="00A57D87">
            <w:pPr>
              <w:spacing w:after="0"/>
              <w:jc w:val="left"/>
            </w:pPr>
            <w:r>
              <w:t>Source: DN 12-124; DN 17-117</w:t>
            </w:r>
          </w:p>
        </w:tc>
      </w:tr>
    </w:tbl>
    <w:p w:rsidR="00AC40FC" w:rsidRDefault="00AC40FC" w:rsidP="00A57D87">
      <w:pPr>
        <w:pStyle w:val="Normal-aftertable"/>
      </w:pPr>
      <w:r>
        <w:t>The total number of allegations has dropped significantly since 2012, and PPL EU has seen a significant drop in the percentage of allegations received that have resulted in a substantiated in whole or in part finding in 2015.</w:t>
      </w:r>
    </w:p>
    <w:p w:rsidR="00AC40FC" w:rsidRDefault="00AC40FC" w:rsidP="00A57D87">
      <w:r>
        <w:t>During 2015, PPL EU had a total of two cases filed against it at the U.S. Equal Employment Opportunity Commission (EEOC).  All prior claims have been resolved and PPL EU currently has no pending claims with the United States Department of Labor or the Pennsylvania Department of Labor.</w:t>
      </w:r>
    </w:p>
    <w:p w:rsidR="00AC40FC" w:rsidRDefault="00AC40FC">
      <w:pPr>
        <w:spacing w:after="0"/>
        <w:jc w:val="left"/>
        <w:rPr>
          <w:rFonts w:ascii="Arial Bold" w:hAnsi="Arial Bold"/>
          <w:b/>
          <w:caps/>
        </w:rPr>
      </w:pPr>
      <w:r>
        <w:br w:type="page"/>
      </w:r>
    </w:p>
    <w:p w:rsidR="00AC40FC" w:rsidRDefault="00AC40FC" w:rsidP="00BB665B">
      <w:pPr>
        <w:pStyle w:val="Heading-forToC"/>
      </w:pPr>
      <w:bookmarkStart w:id="334" w:name="_Toc462647897"/>
      <w:bookmarkStart w:id="335" w:name="_Toc464552136"/>
      <w:r>
        <w:lastRenderedPageBreak/>
        <w:t>Recommendations</w:t>
      </w:r>
      <w:bookmarkEnd w:id="334"/>
      <w:bookmarkEnd w:id="335"/>
    </w:p>
    <w:p w:rsidR="00AC40FC" w:rsidRDefault="00AC40FC" w:rsidP="004F00E5">
      <w:pPr>
        <w:pStyle w:val="Findings"/>
        <w:numPr>
          <w:ilvl w:val="0"/>
          <w:numId w:val="134"/>
        </w:numPr>
      </w:pPr>
      <w:r>
        <w:t>Expand</w:t>
      </w:r>
      <w:r w:rsidRPr="00077372">
        <w:t xml:space="preserve"> the EEO/AAP tagline on job advertisements</w:t>
      </w:r>
      <w:r>
        <w:t xml:space="preserve"> to include all requirements.</w:t>
      </w:r>
      <w:r w:rsidRPr="00077372">
        <w:t xml:space="preserve"> (</w:t>
      </w:r>
      <w:r>
        <w:t>See Finding 3</w:t>
      </w:r>
      <w:r w:rsidRPr="00077372">
        <w:t>)</w:t>
      </w:r>
    </w:p>
    <w:p w:rsidR="00AC40FC" w:rsidRPr="00077372" w:rsidRDefault="00AC40FC" w:rsidP="00A57D87">
      <w:r>
        <w:t>Job advertisements, whether in print or on-line, should include a tagline that includes a statement minimally indicating that individuals will not be discriminated against on the basis of race, color, religion, sex, sexual orientation, gender identity or national origin.</w:t>
      </w:r>
    </w:p>
    <w:p w:rsidR="00AC40FC" w:rsidRPr="00077372" w:rsidRDefault="00AC40FC" w:rsidP="00582143">
      <w:pPr>
        <w:pStyle w:val="Findings"/>
      </w:pPr>
      <w:r w:rsidRPr="00582143">
        <w:t>Consider</w:t>
      </w:r>
      <w:r w:rsidRPr="0011493F">
        <w:t xml:space="preserve"> identifying mental and physical demands of all jobs and communicating them through inclusion on job descriptions. (See Finding</w:t>
      </w:r>
      <w:r>
        <w:t> </w:t>
      </w:r>
      <w:r w:rsidRPr="0011493F">
        <w:t>4)</w:t>
      </w:r>
    </w:p>
    <w:p w:rsidR="00AC40FC" w:rsidRPr="00077372" w:rsidRDefault="00AC40FC" w:rsidP="00A57D87">
      <w:r w:rsidRPr="0011493F">
        <w:t xml:space="preserve">A job description is an employer’s tool to set forth the essential functions of a job that an applicant/employee must be able to perform with or without reasonable accommodation.  If an employer identifies the essential functions of a job prior to advertising and recruiting for that job, the employer’s judgment regarding which functions are essential in a job description shall be given consideration by a court in hearing cases under the Americans with Disabilities Act, </w:t>
      </w:r>
      <w:r>
        <w:t xml:space="preserve">as amended. </w:t>
      </w:r>
      <w:r w:rsidRPr="0011493F">
        <w:t>While not specifically required by statute or regulation, it is a best practice to identify and communicate the mental and physical demands of jobs along with the essential functions.  Communication of the mental and physical demands of a job can provide perimeters around which a discussion of reasonable accommodation can occur or a determination of whether or not an employee returning from Family and Medical Leave or a workers’ compensation injury is able to perform the essential functions of the job given any restrictions.  PPL EU can determine the mental and physical demands of jobs by utilizing its internal safety talent for all jobs.  Often a checklist is used that subject matter experts in job safety can utilize to identify the mental and physical demands of the job.  Alternatively, PPL EU could hire a third party physical therapy vendor who could observe workers in the jobs for the purpose of identifying the physical demands.  When describing physical demands, certain words may have a tendency to exclude individuals with disabilities (i.e. “see”, “hear”) so it is better to choose words that convey actual requirements of the job without limiting the physical demands to certain abilities.  Examples of physical demands may include “must be able to remain in a stationary position approximately 50% of the time” rather than “stand or sit” or “constantly positions self to maintain computers, including under/behind desks and in the server closet” rather than “stoop, kneel, crawl”.</w:t>
      </w:r>
    </w:p>
    <w:p w:rsidR="00AC40FC" w:rsidRDefault="00AC40FC" w:rsidP="008305C3">
      <w:pPr>
        <w:pStyle w:val="Bullet"/>
        <w:numPr>
          <w:ilvl w:val="0"/>
          <w:numId w:val="0"/>
        </w:numPr>
      </w:pPr>
    </w:p>
    <w:p w:rsidR="00AC40FC" w:rsidRDefault="00AC40FC" w:rsidP="008305C3">
      <w:pPr>
        <w:pStyle w:val="Bullet"/>
        <w:numPr>
          <w:ilvl w:val="0"/>
          <w:numId w:val="0"/>
        </w:numPr>
        <w:sectPr w:rsidR="00AC40FC" w:rsidSect="00681434">
          <w:footerReference w:type="default" r:id="rId89"/>
          <w:type w:val="continuous"/>
          <w:pgSz w:w="12240" w:h="15840"/>
          <w:pgMar w:top="1440" w:right="1440" w:bottom="1440" w:left="1440" w:header="720" w:footer="576" w:gutter="0"/>
          <w:cols w:space="720"/>
          <w:docGrid w:linePitch="360"/>
        </w:sectPr>
      </w:pPr>
    </w:p>
    <w:p w:rsidR="00AC40FC" w:rsidRDefault="00AC40FC" w:rsidP="00AC40FC">
      <w:pPr>
        <w:pStyle w:val="Heading1"/>
        <w:ind w:left="720"/>
      </w:pPr>
      <w:bookmarkStart w:id="336" w:name="_Toc462647898"/>
      <w:bookmarkStart w:id="337" w:name="_Toc464552137"/>
      <w:r>
        <w:lastRenderedPageBreak/>
        <w:t>Staffing Planning Process</w:t>
      </w:r>
      <w:bookmarkEnd w:id="336"/>
      <w:bookmarkEnd w:id="337"/>
    </w:p>
    <w:p w:rsidR="00AC40FC" w:rsidRDefault="00AC40FC" w:rsidP="00581946">
      <w:r>
        <w:t>This chapter presents the results of the Management Audit Phase III analysis of the staffing planning process of PPL Electric Utilities (PPL EU) and of PPL EU Services Corporation (PPL EUS) and PPL Services Corporation (PPL SC) as they affect PPL EU.  This Phase III analysis resulted from observations in Phase I and II of this management audit that significant changes in the PPL EU, PPL SC, and PPL EUS workforces had taken place due to the Talen Energy (Talen) spinoff and the formation of PPL EUS, and that further workforce changes were planned.</w:t>
      </w:r>
    </w:p>
    <w:p w:rsidR="00AC40FC" w:rsidRDefault="00AC40FC" w:rsidP="00581946">
      <w:r>
        <w:t xml:space="preserve">This review was not intended to identify optimal staffing levels but instead to focus on the process used to make staffing level and organizational decisions, including changes in the use of contractors and consultants.  </w:t>
      </w:r>
    </w:p>
    <w:p w:rsidR="00AC40FC" w:rsidRDefault="00AC40FC" w:rsidP="00581946">
      <w:r>
        <w:t>This chapter is organized in the following sections:</w:t>
      </w:r>
    </w:p>
    <w:p w:rsidR="00AC40FC" w:rsidRDefault="00AC40FC" w:rsidP="006058BF">
      <w:pPr>
        <w:pStyle w:val="Normalindent"/>
      </w:pPr>
      <w:r>
        <w:t>A. Overview</w:t>
      </w:r>
    </w:p>
    <w:p w:rsidR="00AC40FC" w:rsidRDefault="00AC40FC" w:rsidP="006058BF">
      <w:pPr>
        <w:pStyle w:val="Normalindent"/>
      </w:pPr>
      <w:r>
        <w:t>B. Transmission and Substations</w:t>
      </w:r>
    </w:p>
    <w:p w:rsidR="00AC40FC" w:rsidRDefault="00AC40FC" w:rsidP="006058BF">
      <w:pPr>
        <w:pStyle w:val="Normalindent"/>
      </w:pPr>
      <w:r>
        <w:t>C. Distribution Operations and Technical Development and Improvement</w:t>
      </w:r>
    </w:p>
    <w:p w:rsidR="00AC40FC" w:rsidRDefault="00AC40FC" w:rsidP="006058BF">
      <w:pPr>
        <w:pStyle w:val="Normalindent"/>
      </w:pPr>
      <w:r>
        <w:t>D. Customer Services</w:t>
      </w:r>
    </w:p>
    <w:p w:rsidR="00AC40FC" w:rsidRDefault="00AC40FC" w:rsidP="006058BF">
      <w:pPr>
        <w:pStyle w:val="Normalindent"/>
      </w:pPr>
      <w:r>
        <w:t>E. Finance, Accounting, and Audit</w:t>
      </w:r>
    </w:p>
    <w:p w:rsidR="00AC40FC" w:rsidRDefault="00AC40FC" w:rsidP="006058BF">
      <w:pPr>
        <w:pStyle w:val="Normalindent"/>
      </w:pPr>
      <w:r>
        <w:t>F. Support Services</w:t>
      </w:r>
    </w:p>
    <w:p w:rsidR="00AC40FC" w:rsidRDefault="00AC40FC" w:rsidP="006058BF">
      <w:pPr>
        <w:pStyle w:val="Normalindent"/>
      </w:pPr>
      <w:r>
        <w:t>G. Enterprise-wide</w:t>
      </w:r>
    </w:p>
    <w:p w:rsidR="00AC40FC" w:rsidRDefault="00AC40FC" w:rsidP="00581946">
      <w:pPr>
        <w:pStyle w:val="Normal-aftertable"/>
      </w:pPr>
      <w:r>
        <w:t>Findings and recommendations specific to individual functions, such as Transmission and Substations, are presented in the relevant functional section.  Findings and recommendations that generally apply to PPL EU, PPL EUS, and PPL SC as a whole are presented in the final Enterprise-wide section.</w:t>
      </w:r>
    </w:p>
    <w:p w:rsidR="00AC40FC" w:rsidRDefault="00AC40FC" w:rsidP="004F00E5">
      <w:pPr>
        <w:pStyle w:val="Heading2"/>
        <w:numPr>
          <w:ilvl w:val="0"/>
          <w:numId w:val="135"/>
        </w:numPr>
      </w:pPr>
      <w:bookmarkStart w:id="338" w:name="_Toc462647899"/>
      <w:bookmarkStart w:id="339" w:name="_Toc464552138"/>
      <w:r>
        <w:t>overview</w:t>
      </w:r>
      <w:bookmarkEnd w:id="338"/>
      <w:bookmarkEnd w:id="339"/>
    </w:p>
    <w:p w:rsidR="00AC40FC" w:rsidRDefault="00AC40FC" w:rsidP="00581946">
      <w:pPr>
        <w:pStyle w:val="Heading30"/>
      </w:pPr>
      <w:r>
        <w:t>recent staffing changes</w:t>
      </w:r>
    </w:p>
    <w:p w:rsidR="00AC40FC" w:rsidRDefault="00AC40FC" w:rsidP="00581946">
      <w:r>
        <w:t>PPL Corporation had several significant changes affecting staffing in the 2014 to 2015 timeframe:</w:t>
      </w:r>
    </w:p>
    <w:p w:rsidR="00AC40FC" w:rsidRDefault="00AC40FC" w:rsidP="00581946">
      <w:pPr>
        <w:pStyle w:val="Bullet"/>
      </w:pPr>
      <w:r>
        <w:t>The PPL Corporation generation and energy services businesses were spun off to form a new, unaffiliated entity, Talen.</w:t>
      </w:r>
    </w:p>
    <w:p w:rsidR="00AC40FC" w:rsidRDefault="00AC40FC" w:rsidP="00581946">
      <w:pPr>
        <w:pStyle w:val="Bullet"/>
      </w:pPr>
      <w:r>
        <w:t>Most of the PPL Corporation generation and energy services employees were transferred to Talen along with some of the PPL SC support services employees.</w:t>
      </w:r>
    </w:p>
    <w:p w:rsidR="00AC40FC" w:rsidRDefault="00AC40FC" w:rsidP="00581946">
      <w:pPr>
        <w:pStyle w:val="Bullet"/>
      </w:pPr>
      <w:r>
        <w:t>A Transition Services Agreement (TSA) was signed with Talen to provide various types of services while Talen built up its own capabilities.</w:t>
      </w:r>
    </w:p>
    <w:p w:rsidR="00AC40FC" w:rsidRDefault="00AC40FC" w:rsidP="00581946">
      <w:pPr>
        <w:pStyle w:val="Bullet"/>
      </w:pPr>
      <w:r>
        <w:t>With the Talen spinoff and the split of PPL SC employees between PPL Corporation and Talen, PPL SC had to be downsized to avoid increasing the charges to PPL EU and other PPL Corporation affiliates.</w:t>
      </w:r>
    </w:p>
    <w:p w:rsidR="00AC40FC" w:rsidRDefault="00AC40FC" w:rsidP="00581946">
      <w:pPr>
        <w:pStyle w:val="Bullet"/>
      </w:pPr>
      <w:r>
        <w:t xml:space="preserve">Some PPL SC positions were eliminated to accomplish the downsizing effort; however, some of the employees occupying deleted positions were retained to </w:t>
      </w:r>
      <w:r>
        <w:lastRenderedPageBreak/>
        <w:t>provide TSA services for the duration of the TSA agreement, at which time they were to leave unless they found open positions in PPL Corporation in the interim.</w:t>
      </w:r>
    </w:p>
    <w:p w:rsidR="00AC40FC" w:rsidRDefault="00AC40FC" w:rsidP="00581946">
      <w:pPr>
        <w:pStyle w:val="Bullet"/>
      </w:pPr>
      <w:r>
        <w:t xml:space="preserve">PPL EUS was created and staffed by a mixture of PPL SC and PPL EU employee positions.  </w:t>
      </w:r>
    </w:p>
    <w:p w:rsidR="00AC40FC" w:rsidRDefault="00AC40FC" w:rsidP="00581946">
      <w:r>
        <w:t>The following table presents the number of employee positions for PPL EU, PPL EUS, and PPL SC at the end of 2014, the number of positions transferred to Talen, the number of positions transferred to PPL EUS, the net number of positions added and eliminated in 2015, the planned number of positions at the end of 2016, and the positions that will be eliminated after 2016 as the TSA work is completed.</w:t>
      </w:r>
    </w:p>
    <w:p w:rsidR="00AC40FC" w:rsidRDefault="00AC40FC" w:rsidP="00B306CB">
      <w:pPr>
        <w:pStyle w:val="Caption"/>
      </w:pPr>
      <w:bookmarkStart w:id="340" w:name="_Toc462648487"/>
      <w:bookmarkStart w:id="341" w:name="_Toc464553109"/>
      <w:r>
        <w:t xml:space="preserve">Exhibit </w:t>
      </w:r>
      <w:fldSimple w:instr=" STYLEREF 1 \s ">
        <w:r w:rsidR="00A24205">
          <w:rPr>
            <w:noProof/>
          </w:rPr>
          <w:t>XV</w:t>
        </w:r>
      </w:fldSimple>
      <w:r w:rsidR="00264A1B">
        <w:noBreakHyphen/>
      </w:r>
      <w:fldSimple w:instr=" SEQ Exhibit \* ARABIC \s 1 ">
        <w:r w:rsidR="00A24205">
          <w:rPr>
            <w:noProof/>
          </w:rPr>
          <w:t>1</w:t>
        </w:r>
      </w:fldSimple>
      <w:r>
        <w:br/>
        <w:t>Employee Position Changes</w:t>
      </w:r>
      <w:bookmarkEnd w:id="340"/>
      <w:bookmarkEnd w:id="341"/>
    </w:p>
    <w:tbl>
      <w:tblPr>
        <w:tblStyle w:val="TableGrid"/>
        <w:tblW w:w="0" w:type="auto"/>
        <w:jc w:val="center"/>
        <w:tblLook w:val="04A0"/>
      </w:tblPr>
      <w:tblGrid>
        <w:gridCol w:w="1382"/>
        <w:gridCol w:w="1075"/>
        <w:gridCol w:w="1275"/>
        <w:gridCol w:w="1275"/>
        <w:gridCol w:w="1180"/>
        <w:gridCol w:w="1080"/>
        <w:gridCol w:w="1091"/>
        <w:gridCol w:w="1218"/>
      </w:tblGrid>
      <w:tr w:rsidR="00AC40FC" w:rsidRPr="009651E8" w:rsidTr="00581946">
        <w:trPr>
          <w:cantSplit/>
          <w:tblHeader/>
          <w:jc w:val="center"/>
        </w:trPr>
        <w:tc>
          <w:tcPr>
            <w:tcW w:w="1683" w:type="dxa"/>
            <w:shd w:val="clear" w:color="auto" w:fill="A5CD7E"/>
            <w:vAlign w:val="center"/>
          </w:tcPr>
          <w:p w:rsidR="00AC40FC" w:rsidRPr="009651E8" w:rsidRDefault="00AC40FC" w:rsidP="00D6083E">
            <w:pPr>
              <w:pStyle w:val="TableHeading0"/>
              <w:spacing w:before="80" w:after="80"/>
              <w:rPr>
                <w:sz w:val="18"/>
                <w:szCs w:val="18"/>
              </w:rPr>
            </w:pPr>
            <w:r w:rsidRPr="009651E8">
              <w:rPr>
                <w:sz w:val="18"/>
                <w:szCs w:val="18"/>
              </w:rPr>
              <w:t>Organization Unit</w:t>
            </w:r>
          </w:p>
        </w:tc>
        <w:tc>
          <w:tcPr>
            <w:tcW w:w="1297" w:type="dxa"/>
            <w:shd w:val="clear" w:color="auto" w:fill="A5CD7E"/>
            <w:vAlign w:val="center"/>
          </w:tcPr>
          <w:p w:rsidR="00AC40FC" w:rsidRPr="009651E8" w:rsidRDefault="00AC40FC" w:rsidP="00D6083E">
            <w:pPr>
              <w:pStyle w:val="TableHeading0"/>
              <w:spacing w:before="80" w:after="80"/>
              <w:rPr>
                <w:sz w:val="18"/>
                <w:szCs w:val="18"/>
              </w:rPr>
            </w:pPr>
            <w:r w:rsidRPr="009651E8">
              <w:rPr>
                <w:sz w:val="18"/>
                <w:szCs w:val="18"/>
              </w:rPr>
              <w:t>Positions as of Year</w:t>
            </w:r>
            <w:r w:rsidRPr="009651E8">
              <w:rPr>
                <w:sz w:val="18"/>
                <w:szCs w:val="18"/>
              </w:rPr>
              <w:noBreakHyphen/>
              <w:t>End 2014</w:t>
            </w:r>
          </w:p>
        </w:tc>
        <w:tc>
          <w:tcPr>
            <w:tcW w:w="1550" w:type="dxa"/>
            <w:shd w:val="clear" w:color="auto" w:fill="A5CD7E"/>
            <w:vAlign w:val="center"/>
          </w:tcPr>
          <w:p w:rsidR="00AC40FC" w:rsidRPr="009651E8" w:rsidRDefault="00AC40FC" w:rsidP="00D6083E">
            <w:pPr>
              <w:pStyle w:val="TableHeading0"/>
              <w:spacing w:before="80" w:after="80"/>
              <w:rPr>
                <w:sz w:val="18"/>
                <w:szCs w:val="18"/>
              </w:rPr>
            </w:pPr>
            <w:r w:rsidRPr="009651E8">
              <w:rPr>
                <w:sz w:val="18"/>
                <w:szCs w:val="18"/>
              </w:rPr>
              <w:t>Positions Transferred to Talen</w:t>
            </w:r>
          </w:p>
        </w:tc>
        <w:tc>
          <w:tcPr>
            <w:tcW w:w="1550" w:type="dxa"/>
            <w:shd w:val="clear" w:color="auto" w:fill="A5CD7E"/>
            <w:vAlign w:val="center"/>
          </w:tcPr>
          <w:p w:rsidR="00AC40FC" w:rsidRPr="009651E8" w:rsidRDefault="00AC40FC" w:rsidP="00D6083E">
            <w:pPr>
              <w:pStyle w:val="TableHeading0"/>
              <w:spacing w:before="80" w:after="80"/>
              <w:rPr>
                <w:sz w:val="18"/>
                <w:szCs w:val="18"/>
              </w:rPr>
            </w:pPr>
            <w:r w:rsidRPr="009651E8">
              <w:rPr>
                <w:sz w:val="18"/>
                <w:szCs w:val="18"/>
              </w:rPr>
              <w:t>Positions Transferred to PPL EUS</w:t>
            </w:r>
          </w:p>
        </w:tc>
        <w:tc>
          <w:tcPr>
            <w:tcW w:w="1430" w:type="dxa"/>
            <w:shd w:val="clear" w:color="auto" w:fill="A5CD7E"/>
            <w:vAlign w:val="center"/>
          </w:tcPr>
          <w:p w:rsidR="00AC40FC" w:rsidRPr="009651E8" w:rsidRDefault="00AC40FC" w:rsidP="00D6083E">
            <w:pPr>
              <w:pStyle w:val="TableHeading0"/>
              <w:spacing w:before="80" w:after="80"/>
              <w:rPr>
                <w:sz w:val="18"/>
                <w:szCs w:val="18"/>
              </w:rPr>
            </w:pPr>
            <w:r w:rsidRPr="009651E8">
              <w:rPr>
                <w:sz w:val="18"/>
                <w:szCs w:val="18"/>
              </w:rPr>
              <w:t>Net Positions Added and  Eliminated</w:t>
            </w:r>
          </w:p>
        </w:tc>
        <w:tc>
          <w:tcPr>
            <w:tcW w:w="1330" w:type="dxa"/>
            <w:shd w:val="clear" w:color="auto" w:fill="A5CD7E"/>
            <w:vAlign w:val="center"/>
          </w:tcPr>
          <w:p w:rsidR="00AC40FC" w:rsidRPr="009651E8" w:rsidRDefault="00AC40FC" w:rsidP="00D6083E">
            <w:pPr>
              <w:pStyle w:val="TableHeading0"/>
              <w:spacing w:before="80" w:after="80"/>
              <w:rPr>
                <w:sz w:val="18"/>
                <w:szCs w:val="18"/>
              </w:rPr>
            </w:pPr>
            <w:r w:rsidRPr="009651E8">
              <w:rPr>
                <w:sz w:val="18"/>
                <w:szCs w:val="18"/>
              </w:rPr>
              <w:t>Positions as of Year</w:t>
            </w:r>
            <w:r w:rsidRPr="009651E8">
              <w:rPr>
                <w:sz w:val="18"/>
                <w:szCs w:val="18"/>
              </w:rPr>
              <w:noBreakHyphen/>
              <w:t>End 2015</w:t>
            </w:r>
          </w:p>
        </w:tc>
        <w:tc>
          <w:tcPr>
            <w:tcW w:w="1394" w:type="dxa"/>
            <w:shd w:val="clear" w:color="auto" w:fill="A5CD7E"/>
            <w:vAlign w:val="center"/>
          </w:tcPr>
          <w:p w:rsidR="00AC40FC" w:rsidRPr="009651E8" w:rsidRDefault="00AC40FC" w:rsidP="00D6083E">
            <w:pPr>
              <w:pStyle w:val="TableHeading0"/>
              <w:spacing w:before="80" w:after="80"/>
              <w:rPr>
                <w:sz w:val="18"/>
                <w:szCs w:val="18"/>
              </w:rPr>
            </w:pPr>
            <w:r w:rsidRPr="009651E8">
              <w:rPr>
                <w:sz w:val="18"/>
                <w:szCs w:val="18"/>
              </w:rPr>
              <w:t>Planned Positions at Year-End 2016</w:t>
            </w:r>
          </w:p>
        </w:tc>
        <w:tc>
          <w:tcPr>
            <w:tcW w:w="1645" w:type="dxa"/>
            <w:shd w:val="clear" w:color="auto" w:fill="A5CD7E"/>
          </w:tcPr>
          <w:p w:rsidR="00AC40FC" w:rsidRPr="009651E8" w:rsidRDefault="00AC40FC" w:rsidP="00D6083E">
            <w:pPr>
              <w:pStyle w:val="TableHeading0"/>
              <w:spacing w:before="80" w:after="80"/>
              <w:rPr>
                <w:sz w:val="18"/>
                <w:szCs w:val="18"/>
              </w:rPr>
            </w:pPr>
            <w:r w:rsidRPr="009651E8">
              <w:rPr>
                <w:sz w:val="18"/>
                <w:szCs w:val="18"/>
              </w:rPr>
              <w:t>TSA Positions Yet to be Eliminated After 2016</w:t>
            </w:r>
          </w:p>
        </w:tc>
      </w:tr>
      <w:tr w:rsidR="00AC40FC" w:rsidRPr="009651E8" w:rsidTr="00581946">
        <w:trPr>
          <w:cantSplit/>
          <w:jc w:val="center"/>
        </w:trPr>
        <w:tc>
          <w:tcPr>
            <w:tcW w:w="1683" w:type="dxa"/>
            <w:vAlign w:val="center"/>
          </w:tcPr>
          <w:p w:rsidR="00AC40FC" w:rsidRPr="009651E8" w:rsidRDefault="00AC40FC" w:rsidP="00581946">
            <w:pPr>
              <w:pStyle w:val="TableText0"/>
              <w:rPr>
                <w:b/>
                <w:sz w:val="18"/>
                <w:szCs w:val="18"/>
              </w:rPr>
            </w:pPr>
            <w:r w:rsidRPr="009651E8">
              <w:rPr>
                <w:sz w:val="18"/>
                <w:szCs w:val="18"/>
              </w:rPr>
              <w:t>PPL EU</w:t>
            </w:r>
          </w:p>
        </w:tc>
        <w:tc>
          <w:tcPr>
            <w:tcW w:w="1297" w:type="dxa"/>
            <w:vAlign w:val="center"/>
          </w:tcPr>
          <w:p w:rsidR="00AC40FC" w:rsidRPr="009651E8" w:rsidRDefault="00AC40FC" w:rsidP="00581946">
            <w:pPr>
              <w:pStyle w:val="TableText0"/>
              <w:rPr>
                <w:sz w:val="18"/>
                <w:szCs w:val="18"/>
              </w:rPr>
            </w:pPr>
            <w:r w:rsidRPr="009651E8">
              <w:rPr>
                <w:sz w:val="18"/>
                <w:szCs w:val="18"/>
              </w:rPr>
              <w:t>2,187</w:t>
            </w:r>
          </w:p>
        </w:tc>
        <w:tc>
          <w:tcPr>
            <w:tcW w:w="1550" w:type="dxa"/>
            <w:vAlign w:val="center"/>
          </w:tcPr>
          <w:p w:rsidR="00AC40FC" w:rsidRPr="009651E8" w:rsidRDefault="00AC40FC" w:rsidP="00581946">
            <w:pPr>
              <w:pStyle w:val="TableText0"/>
              <w:rPr>
                <w:sz w:val="18"/>
                <w:szCs w:val="18"/>
              </w:rPr>
            </w:pPr>
            <w:r w:rsidRPr="009651E8">
              <w:rPr>
                <w:sz w:val="18"/>
                <w:szCs w:val="18"/>
              </w:rPr>
              <w:t>-11</w:t>
            </w:r>
          </w:p>
        </w:tc>
        <w:tc>
          <w:tcPr>
            <w:tcW w:w="1550" w:type="dxa"/>
          </w:tcPr>
          <w:p w:rsidR="00AC40FC" w:rsidRPr="009651E8" w:rsidRDefault="00AC40FC" w:rsidP="00581946">
            <w:pPr>
              <w:pStyle w:val="TableText0"/>
              <w:rPr>
                <w:sz w:val="18"/>
                <w:szCs w:val="18"/>
              </w:rPr>
            </w:pPr>
            <w:r w:rsidRPr="009651E8">
              <w:rPr>
                <w:sz w:val="18"/>
                <w:szCs w:val="18"/>
              </w:rPr>
              <w:t>-66</w:t>
            </w:r>
          </w:p>
        </w:tc>
        <w:tc>
          <w:tcPr>
            <w:tcW w:w="1430" w:type="dxa"/>
          </w:tcPr>
          <w:p w:rsidR="00AC40FC" w:rsidRPr="009651E8" w:rsidRDefault="00AC40FC" w:rsidP="00581946">
            <w:pPr>
              <w:pStyle w:val="TableText0"/>
              <w:rPr>
                <w:sz w:val="18"/>
                <w:szCs w:val="18"/>
              </w:rPr>
            </w:pPr>
            <w:r w:rsidRPr="009651E8">
              <w:rPr>
                <w:sz w:val="18"/>
                <w:szCs w:val="18"/>
              </w:rPr>
              <w:t>-70</w:t>
            </w:r>
          </w:p>
        </w:tc>
        <w:tc>
          <w:tcPr>
            <w:tcW w:w="1330" w:type="dxa"/>
            <w:vAlign w:val="center"/>
          </w:tcPr>
          <w:p w:rsidR="00AC40FC" w:rsidRPr="009651E8" w:rsidRDefault="00AC40FC" w:rsidP="00581946">
            <w:pPr>
              <w:pStyle w:val="TableText0"/>
              <w:rPr>
                <w:sz w:val="18"/>
                <w:szCs w:val="18"/>
              </w:rPr>
            </w:pPr>
            <w:r w:rsidRPr="009651E8">
              <w:rPr>
                <w:sz w:val="18"/>
                <w:szCs w:val="18"/>
              </w:rPr>
              <w:t>2,040</w:t>
            </w:r>
          </w:p>
        </w:tc>
        <w:tc>
          <w:tcPr>
            <w:tcW w:w="1394" w:type="dxa"/>
            <w:vAlign w:val="center"/>
          </w:tcPr>
          <w:p w:rsidR="00AC40FC" w:rsidRPr="009651E8" w:rsidRDefault="00AC40FC" w:rsidP="00581946">
            <w:pPr>
              <w:pStyle w:val="TableText0"/>
              <w:rPr>
                <w:sz w:val="18"/>
                <w:szCs w:val="18"/>
              </w:rPr>
            </w:pPr>
            <w:r w:rsidRPr="009651E8">
              <w:rPr>
                <w:sz w:val="18"/>
                <w:szCs w:val="18"/>
              </w:rPr>
              <w:t>1,964</w:t>
            </w:r>
          </w:p>
        </w:tc>
        <w:tc>
          <w:tcPr>
            <w:tcW w:w="1645" w:type="dxa"/>
          </w:tcPr>
          <w:p w:rsidR="00AC40FC" w:rsidRPr="009651E8" w:rsidRDefault="00AC40FC" w:rsidP="00581946">
            <w:pPr>
              <w:pStyle w:val="TableText0"/>
              <w:rPr>
                <w:sz w:val="18"/>
                <w:szCs w:val="18"/>
              </w:rPr>
            </w:pPr>
            <w:r w:rsidRPr="009651E8">
              <w:rPr>
                <w:sz w:val="18"/>
                <w:szCs w:val="18"/>
              </w:rPr>
              <w:t>0</w:t>
            </w:r>
          </w:p>
        </w:tc>
      </w:tr>
      <w:tr w:rsidR="00AC40FC" w:rsidRPr="009651E8" w:rsidTr="00581946">
        <w:trPr>
          <w:cantSplit/>
          <w:jc w:val="center"/>
        </w:trPr>
        <w:tc>
          <w:tcPr>
            <w:tcW w:w="1683" w:type="dxa"/>
            <w:vAlign w:val="center"/>
          </w:tcPr>
          <w:p w:rsidR="00AC40FC" w:rsidRPr="009651E8" w:rsidRDefault="00AC40FC" w:rsidP="00581946">
            <w:pPr>
              <w:pStyle w:val="TableText0"/>
              <w:rPr>
                <w:b/>
                <w:sz w:val="18"/>
                <w:szCs w:val="18"/>
              </w:rPr>
            </w:pPr>
            <w:r w:rsidRPr="009651E8">
              <w:rPr>
                <w:sz w:val="18"/>
                <w:szCs w:val="18"/>
              </w:rPr>
              <w:t>PPL EUS</w:t>
            </w:r>
          </w:p>
        </w:tc>
        <w:tc>
          <w:tcPr>
            <w:tcW w:w="1297" w:type="dxa"/>
            <w:vAlign w:val="center"/>
          </w:tcPr>
          <w:p w:rsidR="00AC40FC" w:rsidRPr="009651E8" w:rsidRDefault="00AC40FC" w:rsidP="00581946">
            <w:pPr>
              <w:pStyle w:val="TableText0"/>
              <w:rPr>
                <w:sz w:val="18"/>
                <w:szCs w:val="18"/>
              </w:rPr>
            </w:pPr>
            <w:r w:rsidRPr="009651E8">
              <w:rPr>
                <w:sz w:val="18"/>
                <w:szCs w:val="18"/>
              </w:rPr>
              <w:t>0</w:t>
            </w:r>
          </w:p>
        </w:tc>
        <w:tc>
          <w:tcPr>
            <w:tcW w:w="1550" w:type="dxa"/>
            <w:vAlign w:val="center"/>
          </w:tcPr>
          <w:p w:rsidR="00AC40FC" w:rsidRPr="009651E8" w:rsidRDefault="00AC40FC" w:rsidP="00581946">
            <w:pPr>
              <w:pStyle w:val="TableText0"/>
              <w:rPr>
                <w:sz w:val="18"/>
                <w:szCs w:val="18"/>
              </w:rPr>
            </w:pPr>
            <w:r w:rsidRPr="009651E8">
              <w:rPr>
                <w:sz w:val="18"/>
                <w:szCs w:val="18"/>
              </w:rPr>
              <w:t>-3</w:t>
            </w:r>
          </w:p>
        </w:tc>
        <w:tc>
          <w:tcPr>
            <w:tcW w:w="1550" w:type="dxa"/>
          </w:tcPr>
          <w:p w:rsidR="00AC40FC" w:rsidRPr="009651E8" w:rsidRDefault="00AC40FC" w:rsidP="00581946">
            <w:pPr>
              <w:pStyle w:val="TableText0"/>
              <w:rPr>
                <w:sz w:val="18"/>
                <w:szCs w:val="18"/>
              </w:rPr>
            </w:pPr>
            <w:r w:rsidRPr="009651E8">
              <w:rPr>
                <w:sz w:val="18"/>
                <w:szCs w:val="18"/>
              </w:rPr>
              <w:t>+319</w:t>
            </w:r>
          </w:p>
        </w:tc>
        <w:tc>
          <w:tcPr>
            <w:tcW w:w="1430" w:type="dxa"/>
          </w:tcPr>
          <w:p w:rsidR="00AC40FC" w:rsidRPr="009651E8" w:rsidRDefault="00AC40FC" w:rsidP="00581946">
            <w:pPr>
              <w:pStyle w:val="TableText0"/>
              <w:rPr>
                <w:sz w:val="18"/>
                <w:szCs w:val="18"/>
              </w:rPr>
            </w:pPr>
            <w:r w:rsidRPr="009651E8">
              <w:rPr>
                <w:sz w:val="18"/>
                <w:szCs w:val="18"/>
              </w:rPr>
              <w:t>-48</w:t>
            </w:r>
          </w:p>
        </w:tc>
        <w:tc>
          <w:tcPr>
            <w:tcW w:w="1330" w:type="dxa"/>
            <w:vAlign w:val="center"/>
          </w:tcPr>
          <w:p w:rsidR="00AC40FC" w:rsidRPr="009651E8" w:rsidRDefault="00AC40FC" w:rsidP="00581946">
            <w:pPr>
              <w:pStyle w:val="TableText0"/>
              <w:rPr>
                <w:sz w:val="18"/>
                <w:szCs w:val="18"/>
              </w:rPr>
            </w:pPr>
            <w:r w:rsidRPr="009651E8">
              <w:rPr>
                <w:sz w:val="18"/>
                <w:szCs w:val="18"/>
              </w:rPr>
              <w:t>268</w:t>
            </w:r>
          </w:p>
        </w:tc>
        <w:tc>
          <w:tcPr>
            <w:tcW w:w="1394" w:type="dxa"/>
            <w:vAlign w:val="center"/>
          </w:tcPr>
          <w:p w:rsidR="00AC40FC" w:rsidRPr="009651E8" w:rsidRDefault="00AC40FC" w:rsidP="00581946">
            <w:pPr>
              <w:pStyle w:val="TableText0"/>
              <w:rPr>
                <w:sz w:val="18"/>
                <w:szCs w:val="18"/>
              </w:rPr>
            </w:pPr>
            <w:r w:rsidRPr="009651E8">
              <w:rPr>
                <w:sz w:val="18"/>
                <w:szCs w:val="18"/>
              </w:rPr>
              <w:t>275</w:t>
            </w:r>
          </w:p>
        </w:tc>
        <w:tc>
          <w:tcPr>
            <w:tcW w:w="1645" w:type="dxa"/>
          </w:tcPr>
          <w:p w:rsidR="00AC40FC" w:rsidRPr="009651E8" w:rsidRDefault="00AC40FC" w:rsidP="00581946">
            <w:pPr>
              <w:pStyle w:val="TableText0"/>
              <w:rPr>
                <w:sz w:val="18"/>
                <w:szCs w:val="18"/>
              </w:rPr>
            </w:pPr>
            <w:r w:rsidRPr="009651E8">
              <w:rPr>
                <w:sz w:val="18"/>
                <w:szCs w:val="18"/>
              </w:rPr>
              <w:t>0</w:t>
            </w:r>
          </w:p>
        </w:tc>
      </w:tr>
      <w:tr w:rsidR="00AC40FC" w:rsidRPr="009651E8" w:rsidTr="00581946">
        <w:trPr>
          <w:cantSplit/>
          <w:jc w:val="center"/>
        </w:trPr>
        <w:tc>
          <w:tcPr>
            <w:tcW w:w="1683" w:type="dxa"/>
            <w:vAlign w:val="center"/>
          </w:tcPr>
          <w:p w:rsidR="00AC40FC" w:rsidRPr="009651E8" w:rsidRDefault="00AC40FC" w:rsidP="00581946">
            <w:pPr>
              <w:pStyle w:val="TableText0"/>
              <w:rPr>
                <w:b/>
                <w:sz w:val="18"/>
                <w:szCs w:val="18"/>
              </w:rPr>
            </w:pPr>
            <w:r w:rsidRPr="009651E8">
              <w:rPr>
                <w:sz w:val="18"/>
                <w:szCs w:val="18"/>
              </w:rPr>
              <w:t>PPL SC</w:t>
            </w:r>
          </w:p>
        </w:tc>
        <w:tc>
          <w:tcPr>
            <w:tcW w:w="1297" w:type="dxa"/>
            <w:vAlign w:val="center"/>
          </w:tcPr>
          <w:p w:rsidR="00AC40FC" w:rsidRPr="009651E8" w:rsidRDefault="00AC40FC" w:rsidP="00581946">
            <w:pPr>
              <w:pStyle w:val="TableText0"/>
              <w:rPr>
                <w:sz w:val="18"/>
                <w:szCs w:val="18"/>
              </w:rPr>
            </w:pPr>
            <w:r w:rsidRPr="009651E8">
              <w:rPr>
                <w:sz w:val="18"/>
                <w:szCs w:val="18"/>
              </w:rPr>
              <w:t>1,099</w:t>
            </w:r>
          </w:p>
        </w:tc>
        <w:tc>
          <w:tcPr>
            <w:tcW w:w="1550" w:type="dxa"/>
            <w:vAlign w:val="center"/>
          </w:tcPr>
          <w:p w:rsidR="00AC40FC" w:rsidRPr="009651E8" w:rsidRDefault="00AC40FC" w:rsidP="00581946">
            <w:pPr>
              <w:pStyle w:val="TableText0"/>
              <w:rPr>
                <w:sz w:val="18"/>
                <w:szCs w:val="18"/>
              </w:rPr>
            </w:pPr>
            <w:r w:rsidRPr="009651E8">
              <w:rPr>
                <w:sz w:val="18"/>
                <w:szCs w:val="18"/>
              </w:rPr>
              <w:t>-321</w:t>
            </w:r>
          </w:p>
        </w:tc>
        <w:tc>
          <w:tcPr>
            <w:tcW w:w="1550" w:type="dxa"/>
          </w:tcPr>
          <w:p w:rsidR="00AC40FC" w:rsidRPr="009651E8" w:rsidRDefault="00AC40FC" w:rsidP="00581946">
            <w:pPr>
              <w:pStyle w:val="TableText0"/>
              <w:rPr>
                <w:sz w:val="18"/>
                <w:szCs w:val="18"/>
              </w:rPr>
            </w:pPr>
            <w:r w:rsidRPr="009651E8">
              <w:rPr>
                <w:sz w:val="18"/>
                <w:szCs w:val="18"/>
              </w:rPr>
              <w:t>-253</w:t>
            </w:r>
          </w:p>
        </w:tc>
        <w:tc>
          <w:tcPr>
            <w:tcW w:w="1430" w:type="dxa"/>
          </w:tcPr>
          <w:p w:rsidR="00AC40FC" w:rsidRPr="009651E8" w:rsidRDefault="00AC40FC" w:rsidP="00581946">
            <w:pPr>
              <w:pStyle w:val="TableText0"/>
              <w:rPr>
                <w:sz w:val="18"/>
                <w:szCs w:val="18"/>
              </w:rPr>
            </w:pPr>
            <w:r w:rsidRPr="009651E8">
              <w:rPr>
                <w:sz w:val="18"/>
                <w:szCs w:val="18"/>
              </w:rPr>
              <w:t>-45</w:t>
            </w:r>
          </w:p>
        </w:tc>
        <w:tc>
          <w:tcPr>
            <w:tcW w:w="1330" w:type="dxa"/>
            <w:vAlign w:val="center"/>
          </w:tcPr>
          <w:p w:rsidR="00AC40FC" w:rsidRPr="009651E8" w:rsidRDefault="00AC40FC" w:rsidP="00581946">
            <w:pPr>
              <w:pStyle w:val="TableText0"/>
              <w:rPr>
                <w:sz w:val="18"/>
                <w:szCs w:val="18"/>
              </w:rPr>
            </w:pPr>
            <w:r w:rsidRPr="009651E8">
              <w:rPr>
                <w:sz w:val="18"/>
                <w:szCs w:val="18"/>
              </w:rPr>
              <w:t>480</w:t>
            </w:r>
          </w:p>
        </w:tc>
        <w:tc>
          <w:tcPr>
            <w:tcW w:w="1394" w:type="dxa"/>
            <w:vAlign w:val="center"/>
          </w:tcPr>
          <w:p w:rsidR="00AC40FC" w:rsidRPr="009651E8" w:rsidRDefault="00AC40FC" w:rsidP="00581946">
            <w:pPr>
              <w:pStyle w:val="TableText0"/>
              <w:rPr>
                <w:sz w:val="18"/>
                <w:szCs w:val="18"/>
              </w:rPr>
            </w:pPr>
            <w:r w:rsidRPr="009651E8">
              <w:rPr>
                <w:sz w:val="18"/>
                <w:szCs w:val="18"/>
              </w:rPr>
              <w:t>452</w:t>
            </w:r>
          </w:p>
        </w:tc>
        <w:tc>
          <w:tcPr>
            <w:tcW w:w="1645" w:type="dxa"/>
          </w:tcPr>
          <w:p w:rsidR="00AC40FC" w:rsidRPr="009651E8" w:rsidRDefault="00AC40FC" w:rsidP="00581946">
            <w:pPr>
              <w:pStyle w:val="TableText0"/>
              <w:rPr>
                <w:sz w:val="18"/>
                <w:szCs w:val="18"/>
              </w:rPr>
            </w:pPr>
            <w:r w:rsidRPr="009651E8">
              <w:rPr>
                <w:sz w:val="18"/>
                <w:szCs w:val="18"/>
              </w:rPr>
              <w:t>4</w:t>
            </w:r>
          </w:p>
        </w:tc>
      </w:tr>
      <w:tr w:rsidR="00AC40FC" w:rsidRPr="009651E8" w:rsidTr="00581946">
        <w:trPr>
          <w:cantSplit/>
          <w:jc w:val="center"/>
        </w:trPr>
        <w:tc>
          <w:tcPr>
            <w:tcW w:w="11880" w:type="dxa"/>
            <w:gridSpan w:val="8"/>
          </w:tcPr>
          <w:p w:rsidR="00AC40FC" w:rsidRPr="009651E8" w:rsidRDefault="00AC40FC" w:rsidP="00581946">
            <w:pPr>
              <w:pStyle w:val="TableText0"/>
              <w:jc w:val="left"/>
              <w:rPr>
                <w:sz w:val="18"/>
                <w:szCs w:val="18"/>
              </w:rPr>
            </w:pPr>
            <w:r w:rsidRPr="009651E8">
              <w:rPr>
                <w:sz w:val="18"/>
                <w:szCs w:val="18"/>
              </w:rPr>
              <w:t>Source</w:t>
            </w:r>
            <w:r>
              <w:rPr>
                <w:sz w:val="18"/>
                <w:szCs w:val="18"/>
              </w:rPr>
              <w:t>s</w:t>
            </w:r>
            <w:r w:rsidRPr="009651E8">
              <w:rPr>
                <w:sz w:val="18"/>
                <w:szCs w:val="18"/>
              </w:rPr>
              <w:t>:  DN 18-006-C; DN 18-007-C; DN 18-008-C-a; PPL Report Factual Review; and V&amp;A Calculations</w:t>
            </w:r>
          </w:p>
        </w:tc>
      </w:tr>
    </w:tbl>
    <w:p w:rsidR="00AC40FC" w:rsidRDefault="00AC40FC" w:rsidP="00581946">
      <w:pPr>
        <w:pStyle w:val="Normal-aftertable"/>
      </w:pPr>
      <w:r>
        <w:t>The number of employee positions in PPL EU and PPL SC decreased in 2015 and further reductions are planned in 2016.  Further, the number of total positions in the two service companies, PPL EUS and PPL SC, decreased from 1,099 to 748, a reduction of 351 positions, through transfers to Talen and net position eliminations.</w:t>
      </w:r>
    </w:p>
    <w:p w:rsidR="00AC40FC" w:rsidRDefault="00AC40FC" w:rsidP="00581946">
      <w:r>
        <w:t>The following table presents the trends in employee positions for the three entities from 2014 through 2019.</w:t>
      </w:r>
    </w:p>
    <w:p w:rsidR="00AC40FC" w:rsidRDefault="00AC40FC" w:rsidP="00B306CB">
      <w:pPr>
        <w:pStyle w:val="Caption"/>
      </w:pPr>
      <w:bookmarkStart w:id="342" w:name="_Toc462648488"/>
      <w:bookmarkStart w:id="343" w:name="_Toc464553110"/>
      <w:r>
        <w:t xml:space="preserve">Exhibit </w:t>
      </w:r>
      <w:fldSimple w:instr=" STYLEREF 1 \s ">
        <w:r w:rsidR="00A24205">
          <w:rPr>
            <w:noProof/>
          </w:rPr>
          <w:t>XV</w:t>
        </w:r>
      </w:fldSimple>
      <w:r w:rsidR="00264A1B">
        <w:noBreakHyphen/>
      </w:r>
      <w:fldSimple w:instr=" SEQ Exhibit \* ARABIC \s 1 ">
        <w:r w:rsidR="00A24205">
          <w:rPr>
            <w:noProof/>
          </w:rPr>
          <w:t>2</w:t>
        </w:r>
      </w:fldSimple>
      <w:r>
        <w:br/>
        <w:t>Employee Position Trend – as of Year End</w:t>
      </w:r>
      <w:bookmarkEnd w:id="342"/>
      <w:bookmarkEnd w:id="343"/>
    </w:p>
    <w:tbl>
      <w:tblPr>
        <w:tblStyle w:val="TableGrid"/>
        <w:tblW w:w="0" w:type="auto"/>
        <w:jc w:val="center"/>
        <w:tblLook w:val="04A0"/>
      </w:tblPr>
      <w:tblGrid>
        <w:gridCol w:w="1684"/>
        <w:gridCol w:w="1314"/>
        <w:gridCol w:w="1314"/>
        <w:gridCol w:w="1316"/>
        <w:gridCol w:w="1316"/>
        <w:gridCol w:w="1316"/>
        <w:gridCol w:w="1316"/>
      </w:tblGrid>
      <w:tr w:rsidR="00AC40FC" w:rsidRPr="002E642E" w:rsidTr="00581946">
        <w:trPr>
          <w:cantSplit/>
          <w:tblHeader/>
          <w:jc w:val="center"/>
        </w:trPr>
        <w:tc>
          <w:tcPr>
            <w:tcW w:w="1598" w:type="dxa"/>
            <w:shd w:val="clear" w:color="auto" w:fill="A5CD7E"/>
            <w:vAlign w:val="center"/>
          </w:tcPr>
          <w:p w:rsidR="00AC40FC" w:rsidRPr="002E642E" w:rsidRDefault="00AC40FC" w:rsidP="00D6083E">
            <w:pPr>
              <w:pStyle w:val="TableHeading0"/>
              <w:spacing w:before="120" w:after="120"/>
              <w:rPr>
                <w:szCs w:val="24"/>
              </w:rPr>
            </w:pPr>
            <w:r w:rsidRPr="002E642E">
              <w:rPr>
                <w:szCs w:val="24"/>
              </w:rPr>
              <w:t>Organization Unit</w:t>
            </w:r>
          </w:p>
        </w:tc>
        <w:tc>
          <w:tcPr>
            <w:tcW w:w="0" w:type="auto"/>
            <w:shd w:val="clear" w:color="auto" w:fill="A5CD7E"/>
            <w:vAlign w:val="center"/>
          </w:tcPr>
          <w:p w:rsidR="00AC40FC" w:rsidRPr="002E642E" w:rsidRDefault="00AC40FC" w:rsidP="00D6083E">
            <w:pPr>
              <w:pStyle w:val="TableHeading0"/>
              <w:spacing w:before="120" w:after="120"/>
              <w:rPr>
                <w:szCs w:val="24"/>
              </w:rPr>
            </w:pPr>
            <w:r>
              <w:rPr>
                <w:szCs w:val="24"/>
              </w:rPr>
              <w:t xml:space="preserve">Actual </w:t>
            </w:r>
            <w:r w:rsidRPr="002E642E">
              <w:rPr>
                <w:szCs w:val="24"/>
              </w:rPr>
              <w:t>2014 Positions</w:t>
            </w:r>
          </w:p>
        </w:tc>
        <w:tc>
          <w:tcPr>
            <w:tcW w:w="0" w:type="auto"/>
            <w:shd w:val="clear" w:color="auto" w:fill="A5CD7E"/>
            <w:vAlign w:val="center"/>
          </w:tcPr>
          <w:p w:rsidR="00AC40FC" w:rsidRPr="002E642E" w:rsidRDefault="00AC40FC" w:rsidP="00D6083E">
            <w:pPr>
              <w:pStyle w:val="TableHeading0"/>
              <w:spacing w:before="120" w:after="120"/>
              <w:rPr>
                <w:szCs w:val="24"/>
              </w:rPr>
            </w:pPr>
            <w:r>
              <w:rPr>
                <w:szCs w:val="24"/>
              </w:rPr>
              <w:t xml:space="preserve">Actual </w:t>
            </w:r>
            <w:r w:rsidRPr="002E642E">
              <w:rPr>
                <w:szCs w:val="24"/>
              </w:rPr>
              <w:t>2015 Positions</w:t>
            </w:r>
          </w:p>
        </w:tc>
        <w:tc>
          <w:tcPr>
            <w:tcW w:w="0" w:type="auto"/>
            <w:shd w:val="clear" w:color="auto" w:fill="A5CD7E"/>
            <w:vAlign w:val="center"/>
          </w:tcPr>
          <w:p w:rsidR="00AC40FC" w:rsidRPr="002E642E" w:rsidRDefault="00AC40FC" w:rsidP="00D6083E">
            <w:pPr>
              <w:pStyle w:val="TableHeading0"/>
              <w:spacing w:before="120" w:after="120"/>
              <w:rPr>
                <w:szCs w:val="24"/>
              </w:rPr>
            </w:pPr>
            <w:r>
              <w:rPr>
                <w:szCs w:val="24"/>
              </w:rPr>
              <w:t>Planned</w:t>
            </w:r>
            <w:r w:rsidRPr="002E642E">
              <w:rPr>
                <w:szCs w:val="24"/>
              </w:rPr>
              <w:t xml:space="preserve"> 2016 Positions</w:t>
            </w:r>
          </w:p>
        </w:tc>
        <w:tc>
          <w:tcPr>
            <w:tcW w:w="0" w:type="auto"/>
            <w:shd w:val="clear" w:color="auto" w:fill="A5CD7E"/>
            <w:vAlign w:val="center"/>
          </w:tcPr>
          <w:p w:rsidR="00AC40FC" w:rsidRPr="002E642E" w:rsidRDefault="00AC40FC" w:rsidP="00D6083E">
            <w:pPr>
              <w:pStyle w:val="TableHeading0"/>
              <w:spacing w:before="120" w:after="120"/>
              <w:rPr>
                <w:szCs w:val="24"/>
              </w:rPr>
            </w:pPr>
            <w:r>
              <w:rPr>
                <w:szCs w:val="24"/>
              </w:rPr>
              <w:t>Planned 2017 Positions</w:t>
            </w:r>
          </w:p>
        </w:tc>
        <w:tc>
          <w:tcPr>
            <w:tcW w:w="0" w:type="auto"/>
            <w:shd w:val="clear" w:color="auto" w:fill="A5CD7E"/>
            <w:vAlign w:val="center"/>
          </w:tcPr>
          <w:p w:rsidR="00AC40FC" w:rsidRPr="002E642E" w:rsidRDefault="00AC40FC" w:rsidP="00D6083E">
            <w:pPr>
              <w:pStyle w:val="TableHeading0"/>
              <w:spacing w:before="120" w:after="120"/>
              <w:rPr>
                <w:szCs w:val="24"/>
              </w:rPr>
            </w:pPr>
            <w:r>
              <w:rPr>
                <w:szCs w:val="24"/>
              </w:rPr>
              <w:t>Planned 2018 Positions</w:t>
            </w:r>
          </w:p>
        </w:tc>
        <w:tc>
          <w:tcPr>
            <w:tcW w:w="0" w:type="auto"/>
            <w:shd w:val="clear" w:color="auto" w:fill="A5CD7E"/>
            <w:vAlign w:val="center"/>
          </w:tcPr>
          <w:p w:rsidR="00AC40FC" w:rsidRPr="002E642E" w:rsidRDefault="00AC40FC" w:rsidP="00D6083E">
            <w:pPr>
              <w:pStyle w:val="TableHeading0"/>
              <w:spacing w:before="120" w:after="120"/>
              <w:rPr>
                <w:szCs w:val="24"/>
              </w:rPr>
            </w:pPr>
            <w:r>
              <w:rPr>
                <w:szCs w:val="24"/>
              </w:rPr>
              <w:t>Planned 2019 Positions</w:t>
            </w:r>
          </w:p>
        </w:tc>
      </w:tr>
      <w:tr w:rsidR="00AC40FC" w:rsidRPr="002E642E" w:rsidTr="00581946">
        <w:trPr>
          <w:cantSplit/>
          <w:jc w:val="center"/>
        </w:trPr>
        <w:tc>
          <w:tcPr>
            <w:tcW w:w="1598" w:type="dxa"/>
            <w:vAlign w:val="center"/>
          </w:tcPr>
          <w:p w:rsidR="00AC40FC" w:rsidRPr="002E642E" w:rsidRDefault="00AC40FC" w:rsidP="00581946">
            <w:pPr>
              <w:pStyle w:val="TableText0"/>
              <w:rPr>
                <w:b/>
                <w:szCs w:val="24"/>
              </w:rPr>
            </w:pPr>
            <w:r w:rsidRPr="002E642E">
              <w:rPr>
                <w:szCs w:val="24"/>
              </w:rPr>
              <w:t>PPL EU</w:t>
            </w:r>
          </w:p>
        </w:tc>
        <w:tc>
          <w:tcPr>
            <w:tcW w:w="0" w:type="auto"/>
            <w:vAlign w:val="center"/>
          </w:tcPr>
          <w:p w:rsidR="00AC40FC" w:rsidRPr="002E642E" w:rsidRDefault="00AC40FC" w:rsidP="00581946">
            <w:pPr>
              <w:pStyle w:val="TableText0"/>
              <w:rPr>
                <w:szCs w:val="24"/>
              </w:rPr>
            </w:pPr>
            <w:r>
              <w:rPr>
                <w:szCs w:val="24"/>
              </w:rPr>
              <w:t>2,187</w:t>
            </w:r>
          </w:p>
        </w:tc>
        <w:tc>
          <w:tcPr>
            <w:tcW w:w="0" w:type="auto"/>
          </w:tcPr>
          <w:p w:rsidR="00AC40FC" w:rsidRPr="002E642E" w:rsidRDefault="00AC40FC" w:rsidP="00581946">
            <w:pPr>
              <w:pStyle w:val="TableText0"/>
              <w:rPr>
                <w:szCs w:val="24"/>
              </w:rPr>
            </w:pPr>
            <w:r>
              <w:rPr>
                <w:szCs w:val="24"/>
              </w:rPr>
              <w:t>2,040</w:t>
            </w:r>
          </w:p>
        </w:tc>
        <w:tc>
          <w:tcPr>
            <w:tcW w:w="0" w:type="auto"/>
          </w:tcPr>
          <w:p w:rsidR="00AC40FC" w:rsidRPr="002E642E" w:rsidRDefault="00AC40FC" w:rsidP="00581946">
            <w:pPr>
              <w:pStyle w:val="TableText0"/>
              <w:rPr>
                <w:szCs w:val="24"/>
              </w:rPr>
            </w:pPr>
            <w:r>
              <w:rPr>
                <w:szCs w:val="24"/>
              </w:rPr>
              <w:t>1,964</w:t>
            </w:r>
          </w:p>
        </w:tc>
        <w:tc>
          <w:tcPr>
            <w:tcW w:w="0" w:type="auto"/>
          </w:tcPr>
          <w:p w:rsidR="00AC40FC" w:rsidRPr="002E642E" w:rsidRDefault="00AC40FC" w:rsidP="00581946">
            <w:pPr>
              <w:pStyle w:val="TableText0"/>
              <w:rPr>
                <w:szCs w:val="24"/>
              </w:rPr>
            </w:pPr>
            <w:r>
              <w:rPr>
                <w:szCs w:val="24"/>
              </w:rPr>
              <w:t>1,862</w:t>
            </w:r>
          </w:p>
        </w:tc>
        <w:tc>
          <w:tcPr>
            <w:tcW w:w="0" w:type="auto"/>
            <w:vAlign w:val="center"/>
          </w:tcPr>
          <w:p w:rsidR="00AC40FC" w:rsidRPr="002E642E" w:rsidRDefault="00AC40FC" w:rsidP="00581946">
            <w:pPr>
              <w:pStyle w:val="TableText0"/>
              <w:rPr>
                <w:szCs w:val="24"/>
              </w:rPr>
            </w:pPr>
            <w:r>
              <w:rPr>
                <w:szCs w:val="24"/>
              </w:rPr>
              <w:t>1,819</w:t>
            </w:r>
          </w:p>
        </w:tc>
        <w:tc>
          <w:tcPr>
            <w:tcW w:w="0" w:type="auto"/>
            <w:vAlign w:val="center"/>
          </w:tcPr>
          <w:p w:rsidR="00AC40FC" w:rsidRPr="002E642E" w:rsidRDefault="00AC40FC" w:rsidP="00581946">
            <w:pPr>
              <w:pStyle w:val="TableText0"/>
              <w:rPr>
                <w:szCs w:val="24"/>
              </w:rPr>
            </w:pPr>
            <w:r>
              <w:rPr>
                <w:szCs w:val="24"/>
              </w:rPr>
              <w:t>1,797</w:t>
            </w:r>
          </w:p>
        </w:tc>
      </w:tr>
      <w:tr w:rsidR="00AC40FC" w:rsidRPr="002E642E" w:rsidTr="00581946">
        <w:trPr>
          <w:cantSplit/>
          <w:jc w:val="center"/>
        </w:trPr>
        <w:tc>
          <w:tcPr>
            <w:tcW w:w="1598" w:type="dxa"/>
            <w:vAlign w:val="center"/>
          </w:tcPr>
          <w:p w:rsidR="00AC40FC" w:rsidRPr="002E642E" w:rsidRDefault="00AC40FC" w:rsidP="00581946">
            <w:pPr>
              <w:pStyle w:val="TableText0"/>
              <w:rPr>
                <w:b/>
                <w:szCs w:val="24"/>
              </w:rPr>
            </w:pPr>
            <w:r w:rsidRPr="002E642E">
              <w:rPr>
                <w:szCs w:val="24"/>
              </w:rPr>
              <w:t>PPL EUS</w:t>
            </w:r>
          </w:p>
        </w:tc>
        <w:tc>
          <w:tcPr>
            <w:tcW w:w="0" w:type="auto"/>
            <w:vAlign w:val="center"/>
          </w:tcPr>
          <w:p w:rsidR="00AC40FC" w:rsidRPr="002E642E" w:rsidRDefault="00AC40FC" w:rsidP="00581946">
            <w:pPr>
              <w:pStyle w:val="TableText0"/>
              <w:rPr>
                <w:szCs w:val="24"/>
              </w:rPr>
            </w:pPr>
            <w:r>
              <w:rPr>
                <w:szCs w:val="24"/>
              </w:rPr>
              <w:t>0</w:t>
            </w:r>
          </w:p>
        </w:tc>
        <w:tc>
          <w:tcPr>
            <w:tcW w:w="0" w:type="auto"/>
          </w:tcPr>
          <w:p w:rsidR="00AC40FC" w:rsidRPr="002E642E" w:rsidRDefault="00AC40FC" w:rsidP="00581946">
            <w:pPr>
              <w:pStyle w:val="TableText0"/>
              <w:rPr>
                <w:szCs w:val="24"/>
              </w:rPr>
            </w:pPr>
            <w:r>
              <w:rPr>
                <w:szCs w:val="24"/>
              </w:rPr>
              <w:t>268</w:t>
            </w:r>
          </w:p>
        </w:tc>
        <w:tc>
          <w:tcPr>
            <w:tcW w:w="0" w:type="auto"/>
          </w:tcPr>
          <w:p w:rsidR="00AC40FC" w:rsidRPr="002E642E" w:rsidRDefault="00AC40FC" w:rsidP="00581946">
            <w:pPr>
              <w:pStyle w:val="TableText0"/>
              <w:rPr>
                <w:szCs w:val="24"/>
              </w:rPr>
            </w:pPr>
            <w:r>
              <w:rPr>
                <w:szCs w:val="24"/>
              </w:rPr>
              <w:t>275</w:t>
            </w:r>
          </w:p>
        </w:tc>
        <w:tc>
          <w:tcPr>
            <w:tcW w:w="0" w:type="auto"/>
          </w:tcPr>
          <w:p w:rsidR="00AC40FC" w:rsidRPr="007B6CD3" w:rsidRDefault="00AC40FC" w:rsidP="00581946">
            <w:pPr>
              <w:pStyle w:val="TableText0"/>
              <w:rPr>
                <w:szCs w:val="24"/>
              </w:rPr>
            </w:pPr>
            <w:r w:rsidRPr="007B6CD3">
              <w:rPr>
                <w:szCs w:val="24"/>
              </w:rPr>
              <w:t>272</w:t>
            </w:r>
          </w:p>
        </w:tc>
        <w:tc>
          <w:tcPr>
            <w:tcW w:w="0" w:type="auto"/>
            <w:vAlign w:val="center"/>
          </w:tcPr>
          <w:p w:rsidR="00AC40FC" w:rsidRPr="002E642E" w:rsidRDefault="00AC40FC" w:rsidP="00581946">
            <w:pPr>
              <w:pStyle w:val="TableText0"/>
              <w:rPr>
                <w:szCs w:val="24"/>
              </w:rPr>
            </w:pPr>
            <w:r>
              <w:rPr>
                <w:szCs w:val="24"/>
              </w:rPr>
              <w:t>270</w:t>
            </w:r>
          </w:p>
        </w:tc>
        <w:tc>
          <w:tcPr>
            <w:tcW w:w="0" w:type="auto"/>
            <w:vAlign w:val="center"/>
          </w:tcPr>
          <w:p w:rsidR="00AC40FC" w:rsidRPr="002E642E" w:rsidRDefault="00AC40FC" w:rsidP="00581946">
            <w:pPr>
              <w:pStyle w:val="TableText0"/>
              <w:rPr>
                <w:szCs w:val="24"/>
              </w:rPr>
            </w:pPr>
            <w:r>
              <w:rPr>
                <w:szCs w:val="24"/>
              </w:rPr>
              <w:t>268</w:t>
            </w:r>
          </w:p>
        </w:tc>
      </w:tr>
      <w:tr w:rsidR="00AC40FC" w:rsidRPr="002E642E" w:rsidTr="00581946">
        <w:trPr>
          <w:cantSplit/>
          <w:jc w:val="center"/>
        </w:trPr>
        <w:tc>
          <w:tcPr>
            <w:tcW w:w="1598" w:type="dxa"/>
            <w:vAlign w:val="center"/>
          </w:tcPr>
          <w:p w:rsidR="00AC40FC" w:rsidRPr="002E642E" w:rsidRDefault="00AC40FC" w:rsidP="00581946">
            <w:pPr>
              <w:pStyle w:val="TableText0"/>
              <w:rPr>
                <w:b/>
                <w:szCs w:val="24"/>
              </w:rPr>
            </w:pPr>
            <w:r w:rsidRPr="002E642E">
              <w:rPr>
                <w:szCs w:val="24"/>
              </w:rPr>
              <w:t>PPL SC</w:t>
            </w:r>
          </w:p>
        </w:tc>
        <w:tc>
          <w:tcPr>
            <w:tcW w:w="0" w:type="auto"/>
            <w:vAlign w:val="center"/>
          </w:tcPr>
          <w:p w:rsidR="00AC40FC" w:rsidRPr="002E642E" w:rsidRDefault="00AC40FC" w:rsidP="00581946">
            <w:pPr>
              <w:pStyle w:val="TableText0"/>
              <w:rPr>
                <w:szCs w:val="24"/>
              </w:rPr>
            </w:pPr>
            <w:r>
              <w:rPr>
                <w:szCs w:val="24"/>
              </w:rPr>
              <w:t>1,099</w:t>
            </w:r>
          </w:p>
        </w:tc>
        <w:tc>
          <w:tcPr>
            <w:tcW w:w="0" w:type="auto"/>
          </w:tcPr>
          <w:p w:rsidR="00AC40FC" w:rsidRPr="002E642E" w:rsidRDefault="00AC40FC" w:rsidP="00581946">
            <w:pPr>
              <w:pStyle w:val="TableText0"/>
              <w:rPr>
                <w:szCs w:val="24"/>
              </w:rPr>
            </w:pPr>
            <w:r>
              <w:rPr>
                <w:szCs w:val="24"/>
              </w:rPr>
              <w:t>480</w:t>
            </w:r>
          </w:p>
        </w:tc>
        <w:tc>
          <w:tcPr>
            <w:tcW w:w="0" w:type="auto"/>
          </w:tcPr>
          <w:p w:rsidR="00AC40FC" w:rsidRPr="002E642E" w:rsidRDefault="00AC40FC" w:rsidP="00581946">
            <w:pPr>
              <w:pStyle w:val="TableText0"/>
              <w:rPr>
                <w:szCs w:val="24"/>
              </w:rPr>
            </w:pPr>
            <w:r>
              <w:rPr>
                <w:szCs w:val="24"/>
              </w:rPr>
              <w:t>452</w:t>
            </w:r>
          </w:p>
        </w:tc>
        <w:tc>
          <w:tcPr>
            <w:tcW w:w="0" w:type="auto"/>
          </w:tcPr>
          <w:p w:rsidR="00AC40FC" w:rsidRPr="007B6CD3" w:rsidRDefault="00AC40FC" w:rsidP="00581946">
            <w:pPr>
              <w:pStyle w:val="TableText0"/>
              <w:rPr>
                <w:szCs w:val="24"/>
              </w:rPr>
            </w:pPr>
            <w:r w:rsidRPr="007B6CD3">
              <w:rPr>
                <w:szCs w:val="24"/>
              </w:rPr>
              <w:t>429</w:t>
            </w:r>
          </w:p>
        </w:tc>
        <w:tc>
          <w:tcPr>
            <w:tcW w:w="0" w:type="auto"/>
            <w:vAlign w:val="center"/>
          </w:tcPr>
          <w:p w:rsidR="00AC40FC" w:rsidRPr="002E642E" w:rsidRDefault="00AC40FC" w:rsidP="00581946">
            <w:pPr>
              <w:pStyle w:val="TableText0"/>
              <w:rPr>
                <w:szCs w:val="24"/>
              </w:rPr>
            </w:pPr>
            <w:r>
              <w:rPr>
                <w:szCs w:val="24"/>
              </w:rPr>
              <w:t>427</w:t>
            </w:r>
          </w:p>
        </w:tc>
        <w:tc>
          <w:tcPr>
            <w:tcW w:w="0" w:type="auto"/>
            <w:vAlign w:val="center"/>
          </w:tcPr>
          <w:p w:rsidR="00AC40FC" w:rsidRPr="002E642E" w:rsidRDefault="00AC40FC" w:rsidP="00581946">
            <w:pPr>
              <w:pStyle w:val="TableText0"/>
              <w:rPr>
                <w:szCs w:val="24"/>
              </w:rPr>
            </w:pPr>
            <w:r>
              <w:rPr>
                <w:szCs w:val="24"/>
              </w:rPr>
              <w:t>426</w:t>
            </w:r>
          </w:p>
        </w:tc>
      </w:tr>
      <w:tr w:rsidR="00AC40FC" w:rsidRPr="002E642E" w:rsidTr="00581946">
        <w:trPr>
          <w:cantSplit/>
          <w:jc w:val="center"/>
        </w:trPr>
        <w:tc>
          <w:tcPr>
            <w:tcW w:w="12888" w:type="dxa"/>
            <w:gridSpan w:val="7"/>
            <w:vAlign w:val="center"/>
          </w:tcPr>
          <w:p w:rsidR="00AC40FC" w:rsidRPr="002E642E" w:rsidRDefault="00AC40FC" w:rsidP="00581946">
            <w:pPr>
              <w:pStyle w:val="TableText0"/>
              <w:jc w:val="left"/>
              <w:rPr>
                <w:szCs w:val="24"/>
              </w:rPr>
            </w:pPr>
            <w:r>
              <w:rPr>
                <w:szCs w:val="24"/>
              </w:rPr>
              <w:t>Sources: DN 18-003-C; PPL Report Factual Review; and V&amp;A Calculations</w:t>
            </w:r>
          </w:p>
        </w:tc>
      </w:tr>
    </w:tbl>
    <w:p w:rsidR="00AC40FC" w:rsidRPr="00E83D02" w:rsidRDefault="00AC40FC" w:rsidP="00581946">
      <w:pPr>
        <w:pStyle w:val="Normal-aftertable"/>
      </w:pPr>
      <w:r w:rsidRPr="00E83D02">
        <w:t>The</w:t>
      </w:r>
      <w:r>
        <w:t xml:space="preserve"> figures for 2016 through 2019 exclude temporary employees.  The plans are to reduce the total number of positions in PPL EU and PPL SC each year.  PPL EU will go from 2,187 positions in 2014 to 1,797 positions in 2019, a reduction of 390 positions, or 17.8%.  The combination of the two service companies, PPL EUS and PPL SC, will go from 748 positions in 2015 (after the Talen spin off) to 694 positions in 2019, a reduction of 54 positions, or 7.2%.  </w:t>
      </w:r>
    </w:p>
    <w:p w:rsidR="00AC40FC" w:rsidRDefault="00AC40FC" w:rsidP="00581946">
      <w:pPr>
        <w:pStyle w:val="Heading30"/>
      </w:pPr>
      <w:r>
        <w:lastRenderedPageBreak/>
        <w:t>staffing planning and the budgeting process</w:t>
      </w:r>
    </w:p>
    <w:p w:rsidR="00AC40FC" w:rsidRDefault="00AC40FC" w:rsidP="00581946">
      <w:pPr>
        <w:pStyle w:val="Heading40"/>
      </w:pPr>
      <w:r>
        <w:t>Annual Budget Process</w:t>
      </w:r>
    </w:p>
    <w:p w:rsidR="00AC40FC" w:rsidRDefault="00AC40FC" w:rsidP="00581946">
      <w:r>
        <w:t>PPL EU’s annual budget process begins in the April to May timeframe with the dissemination of budget assumptions and the development of work plans.  This process ends in the October to December time period as PPL EU’s budget is consolidated with the other PPL Corporation entity budgets for presentation and approval by the PPL Corporation Board of Directors.</w:t>
      </w:r>
    </w:p>
    <w:p w:rsidR="00AC40FC" w:rsidRDefault="00AC40FC" w:rsidP="00581946">
      <w:r>
        <w:t>All b</w:t>
      </w:r>
      <w:r w:rsidRPr="00DF251E">
        <w:t xml:space="preserve">usiness </w:t>
      </w:r>
      <w:r>
        <w:t>lines and s</w:t>
      </w:r>
      <w:r w:rsidRPr="00DF251E">
        <w:t xml:space="preserve">ervice </w:t>
      </w:r>
      <w:r>
        <w:t>g</w:t>
      </w:r>
      <w:r w:rsidRPr="00DF251E">
        <w:t xml:space="preserve">roups develop budgets </w:t>
      </w:r>
      <w:r>
        <w:t xml:space="preserve">and forecasts for a five year period, with the first two years </w:t>
      </w:r>
      <w:r w:rsidRPr="00DF251E">
        <w:t>developed by month</w:t>
      </w:r>
      <w:r>
        <w:t>, and the last three years on an annual basis.  Payroll b</w:t>
      </w:r>
      <w:r w:rsidRPr="00DF251E">
        <w:t xml:space="preserve">udgets </w:t>
      </w:r>
      <w:r>
        <w:t>are</w:t>
      </w:r>
      <w:r w:rsidRPr="00DF251E">
        <w:t xml:space="preserve"> prepared at the </w:t>
      </w:r>
      <w:r>
        <w:t xml:space="preserve">supplying responsibility center (SRC) level.  That is, each work unit housing employees develops its own payroll budget. </w:t>
      </w:r>
      <w:r w:rsidRPr="00DF251E">
        <w:t xml:space="preserve"> </w:t>
      </w:r>
      <w:r>
        <w:t xml:space="preserve">The budgeting system is used to prepare operating budgets and load them into PPL EU’s general ledger system. </w:t>
      </w:r>
    </w:p>
    <w:p w:rsidR="00AC40FC" w:rsidRDefault="00AC40FC" w:rsidP="00581946">
      <w:r>
        <w:t xml:space="preserve">The budgeting information system </w:t>
      </w:r>
      <w:r w:rsidRPr="00DF251E">
        <w:t>provid</w:t>
      </w:r>
      <w:r>
        <w:t>es</w:t>
      </w:r>
      <w:r w:rsidRPr="00DF251E">
        <w:t xml:space="preserve"> rollups via </w:t>
      </w:r>
      <w:r>
        <w:t>S</w:t>
      </w:r>
      <w:r w:rsidRPr="00DF251E">
        <w:t>RC trees to the Bus</w:t>
      </w:r>
      <w:r>
        <w:t xml:space="preserve">iness Line or Service Group level, as appropriate.  It </w:t>
      </w:r>
      <w:r w:rsidRPr="00DF251E">
        <w:t>requires users to budget labor</w:t>
      </w:r>
      <w:r>
        <w:t xml:space="preserve"> </w:t>
      </w:r>
      <w:r w:rsidRPr="00DF251E">
        <w:t>costs to capital and expense and/or clearing projects and/or activities.</w:t>
      </w:r>
      <w:r>
        <w:t xml:space="preserve">  </w:t>
      </w:r>
      <w:r w:rsidRPr="00B624E1">
        <w:t xml:space="preserve">The labor budget is used to provide an estimate of the various job classifications and number of full-time and part-time employees required during the budget years, as well as the level of planned overtime.  This data is used to </w:t>
      </w:r>
      <w:r>
        <w:t xml:space="preserve">automatically </w:t>
      </w:r>
      <w:r w:rsidRPr="00B624E1">
        <w:t>calculate the total payroll budget</w:t>
      </w:r>
      <w:r>
        <w:t xml:space="preserve"> using an electronic interface to the Human Resources Payroll (HRPR) system</w:t>
      </w:r>
      <w:r w:rsidRPr="00B624E1">
        <w:t xml:space="preserve">.  </w:t>
      </w:r>
    </w:p>
    <w:p w:rsidR="00AC40FC" w:rsidRDefault="00AC40FC" w:rsidP="00581946">
      <w:pPr>
        <w:pStyle w:val="Heading40"/>
      </w:pPr>
      <w:r>
        <w:t>Position Budgeting</w:t>
      </w:r>
    </w:p>
    <w:p w:rsidR="00AC40FC" w:rsidRPr="00DF251E" w:rsidRDefault="00AC40FC" w:rsidP="00581946">
      <w:r w:rsidRPr="00DF251E">
        <w:t>Each</w:t>
      </w:r>
      <w:r>
        <w:t xml:space="preserve"> SRC</w:t>
      </w:r>
      <w:r w:rsidRPr="00DF251E">
        <w:t xml:space="preserve"> budget</w:t>
      </w:r>
      <w:r>
        <w:t>s</w:t>
      </w:r>
      <w:r w:rsidRPr="00DF251E">
        <w:t xml:space="preserve"> for its employees.  Within each </w:t>
      </w:r>
      <w:r>
        <w:t>S</w:t>
      </w:r>
      <w:r w:rsidRPr="00DF251E">
        <w:t xml:space="preserve">RC, </w:t>
      </w:r>
      <w:r>
        <w:t>management</w:t>
      </w:r>
      <w:r w:rsidRPr="00DF251E">
        <w:t xml:space="preserve">, </w:t>
      </w:r>
      <w:r>
        <w:t>b</w:t>
      </w:r>
      <w:r w:rsidRPr="00DF251E">
        <w:t xml:space="preserve">argaining </w:t>
      </w:r>
      <w:r>
        <w:t>u</w:t>
      </w:r>
      <w:r w:rsidRPr="00DF251E">
        <w:t>nit (BU)</w:t>
      </w:r>
      <w:r>
        <w:t>,</w:t>
      </w:r>
      <w:r w:rsidRPr="00DF251E">
        <w:t xml:space="preserve"> and </w:t>
      </w:r>
      <w:r>
        <w:t>o</w:t>
      </w:r>
      <w:r w:rsidRPr="00DF251E">
        <w:t>ther (</w:t>
      </w:r>
      <w:r>
        <w:t xml:space="preserve">e.g., </w:t>
      </w:r>
      <w:r w:rsidRPr="00DF251E">
        <w:t>temp</w:t>
      </w:r>
      <w:r>
        <w:t xml:space="preserve">orary and </w:t>
      </w:r>
      <w:r w:rsidRPr="00DF251E">
        <w:t>co-op</w:t>
      </w:r>
      <w:r>
        <w:t>erative</w:t>
      </w:r>
      <w:r w:rsidRPr="00DF251E">
        <w:t xml:space="preserve">) employees will be budgeted by headcount and by job code.  </w:t>
      </w:r>
      <w:r>
        <w:t>The budgeting system</w:t>
      </w:r>
      <w:r w:rsidRPr="00DF251E">
        <w:t xml:space="preserve"> provide</w:t>
      </w:r>
      <w:r>
        <w:t>s</w:t>
      </w:r>
      <w:r w:rsidRPr="00DF251E">
        <w:t xml:space="preserve"> an interface to the HRPR system</w:t>
      </w:r>
      <w:r>
        <w:t xml:space="preserve"> which</w:t>
      </w:r>
      <w:r w:rsidRPr="00DF251E">
        <w:t xml:space="preserve"> populate</w:t>
      </w:r>
      <w:r>
        <w:t>s</w:t>
      </w:r>
      <w:r w:rsidRPr="00DF251E">
        <w:t xml:space="preserve"> </w:t>
      </w:r>
      <w:r>
        <w:t>the budgeting system</w:t>
      </w:r>
      <w:r w:rsidRPr="00DF251E">
        <w:t xml:space="preserve"> </w:t>
      </w:r>
      <w:r>
        <w:t>with actual employee headcounts</w:t>
      </w:r>
      <w:r w:rsidRPr="00DF251E">
        <w:t xml:space="preserve"> by </w:t>
      </w:r>
      <w:r>
        <w:t>S</w:t>
      </w:r>
      <w:r w:rsidRPr="00DF251E">
        <w:t>RC</w:t>
      </w:r>
      <w:r>
        <w:t xml:space="preserve"> and job code</w:t>
      </w:r>
      <w:r w:rsidRPr="00DF251E">
        <w:t xml:space="preserve"> </w:t>
      </w:r>
      <w:r>
        <w:t>as of the date of estimate (DOE)</w:t>
      </w:r>
      <w:r w:rsidRPr="00DF251E">
        <w:t xml:space="preserve">.  Contractor headcounts </w:t>
      </w:r>
      <w:r>
        <w:t>are not</w:t>
      </w:r>
      <w:r w:rsidRPr="00DF251E">
        <w:t xml:space="preserve"> available </w:t>
      </w:r>
      <w:r>
        <w:t xml:space="preserve">for inclusion </w:t>
      </w:r>
      <w:r w:rsidRPr="00DF251E">
        <w:t>from the HRPR interface.</w:t>
      </w:r>
    </w:p>
    <w:p w:rsidR="00AC40FC" w:rsidRPr="00DF251E" w:rsidRDefault="00AC40FC" w:rsidP="00581946">
      <w:r>
        <w:t>Business Lines and</w:t>
      </w:r>
      <w:r w:rsidRPr="00DF251E">
        <w:t xml:space="preserve"> Service Groups </w:t>
      </w:r>
      <w:r>
        <w:t>are required to</w:t>
      </w:r>
      <w:r w:rsidRPr="00DF251E">
        <w:t xml:space="preserve"> </w:t>
      </w:r>
      <w:r>
        <w:t>develop</w:t>
      </w:r>
      <w:r w:rsidRPr="00DF251E">
        <w:t xml:space="preserve"> and maintain a forecast headcount on an ongoing basis</w:t>
      </w:r>
      <w:r>
        <w:t>, at the S</w:t>
      </w:r>
      <w:r w:rsidRPr="00DF251E">
        <w:t xml:space="preserve">RC level.  </w:t>
      </w:r>
      <w:r>
        <w:t>S</w:t>
      </w:r>
      <w:r w:rsidRPr="00DF251E">
        <w:t>RC</w:t>
      </w:r>
      <w:r>
        <w:t>s are</w:t>
      </w:r>
      <w:r w:rsidRPr="00DF251E">
        <w:t xml:space="preserve"> responsibl</w:t>
      </w:r>
      <w:r>
        <w:t>e</w:t>
      </w:r>
      <w:r w:rsidRPr="00DF251E">
        <w:t xml:space="preserve"> for </w:t>
      </w:r>
      <w:r>
        <w:t xml:space="preserve">employee </w:t>
      </w:r>
      <w:r w:rsidRPr="00DF251E">
        <w:t>headcount accuracy</w:t>
      </w:r>
      <w:r>
        <w:t xml:space="preserve"> in the budget.  This does not include contractors.  Staffing levels</w:t>
      </w:r>
      <w:r w:rsidRPr="00DF251E">
        <w:t xml:space="preserve"> must meet all corporate guidelines and criteri</w:t>
      </w:r>
      <w:r>
        <w:t>a as defined by Human Resources.  All groups are required to budget changes in headcounts in the month they are expected to occur.</w:t>
      </w:r>
    </w:p>
    <w:p w:rsidR="00AC40FC" w:rsidRPr="00F14DDD" w:rsidRDefault="00AC40FC" w:rsidP="00581946">
      <w:pPr>
        <w:pStyle w:val="Heading40"/>
      </w:pPr>
      <w:r w:rsidRPr="00F14DDD">
        <w:t>Payroll Budgeting</w:t>
      </w:r>
    </w:p>
    <w:p w:rsidR="00AC40FC" w:rsidRPr="00DF251E" w:rsidRDefault="00AC40FC" w:rsidP="00581946">
      <w:r w:rsidRPr="00DF251E">
        <w:t xml:space="preserve">Payroll </w:t>
      </w:r>
      <w:r>
        <w:t>is budgeted by calendar month.  P</w:t>
      </w:r>
      <w:r w:rsidRPr="00DF251E">
        <w:t xml:space="preserve">ayroll budgets </w:t>
      </w:r>
      <w:r>
        <w:t>are</w:t>
      </w:r>
      <w:r w:rsidRPr="00DF251E">
        <w:t xml:space="preserve"> based on position budgeting headcounts and average straight time wage rates by job code, calculated for each </w:t>
      </w:r>
      <w:r>
        <w:t>S</w:t>
      </w:r>
      <w:r w:rsidRPr="00DF251E">
        <w:t>RC, as provided through the HRPR interface as of the DOE.</w:t>
      </w:r>
      <w:r>
        <w:t xml:space="preserve">  </w:t>
      </w:r>
      <w:r w:rsidRPr="00DF251E">
        <w:t xml:space="preserve">Hours worked tables and non-productive loading rates </w:t>
      </w:r>
      <w:r>
        <w:t>are</w:t>
      </w:r>
      <w:r w:rsidRPr="00DF251E">
        <w:t xml:space="preserve"> specific to each </w:t>
      </w:r>
      <w:r>
        <w:t>b</w:t>
      </w:r>
      <w:r w:rsidRPr="00DF251E">
        <w:t xml:space="preserve">usiness </w:t>
      </w:r>
      <w:r>
        <w:t>l</w:t>
      </w:r>
      <w:r w:rsidRPr="00DF251E">
        <w:t xml:space="preserve">ine and </w:t>
      </w:r>
      <w:r>
        <w:t>s</w:t>
      </w:r>
      <w:r w:rsidRPr="00DF251E">
        <w:t xml:space="preserve">ervice </w:t>
      </w:r>
      <w:r>
        <w:t>g</w:t>
      </w:r>
      <w:r w:rsidRPr="00DF251E">
        <w:t>roup.</w:t>
      </w:r>
    </w:p>
    <w:p w:rsidR="00AC40FC" w:rsidRPr="00DF251E" w:rsidRDefault="00AC40FC" w:rsidP="00581946">
      <w:r>
        <w:t>Wage rate increases for management</w:t>
      </w:r>
      <w:r w:rsidRPr="00DF251E">
        <w:t xml:space="preserve"> employees and respective Bargaining Unit employees </w:t>
      </w:r>
      <w:r>
        <w:t xml:space="preserve">are maintained </w:t>
      </w:r>
      <w:r w:rsidRPr="00DF251E">
        <w:t xml:space="preserve">in </w:t>
      </w:r>
      <w:r>
        <w:t>the budgeting system</w:t>
      </w:r>
      <w:r w:rsidRPr="00DF251E">
        <w:t xml:space="preserve">.  </w:t>
      </w:r>
      <w:r>
        <w:t>W</w:t>
      </w:r>
      <w:r w:rsidRPr="00DF251E">
        <w:t xml:space="preserve">age rate increase assumptions </w:t>
      </w:r>
      <w:r>
        <w:t>are</w:t>
      </w:r>
      <w:r w:rsidRPr="00DF251E">
        <w:t xml:space="preserve"> reflected in the average straight time payroll rate by job code for each year, in the </w:t>
      </w:r>
      <w:r w:rsidRPr="00DF251E">
        <w:lastRenderedPageBreak/>
        <w:t xml:space="preserve">appropriate month.  </w:t>
      </w:r>
      <w:r>
        <w:t>The budgeting system</w:t>
      </w:r>
      <w:r w:rsidRPr="00DF251E">
        <w:t xml:space="preserve"> appl</w:t>
      </w:r>
      <w:r>
        <w:t>ies</w:t>
      </w:r>
      <w:r w:rsidRPr="00DF251E">
        <w:t xml:space="preserve"> the </w:t>
      </w:r>
      <w:r>
        <w:t xml:space="preserve">tax and benefits, non-productive time, and variable compensation </w:t>
      </w:r>
      <w:r w:rsidRPr="00DF251E">
        <w:t xml:space="preserve">loadings to </w:t>
      </w:r>
      <w:r>
        <w:t xml:space="preserve">the base payroll.  </w:t>
      </w:r>
      <w:r w:rsidRPr="00DF251E">
        <w:t>Other earnings, such as shift differential, per diem allowances</w:t>
      </w:r>
      <w:r>
        <w:t>,</w:t>
      </w:r>
      <w:r w:rsidRPr="00DF251E">
        <w:t xml:space="preserve"> and exceptional contributions </w:t>
      </w:r>
      <w:r>
        <w:t>are manually</w:t>
      </w:r>
      <w:r w:rsidRPr="00DF251E">
        <w:t xml:space="preserve"> included in total payroll as lump sum additional dollars.</w:t>
      </w:r>
      <w:r>
        <w:t xml:space="preserve">  </w:t>
      </w:r>
    </w:p>
    <w:p w:rsidR="00AC40FC" w:rsidRPr="00F14DDD" w:rsidRDefault="00AC40FC" w:rsidP="00581946">
      <w:pPr>
        <w:pStyle w:val="Heading40"/>
      </w:pPr>
      <w:r w:rsidRPr="00F14DDD">
        <w:t>Labor Balancing</w:t>
      </w:r>
    </w:p>
    <w:p w:rsidR="00AC40FC" w:rsidRPr="009C6541" w:rsidRDefault="00AC40FC" w:rsidP="00581946">
      <w:r w:rsidRPr="00B624E1">
        <w:t>All employees budgeted via position budgeting must be assigned to a project or activity</w:t>
      </w:r>
      <w:r>
        <w:t xml:space="preserve"> so that </w:t>
      </w:r>
      <w:r w:rsidRPr="00B624E1">
        <w:t xml:space="preserve">all payroll dollars </w:t>
      </w:r>
      <w:r>
        <w:t>are</w:t>
      </w:r>
      <w:r w:rsidRPr="00B624E1">
        <w:t xml:space="preserve"> balanced and assigned to an expense</w:t>
      </w:r>
      <w:r>
        <w:t xml:space="preserve"> (O&amp;M Budget)</w:t>
      </w:r>
      <w:r w:rsidRPr="00B624E1">
        <w:t xml:space="preserve">, capital </w:t>
      </w:r>
      <w:r>
        <w:t xml:space="preserve">(Capital Budget), </w:t>
      </w:r>
      <w:r w:rsidRPr="00B624E1">
        <w:t>or cle</w:t>
      </w:r>
      <w:r>
        <w:t>aring account via an average management</w:t>
      </w:r>
      <w:r w:rsidRPr="00B624E1">
        <w:t xml:space="preserve"> or </w:t>
      </w:r>
      <w:r>
        <w:t>BU wage rate within a</w:t>
      </w:r>
      <w:r w:rsidRPr="00B624E1">
        <w:t xml:space="preserve"> </w:t>
      </w:r>
      <w:r>
        <w:t>S</w:t>
      </w:r>
      <w:r w:rsidRPr="00B624E1">
        <w:t xml:space="preserve">RC.  </w:t>
      </w:r>
    </w:p>
    <w:p w:rsidR="00AC40FC" w:rsidRPr="00392173" w:rsidRDefault="00AC40FC" w:rsidP="00581946">
      <w:pPr>
        <w:pStyle w:val="Heading40"/>
      </w:pPr>
      <w:r w:rsidRPr="00223301">
        <w:t>Operations</w:t>
      </w:r>
      <w:r>
        <w:t xml:space="preserve"> and </w:t>
      </w:r>
      <w:r w:rsidRPr="00392173">
        <w:t>M</w:t>
      </w:r>
      <w:r>
        <w:t>aintenance</w:t>
      </w:r>
      <w:r w:rsidRPr="00392173">
        <w:t xml:space="preserve"> </w:t>
      </w:r>
      <w:r>
        <w:t>Budget</w:t>
      </w:r>
    </w:p>
    <w:p w:rsidR="00AC40FC" w:rsidRPr="00B07B3D" w:rsidRDefault="00AC40FC" w:rsidP="00581946">
      <w:r w:rsidRPr="00B07B3D">
        <w:t xml:space="preserve">All work </w:t>
      </w:r>
      <w:r>
        <w:t>must</w:t>
      </w:r>
      <w:r w:rsidRPr="00B07B3D">
        <w:t xml:space="preserve"> be budgeted to </w:t>
      </w:r>
      <w:r>
        <w:t>activities or projects,</w:t>
      </w:r>
      <w:r w:rsidRPr="00B07B3D">
        <w:t xml:space="preserve"> and </w:t>
      </w:r>
      <w:r>
        <w:t>a b</w:t>
      </w:r>
      <w:r w:rsidRPr="00B07B3D">
        <w:t xml:space="preserve">udget </w:t>
      </w:r>
      <w:r>
        <w:t>i</w:t>
      </w:r>
      <w:r w:rsidRPr="00B07B3D">
        <w:t>tem</w:t>
      </w:r>
      <w:r>
        <w:t>.</w:t>
      </w:r>
      <w:r w:rsidRPr="00B07B3D">
        <w:t xml:space="preserve"> </w:t>
      </w:r>
      <w:r>
        <w:t xml:space="preserve"> </w:t>
      </w:r>
      <w:r w:rsidRPr="00B07B3D">
        <w:t xml:space="preserve">O&amp;M expenses </w:t>
      </w:r>
      <w:r>
        <w:t>are</w:t>
      </w:r>
      <w:r w:rsidRPr="00B07B3D">
        <w:t xml:space="preserve"> budgeted at the </w:t>
      </w:r>
      <w:r>
        <w:t>S</w:t>
      </w:r>
      <w:r w:rsidRPr="00B07B3D">
        <w:t>RC level in the period when the w</w:t>
      </w:r>
      <w:r>
        <w:t xml:space="preserve">ork is expected to be performed.  </w:t>
      </w:r>
      <w:r w:rsidRPr="00B07B3D">
        <w:t xml:space="preserve">Inflation assumptions for the planning horizon are not automatically built into the </w:t>
      </w:r>
      <w:r>
        <w:t>budgeting</w:t>
      </w:r>
      <w:r w:rsidRPr="00B07B3D">
        <w:t xml:space="preserve"> system</w:t>
      </w:r>
      <w:r>
        <w:t xml:space="preserve"> but are</w:t>
      </w:r>
      <w:r w:rsidRPr="00B07B3D">
        <w:t xml:space="preserve"> used by budget coordinators in </w:t>
      </w:r>
      <w:r>
        <w:t>preparing non-payroll budgets.</w:t>
      </w:r>
    </w:p>
    <w:p w:rsidR="00AC40FC" w:rsidRPr="0031522D" w:rsidRDefault="00AC40FC" w:rsidP="00581946">
      <w:pPr>
        <w:pStyle w:val="Heading40"/>
      </w:pPr>
      <w:r w:rsidRPr="0031522D">
        <w:t>Capital Budgeting</w:t>
      </w:r>
    </w:p>
    <w:p w:rsidR="00AC40FC" w:rsidRPr="00DF251E" w:rsidRDefault="00AC40FC" w:rsidP="00581946">
      <w:r>
        <w:t xml:space="preserve">Capital expenditures are </w:t>
      </w:r>
      <w:r w:rsidRPr="00DF251E">
        <w:t xml:space="preserve">budgeted in detail </w:t>
      </w:r>
      <w:r>
        <w:t xml:space="preserve">in the period when the work is expected to be performed, </w:t>
      </w:r>
      <w:r w:rsidRPr="00DF251E">
        <w:t>and incorporate the results of labor balancing</w:t>
      </w:r>
      <w:r>
        <w:t xml:space="preserve">.  </w:t>
      </w:r>
      <w:r w:rsidRPr="00DF251E">
        <w:t>Data requirements (other than those that will be derived from projects, e</w:t>
      </w:r>
      <w:r>
        <w:t>.g. Business Unit, Facility, In-</w:t>
      </w:r>
      <w:r w:rsidRPr="00DF251E">
        <w:t>Service Dates, or Unit), are as follows:</w:t>
      </w:r>
    </w:p>
    <w:p w:rsidR="00AC40FC" w:rsidRPr="00B07B3D" w:rsidRDefault="00AC40FC" w:rsidP="00581946">
      <w:pPr>
        <w:pStyle w:val="Bullet"/>
      </w:pPr>
      <w:r w:rsidRPr="00B07B3D">
        <w:t>Budge</w:t>
      </w:r>
      <w:r>
        <w:t>t by Super Project at a minimum</w:t>
      </w:r>
    </w:p>
    <w:p w:rsidR="00AC40FC" w:rsidRPr="00B07B3D" w:rsidRDefault="00AC40FC" w:rsidP="00581946">
      <w:pPr>
        <w:pStyle w:val="Bullet"/>
      </w:pPr>
      <w:r>
        <w:t>Payroll budgeted by the SRC</w:t>
      </w:r>
    </w:p>
    <w:p w:rsidR="00AC40FC" w:rsidRPr="00B07B3D" w:rsidRDefault="00AC40FC" w:rsidP="00581946">
      <w:pPr>
        <w:pStyle w:val="Bullet"/>
      </w:pPr>
      <w:r w:rsidRPr="00B07B3D">
        <w:rPr>
          <w:rFonts w:hint="eastAsia"/>
        </w:rPr>
        <w:t>B</w:t>
      </w:r>
      <w:r w:rsidRPr="00B07B3D">
        <w:t xml:space="preserve">udget </w:t>
      </w:r>
      <w:r>
        <w:t>i</w:t>
      </w:r>
      <w:r w:rsidRPr="00B07B3D">
        <w:t xml:space="preserve">tem details at major categories   </w:t>
      </w:r>
    </w:p>
    <w:p w:rsidR="00AC40FC" w:rsidRDefault="00AC40FC" w:rsidP="00581946">
      <w:pPr>
        <w:pStyle w:val="Heading40"/>
      </w:pPr>
      <w:r>
        <w:t>Five Year Staffing Plan</w:t>
      </w:r>
    </w:p>
    <w:p w:rsidR="00AC40FC" w:rsidRDefault="00AC40FC" w:rsidP="00581946">
      <w:r>
        <w:t>The number of planned positions by type is reflected in each annual SRC budget for the next five years.  In addition, the amount of planned contracting is reflected in the budgets for contractors and consultants as dollar values, as many consulting and contractor procurements include materials, equipment, and other non-personnel costs.  While each SRC develops its own staffing and contracting projection, it does not follow a PPL Corporation or PPL EU workforce planning process.  Each work group has its own staffing and contracting planning process.</w:t>
      </w:r>
    </w:p>
    <w:p w:rsidR="00AC40FC" w:rsidRDefault="00AC40FC" w:rsidP="004F00E5">
      <w:pPr>
        <w:pStyle w:val="Heading2"/>
        <w:numPr>
          <w:ilvl w:val="0"/>
          <w:numId w:val="113"/>
        </w:numPr>
      </w:pPr>
      <w:bookmarkStart w:id="344" w:name="_Toc462647900"/>
      <w:bookmarkStart w:id="345" w:name="_Toc464552139"/>
      <w:r>
        <w:t>transmission and substations</w:t>
      </w:r>
      <w:bookmarkEnd w:id="344"/>
      <w:bookmarkEnd w:id="345"/>
    </w:p>
    <w:p w:rsidR="00AC40FC" w:rsidRDefault="00AC40FC" w:rsidP="00BB665B">
      <w:pPr>
        <w:pStyle w:val="Heading-forToC"/>
      </w:pPr>
      <w:bookmarkStart w:id="346" w:name="_Toc462647901"/>
      <w:bookmarkStart w:id="347" w:name="_Toc464552140"/>
      <w:r>
        <w:t>background</w:t>
      </w:r>
      <w:bookmarkEnd w:id="346"/>
      <w:bookmarkEnd w:id="347"/>
    </w:p>
    <w:p w:rsidR="00AC40FC" w:rsidRDefault="00AC40FC" w:rsidP="00581946">
      <w:r>
        <w:t>This section discusses staffing in the PPL EU Transmission and Substations (T&amp;S) organization.  The section addresses staffing in the T&amp;S organizational units in existence as of the end of 2015:</w:t>
      </w:r>
    </w:p>
    <w:p w:rsidR="00AC40FC" w:rsidRDefault="00AC40FC" w:rsidP="00581946">
      <w:pPr>
        <w:pStyle w:val="Bullet"/>
      </w:pPr>
      <w:r>
        <w:t>T&amp;S Asset Management</w:t>
      </w:r>
    </w:p>
    <w:p w:rsidR="00AC40FC" w:rsidRDefault="00AC40FC" w:rsidP="00581946">
      <w:pPr>
        <w:pStyle w:val="Bullet"/>
      </w:pPr>
      <w:r>
        <w:t>Power Dispatch</w:t>
      </w:r>
    </w:p>
    <w:p w:rsidR="00AC40FC" w:rsidRDefault="00AC40FC" w:rsidP="00581946">
      <w:pPr>
        <w:pStyle w:val="Bullet"/>
      </w:pPr>
      <w:r>
        <w:t>Reliability Compliance</w:t>
      </w:r>
    </w:p>
    <w:p w:rsidR="00AC40FC" w:rsidRDefault="00AC40FC" w:rsidP="00581946">
      <w:pPr>
        <w:pStyle w:val="Bullet"/>
      </w:pPr>
      <w:r>
        <w:lastRenderedPageBreak/>
        <w:t>Transmission Expansion</w:t>
      </w:r>
    </w:p>
    <w:p w:rsidR="00AC40FC" w:rsidRDefault="00AC40FC" w:rsidP="00581946">
      <w:pPr>
        <w:pStyle w:val="Bullet"/>
      </w:pPr>
      <w:r>
        <w:t>Transmission Regulatory and Business Affairs</w:t>
      </w:r>
    </w:p>
    <w:p w:rsidR="00AC40FC" w:rsidRDefault="00AC40FC" w:rsidP="00581946">
      <w:pPr>
        <w:pStyle w:val="Bullet"/>
      </w:pPr>
      <w:r>
        <w:t>T&amp;S Engineering</w:t>
      </w:r>
    </w:p>
    <w:p w:rsidR="00AC40FC" w:rsidRDefault="00AC40FC" w:rsidP="00581946">
      <w:pPr>
        <w:pStyle w:val="Bullet"/>
      </w:pPr>
      <w:r>
        <w:t>Transmission Project Management</w:t>
      </w:r>
    </w:p>
    <w:p w:rsidR="00AC40FC" w:rsidRDefault="00AC40FC" w:rsidP="00581946">
      <w:pPr>
        <w:pStyle w:val="Heading40"/>
      </w:pPr>
      <w:r>
        <w:t>Cost Reduction</w:t>
      </w:r>
    </w:p>
    <w:p w:rsidR="00AC40FC" w:rsidRPr="009F0339" w:rsidRDefault="00AC40FC" w:rsidP="00581946">
      <w:pPr>
        <w:rPr>
          <w:rFonts w:cs="Arial"/>
          <w:szCs w:val="24"/>
        </w:rPr>
      </w:pPr>
      <w:r>
        <w:rPr>
          <w:rFonts w:cs="Arial"/>
          <w:szCs w:val="24"/>
        </w:rPr>
        <w:t>The Business Analysis and Work Management group has initiated a process to identify means for the organization to achieve first quartile cost performance in operations and maintenance (O&amp;M) expenses by 2017.  The goal is to trim O&amp;M spending from the 2015 level of $50.4 million to $32.0 million in 2017.  The T&amp;S staffing plan is in alignment with the operations and maintenance (O&amp;M) expense target.</w:t>
      </w:r>
    </w:p>
    <w:p w:rsidR="00AC40FC" w:rsidRDefault="00AC40FC" w:rsidP="00581946">
      <w:pPr>
        <w:pStyle w:val="Heading40"/>
      </w:pPr>
      <w:r>
        <w:t>2015 Employee and Contractor Changes and 2016 Forecast</w:t>
      </w:r>
    </w:p>
    <w:p w:rsidR="00AC40FC" w:rsidRPr="00AE3F2D" w:rsidRDefault="00AC40FC" w:rsidP="00581946">
      <w:r>
        <w:rPr>
          <w:rFonts w:cs="Arial"/>
          <w:szCs w:val="24"/>
        </w:rPr>
        <w:t>A summary of T&amp;S staffing is presented by SRC number and title from the end of 2014 to the end of 2015 along with the 2016 forecast in the following table.</w:t>
      </w:r>
    </w:p>
    <w:p w:rsidR="00AC40FC" w:rsidRDefault="00AC40FC" w:rsidP="00B306CB">
      <w:pPr>
        <w:pStyle w:val="Caption"/>
      </w:pPr>
      <w:bookmarkStart w:id="348" w:name="_Toc462648489"/>
      <w:bookmarkStart w:id="349" w:name="_Toc464553111"/>
      <w:r>
        <w:t xml:space="preserve">Exhibit </w:t>
      </w:r>
      <w:fldSimple w:instr=" STYLEREF 1 \s ">
        <w:r w:rsidR="00A24205">
          <w:rPr>
            <w:noProof/>
          </w:rPr>
          <w:t>XV</w:t>
        </w:r>
      </w:fldSimple>
      <w:r w:rsidR="00264A1B">
        <w:noBreakHyphen/>
      </w:r>
      <w:fldSimple w:instr=" SEQ Exhibit \* ARABIC \s 1 ">
        <w:r w:rsidR="00A24205">
          <w:rPr>
            <w:noProof/>
          </w:rPr>
          <w:t>3</w:t>
        </w:r>
      </w:fldSimple>
      <w:r>
        <w:br/>
      </w:r>
      <w:r>
        <w:rPr>
          <w:rFonts w:cs="Arial"/>
          <w:szCs w:val="24"/>
        </w:rPr>
        <w:t xml:space="preserve">T&amp;S </w:t>
      </w:r>
      <w:r w:rsidRPr="00F17825">
        <w:t>Staffing Changes 2014–2015</w:t>
      </w:r>
      <w:r>
        <w:t xml:space="preserve"> and 2016 Forecast</w:t>
      </w:r>
      <w:bookmarkEnd w:id="348"/>
      <w:bookmarkEnd w:id="349"/>
    </w:p>
    <w:tbl>
      <w:tblPr>
        <w:tblW w:w="9635" w:type="dxa"/>
        <w:jc w:val="center"/>
        <w:tblLayout w:type="fixed"/>
        <w:tblLook w:val="04A0"/>
      </w:tblPr>
      <w:tblGrid>
        <w:gridCol w:w="815"/>
        <w:gridCol w:w="3604"/>
        <w:gridCol w:w="806"/>
        <w:gridCol w:w="810"/>
        <w:gridCol w:w="1170"/>
        <w:gridCol w:w="1260"/>
        <w:gridCol w:w="1170"/>
      </w:tblGrid>
      <w:tr w:rsidR="00AC40FC" w:rsidRPr="00D6083E" w:rsidTr="00581946">
        <w:trPr>
          <w:cantSplit/>
          <w:trHeight w:val="330"/>
          <w:tblHeader/>
          <w:jc w:val="center"/>
        </w:trPr>
        <w:tc>
          <w:tcPr>
            <w:tcW w:w="815" w:type="dxa"/>
            <w:tcBorders>
              <w:top w:val="single" w:sz="8" w:space="0" w:color="auto"/>
              <w:left w:val="single" w:sz="8" w:space="0" w:color="auto"/>
              <w:bottom w:val="single" w:sz="8" w:space="0" w:color="auto"/>
              <w:right w:val="single" w:sz="4" w:space="0" w:color="auto"/>
            </w:tcBorders>
            <w:shd w:val="clear" w:color="000000" w:fill="A5CD7E"/>
            <w:vAlign w:val="center"/>
            <w:hideMark/>
          </w:tcPr>
          <w:p w:rsidR="00AC40FC" w:rsidRPr="00D6083E" w:rsidRDefault="00AC40FC" w:rsidP="00D6083E">
            <w:pPr>
              <w:pStyle w:val="TableHeading0"/>
              <w:spacing w:before="120" w:after="120"/>
              <w:rPr>
                <w:szCs w:val="24"/>
              </w:rPr>
            </w:pPr>
            <w:r w:rsidRPr="00D6083E">
              <w:rPr>
                <w:szCs w:val="24"/>
              </w:rPr>
              <w:t>SRC</w:t>
            </w:r>
          </w:p>
        </w:tc>
        <w:tc>
          <w:tcPr>
            <w:tcW w:w="3604" w:type="dxa"/>
            <w:tcBorders>
              <w:top w:val="single" w:sz="8" w:space="0" w:color="auto"/>
              <w:left w:val="nil"/>
              <w:bottom w:val="single" w:sz="8" w:space="0" w:color="auto"/>
              <w:right w:val="single" w:sz="4" w:space="0" w:color="auto"/>
            </w:tcBorders>
            <w:shd w:val="clear" w:color="000000" w:fill="A5CD7E"/>
            <w:vAlign w:val="center"/>
            <w:hideMark/>
          </w:tcPr>
          <w:p w:rsidR="00AC40FC" w:rsidRPr="00D6083E" w:rsidRDefault="00AC40FC" w:rsidP="00D6083E">
            <w:pPr>
              <w:pStyle w:val="TableHeading0"/>
              <w:spacing w:before="120" w:after="120"/>
              <w:rPr>
                <w:szCs w:val="24"/>
              </w:rPr>
            </w:pPr>
            <w:r w:rsidRPr="00D6083E">
              <w:rPr>
                <w:szCs w:val="24"/>
              </w:rPr>
              <w:t>Organizational Unit</w:t>
            </w:r>
          </w:p>
        </w:tc>
        <w:tc>
          <w:tcPr>
            <w:tcW w:w="806" w:type="dxa"/>
            <w:tcBorders>
              <w:top w:val="single" w:sz="8" w:space="0" w:color="auto"/>
              <w:left w:val="nil"/>
              <w:bottom w:val="single" w:sz="8" w:space="0" w:color="auto"/>
              <w:right w:val="single" w:sz="4" w:space="0" w:color="auto"/>
            </w:tcBorders>
            <w:shd w:val="clear" w:color="000000" w:fill="A5CD7E"/>
            <w:vAlign w:val="center"/>
            <w:hideMark/>
          </w:tcPr>
          <w:p w:rsidR="00AC40FC" w:rsidRPr="00D6083E" w:rsidRDefault="00AC40FC" w:rsidP="00D6083E">
            <w:pPr>
              <w:pStyle w:val="TableHeading0"/>
              <w:spacing w:before="120" w:after="120"/>
              <w:rPr>
                <w:szCs w:val="24"/>
              </w:rPr>
            </w:pPr>
            <w:r w:rsidRPr="00D6083E">
              <w:rPr>
                <w:szCs w:val="24"/>
              </w:rPr>
              <w:t>2014</w:t>
            </w:r>
          </w:p>
        </w:tc>
        <w:tc>
          <w:tcPr>
            <w:tcW w:w="810" w:type="dxa"/>
            <w:tcBorders>
              <w:top w:val="single" w:sz="8" w:space="0" w:color="auto"/>
              <w:left w:val="nil"/>
              <w:bottom w:val="single" w:sz="8" w:space="0" w:color="auto"/>
              <w:right w:val="single" w:sz="4" w:space="0" w:color="auto"/>
            </w:tcBorders>
            <w:shd w:val="clear" w:color="000000" w:fill="A5CD7E"/>
            <w:vAlign w:val="center"/>
            <w:hideMark/>
          </w:tcPr>
          <w:p w:rsidR="00AC40FC" w:rsidRPr="00D6083E" w:rsidRDefault="00AC40FC" w:rsidP="00D6083E">
            <w:pPr>
              <w:pStyle w:val="TableHeading0"/>
              <w:spacing w:before="120" w:after="120"/>
              <w:rPr>
                <w:szCs w:val="24"/>
              </w:rPr>
            </w:pPr>
            <w:r w:rsidRPr="00D6083E">
              <w:rPr>
                <w:szCs w:val="24"/>
              </w:rPr>
              <w:t>2015</w:t>
            </w:r>
          </w:p>
        </w:tc>
        <w:tc>
          <w:tcPr>
            <w:tcW w:w="1170" w:type="dxa"/>
            <w:tcBorders>
              <w:top w:val="single" w:sz="8" w:space="0" w:color="auto"/>
              <w:left w:val="nil"/>
              <w:bottom w:val="single" w:sz="8" w:space="0" w:color="auto"/>
              <w:right w:val="single" w:sz="8" w:space="0" w:color="auto"/>
            </w:tcBorders>
            <w:shd w:val="clear" w:color="000000" w:fill="A5CD7E"/>
            <w:vAlign w:val="center"/>
            <w:hideMark/>
          </w:tcPr>
          <w:p w:rsidR="00AC40FC" w:rsidRPr="00D6083E" w:rsidRDefault="00AC40FC" w:rsidP="00D6083E">
            <w:pPr>
              <w:pStyle w:val="TableHeading0"/>
              <w:spacing w:before="120" w:after="120"/>
              <w:rPr>
                <w:szCs w:val="24"/>
              </w:rPr>
            </w:pPr>
            <w:r w:rsidRPr="00D6083E">
              <w:rPr>
                <w:szCs w:val="24"/>
              </w:rPr>
              <w:t>2014–2015 Change</w:t>
            </w:r>
          </w:p>
        </w:tc>
        <w:tc>
          <w:tcPr>
            <w:tcW w:w="1260" w:type="dxa"/>
            <w:tcBorders>
              <w:top w:val="single" w:sz="8" w:space="0" w:color="auto"/>
              <w:left w:val="nil"/>
              <w:bottom w:val="single" w:sz="8" w:space="0" w:color="auto"/>
              <w:right w:val="single" w:sz="8" w:space="0" w:color="auto"/>
            </w:tcBorders>
            <w:shd w:val="clear" w:color="000000" w:fill="A5CD7E"/>
            <w:vAlign w:val="center"/>
          </w:tcPr>
          <w:p w:rsidR="00AC40FC" w:rsidRPr="00D6083E" w:rsidRDefault="00AC40FC" w:rsidP="00D6083E">
            <w:pPr>
              <w:pStyle w:val="TableHeading0"/>
              <w:spacing w:before="120" w:after="120"/>
              <w:rPr>
                <w:szCs w:val="24"/>
              </w:rPr>
            </w:pPr>
            <w:r w:rsidRPr="00D6083E">
              <w:rPr>
                <w:szCs w:val="24"/>
              </w:rPr>
              <w:t>Forecast 2016</w:t>
            </w:r>
          </w:p>
        </w:tc>
        <w:tc>
          <w:tcPr>
            <w:tcW w:w="1170" w:type="dxa"/>
            <w:tcBorders>
              <w:top w:val="single" w:sz="8" w:space="0" w:color="auto"/>
              <w:left w:val="nil"/>
              <w:bottom w:val="single" w:sz="8" w:space="0" w:color="auto"/>
              <w:right w:val="single" w:sz="8" w:space="0" w:color="auto"/>
            </w:tcBorders>
            <w:shd w:val="clear" w:color="000000" w:fill="A5CD7E"/>
            <w:vAlign w:val="center"/>
          </w:tcPr>
          <w:p w:rsidR="00AC40FC" w:rsidRPr="00D6083E" w:rsidRDefault="00AC40FC" w:rsidP="00D6083E">
            <w:pPr>
              <w:pStyle w:val="TableHeading0"/>
              <w:spacing w:before="120" w:after="120"/>
              <w:rPr>
                <w:szCs w:val="24"/>
              </w:rPr>
            </w:pPr>
            <w:r w:rsidRPr="00D6083E">
              <w:rPr>
                <w:szCs w:val="24"/>
              </w:rPr>
              <w:t>Change</w:t>
            </w:r>
          </w:p>
        </w:tc>
      </w:tr>
      <w:tr w:rsidR="00AC40FC" w:rsidRPr="00E33F2E" w:rsidTr="00581946">
        <w:trPr>
          <w:trHeight w:val="295"/>
          <w:jc w:val="center"/>
        </w:trPr>
        <w:tc>
          <w:tcPr>
            <w:tcW w:w="9635" w:type="dxa"/>
            <w:gridSpan w:val="7"/>
            <w:tcBorders>
              <w:top w:val="nil"/>
              <w:left w:val="single" w:sz="8" w:space="0" w:color="auto"/>
              <w:bottom w:val="single" w:sz="8" w:space="0" w:color="auto"/>
              <w:right w:val="single" w:sz="8" w:space="0" w:color="auto"/>
            </w:tcBorders>
            <w:shd w:val="clear" w:color="auto" w:fill="auto"/>
            <w:vAlign w:val="center"/>
          </w:tcPr>
          <w:p w:rsidR="00AC40FC" w:rsidRPr="00DB50CA" w:rsidRDefault="00AC40FC" w:rsidP="00581946">
            <w:pPr>
              <w:spacing w:after="0"/>
              <w:jc w:val="left"/>
              <w:rPr>
                <w:rFonts w:cs="Arial"/>
                <w:b/>
                <w:color w:val="000000"/>
                <w:szCs w:val="24"/>
              </w:rPr>
            </w:pPr>
            <w:r>
              <w:rPr>
                <w:rFonts w:cs="Arial"/>
                <w:b/>
                <w:color w:val="000000"/>
                <w:szCs w:val="24"/>
              </w:rPr>
              <w:t>Administration and Leadership</w:t>
            </w:r>
          </w:p>
        </w:tc>
      </w:tr>
      <w:tr w:rsidR="00AC40FC" w:rsidRPr="00E33F2E" w:rsidTr="00581946">
        <w:trPr>
          <w:trHeight w:val="340"/>
          <w:jc w:val="center"/>
        </w:trPr>
        <w:tc>
          <w:tcPr>
            <w:tcW w:w="815" w:type="dxa"/>
            <w:tcBorders>
              <w:top w:val="nil"/>
              <w:left w:val="single" w:sz="8" w:space="0" w:color="auto"/>
              <w:bottom w:val="single" w:sz="8" w:space="0" w:color="auto"/>
              <w:right w:val="single" w:sz="4" w:space="0" w:color="auto"/>
            </w:tcBorders>
            <w:shd w:val="clear" w:color="auto" w:fill="auto"/>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605</w:t>
            </w:r>
          </w:p>
        </w:tc>
        <w:tc>
          <w:tcPr>
            <w:tcW w:w="3604" w:type="dxa"/>
            <w:tcBorders>
              <w:top w:val="nil"/>
              <w:left w:val="nil"/>
              <w:bottom w:val="single" w:sz="8" w:space="0" w:color="auto"/>
              <w:right w:val="single" w:sz="4" w:space="0" w:color="auto"/>
            </w:tcBorders>
            <w:shd w:val="clear" w:color="auto" w:fill="auto"/>
            <w:vAlign w:val="center"/>
            <w:hideMark/>
          </w:tcPr>
          <w:p w:rsidR="00AC40FC" w:rsidRPr="00E33F2E" w:rsidRDefault="00AC40FC" w:rsidP="00581946">
            <w:pPr>
              <w:spacing w:after="0"/>
              <w:jc w:val="left"/>
              <w:rPr>
                <w:rFonts w:cs="Arial"/>
                <w:color w:val="000000"/>
                <w:szCs w:val="24"/>
              </w:rPr>
            </w:pPr>
            <w:r w:rsidRPr="00E33F2E">
              <w:rPr>
                <w:rFonts w:cs="Arial"/>
                <w:color w:val="000000"/>
                <w:szCs w:val="24"/>
              </w:rPr>
              <w:t>Transmission and Substations</w:t>
            </w:r>
            <w:r>
              <w:rPr>
                <w:rFonts w:cs="Arial"/>
                <w:color w:val="000000"/>
                <w:szCs w:val="24"/>
              </w:rPr>
              <w:t xml:space="preserve"> </w:t>
            </w:r>
          </w:p>
        </w:tc>
        <w:tc>
          <w:tcPr>
            <w:tcW w:w="806" w:type="dxa"/>
            <w:tcBorders>
              <w:top w:val="nil"/>
              <w:left w:val="nil"/>
              <w:bottom w:val="single" w:sz="8" w:space="0" w:color="auto"/>
              <w:right w:val="single" w:sz="4" w:space="0" w:color="auto"/>
            </w:tcBorders>
            <w:shd w:val="clear" w:color="auto" w:fill="auto"/>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5</w:t>
            </w:r>
          </w:p>
        </w:tc>
        <w:tc>
          <w:tcPr>
            <w:tcW w:w="810" w:type="dxa"/>
            <w:tcBorders>
              <w:top w:val="nil"/>
              <w:left w:val="nil"/>
              <w:bottom w:val="single" w:sz="8" w:space="0" w:color="auto"/>
              <w:right w:val="single" w:sz="4" w:space="0" w:color="auto"/>
            </w:tcBorders>
            <w:shd w:val="clear" w:color="auto" w:fill="auto"/>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7</w:t>
            </w:r>
          </w:p>
        </w:tc>
        <w:tc>
          <w:tcPr>
            <w:tcW w:w="1170" w:type="dxa"/>
            <w:tcBorders>
              <w:top w:val="nil"/>
              <w:left w:val="nil"/>
              <w:bottom w:val="single" w:sz="8" w:space="0" w:color="auto"/>
              <w:right w:val="single" w:sz="8" w:space="0" w:color="auto"/>
            </w:tcBorders>
            <w:shd w:val="clear" w:color="auto" w:fill="auto"/>
            <w:vAlign w:val="center"/>
            <w:hideMark/>
          </w:tcPr>
          <w:p w:rsidR="00AC40FC" w:rsidRPr="00E33F2E" w:rsidRDefault="00AC40FC" w:rsidP="00581946">
            <w:pPr>
              <w:spacing w:after="0"/>
              <w:jc w:val="center"/>
              <w:rPr>
                <w:rFonts w:cs="Arial"/>
                <w:color w:val="000000"/>
                <w:szCs w:val="24"/>
              </w:rPr>
            </w:pPr>
            <w:r>
              <w:rPr>
                <w:rFonts w:cs="Arial"/>
                <w:color w:val="000000"/>
                <w:szCs w:val="24"/>
              </w:rPr>
              <w:t>+</w:t>
            </w:r>
            <w:r w:rsidRPr="00E33F2E">
              <w:rPr>
                <w:rFonts w:cs="Arial"/>
                <w:color w:val="000000"/>
                <w:szCs w:val="24"/>
              </w:rPr>
              <w:t>2</w:t>
            </w:r>
          </w:p>
        </w:tc>
        <w:tc>
          <w:tcPr>
            <w:tcW w:w="1260" w:type="dxa"/>
            <w:tcBorders>
              <w:top w:val="nil"/>
              <w:left w:val="nil"/>
              <w:bottom w:val="single" w:sz="8" w:space="0" w:color="auto"/>
              <w:right w:val="single" w:sz="8" w:space="0" w:color="auto"/>
            </w:tcBorders>
            <w:vAlign w:val="center"/>
          </w:tcPr>
          <w:p w:rsidR="00AC40FC" w:rsidRDefault="00AC40FC" w:rsidP="00581946">
            <w:pPr>
              <w:spacing w:after="0"/>
              <w:jc w:val="center"/>
              <w:rPr>
                <w:rFonts w:cs="Arial"/>
                <w:color w:val="000000"/>
                <w:szCs w:val="24"/>
              </w:rPr>
            </w:pPr>
            <w:r>
              <w:rPr>
                <w:rFonts w:cs="Arial"/>
                <w:color w:val="000000"/>
                <w:szCs w:val="24"/>
              </w:rPr>
              <w:t>4</w:t>
            </w:r>
          </w:p>
        </w:tc>
        <w:tc>
          <w:tcPr>
            <w:tcW w:w="1170" w:type="dxa"/>
            <w:tcBorders>
              <w:top w:val="nil"/>
              <w:left w:val="nil"/>
              <w:bottom w:val="single" w:sz="8" w:space="0" w:color="auto"/>
              <w:right w:val="single" w:sz="8" w:space="0" w:color="auto"/>
            </w:tcBorders>
            <w:vAlign w:val="center"/>
          </w:tcPr>
          <w:p w:rsidR="00AC40FC" w:rsidRDefault="00AC40FC" w:rsidP="00581946">
            <w:pPr>
              <w:spacing w:after="0"/>
              <w:jc w:val="center"/>
              <w:rPr>
                <w:rFonts w:cs="Arial"/>
                <w:color w:val="000000"/>
                <w:szCs w:val="24"/>
              </w:rPr>
            </w:pPr>
            <w:r>
              <w:rPr>
                <w:rFonts w:cs="Arial"/>
                <w:color w:val="000000"/>
                <w:szCs w:val="24"/>
              </w:rPr>
              <w:t>-3</w:t>
            </w:r>
          </w:p>
        </w:tc>
      </w:tr>
      <w:tr w:rsidR="00AC40FC" w:rsidRPr="00E33F2E" w:rsidTr="00581946">
        <w:trPr>
          <w:trHeight w:val="300"/>
          <w:jc w:val="center"/>
        </w:trPr>
        <w:tc>
          <w:tcPr>
            <w:tcW w:w="7205" w:type="dxa"/>
            <w:gridSpan w:val="5"/>
            <w:tcBorders>
              <w:top w:val="single" w:sz="8" w:space="0" w:color="auto"/>
              <w:left w:val="single" w:sz="8" w:space="0" w:color="auto"/>
              <w:bottom w:val="single" w:sz="4" w:space="0" w:color="auto"/>
              <w:right w:val="single" w:sz="8" w:space="0" w:color="auto"/>
            </w:tcBorders>
            <w:shd w:val="clear" w:color="auto" w:fill="auto"/>
            <w:vAlign w:val="center"/>
          </w:tcPr>
          <w:p w:rsidR="00AC40FC" w:rsidRPr="008E72FF" w:rsidRDefault="00AC40FC" w:rsidP="00581946">
            <w:pPr>
              <w:spacing w:after="0"/>
              <w:jc w:val="left"/>
              <w:rPr>
                <w:rFonts w:cs="Arial"/>
                <w:b/>
                <w:color w:val="000000"/>
                <w:szCs w:val="24"/>
              </w:rPr>
            </w:pPr>
            <w:r w:rsidRPr="008E72FF">
              <w:rPr>
                <w:rFonts w:cs="Arial"/>
                <w:b/>
                <w:color w:val="000000"/>
                <w:szCs w:val="24"/>
              </w:rPr>
              <w:t>Reliability Compliance</w:t>
            </w:r>
          </w:p>
        </w:tc>
        <w:tc>
          <w:tcPr>
            <w:tcW w:w="1260" w:type="dxa"/>
            <w:tcBorders>
              <w:top w:val="single" w:sz="8" w:space="0" w:color="auto"/>
              <w:left w:val="single" w:sz="8" w:space="0" w:color="auto"/>
              <w:bottom w:val="single" w:sz="4" w:space="0" w:color="auto"/>
              <w:right w:val="single" w:sz="8" w:space="0" w:color="auto"/>
            </w:tcBorders>
          </w:tcPr>
          <w:p w:rsidR="00AC40FC" w:rsidRPr="00E33F2E" w:rsidRDefault="00AC40FC" w:rsidP="00581946">
            <w:pPr>
              <w:spacing w:after="0"/>
              <w:jc w:val="center"/>
              <w:rPr>
                <w:rFonts w:cs="Arial"/>
                <w:color w:val="000000"/>
                <w:szCs w:val="24"/>
              </w:rPr>
            </w:pPr>
          </w:p>
        </w:tc>
        <w:tc>
          <w:tcPr>
            <w:tcW w:w="1170" w:type="dxa"/>
            <w:tcBorders>
              <w:top w:val="single" w:sz="8" w:space="0" w:color="auto"/>
              <w:left w:val="single" w:sz="8" w:space="0" w:color="auto"/>
              <w:bottom w:val="single" w:sz="4" w:space="0" w:color="auto"/>
              <w:right w:val="single" w:sz="8" w:space="0" w:color="auto"/>
            </w:tcBorders>
          </w:tcPr>
          <w:p w:rsidR="00AC40FC" w:rsidRPr="00E33F2E" w:rsidRDefault="00AC40FC" w:rsidP="00581946">
            <w:pPr>
              <w:spacing w:after="0"/>
              <w:jc w:val="center"/>
              <w:rPr>
                <w:rFonts w:cs="Arial"/>
                <w:color w:val="000000"/>
                <w:szCs w:val="24"/>
              </w:rPr>
            </w:pPr>
          </w:p>
        </w:tc>
      </w:tr>
      <w:tr w:rsidR="00AC40FC" w:rsidRPr="00E33F2E" w:rsidTr="00581946">
        <w:trPr>
          <w:trHeight w:val="300"/>
          <w:jc w:val="center"/>
        </w:trPr>
        <w:tc>
          <w:tcPr>
            <w:tcW w:w="815" w:type="dxa"/>
            <w:tcBorders>
              <w:top w:val="nil"/>
              <w:left w:val="single" w:sz="8" w:space="0" w:color="auto"/>
              <w:bottom w:val="single" w:sz="4" w:space="0" w:color="auto"/>
              <w:right w:val="single" w:sz="4" w:space="0" w:color="auto"/>
            </w:tcBorders>
            <w:shd w:val="clear" w:color="auto" w:fill="auto"/>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604</w:t>
            </w:r>
          </w:p>
        </w:tc>
        <w:tc>
          <w:tcPr>
            <w:tcW w:w="3604" w:type="dxa"/>
            <w:tcBorders>
              <w:top w:val="nil"/>
              <w:left w:val="nil"/>
              <w:bottom w:val="single" w:sz="4" w:space="0" w:color="auto"/>
              <w:right w:val="single" w:sz="4" w:space="0" w:color="auto"/>
            </w:tcBorders>
            <w:shd w:val="clear" w:color="auto" w:fill="auto"/>
            <w:vAlign w:val="center"/>
            <w:hideMark/>
          </w:tcPr>
          <w:p w:rsidR="00AC40FC" w:rsidRPr="00E33F2E" w:rsidRDefault="00AC40FC" w:rsidP="00581946">
            <w:pPr>
              <w:spacing w:after="0"/>
              <w:jc w:val="left"/>
              <w:rPr>
                <w:rFonts w:cs="Arial"/>
                <w:color w:val="000000"/>
                <w:szCs w:val="24"/>
              </w:rPr>
            </w:pPr>
            <w:r w:rsidRPr="00E33F2E">
              <w:rPr>
                <w:rFonts w:cs="Arial"/>
                <w:color w:val="000000"/>
                <w:szCs w:val="24"/>
              </w:rPr>
              <w:t>Reliability Compliance</w:t>
            </w:r>
          </w:p>
        </w:tc>
        <w:tc>
          <w:tcPr>
            <w:tcW w:w="806" w:type="dxa"/>
            <w:tcBorders>
              <w:top w:val="nil"/>
              <w:left w:val="nil"/>
              <w:bottom w:val="single" w:sz="4" w:space="0" w:color="auto"/>
              <w:right w:val="single" w:sz="4" w:space="0" w:color="auto"/>
            </w:tcBorders>
            <w:shd w:val="clear" w:color="auto" w:fill="auto"/>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3</w:t>
            </w:r>
          </w:p>
        </w:tc>
        <w:tc>
          <w:tcPr>
            <w:tcW w:w="810" w:type="dxa"/>
            <w:tcBorders>
              <w:top w:val="nil"/>
              <w:left w:val="nil"/>
              <w:bottom w:val="single" w:sz="4" w:space="0" w:color="auto"/>
              <w:right w:val="single" w:sz="4" w:space="0" w:color="auto"/>
            </w:tcBorders>
            <w:shd w:val="clear" w:color="auto" w:fill="auto"/>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3</w:t>
            </w:r>
          </w:p>
        </w:tc>
        <w:tc>
          <w:tcPr>
            <w:tcW w:w="1170" w:type="dxa"/>
            <w:tcBorders>
              <w:top w:val="nil"/>
              <w:left w:val="nil"/>
              <w:bottom w:val="single" w:sz="4" w:space="0" w:color="auto"/>
              <w:right w:val="single" w:sz="8" w:space="0" w:color="auto"/>
            </w:tcBorders>
            <w:shd w:val="clear" w:color="auto" w:fill="auto"/>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0</w:t>
            </w:r>
          </w:p>
        </w:tc>
        <w:tc>
          <w:tcPr>
            <w:tcW w:w="1260" w:type="dxa"/>
            <w:tcBorders>
              <w:top w:val="nil"/>
              <w:left w:val="nil"/>
              <w:bottom w:val="single" w:sz="4" w:space="0" w:color="auto"/>
              <w:right w:val="single" w:sz="8" w:space="0" w:color="auto"/>
            </w:tcBorders>
            <w:vAlign w:val="center"/>
          </w:tcPr>
          <w:p w:rsidR="00AC40FC" w:rsidRPr="00E33F2E" w:rsidRDefault="00AC40FC" w:rsidP="00581946">
            <w:pPr>
              <w:spacing w:after="0"/>
              <w:jc w:val="center"/>
              <w:rPr>
                <w:rFonts w:cs="Arial"/>
                <w:color w:val="000000"/>
                <w:szCs w:val="24"/>
              </w:rPr>
            </w:pPr>
            <w:r>
              <w:rPr>
                <w:rFonts w:cs="Arial"/>
                <w:color w:val="000000"/>
                <w:szCs w:val="24"/>
              </w:rPr>
              <w:t>4</w:t>
            </w:r>
          </w:p>
        </w:tc>
        <w:tc>
          <w:tcPr>
            <w:tcW w:w="1170" w:type="dxa"/>
            <w:tcBorders>
              <w:top w:val="nil"/>
              <w:left w:val="nil"/>
              <w:bottom w:val="single" w:sz="4" w:space="0" w:color="auto"/>
              <w:right w:val="single" w:sz="8" w:space="0" w:color="auto"/>
            </w:tcBorders>
            <w:vAlign w:val="center"/>
          </w:tcPr>
          <w:p w:rsidR="00AC40FC" w:rsidRPr="00E33F2E" w:rsidRDefault="00AC40FC" w:rsidP="00581946">
            <w:pPr>
              <w:spacing w:after="0"/>
              <w:jc w:val="center"/>
              <w:rPr>
                <w:rFonts w:cs="Arial"/>
                <w:color w:val="000000"/>
                <w:szCs w:val="24"/>
              </w:rPr>
            </w:pPr>
            <w:r>
              <w:rPr>
                <w:rFonts w:cs="Arial"/>
                <w:color w:val="000000"/>
                <w:szCs w:val="24"/>
              </w:rPr>
              <w:t>+1</w:t>
            </w:r>
          </w:p>
        </w:tc>
      </w:tr>
      <w:tr w:rsidR="00AC40FC" w:rsidRPr="00E33F2E" w:rsidTr="00581946">
        <w:trPr>
          <w:trHeight w:val="330"/>
          <w:jc w:val="center"/>
        </w:trPr>
        <w:tc>
          <w:tcPr>
            <w:tcW w:w="7205"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rsidR="00AC40FC" w:rsidRPr="008E72FF" w:rsidRDefault="00AC40FC" w:rsidP="00581946">
            <w:pPr>
              <w:spacing w:after="0"/>
              <w:jc w:val="left"/>
              <w:rPr>
                <w:rFonts w:cs="Arial"/>
                <w:b/>
                <w:color w:val="000000"/>
                <w:szCs w:val="24"/>
              </w:rPr>
            </w:pPr>
            <w:r w:rsidRPr="008E72FF">
              <w:rPr>
                <w:rFonts w:cs="Arial"/>
                <w:b/>
                <w:color w:val="000000"/>
                <w:szCs w:val="24"/>
              </w:rPr>
              <w:t>Transmission Regulatory and Business Affairs</w:t>
            </w:r>
          </w:p>
        </w:tc>
        <w:tc>
          <w:tcPr>
            <w:tcW w:w="1260" w:type="dxa"/>
            <w:tcBorders>
              <w:top w:val="single" w:sz="8" w:space="0" w:color="auto"/>
              <w:left w:val="single" w:sz="8" w:space="0" w:color="auto"/>
              <w:bottom w:val="single" w:sz="4" w:space="0" w:color="auto"/>
              <w:right w:val="single" w:sz="8" w:space="0" w:color="000000"/>
            </w:tcBorders>
          </w:tcPr>
          <w:p w:rsidR="00AC40FC" w:rsidRPr="00E33F2E" w:rsidRDefault="00AC40FC" w:rsidP="00581946">
            <w:pPr>
              <w:spacing w:after="0"/>
              <w:jc w:val="center"/>
              <w:rPr>
                <w:rFonts w:cs="Arial"/>
                <w:color w:val="000000"/>
                <w:szCs w:val="24"/>
              </w:rPr>
            </w:pPr>
          </w:p>
        </w:tc>
        <w:tc>
          <w:tcPr>
            <w:tcW w:w="1170" w:type="dxa"/>
            <w:tcBorders>
              <w:top w:val="single" w:sz="8" w:space="0" w:color="auto"/>
              <w:left w:val="single" w:sz="8" w:space="0" w:color="auto"/>
              <w:bottom w:val="single" w:sz="4" w:space="0" w:color="auto"/>
              <w:right w:val="single" w:sz="8" w:space="0" w:color="000000"/>
            </w:tcBorders>
          </w:tcPr>
          <w:p w:rsidR="00AC40FC" w:rsidRPr="00E33F2E" w:rsidRDefault="00AC40FC" w:rsidP="00581946">
            <w:pPr>
              <w:spacing w:after="0"/>
              <w:jc w:val="center"/>
              <w:rPr>
                <w:rFonts w:cs="Arial"/>
                <w:color w:val="000000"/>
                <w:szCs w:val="24"/>
              </w:rPr>
            </w:pPr>
          </w:p>
        </w:tc>
      </w:tr>
      <w:tr w:rsidR="00AC40FC" w:rsidRPr="00E33F2E" w:rsidTr="00581946">
        <w:trPr>
          <w:trHeight w:val="300"/>
          <w:jc w:val="center"/>
        </w:trPr>
        <w:tc>
          <w:tcPr>
            <w:tcW w:w="815" w:type="dxa"/>
            <w:tcBorders>
              <w:top w:val="nil"/>
              <w:left w:val="single" w:sz="8" w:space="0" w:color="auto"/>
              <w:bottom w:val="single" w:sz="4" w:space="0" w:color="auto"/>
              <w:right w:val="single" w:sz="4" w:space="0" w:color="auto"/>
            </w:tcBorders>
            <w:shd w:val="clear" w:color="auto" w:fill="auto"/>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60</w:t>
            </w:r>
            <w:r>
              <w:rPr>
                <w:rFonts w:cs="Arial"/>
                <w:color w:val="000000"/>
                <w:szCs w:val="24"/>
              </w:rPr>
              <w:t>2</w:t>
            </w:r>
          </w:p>
        </w:tc>
        <w:tc>
          <w:tcPr>
            <w:tcW w:w="3604" w:type="dxa"/>
            <w:tcBorders>
              <w:top w:val="nil"/>
              <w:left w:val="nil"/>
              <w:bottom w:val="single" w:sz="4" w:space="0" w:color="auto"/>
              <w:right w:val="single" w:sz="4" w:space="0" w:color="auto"/>
            </w:tcBorders>
            <w:shd w:val="clear" w:color="auto" w:fill="auto"/>
            <w:vAlign w:val="center"/>
            <w:hideMark/>
          </w:tcPr>
          <w:p w:rsidR="00AC40FC" w:rsidRPr="00E33F2E" w:rsidRDefault="00AC40FC" w:rsidP="00581946">
            <w:pPr>
              <w:spacing w:after="0"/>
              <w:jc w:val="left"/>
              <w:rPr>
                <w:rFonts w:cs="Arial"/>
                <w:color w:val="000000"/>
                <w:szCs w:val="24"/>
              </w:rPr>
            </w:pPr>
            <w:r w:rsidRPr="00E33F2E">
              <w:rPr>
                <w:rFonts w:cs="Arial"/>
                <w:color w:val="000000"/>
                <w:szCs w:val="24"/>
              </w:rPr>
              <w:t>Transmission Regulatory and Business Affairs</w:t>
            </w:r>
          </w:p>
        </w:tc>
        <w:tc>
          <w:tcPr>
            <w:tcW w:w="806" w:type="dxa"/>
            <w:tcBorders>
              <w:top w:val="nil"/>
              <w:left w:val="nil"/>
              <w:bottom w:val="single" w:sz="4" w:space="0" w:color="auto"/>
              <w:right w:val="single" w:sz="4" w:space="0" w:color="auto"/>
            </w:tcBorders>
            <w:shd w:val="clear" w:color="auto" w:fill="auto"/>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6</w:t>
            </w:r>
          </w:p>
        </w:tc>
        <w:tc>
          <w:tcPr>
            <w:tcW w:w="810" w:type="dxa"/>
            <w:tcBorders>
              <w:top w:val="nil"/>
              <w:left w:val="nil"/>
              <w:bottom w:val="single" w:sz="4" w:space="0" w:color="auto"/>
              <w:right w:val="single" w:sz="4" w:space="0" w:color="auto"/>
            </w:tcBorders>
            <w:shd w:val="clear" w:color="auto" w:fill="auto"/>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1</w:t>
            </w:r>
          </w:p>
        </w:tc>
        <w:tc>
          <w:tcPr>
            <w:tcW w:w="1170" w:type="dxa"/>
            <w:tcBorders>
              <w:top w:val="nil"/>
              <w:left w:val="nil"/>
              <w:bottom w:val="single" w:sz="4" w:space="0" w:color="auto"/>
              <w:right w:val="single" w:sz="8" w:space="0" w:color="auto"/>
            </w:tcBorders>
            <w:shd w:val="clear" w:color="auto" w:fill="auto"/>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-5</w:t>
            </w:r>
          </w:p>
        </w:tc>
        <w:tc>
          <w:tcPr>
            <w:tcW w:w="1260" w:type="dxa"/>
            <w:tcBorders>
              <w:top w:val="nil"/>
              <w:left w:val="nil"/>
              <w:bottom w:val="single" w:sz="4" w:space="0" w:color="auto"/>
              <w:right w:val="single" w:sz="8" w:space="0" w:color="auto"/>
            </w:tcBorders>
            <w:vAlign w:val="center"/>
          </w:tcPr>
          <w:p w:rsidR="00AC40FC" w:rsidRPr="00E33F2E" w:rsidRDefault="00AC40FC" w:rsidP="00581946">
            <w:pPr>
              <w:spacing w:after="0"/>
              <w:jc w:val="center"/>
              <w:rPr>
                <w:rFonts w:cs="Arial"/>
                <w:color w:val="000000"/>
                <w:szCs w:val="24"/>
              </w:rPr>
            </w:pPr>
            <w:r>
              <w:rPr>
                <w:rFonts w:cs="Arial"/>
                <w:color w:val="000000"/>
                <w:szCs w:val="24"/>
              </w:rPr>
              <w:t>0</w:t>
            </w:r>
          </w:p>
        </w:tc>
        <w:tc>
          <w:tcPr>
            <w:tcW w:w="1170" w:type="dxa"/>
            <w:tcBorders>
              <w:top w:val="nil"/>
              <w:left w:val="nil"/>
              <w:bottom w:val="single" w:sz="4" w:space="0" w:color="auto"/>
              <w:right w:val="single" w:sz="8" w:space="0" w:color="auto"/>
            </w:tcBorders>
            <w:vAlign w:val="center"/>
          </w:tcPr>
          <w:p w:rsidR="00AC40FC" w:rsidRPr="00E33F2E" w:rsidRDefault="00AC40FC" w:rsidP="00581946">
            <w:pPr>
              <w:spacing w:after="0"/>
              <w:jc w:val="center"/>
              <w:rPr>
                <w:rFonts w:cs="Arial"/>
                <w:color w:val="000000"/>
                <w:szCs w:val="24"/>
              </w:rPr>
            </w:pPr>
            <w:r>
              <w:rPr>
                <w:rFonts w:cs="Arial"/>
                <w:color w:val="000000"/>
                <w:szCs w:val="24"/>
              </w:rPr>
              <w:t>-1</w:t>
            </w:r>
          </w:p>
        </w:tc>
      </w:tr>
      <w:tr w:rsidR="00AC40FC" w:rsidRPr="00E33F2E" w:rsidTr="00581946">
        <w:trPr>
          <w:trHeight w:val="330"/>
          <w:jc w:val="center"/>
        </w:trPr>
        <w:tc>
          <w:tcPr>
            <w:tcW w:w="7205"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rsidR="00AC40FC" w:rsidRPr="008E72FF" w:rsidRDefault="00AC40FC" w:rsidP="00581946">
            <w:pPr>
              <w:spacing w:after="0"/>
              <w:jc w:val="left"/>
              <w:rPr>
                <w:rFonts w:cs="Arial"/>
                <w:b/>
                <w:color w:val="000000"/>
                <w:szCs w:val="24"/>
              </w:rPr>
            </w:pPr>
            <w:r w:rsidRPr="008E72FF">
              <w:rPr>
                <w:rFonts w:cs="Arial"/>
                <w:b/>
                <w:color w:val="000000"/>
                <w:szCs w:val="24"/>
              </w:rPr>
              <w:t>Transmission Expansion</w:t>
            </w:r>
          </w:p>
        </w:tc>
        <w:tc>
          <w:tcPr>
            <w:tcW w:w="1260" w:type="dxa"/>
            <w:tcBorders>
              <w:top w:val="single" w:sz="8" w:space="0" w:color="auto"/>
              <w:left w:val="single" w:sz="8" w:space="0" w:color="auto"/>
              <w:bottom w:val="single" w:sz="4" w:space="0" w:color="auto"/>
              <w:right w:val="single" w:sz="8" w:space="0" w:color="000000"/>
            </w:tcBorders>
          </w:tcPr>
          <w:p w:rsidR="00AC40FC" w:rsidRPr="00E33F2E" w:rsidRDefault="00AC40FC" w:rsidP="00581946">
            <w:pPr>
              <w:spacing w:after="0"/>
              <w:jc w:val="center"/>
              <w:rPr>
                <w:rFonts w:cs="Arial"/>
                <w:color w:val="000000"/>
                <w:szCs w:val="24"/>
              </w:rPr>
            </w:pPr>
          </w:p>
        </w:tc>
        <w:tc>
          <w:tcPr>
            <w:tcW w:w="1170" w:type="dxa"/>
            <w:tcBorders>
              <w:top w:val="single" w:sz="8" w:space="0" w:color="auto"/>
              <w:left w:val="single" w:sz="8" w:space="0" w:color="auto"/>
              <w:bottom w:val="single" w:sz="4" w:space="0" w:color="auto"/>
              <w:right w:val="single" w:sz="8" w:space="0" w:color="000000"/>
            </w:tcBorders>
          </w:tcPr>
          <w:p w:rsidR="00AC40FC" w:rsidRPr="00E33F2E" w:rsidRDefault="00AC40FC" w:rsidP="00581946">
            <w:pPr>
              <w:spacing w:after="0"/>
              <w:jc w:val="center"/>
              <w:rPr>
                <w:rFonts w:cs="Arial"/>
                <w:color w:val="000000"/>
                <w:szCs w:val="24"/>
              </w:rPr>
            </w:pPr>
          </w:p>
        </w:tc>
      </w:tr>
      <w:tr w:rsidR="00AC40FC" w:rsidRPr="00E33F2E" w:rsidTr="00581946">
        <w:trPr>
          <w:trHeight w:val="300"/>
          <w:jc w:val="center"/>
        </w:trPr>
        <w:tc>
          <w:tcPr>
            <w:tcW w:w="815" w:type="dxa"/>
            <w:tcBorders>
              <w:top w:val="nil"/>
              <w:left w:val="single" w:sz="8" w:space="0" w:color="auto"/>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2591</w:t>
            </w:r>
          </w:p>
        </w:tc>
        <w:tc>
          <w:tcPr>
            <w:tcW w:w="3604" w:type="dxa"/>
            <w:tcBorders>
              <w:top w:val="nil"/>
              <w:left w:val="nil"/>
              <w:bottom w:val="single" w:sz="4" w:space="0" w:color="auto"/>
              <w:right w:val="single" w:sz="4" w:space="0" w:color="auto"/>
            </w:tcBorders>
            <w:shd w:val="clear" w:color="auto" w:fill="auto"/>
            <w:noWrap/>
            <w:vAlign w:val="center"/>
            <w:hideMark/>
          </w:tcPr>
          <w:p w:rsidR="00AC40FC" w:rsidRPr="00E33F2E" w:rsidRDefault="00AC40FC" w:rsidP="00581946">
            <w:pPr>
              <w:spacing w:after="0"/>
              <w:jc w:val="left"/>
              <w:rPr>
                <w:rFonts w:cs="Arial"/>
                <w:color w:val="000000"/>
                <w:szCs w:val="24"/>
              </w:rPr>
            </w:pPr>
            <w:r w:rsidRPr="00E33F2E">
              <w:rPr>
                <w:rFonts w:cs="Arial"/>
                <w:color w:val="000000"/>
                <w:szCs w:val="24"/>
              </w:rPr>
              <w:t>T&amp;S Permitting</w:t>
            </w:r>
          </w:p>
        </w:tc>
        <w:tc>
          <w:tcPr>
            <w:tcW w:w="806" w:type="dxa"/>
            <w:tcBorders>
              <w:top w:val="nil"/>
              <w:left w:val="nil"/>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2</w:t>
            </w:r>
          </w:p>
        </w:tc>
        <w:tc>
          <w:tcPr>
            <w:tcW w:w="810" w:type="dxa"/>
            <w:tcBorders>
              <w:top w:val="nil"/>
              <w:left w:val="nil"/>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1</w:t>
            </w:r>
          </w:p>
        </w:tc>
        <w:tc>
          <w:tcPr>
            <w:tcW w:w="1170" w:type="dxa"/>
            <w:tcBorders>
              <w:top w:val="nil"/>
              <w:left w:val="nil"/>
              <w:bottom w:val="single" w:sz="4" w:space="0" w:color="auto"/>
              <w:right w:val="single" w:sz="8" w:space="0" w:color="auto"/>
            </w:tcBorders>
            <w:shd w:val="clear" w:color="auto" w:fill="auto"/>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-1</w:t>
            </w:r>
          </w:p>
        </w:tc>
        <w:tc>
          <w:tcPr>
            <w:tcW w:w="1260" w:type="dxa"/>
            <w:tcBorders>
              <w:top w:val="nil"/>
              <w:left w:val="nil"/>
              <w:bottom w:val="single" w:sz="4" w:space="0" w:color="auto"/>
              <w:right w:val="single" w:sz="8" w:space="0" w:color="auto"/>
            </w:tcBorders>
            <w:vAlign w:val="center"/>
          </w:tcPr>
          <w:p w:rsidR="00AC40FC" w:rsidRPr="00E33F2E" w:rsidRDefault="00AC40FC" w:rsidP="00581946">
            <w:pPr>
              <w:spacing w:after="0"/>
              <w:jc w:val="center"/>
              <w:rPr>
                <w:rFonts w:cs="Arial"/>
                <w:color w:val="000000"/>
                <w:szCs w:val="24"/>
              </w:rPr>
            </w:pPr>
            <w:r>
              <w:rPr>
                <w:rFonts w:cs="Arial"/>
                <w:color w:val="000000"/>
                <w:szCs w:val="24"/>
              </w:rPr>
              <w:t>0</w:t>
            </w:r>
          </w:p>
        </w:tc>
        <w:tc>
          <w:tcPr>
            <w:tcW w:w="1170" w:type="dxa"/>
            <w:tcBorders>
              <w:top w:val="nil"/>
              <w:left w:val="nil"/>
              <w:bottom w:val="single" w:sz="4" w:space="0" w:color="auto"/>
              <w:right w:val="single" w:sz="8" w:space="0" w:color="auto"/>
            </w:tcBorders>
            <w:vAlign w:val="center"/>
          </w:tcPr>
          <w:p w:rsidR="00AC40FC" w:rsidRPr="00E33F2E" w:rsidRDefault="00AC40FC" w:rsidP="00581946">
            <w:pPr>
              <w:spacing w:after="0"/>
              <w:jc w:val="center"/>
              <w:rPr>
                <w:rFonts w:cs="Arial"/>
                <w:color w:val="000000"/>
                <w:szCs w:val="24"/>
              </w:rPr>
            </w:pPr>
            <w:r>
              <w:rPr>
                <w:rFonts w:cs="Arial"/>
                <w:color w:val="000000"/>
                <w:szCs w:val="24"/>
              </w:rPr>
              <w:t>-1</w:t>
            </w:r>
          </w:p>
        </w:tc>
      </w:tr>
      <w:tr w:rsidR="00AC40FC" w:rsidRPr="00E33F2E" w:rsidTr="00581946">
        <w:trPr>
          <w:trHeight w:val="300"/>
          <w:jc w:val="center"/>
        </w:trPr>
        <w:tc>
          <w:tcPr>
            <w:tcW w:w="815" w:type="dxa"/>
            <w:tcBorders>
              <w:top w:val="nil"/>
              <w:left w:val="single" w:sz="8" w:space="0" w:color="auto"/>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2593</w:t>
            </w:r>
          </w:p>
        </w:tc>
        <w:tc>
          <w:tcPr>
            <w:tcW w:w="3604" w:type="dxa"/>
            <w:tcBorders>
              <w:top w:val="nil"/>
              <w:left w:val="nil"/>
              <w:bottom w:val="single" w:sz="4" w:space="0" w:color="auto"/>
              <w:right w:val="single" w:sz="4" w:space="0" w:color="auto"/>
            </w:tcBorders>
            <w:shd w:val="clear" w:color="auto" w:fill="auto"/>
            <w:noWrap/>
            <w:vAlign w:val="center"/>
            <w:hideMark/>
          </w:tcPr>
          <w:p w:rsidR="00AC40FC" w:rsidRPr="00E33F2E" w:rsidRDefault="00AC40FC" w:rsidP="00581946">
            <w:pPr>
              <w:spacing w:after="0"/>
              <w:jc w:val="left"/>
              <w:rPr>
                <w:rFonts w:cs="Arial"/>
                <w:color w:val="000000"/>
                <w:szCs w:val="24"/>
              </w:rPr>
            </w:pPr>
            <w:r w:rsidRPr="00E33F2E">
              <w:rPr>
                <w:rFonts w:cs="Arial"/>
                <w:color w:val="000000"/>
                <w:szCs w:val="24"/>
              </w:rPr>
              <w:t>Transmission Real Estate Siting and Permit</w:t>
            </w:r>
          </w:p>
        </w:tc>
        <w:tc>
          <w:tcPr>
            <w:tcW w:w="806" w:type="dxa"/>
            <w:tcBorders>
              <w:top w:val="nil"/>
              <w:left w:val="nil"/>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8</w:t>
            </w:r>
          </w:p>
        </w:tc>
        <w:tc>
          <w:tcPr>
            <w:tcW w:w="810" w:type="dxa"/>
            <w:tcBorders>
              <w:top w:val="nil"/>
              <w:left w:val="nil"/>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7</w:t>
            </w:r>
          </w:p>
        </w:tc>
        <w:tc>
          <w:tcPr>
            <w:tcW w:w="1170" w:type="dxa"/>
            <w:tcBorders>
              <w:top w:val="nil"/>
              <w:left w:val="nil"/>
              <w:bottom w:val="single" w:sz="4" w:space="0" w:color="auto"/>
              <w:right w:val="single" w:sz="8" w:space="0" w:color="auto"/>
            </w:tcBorders>
            <w:shd w:val="clear" w:color="auto" w:fill="auto"/>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-1</w:t>
            </w:r>
          </w:p>
        </w:tc>
        <w:tc>
          <w:tcPr>
            <w:tcW w:w="1260" w:type="dxa"/>
            <w:tcBorders>
              <w:top w:val="nil"/>
              <w:left w:val="nil"/>
              <w:bottom w:val="single" w:sz="4" w:space="0" w:color="auto"/>
              <w:right w:val="single" w:sz="8" w:space="0" w:color="auto"/>
            </w:tcBorders>
            <w:vAlign w:val="center"/>
          </w:tcPr>
          <w:p w:rsidR="00AC40FC" w:rsidRPr="00E33F2E" w:rsidRDefault="00AC40FC" w:rsidP="00581946">
            <w:pPr>
              <w:spacing w:after="0"/>
              <w:jc w:val="center"/>
              <w:rPr>
                <w:rFonts w:cs="Arial"/>
                <w:color w:val="000000"/>
                <w:szCs w:val="24"/>
              </w:rPr>
            </w:pPr>
            <w:r>
              <w:rPr>
                <w:rFonts w:cs="Arial"/>
                <w:color w:val="000000"/>
                <w:szCs w:val="24"/>
              </w:rPr>
              <w:t>9</w:t>
            </w:r>
          </w:p>
        </w:tc>
        <w:tc>
          <w:tcPr>
            <w:tcW w:w="1170" w:type="dxa"/>
            <w:tcBorders>
              <w:top w:val="nil"/>
              <w:left w:val="nil"/>
              <w:bottom w:val="single" w:sz="4" w:space="0" w:color="auto"/>
              <w:right w:val="single" w:sz="8" w:space="0" w:color="auto"/>
            </w:tcBorders>
            <w:vAlign w:val="center"/>
          </w:tcPr>
          <w:p w:rsidR="00AC40FC" w:rsidRPr="00E33F2E" w:rsidRDefault="00AC40FC" w:rsidP="00581946">
            <w:pPr>
              <w:spacing w:after="0"/>
              <w:jc w:val="center"/>
              <w:rPr>
                <w:rFonts w:cs="Arial"/>
                <w:color w:val="000000"/>
                <w:szCs w:val="24"/>
              </w:rPr>
            </w:pPr>
            <w:r>
              <w:rPr>
                <w:rFonts w:cs="Arial"/>
                <w:color w:val="000000"/>
                <w:szCs w:val="24"/>
              </w:rPr>
              <w:t>+2</w:t>
            </w:r>
          </w:p>
        </w:tc>
      </w:tr>
      <w:tr w:rsidR="00AC40FC" w:rsidRPr="00E33F2E" w:rsidTr="00581946">
        <w:trPr>
          <w:trHeight w:val="300"/>
          <w:jc w:val="center"/>
        </w:trPr>
        <w:tc>
          <w:tcPr>
            <w:tcW w:w="815" w:type="dxa"/>
            <w:tcBorders>
              <w:top w:val="nil"/>
              <w:left w:val="single" w:sz="8" w:space="0" w:color="auto"/>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2594</w:t>
            </w:r>
          </w:p>
        </w:tc>
        <w:tc>
          <w:tcPr>
            <w:tcW w:w="3604" w:type="dxa"/>
            <w:tcBorders>
              <w:top w:val="nil"/>
              <w:left w:val="nil"/>
              <w:bottom w:val="single" w:sz="4" w:space="0" w:color="auto"/>
              <w:right w:val="single" w:sz="4" w:space="0" w:color="auto"/>
            </w:tcBorders>
            <w:shd w:val="clear" w:color="auto" w:fill="auto"/>
            <w:noWrap/>
            <w:vAlign w:val="center"/>
            <w:hideMark/>
          </w:tcPr>
          <w:p w:rsidR="00AC40FC" w:rsidRPr="00E33F2E" w:rsidRDefault="00AC40FC" w:rsidP="00581946">
            <w:pPr>
              <w:spacing w:after="0"/>
              <w:jc w:val="left"/>
              <w:rPr>
                <w:rFonts w:cs="Arial"/>
                <w:color w:val="000000"/>
                <w:szCs w:val="24"/>
              </w:rPr>
            </w:pPr>
            <w:r w:rsidRPr="00E33F2E">
              <w:rPr>
                <w:rFonts w:cs="Arial"/>
                <w:color w:val="000000"/>
                <w:szCs w:val="24"/>
              </w:rPr>
              <w:t>Work Management</w:t>
            </w:r>
          </w:p>
        </w:tc>
        <w:tc>
          <w:tcPr>
            <w:tcW w:w="806" w:type="dxa"/>
            <w:tcBorders>
              <w:top w:val="nil"/>
              <w:left w:val="nil"/>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7</w:t>
            </w:r>
          </w:p>
        </w:tc>
        <w:tc>
          <w:tcPr>
            <w:tcW w:w="810" w:type="dxa"/>
            <w:tcBorders>
              <w:top w:val="nil"/>
              <w:left w:val="nil"/>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5</w:t>
            </w:r>
          </w:p>
        </w:tc>
        <w:tc>
          <w:tcPr>
            <w:tcW w:w="1170" w:type="dxa"/>
            <w:tcBorders>
              <w:top w:val="nil"/>
              <w:left w:val="nil"/>
              <w:bottom w:val="single" w:sz="4" w:space="0" w:color="auto"/>
              <w:right w:val="single" w:sz="8" w:space="0" w:color="auto"/>
            </w:tcBorders>
            <w:shd w:val="clear" w:color="auto" w:fill="auto"/>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-2</w:t>
            </w:r>
          </w:p>
        </w:tc>
        <w:tc>
          <w:tcPr>
            <w:tcW w:w="1260" w:type="dxa"/>
            <w:tcBorders>
              <w:top w:val="nil"/>
              <w:left w:val="nil"/>
              <w:bottom w:val="single" w:sz="4" w:space="0" w:color="auto"/>
              <w:right w:val="single" w:sz="8" w:space="0" w:color="auto"/>
            </w:tcBorders>
            <w:vAlign w:val="center"/>
          </w:tcPr>
          <w:p w:rsidR="00AC40FC" w:rsidRPr="00E33F2E" w:rsidRDefault="00AC40FC" w:rsidP="00581946">
            <w:pPr>
              <w:spacing w:after="0"/>
              <w:jc w:val="center"/>
              <w:rPr>
                <w:rFonts w:cs="Arial"/>
                <w:color w:val="000000"/>
                <w:szCs w:val="24"/>
              </w:rPr>
            </w:pPr>
            <w:r>
              <w:rPr>
                <w:rFonts w:cs="Arial"/>
                <w:color w:val="000000"/>
                <w:szCs w:val="24"/>
              </w:rPr>
              <w:t>7</w:t>
            </w:r>
          </w:p>
        </w:tc>
        <w:tc>
          <w:tcPr>
            <w:tcW w:w="1170" w:type="dxa"/>
            <w:tcBorders>
              <w:top w:val="nil"/>
              <w:left w:val="nil"/>
              <w:bottom w:val="single" w:sz="4" w:space="0" w:color="auto"/>
              <w:right w:val="single" w:sz="8" w:space="0" w:color="auto"/>
            </w:tcBorders>
            <w:vAlign w:val="center"/>
          </w:tcPr>
          <w:p w:rsidR="00AC40FC" w:rsidRPr="00E33F2E" w:rsidRDefault="00AC40FC" w:rsidP="00581946">
            <w:pPr>
              <w:spacing w:after="0"/>
              <w:jc w:val="center"/>
              <w:rPr>
                <w:rFonts w:cs="Arial"/>
                <w:color w:val="000000"/>
                <w:szCs w:val="24"/>
              </w:rPr>
            </w:pPr>
            <w:r>
              <w:rPr>
                <w:rFonts w:cs="Arial"/>
                <w:color w:val="000000"/>
                <w:szCs w:val="24"/>
              </w:rPr>
              <w:t>+2</w:t>
            </w:r>
          </w:p>
        </w:tc>
      </w:tr>
      <w:tr w:rsidR="00AC40FC" w:rsidRPr="00E33F2E" w:rsidTr="00581946">
        <w:trPr>
          <w:trHeight w:val="300"/>
          <w:jc w:val="center"/>
        </w:trPr>
        <w:tc>
          <w:tcPr>
            <w:tcW w:w="815" w:type="dxa"/>
            <w:tcBorders>
              <w:top w:val="nil"/>
              <w:left w:val="single" w:sz="8" w:space="0" w:color="auto"/>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2595</w:t>
            </w:r>
          </w:p>
        </w:tc>
        <w:tc>
          <w:tcPr>
            <w:tcW w:w="3604" w:type="dxa"/>
            <w:tcBorders>
              <w:top w:val="nil"/>
              <w:left w:val="nil"/>
              <w:bottom w:val="single" w:sz="4" w:space="0" w:color="auto"/>
              <w:right w:val="single" w:sz="4" w:space="0" w:color="auto"/>
            </w:tcBorders>
            <w:shd w:val="clear" w:color="auto" w:fill="auto"/>
            <w:noWrap/>
            <w:vAlign w:val="center"/>
            <w:hideMark/>
          </w:tcPr>
          <w:p w:rsidR="00AC40FC" w:rsidRPr="00E33F2E" w:rsidRDefault="00AC40FC" w:rsidP="00581946">
            <w:pPr>
              <w:spacing w:after="0"/>
              <w:jc w:val="left"/>
              <w:rPr>
                <w:rFonts w:cs="Arial"/>
                <w:color w:val="000000"/>
                <w:szCs w:val="24"/>
              </w:rPr>
            </w:pPr>
            <w:r w:rsidRPr="00E33F2E">
              <w:rPr>
                <w:rFonts w:cs="Arial"/>
                <w:bCs/>
                <w:color w:val="000000"/>
                <w:szCs w:val="24"/>
              </w:rPr>
              <w:t>Transmission Expansion</w:t>
            </w:r>
          </w:p>
        </w:tc>
        <w:tc>
          <w:tcPr>
            <w:tcW w:w="806" w:type="dxa"/>
            <w:tcBorders>
              <w:top w:val="nil"/>
              <w:left w:val="nil"/>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6</w:t>
            </w:r>
          </w:p>
        </w:tc>
        <w:tc>
          <w:tcPr>
            <w:tcW w:w="810" w:type="dxa"/>
            <w:tcBorders>
              <w:top w:val="nil"/>
              <w:left w:val="nil"/>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3</w:t>
            </w:r>
          </w:p>
        </w:tc>
        <w:tc>
          <w:tcPr>
            <w:tcW w:w="1170" w:type="dxa"/>
            <w:tcBorders>
              <w:top w:val="nil"/>
              <w:left w:val="nil"/>
              <w:bottom w:val="single" w:sz="4" w:space="0" w:color="auto"/>
              <w:right w:val="single" w:sz="8" w:space="0" w:color="auto"/>
            </w:tcBorders>
            <w:shd w:val="clear" w:color="auto" w:fill="auto"/>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-3</w:t>
            </w:r>
          </w:p>
        </w:tc>
        <w:tc>
          <w:tcPr>
            <w:tcW w:w="1260" w:type="dxa"/>
            <w:tcBorders>
              <w:top w:val="nil"/>
              <w:left w:val="nil"/>
              <w:bottom w:val="single" w:sz="4" w:space="0" w:color="auto"/>
              <w:right w:val="single" w:sz="8" w:space="0" w:color="auto"/>
            </w:tcBorders>
            <w:vAlign w:val="center"/>
          </w:tcPr>
          <w:p w:rsidR="00AC40FC" w:rsidRPr="00E33F2E" w:rsidRDefault="00AC40FC" w:rsidP="00581946">
            <w:pPr>
              <w:spacing w:after="0"/>
              <w:jc w:val="center"/>
              <w:rPr>
                <w:rFonts w:cs="Arial"/>
                <w:color w:val="000000"/>
                <w:szCs w:val="24"/>
              </w:rPr>
            </w:pPr>
            <w:r>
              <w:rPr>
                <w:rFonts w:cs="Arial"/>
                <w:color w:val="000000"/>
                <w:szCs w:val="24"/>
              </w:rPr>
              <w:t>0</w:t>
            </w:r>
          </w:p>
        </w:tc>
        <w:tc>
          <w:tcPr>
            <w:tcW w:w="1170" w:type="dxa"/>
            <w:tcBorders>
              <w:top w:val="nil"/>
              <w:left w:val="nil"/>
              <w:bottom w:val="single" w:sz="4" w:space="0" w:color="auto"/>
              <w:right w:val="single" w:sz="8" w:space="0" w:color="auto"/>
            </w:tcBorders>
            <w:vAlign w:val="center"/>
          </w:tcPr>
          <w:p w:rsidR="00AC40FC" w:rsidRPr="00E33F2E" w:rsidRDefault="00AC40FC" w:rsidP="00581946">
            <w:pPr>
              <w:spacing w:after="0"/>
              <w:jc w:val="center"/>
              <w:rPr>
                <w:rFonts w:cs="Arial"/>
                <w:color w:val="000000"/>
                <w:szCs w:val="24"/>
              </w:rPr>
            </w:pPr>
            <w:r>
              <w:rPr>
                <w:rFonts w:cs="Arial"/>
                <w:color w:val="000000"/>
                <w:szCs w:val="24"/>
              </w:rPr>
              <w:t>-3</w:t>
            </w:r>
          </w:p>
        </w:tc>
      </w:tr>
      <w:tr w:rsidR="00AC40FC" w:rsidRPr="00E33F2E" w:rsidTr="00581946">
        <w:trPr>
          <w:trHeight w:val="315"/>
          <w:jc w:val="center"/>
        </w:trPr>
        <w:tc>
          <w:tcPr>
            <w:tcW w:w="815" w:type="dxa"/>
            <w:tcBorders>
              <w:top w:val="nil"/>
              <w:left w:val="single" w:sz="8" w:space="0" w:color="auto"/>
              <w:bottom w:val="single" w:sz="8"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p>
        </w:tc>
        <w:tc>
          <w:tcPr>
            <w:tcW w:w="3604" w:type="dxa"/>
            <w:tcBorders>
              <w:top w:val="nil"/>
              <w:left w:val="nil"/>
              <w:bottom w:val="single" w:sz="8"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Subtotal</w:t>
            </w:r>
          </w:p>
        </w:tc>
        <w:tc>
          <w:tcPr>
            <w:tcW w:w="806" w:type="dxa"/>
            <w:tcBorders>
              <w:top w:val="nil"/>
              <w:left w:val="nil"/>
              <w:bottom w:val="single" w:sz="8"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23</w:t>
            </w:r>
          </w:p>
        </w:tc>
        <w:tc>
          <w:tcPr>
            <w:tcW w:w="810" w:type="dxa"/>
            <w:tcBorders>
              <w:top w:val="nil"/>
              <w:left w:val="nil"/>
              <w:bottom w:val="single" w:sz="8"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16</w:t>
            </w:r>
          </w:p>
        </w:tc>
        <w:tc>
          <w:tcPr>
            <w:tcW w:w="1170" w:type="dxa"/>
            <w:tcBorders>
              <w:top w:val="nil"/>
              <w:left w:val="nil"/>
              <w:bottom w:val="single" w:sz="8" w:space="0" w:color="auto"/>
              <w:right w:val="single" w:sz="8" w:space="0" w:color="auto"/>
            </w:tcBorders>
            <w:shd w:val="clear" w:color="auto" w:fill="auto"/>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-7</w:t>
            </w:r>
          </w:p>
        </w:tc>
        <w:tc>
          <w:tcPr>
            <w:tcW w:w="1260" w:type="dxa"/>
            <w:tcBorders>
              <w:top w:val="nil"/>
              <w:left w:val="nil"/>
              <w:bottom w:val="single" w:sz="8" w:space="0" w:color="auto"/>
              <w:right w:val="single" w:sz="8" w:space="0" w:color="auto"/>
            </w:tcBorders>
            <w:vAlign w:val="center"/>
          </w:tcPr>
          <w:p w:rsidR="00AC40FC" w:rsidRPr="00E33F2E" w:rsidRDefault="00AC40FC" w:rsidP="00581946">
            <w:pPr>
              <w:spacing w:after="0"/>
              <w:jc w:val="center"/>
              <w:rPr>
                <w:rFonts w:cs="Arial"/>
                <w:color w:val="000000"/>
                <w:szCs w:val="24"/>
              </w:rPr>
            </w:pPr>
            <w:r>
              <w:rPr>
                <w:rFonts w:cs="Arial"/>
                <w:color w:val="000000"/>
                <w:szCs w:val="24"/>
              </w:rPr>
              <w:t>16</w:t>
            </w:r>
          </w:p>
        </w:tc>
        <w:tc>
          <w:tcPr>
            <w:tcW w:w="1170" w:type="dxa"/>
            <w:tcBorders>
              <w:top w:val="nil"/>
              <w:left w:val="nil"/>
              <w:bottom w:val="single" w:sz="8" w:space="0" w:color="auto"/>
              <w:right w:val="single" w:sz="8" w:space="0" w:color="auto"/>
            </w:tcBorders>
            <w:vAlign w:val="center"/>
          </w:tcPr>
          <w:p w:rsidR="00AC40FC" w:rsidRPr="00E33F2E" w:rsidRDefault="00AC40FC" w:rsidP="00581946">
            <w:pPr>
              <w:spacing w:after="0"/>
              <w:jc w:val="center"/>
              <w:rPr>
                <w:rFonts w:cs="Arial"/>
                <w:color w:val="000000"/>
                <w:szCs w:val="24"/>
              </w:rPr>
            </w:pPr>
            <w:r>
              <w:rPr>
                <w:rFonts w:cs="Arial"/>
                <w:color w:val="000000"/>
                <w:szCs w:val="24"/>
              </w:rPr>
              <w:t>0</w:t>
            </w:r>
          </w:p>
        </w:tc>
      </w:tr>
      <w:tr w:rsidR="00AC40FC" w:rsidRPr="00E33F2E" w:rsidTr="00581946">
        <w:trPr>
          <w:trHeight w:val="300"/>
          <w:jc w:val="center"/>
        </w:trPr>
        <w:tc>
          <w:tcPr>
            <w:tcW w:w="7205"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rsidR="00AC40FC" w:rsidRPr="008E72FF" w:rsidRDefault="00AC40FC" w:rsidP="00581946">
            <w:pPr>
              <w:spacing w:after="0"/>
              <w:jc w:val="left"/>
              <w:rPr>
                <w:rFonts w:cs="Arial"/>
                <w:b/>
                <w:color w:val="000000"/>
                <w:szCs w:val="24"/>
              </w:rPr>
            </w:pPr>
            <w:r w:rsidRPr="008E72FF">
              <w:rPr>
                <w:rFonts w:cs="Arial"/>
                <w:b/>
                <w:color w:val="000000"/>
                <w:szCs w:val="24"/>
              </w:rPr>
              <w:t>Transmission Project Management</w:t>
            </w:r>
          </w:p>
        </w:tc>
        <w:tc>
          <w:tcPr>
            <w:tcW w:w="1260" w:type="dxa"/>
            <w:tcBorders>
              <w:top w:val="single" w:sz="8" w:space="0" w:color="auto"/>
              <w:left w:val="single" w:sz="8" w:space="0" w:color="auto"/>
              <w:bottom w:val="single" w:sz="4" w:space="0" w:color="auto"/>
              <w:right w:val="single" w:sz="8" w:space="0" w:color="000000"/>
            </w:tcBorders>
          </w:tcPr>
          <w:p w:rsidR="00AC40FC" w:rsidRPr="00E33F2E" w:rsidRDefault="00AC40FC" w:rsidP="00581946">
            <w:pPr>
              <w:spacing w:after="0"/>
              <w:jc w:val="center"/>
              <w:rPr>
                <w:rFonts w:cs="Arial"/>
                <w:color w:val="000000"/>
                <w:szCs w:val="24"/>
              </w:rPr>
            </w:pPr>
          </w:p>
        </w:tc>
        <w:tc>
          <w:tcPr>
            <w:tcW w:w="1170" w:type="dxa"/>
            <w:tcBorders>
              <w:top w:val="single" w:sz="8" w:space="0" w:color="auto"/>
              <w:left w:val="single" w:sz="8" w:space="0" w:color="auto"/>
              <w:bottom w:val="single" w:sz="4" w:space="0" w:color="auto"/>
              <w:right w:val="single" w:sz="8" w:space="0" w:color="000000"/>
            </w:tcBorders>
          </w:tcPr>
          <w:p w:rsidR="00AC40FC" w:rsidRPr="00E33F2E" w:rsidRDefault="00AC40FC" w:rsidP="00581946">
            <w:pPr>
              <w:spacing w:after="0"/>
              <w:jc w:val="center"/>
              <w:rPr>
                <w:rFonts w:cs="Arial"/>
                <w:color w:val="000000"/>
                <w:szCs w:val="24"/>
              </w:rPr>
            </w:pPr>
          </w:p>
        </w:tc>
      </w:tr>
      <w:tr w:rsidR="00AC40FC" w:rsidRPr="00E33F2E" w:rsidTr="00581946">
        <w:trPr>
          <w:trHeight w:val="300"/>
          <w:jc w:val="center"/>
        </w:trPr>
        <w:tc>
          <w:tcPr>
            <w:tcW w:w="815" w:type="dxa"/>
            <w:tcBorders>
              <w:top w:val="nil"/>
              <w:left w:val="single" w:sz="8" w:space="0" w:color="auto"/>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2590</w:t>
            </w:r>
          </w:p>
        </w:tc>
        <w:tc>
          <w:tcPr>
            <w:tcW w:w="3604" w:type="dxa"/>
            <w:tcBorders>
              <w:top w:val="nil"/>
              <w:left w:val="nil"/>
              <w:bottom w:val="single" w:sz="4" w:space="0" w:color="auto"/>
              <w:right w:val="single" w:sz="4" w:space="0" w:color="auto"/>
            </w:tcBorders>
            <w:shd w:val="clear" w:color="auto" w:fill="auto"/>
            <w:noWrap/>
            <w:vAlign w:val="center"/>
            <w:hideMark/>
          </w:tcPr>
          <w:p w:rsidR="00AC40FC" w:rsidRPr="00E33F2E" w:rsidRDefault="00AC40FC" w:rsidP="00581946">
            <w:pPr>
              <w:spacing w:after="0"/>
              <w:jc w:val="left"/>
              <w:rPr>
                <w:rFonts w:cs="Arial"/>
                <w:color w:val="000000"/>
                <w:szCs w:val="24"/>
              </w:rPr>
            </w:pPr>
            <w:r w:rsidRPr="00E33F2E">
              <w:rPr>
                <w:rFonts w:cs="Arial"/>
                <w:bCs/>
                <w:color w:val="000000"/>
                <w:szCs w:val="24"/>
              </w:rPr>
              <w:t>Transmission Project Management</w:t>
            </w:r>
          </w:p>
        </w:tc>
        <w:tc>
          <w:tcPr>
            <w:tcW w:w="806" w:type="dxa"/>
            <w:tcBorders>
              <w:top w:val="nil"/>
              <w:left w:val="nil"/>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17</w:t>
            </w:r>
          </w:p>
        </w:tc>
        <w:tc>
          <w:tcPr>
            <w:tcW w:w="810" w:type="dxa"/>
            <w:tcBorders>
              <w:top w:val="nil"/>
              <w:left w:val="nil"/>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19</w:t>
            </w:r>
          </w:p>
        </w:tc>
        <w:tc>
          <w:tcPr>
            <w:tcW w:w="1170" w:type="dxa"/>
            <w:tcBorders>
              <w:top w:val="nil"/>
              <w:left w:val="nil"/>
              <w:bottom w:val="single" w:sz="4" w:space="0" w:color="auto"/>
              <w:right w:val="single" w:sz="8" w:space="0" w:color="auto"/>
            </w:tcBorders>
            <w:shd w:val="clear" w:color="auto" w:fill="auto"/>
            <w:vAlign w:val="center"/>
            <w:hideMark/>
          </w:tcPr>
          <w:p w:rsidR="00AC40FC" w:rsidRPr="00E33F2E" w:rsidRDefault="00AC40FC" w:rsidP="00581946">
            <w:pPr>
              <w:spacing w:after="0"/>
              <w:jc w:val="center"/>
              <w:rPr>
                <w:rFonts w:cs="Arial"/>
                <w:color w:val="000000"/>
                <w:szCs w:val="24"/>
              </w:rPr>
            </w:pPr>
            <w:r>
              <w:rPr>
                <w:rFonts w:cs="Arial"/>
                <w:color w:val="000000"/>
                <w:szCs w:val="24"/>
              </w:rPr>
              <w:t>+</w:t>
            </w:r>
            <w:r w:rsidRPr="00E33F2E">
              <w:rPr>
                <w:rFonts w:cs="Arial"/>
                <w:color w:val="000000"/>
                <w:szCs w:val="24"/>
              </w:rPr>
              <w:t>2</w:t>
            </w:r>
          </w:p>
        </w:tc>
        <w:tc>
          <w:tcPr>
            <w:tcW w:w="1260" w:type="dxa"/>
            <w:tcBorders>
              <w:top w:val="nil"/>
              <w:left w:val="nil"/>
              <w:bottom w:val="single" w:sz="4" w:space="0" w:color="auto"/>
              <w:right w:val="single" w:sz="8" w:space="0" w:color="auto"/>
            </w:tcBorders>
            <w:vAlign w:val="center"/>
          </w:tcPr>
          <w:p w:rsidR="00AC40FC" w:rsidRDefault="00AC40FC" w:rsidP="00581946">
            <w:pPr>
              <w:spacing w:after="0"/>
              <w:jc w:val="center"/>
              <w:rPr>
                <w:rFonts w:cs="Arial"/>
                <w:color w:val="000000"/>
                <w:szCs w:val="24"/>
              </w:rPr>
            </w:pPr>
            <w:r>
              <w:rPr>
                <w:rFonts w:cs="Arial"/>
                <w:color w:val="000000"/>
                <w:szCs w:val="24"/>
              </w:rPr>
              <w:t>26</w:t>
            </w:r>
          </w:p>
        </w:tc>
        <w:tc>
          <w:tcPr>
            <w:tcW w:w="1170" w:type="dxa"/>
            <w:tcBorders>
              <w:top w:val="nil"/>
              <w:left w:val="nil"/>
              <w:bottom w:val="single" w:sz="4" w:space="0" w:color="auto"/>
              <w:right w:val="single" w:sz="8" w:space="0" w:color="auto"/>
            </w:tcBorders>
            <w:vAlign w:val="center"/>
          </w:tcPr>
          <w:p w:rsidR="00AC40FC" w:rsidRDefault="00AC40FC" w:rsidP="00581946">
            <w:pPr>
              <w:spacing w:after="0"/>
              <w:jc w:val="center"/>
              <w:rPr>
                <w:rFonts w:cs="Arial"/>
                <w:color w:val="000000"/>
                <w:szCs w:val="24"/>
              </w:rPr>
            </w:pPr>
            <w:r>
              <w:rPr>
                <w:rFonts w:cs="Arial"/>
                <w:color w:val="000000"/>
                <w:szCs w:val="24"/>
              </w:rPr>
              <w:t>+7</w:t>
            </w:r>
          </w:p>
        </w:tc>
      </w:tr>
      <w:tr w:rsidR="00AC40FC" w:rsidRPr="00E33F2E" w:rsidTr="00581946">
        <w:trPr>
          <w:trHeight w:val="300"/>
          <w:jc w:val="center"/>
        </w:trPr>
        <w:tc>
          <w:tcPr>
            <w:tcW w:w="815" w:type="dxa"/>
            <w:tcBorders>
              <w:top w:val="nil"/>
              <w:left w:val="single" w:sz="8" w:space="0" w:color="auto"/>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489</w:t>
            </w:r>
          </w:p>
        </w:tc>
        <w:tc>
          <w:tcPr>
            <w:tcW w:w="3604" w:type="dxa"/>
            <w:tcBorders>
              <w:top w:val="nil"/>
              <w:left w:val="nil"/>
              <w:bottom w:val="single" w:sz="4" w:space="0" w:color="auto"/>
              <w:right w:val="single" w:sz="4" w:space="0" w:color="auto"/>
            </w:tcBorders>
            <w:shd w:val="clear" w:color="auto" w:fill="auto"/>
            <w:noWrap/>
            <w:vAlign w:val="center"/>
            <w:hideMark/>
          </w:tcPr>
          <w:p w:rsidR="00AC40FC" w:rsidRPr="00E33F2E" w:rsidRDefault="00AC40FC" w:rsidP="00581946">
            <w:pPr>
              <w:spacing w:after="0"/>
              <w:jc w:val="left"/>
              <w:rPr>
                <w:rFonts w:cs="Arial"/>
                <w:color w:val="000000"/>
                <w:szCs w:val="24"/>
              </w:rPr>
            </w:pPr>
            <w:r w:rsidRPr="00E33F2E">
              <w:rPr>
                <w:rFonts w:cs="Arial"/>
                <w:color w:val="000000"/>
                <w:szCs w:val="24"/>
              </w:rPr>
              <w:t>Construction Management</w:t>
            </w:r>
          </w:p>
        </w:tc>
        <w:tc>
          <w:tcPr>
            <w:tcW w:w="806" w:type="dxa"/>
            <w:tcBorders>
              <w:top w:val="nil"/>
              <w:left w:val="nil"/>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13</w:t>
            </w:r>
          </w:p>
        </w:tc>
        <w:tc>
          <w:tcPr>
            <w:tcW w:w="810" w:type="dxa"/>
            <w:tcBorders>
              <w:top w:val="nil"/>
              <w:left w:val="nil"/>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16</w:t>
            </w:r>
          </w:p>
        </w:tc>
        <w:tc>
          <w:tcPr>
            <w:tcW w:w="1170" w:type="dxa"/>
            <w:tcBorders>
              <w:top w:val="nil"/>
              <w:left w:val="nil"/>
              <w:bottom w:val="single" w:sz="4" w:space="0" w:color="auto"/>
              <w:right w:val="single" w:sz="8" w:space="0" w:color="auto"/>
            </w:tcBorders>
            <w:shd w:val="clear" w:color="auto" w:fill="auto"/>
            <w:vAlign w:val="center"/>
            <w:hideMark/>
          </w:tcPr>
          <w:p w:rsidR="00AC40FC" w:rsidRPr="00E33F2E" w:rsidRDefault="00AC40FC" w:rsidP="00581946">
            <w:pPr>
              <w:spacing w:after="0"/>
              <w:jc w:val="center"/>
              <w:rPr>
                <w:rFonts w:cs="Arial"/>
                <w:color w:val="000000"/>
                <w:szCs w:val="24"/>
              </w:rPr>
            </w:pPr>
            <w:r>
              <w:rPr>
                <w:rFonts w:cs="Arial"/>
                <w:color w:val="000000"/>
                <w:szCs w:val="24"/>
              </w:rPr>
              <w:t>+</w:t>
            </w:r>
            <w:r w:rsidRPr="00E33F2E">
              <w:rPr>
                <w:rFonts w:cs="Arial"/>
                <w:color w:val="000000"/>
                <w:szCs w:val="24"/>
              </w:rPr>
              <w:t>3</w:t>
            </w:r>
          </w:p>
        </w:tc>
        <w:tc>
          <w:tcPr>
            <w:tcW w:w="1260" w:type="dxa"/>
            <w:tcBorders>
              <w:top w:val="nil"/>
              <w:left w:val="nil"/>
              <w:bottom w:val="single" w:sz="4" w:space="0" w:color="auto"/>
              <w:right w:val="single" w:sz="8" w:space="0" w:color="auto"/>
            </w:tcBorders>
            <w:vAlign w:val="center"/>
          </w:tcPr>
          <w:p w:rsidR="00AC40FC" w:rsidRDefault="00AC40FC" w:rsidP="00581946">
            <w:pPr>
              <w:spacing w:after="0"/>
              <w:jc w:val="center"/>
              <w:rPr>
                <w:rFonts w:cs="Arial"/>
                <w:color w:val="000000"/>
                <w:szCs w:val="24"/>
              </w:rPr>
            </w:pPr>
            <w:r>
              <w:rPr>
                <w:rFonts w:cs="Arial"/>
                <w:color w:val="000000"/>
                <w:szCs w:val="24"/>
              </w:rPr>
              <w:t>16</w:t>
            </w:r>
          </w:p>
        </w:tc>
        <w:tc>
          <w:tcPr>
            <w:tcW w:w="1170" w:type="dxa"/>
            <w:tcBorders>
              <w:top w:val="nil"/>
              <w:left w:val="nil"/>
              <w:bottom w:val="single" w:sz="4" w:space="0" w:color="auto"/>
              <w:right w:val="single" w:sz="8" w:space="0" w:color="auto"/>
            </w:tcBorders>
            <w:vAlign w:val="center"/>
          </w:tcPr>
          <w:p w:rsidR="00AC40FC" w:rsidRDefault="00AC40FC" w:rsidP="00581946">
            <w:pPr>
              <w:spacing w:after="0"/>
              <w:jc w:val="center"/>
              <w:rPr>
                <w:rFonts w:cs="Arial"/>
                <w:color w:val="000000"/>
                <w:szCs w:val="24"/>
              </w:rPr>
            </w:pPr>
            <w:r>
              <w:rPr>
                <w:rFonts w:cs="Arial"/>
                <w:color w:val="000000"/>
                <w:szCs w:val="24"/>
              </w:rPr>
              <w:t>0</w:t>
            </w:r>
          </w:p>
        </w:tc>
      </w:tr>
      <w:tr w:rsidR="00AC40FC" w:rsidRPr="00E33F2E" w:rsidTr="00581946">
        <w:trPr>
          <w:trHeight w:val="300"/>
          <w:jc w:val="center"/>
        </w:trPr>
        <w:tc>
          <w:tcPr>
            <w:tcW w:w="815" w:type="dxa"/>
            <w:tcBorders>
              <w:top w:val="nil"/>
              <w:left w:val="single" w:sz="8" w:space="0" w:color="auto"/>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2597</w:t>
            </w:r>
          </w:p>
        </w:tc>
        <w:tc>
          <w:tcPr>
            <w:tcW w:w="3604" w:type="dxa"/>
            <w:tcBorders>
              <w:top w:val="nil"/>
              <w:left w:val="nil"/>
              <w:bottom w:val="single" w:sz="4" w:space="0" w:color="auto"/>
              <w:right w:val="single" w:sz="4" w:space="0" w:color="auto"/>
            </w:tcBorders>
            <w:shd w:val="clear" w:color="auto" w:fill="auto"/>
            <w:noWrap/>
            <w:vAlign w:val="center"/>
            <w:hideMark/>
          </w:tcPr>
          <w:p w:rsidR="00AC40FC" w:rsidRPr="00E33F2E" w:rsidRDefault="00AC40FC" w:rsidP="00581946">
            <w:pPr>
              <w:spacing w:after="0"/>
              <w:jc w:val="left"/>
              <w:rPr>
                <w:rFonts w:cs="Arial"/>
                <w:color w:val="000000"/>
                <w:szCs w:val="24"/>
              </w:rPr>
            </w:pPr>
            <w:r w:rsidRPr="00E33F2E">
              <w:rPr>
                <w:rFonts w:cs="Arial"/>
                <w:color w:val="000000"/>
                <w:szCs w:val="24"/>
              </w:rPr>
              <w:t>Transmission Project Controls</w:t>
            </w:r>
          </w:p>
        </w:tc>
        <w:tc>
          <w:tcPr>
            <w:tcW w:w="806" w:type="dxa"/>
            <w:tcBorders>
              <w:top w:val="nil"/>
              <w:left w:val="nil"/>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4</w:t>
            </w:r>
          </w:p>
        </w:tc>
        <w:tc>
          <w:tcPr>
            <w:tcW w:w="810" w:type="dxa"/>
            <w:tcBorders>
              <w:top w:val="nil"/>
              <w:left w:val="nil"/>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0</w:t>
            </w:r>
          </w:p>
        </w:tc>
        <w:tc>
          <w:tcPr>
            <w:tcW w:w="1170" w:type="dxa"/>
            <w:tcBorders>
              <w:top w:val="nil"/>
              <w:left w:val="nil"/>
              <w:bottom w:val="single" w:sz="4" w:space="0" w:color="auto"/>
              <w:right w:val="single" w:sz="8" w:space="0" w:color="auto"/>
            </w:tcBorders>
            <w:shd w:val="clear" w:color="auto" w:fill="auto"/>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-4</w:t>
            </w:r>
          </w:p>
        </w:tc>
        <w:tc>
          <w:tcPr>
            <w:tcW w:w="1260" w:type="dxa"/>
            <w:tcBorders>
              <w:top w:val="nil"/>
              <w:left w:val="nil"/>
              <w:bottom w:val="single" w:sz="4" w:space="0" w:color="auto"/>
              <w:right w:val="single" w:sz="8" w:space="0" w:color="auto"/>
            </w:tcBorders>
          </w:tcPr>
          <w:p w:rsidR="00AC40FC" w:rsidRPr="00E33F2E" w:rsidRDefault="00AC40FC" w:rsidP="00581946">
            <w:pPr>
              <w:spacing w:after="0"/>
              <w:jc w:val="center"/>
              <w:rPr>
                <w:rFonts w:cs="Arial"/>
                <w:color w:val="000000"/>
                <w:szCs w:val="24"/>
              </w:rPr>
            </w:pPr>
            <w:r>
              <w:rPr>
                <w:rFonts w:cs="Arial"/>
                <w:color w:val="000000"/>
                <w:szCs w:val="24"/>
              </w:rPr>
              <w:t>0</w:t>
            </w:r>
          </w:p>
        </w:tc>
        <w:tc>
          <w:tcPr>
            <w:tcW w:w="1170" w:type="dxa"/>
            <w:tcBorders>
              <w:top w:val="nil"/>
              <w:left w:val="nil"/>
              <w:bottom w:val="single" w:sz="4" w:space="0" w:color="auto"/>
              <w:right w:val="single" w:sz="8" w:space="0" w:color="auto"/>
            </w:tcBorders>
          </w:tcPr>
          <w:p w:rsidR="00AC40FC" w:rsidRPr="00E33F2E" w:rsidRDefault="00AC40FC" w:rsidP="00581946">
            <w:pPr>
              <w:spacing w:after="0"/>
              <w:jc w:val="center"/>
              <w:rPr>
                <w:rFonts w:cs="Arial"/>
                <w:color w:val="000000"/>
                <w:szCs w:val="24"/>
              </w:rPr>
            </w:pPr>
            <w:r>
              <w:rPr>
                <w:rFonts w:cs="Arial"/>
                <w:color w:val="000000"/>
                <w:szCs w:val="24"/>
              </w:rPr>
              <w:t>0</w:t>
            </w:r>
          </w:p>
        </w:tc>
      </w:tr>
      <w:tr w:rsidR="00AC40FC" w:rsidRPr="00E33F2E" w:rsidTr="00581946">
        <w:trPr>
          <w:trHeight w:val="315"/>
          <w:jc w:val="center"/>
        </w:trPr>
        <w:tc>
          <w:tcPr>
            <w:tcW w:w="815" w:type="dxa"/>
            <w:tcBorders>
              <w:top w:val="nil"/>
              <w:left w:val="single" w:sz="8" w:space="0" w:color="auto"/>
              <w:bottom w:val="single" w:sz="8" w:space="0" w:color="auto"/>
              <w:right w:val="single" w:sz="4" w:space="0" w:color="auto"/>
            </w:tcBorders>
            <w:shd w:val="clear" w:color="auto" w:fill="auto"/>
            <w:noWrap/>
            <w:vAlign w:val="center"/>
            <w:hideMark/>
          </w:tcPr>
          <w:p w:rsidR="00AC40FC" w:rsidRPr="00E33F2E" w:rsidRDefault="00AC40FC" w:rsidP="00581946">
            <w:pPr>
              <w:spacing w:after="0"/>
              <w:jc w:val="left"/>
              <w:rPr>
                <w:rFonts w:ascii="Calibri" w:hAnsi="Calibri"/>
                <w:color w:val="000000"/>
                <w:sz w:val="20"/>
                <w:szCs w:val="20"/>
              </w:rPr>
            </w:pPr>
          </w:p>
        </w:tc>
        <w:tc>
          <w:tcPr>
            <w:tcW w:w="3604" w:type="dxa"/>
            <w:tcBorders>
              <w:top w:val="nil"/>
              <w:left w:val="nil"/>
              <w:bottom w:val="single" w:sz="8"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Subtotal</w:t>
            </w:r>
          </w:p>
        </w:tc>
        <w:tc>
          <w:tcPr>
            <w:tcW w:w="806" w:type="dxa"/>
            <w:tcBorders>
              <w:top w:val="nil"/>
              <w:left w:val="nil"/>
              <w:bottom w:val="single" w:sz="8"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34</w:t>
            </w:r>
          </w:p>
        </w:tc>
        <w:tc>
          <w:tcPr>
            <w:tcW w:w="810" w:type="dxa"/>
            <w:tcBorders>
              <w:top w:val="nil"/>
              <w:left w:val="nil"/>
              <w:bottom w:val="single" w:sz="8"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35</w:t>
            </w:r>
          </w:p>
        </w:tc>
        <w:tc>
          <w:tcPr>
            <w:tcW w:w="1170" w:type="dxa"/>
            <w:tcBorders>
              <w:top w:val="nil"/>
              <w:left w:val="nil"/>
              <w:bottom w:val="single" w:sz="8" w:space="0" w:color="auto"/>
              <w:right w:val="single" w:sz="8" w:space="0" w:color="auto"/>
            </w:tcBorders>
            <w:shd w:val="clear" w:color="auto" w:fill="auto"/>
            <w:vAlign w:val="center"/>
            <w:hideMark/>
          </w:tcPr>
          <w:p w:rsidR="00AC40FC" w:rsidRPr="00E33F2E" w:rsidRDefault="00AC40FC" w:rsidP="00581946">
            <w:pPr>
              <w:spacing w:after="0"/>
              <w:jc w:val="center"/>
              <w:rPr>
                <w:rFonts w:cs="Arial"/>
                <w:color w:val="000000"/>
                <w:szCs w:val="24"/>
              </w:rPr>
            </w:pPr>
            <w:r>
              <w:rPr>
                <w:rFonts w:cs="Arial"/>
                <w:color w:val="000000"/>
                <w:szCs w:val="24"/>
              </w:rPr>
              <w:t>+</w:t>
            </w:r>
            <w:r w:rsidRPr="00E33F2E">
              <w:rPr>
                <w:rFonts w:cs="Arial"/>
                <w:color w:val="000000"/>
                <w:szCs w:val="24"/>
              </w:rPr>
              <w:t>1</w:t>
            </w:r>
          </w:p>
        </w:tc>
        <w:tc>
          <w:tcPr>
            <w:tcW w:w="1260" w:type="dxa"/>
            <w:tcBorders>
              <w:top w:val="nil"/>
              <w:left w:val="nil"/>
              <w:bottom w:val="single" w:sz="8" w:space="0" w:color="auto"/>
              <w:right w:val="single" w:sz="8" w:space="0" w:color="auto"/>
            </w:tcBorders>
          </w:tcPr>
          <w:p w:rsidR="00AC40FC" w:rsidRDefault="00AC40FC" w:rsidP="00581946">
            <w:pPr>
              <w:spacing w:after="0"/>
              <w:jc w:val="center"/>
              <w:rPr>
                <w:rFonts w:cs="Arial"/>
                <w:color w:val="000000"/>
                <w:szCs w:val="24"/>
              </w:rPr>
            </w:pPr>
            <w:r>
              <w:rPr>
                <w:rFonts w:cs="Arial"/>
                <w:color w:val="000000"/>
                <w:szCs w:val="24"/>
              </w:rPr>
              <w:t>42</w:t>
            </w:r>
          </w:p>
        </w:tc>
        <w:tc>
          <w:tcPr>
            <w:tcW w:w="1170" w:type="dxa"/>
            <w:tcBorders>
              <w:top w:val="nil"/>
              <w:left w:val="nil"/>
              <w:bottom w:val="single" w:sz="8" w:space="0" w:color="auto"/>
              <w:right w:val="single" w:sz="8" w:space="0" w:color="auto"/>
            </w:tcBorders>
          </w:tcPr>
          <w:p w:rsidR="00AC40FC" w:rsidRDefault="00AC40FC" w:rsidP="00581946">
            <w:pPr>
              <w:spacing w:after="0"/>
              <w:jc w:val="center"/>
              <w:rPr>
                <w:rFonts w:cs="Arial"/>
                <w:color w:val="000000"/>
                <w:szCs w:val="24"/>
              </w:rPr>
            </w:pPr>
            <w:r>
              <w:rPr>
                <w:rFonts w:cs="Arial"/>
                <w:color w:val="000000"/>
                <w:szCs w:val="24"/>
              </w:rPr>
              <w:t>+7</w:t>
            </w:r>
          </w:p>
        </w:tc>
      </w:tr>
      <w:tr w:rsidR="00AC40FC" w:rsidRPr="00E33F2E" w:rsidTr="00581946">
        <w:trPr>
          <w:trHeight w:val="300"/>
          <w:jc w:val="center"/>
        </w:trPr>
        <w:tc>
          <w:tcPr>
            <w:tcW w:w="7205"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rsidR="00AC40FC" w:rsidRPr="008E72FF" w:rsidRDefault="00AC40FC" w:rsidP="00B306CB">
            <w:pPr>
              <w:pageBreakBefore/>
              <w:spacing w:after="0"/>
              <w:jc w:val="left"/>
              <w:rPr>
                <w:rFonts w:cs="Arial"/>
                <w:b/>
                <w:color w:val="000000"/>
                <w:szCs w:val="24"/>
              </w:rPr>
            </w:pPr>
            <w:r w:rsidRPr="008E72FF">
              <w:rPr>
                <w:rFonts w:cs="Arial"/>
                <w:b/>
                <w:color w:val="000000"/>
                <w:szCs w:val="24"/>
              </w:rPr>
              <w:lastRenderedPageBreak/>
              <w:t>Asset Management</w:t>
            </w:r>
          </w:p>
        </w:tc>
        <w:tc>
          <w:tcPr>
            <w:tcW w:w="1260" w:type="dxa"/>
            <w:tcBorders>
              <w:top w:val="single" w:sz="8" w:space="0" w:color="auto"/>
              <w:left w:val="single" w:sz="8" w:space="0" w:color="auto"/>
              <w:bottom w:val="single" w:sz="4" w:space="0" w:color="auto"/>
              <w:right w:val="single" w:sz="8" w:space="0" w:color="000000"/>
            </w:tcBorders>
          </w:tcPr>
          <w:p w:rsidR="00AC40FC" w:rsidRPr="00E33F2E" w:rsidRDefault="00AC40FC" w:rsidP="00B306CB">
            <w:pPr>
              <w:pageBreakBefore/>
              <w:spacing w:after="0"/>
              <w:jc w:val="center"/>
              <w:rPr>
                <w:rFonts w:cs="Arial"/>
                <w:color w:val="000000"/>
                <w:szCs w:val="24"/>
              </w:rPr>
            </w:pPr>
          </w:p>
        </w:tc>
        <w:tc>
          <w:tcPr>
            <w:tcW w:w="1170" w:type="dxa"/>
            <w:tcBorders>
              <w:top w:val="single" w:sz="8" w:space="0" w:color="auto"/>
              <w:left w:val="single" w:sz="8" w:space="0" w:color="auto"/>
              <w:bottom w:val="single" w:sz="4" w:space="0" w:color="auto"/>
              <w:right w:val="single" w:sz="8" w:space="0" w:color="000000"/>
            </w:tcBorders>
          </w:tcPr>
          <w:p w:rsidR="00AC40FC" w:rsidRPr="00E33F2E" w:rsidRDefault="00AC40FC" w:rsidP="00B306CB">
            <w:pPr>
              <w:pageBreakBefore/>
              <w:spacing w:after="0"/>
              <w:jc w:val="center"/>
              <w:rPr>
                <w:rFonts w:cs="Arial"/>
                <w:color w:val="000000"/>
                <w:szCs w:val="24"/>
              </w:rPr>
            </w:pPr>
          </w:p>
        </w:tc>
      </w:tr>
      <w:tr w:rsidR="00AC40FC" w:rsidRPr="00E33F2E" w:rsidTr="00581946">
        <w:trPr>
          <w:trHeight w:val="300"/>
          <w:jc w:val="center"/>
        </w:trPr>
        <w:tc>
          <w:tcPr>
            <w:tcW w:w="815" w:type="dxa"/>
            <w:tcBorders>
              <w:top w:val="nil"/>
              <w:left w:val="single" w:sz="8" w:space="0" w:color="auto"/>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601</w:t>
            </w:r>
          </w:p>
        </w:tc>
        <w:tc>
          <w:tcPr>
            <w:tcW w:w="3604" w:type="dxa"/>
            <w:tcBorders>
              <w:top w:val="nil"/>
              <w:left w:val="nil"/>
              <w:bottom w:val="single" w:sz="4" w:space="0" w:color="auto"/>
              <w:right w:val="single" w:sz="4" w:space="0" w:color="auto"/>
            </w:tcBorders>
            <w:shd w:val="clear" w:color="auto" w:fill="auto"/>
            <w:noWrap/>
            <w:vAlign w:val="center"/>
            <w:hideMark/>
          </w:tcPr>
          <w:p w:rsidR="00AC40FC" w:rsidRPr="00E33F2E" w:rsidRDefault="00AC40FC" w:rsidP="00581946">
            <w:pPr>
              <w:spacing w:after="0"/>
              <w:jc w:val="left"/>
              <w:rPr>
                <w:rFonts w:cs="Arial"/>
                <w:color w:val="000000"/>
                <w:szCs w:val="24"/>
              </w:rPr>
            </w:pPr>
            <w:r w:rsidRPr="00E33F2E">
              <w:rPr>
                <w:rFonts w:cs="Arial"/>
                <w:color w:val="000000"/>
                <w:szCs w:val="24"/>
              </w:rPr>
              <w:t>Asset Management</w:t>
            </w:r>
          </w:p>
        </w:tc>
        <w:tc>
          <w:tcPr>
            <w:tcW w:w="806" w:type="dxa"/>
            <w:tcBorders>
              <w:top w:val="nil"/>
              <w:left w:val="nil"/>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18</w:t>
            </w:r>
          </w:p>
        </w:tc>
        <w:tc>
          <w:tcPr>
            <w:tcW w:w="810" w:type="dxa"/>
            <w:tcBorders>
              <w:top w:val="nil"/>
              <w:left w:val="nil"/>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26</w:t>
            </w:r>
          </w:p>
        </w:tc>
        <w:tc>
          <w:tcPr>
            <w:tcW w:w="1170" w:type="dxa"/>
            <w:tcBorders>
              <w:top w:val="nil"/>
              <w:left w:val="nil"/>
              <w:bottom w:val="single" w:sz="4" w:space="0" w:color="auto"/>
              <w:right w:val="single" w:sz="8" w:space="0" w:color="auto"/>
            </w:tcBorders>
            <w:shd w:val="clear" w:color="auto" w:fill="auto"/>
            <w:vAlign w:val="center"/>
            <w:hideMark/>
          </w:tcPr>
          <w:p w:rsidR="00AC40FC" w:rsidRPr="00E33F2E" w:rsidRDefault="00AC40FC" w:rsidP="00581946">
            <w:pPr>
              <w:spacing w:after="0"/>
              <w:jc w:val="center"/>
              <w:rPr>
                <w:rFonts w:cs="Arial"/>
                <w:color w:val="000000"/>
                <w:szCs w:val="24"/>
              </w:rPr>
            </w:pPr>
            <w:r>
              <w:rPr>
                <w:rFonts w:cs="Arial"/>
                <w:color w:val="000000"/>
                <w:szCs w:val="24"/>
              </w:rPr>
              <w:t>+</w:t>
            </w:r>
            <w:r w:rsidRPr="00E33F2E">
              <w:rPr>
                <w:rFonts w:cs="Arial"/>
                <w:color w:val="000000"/>
                <w:szCs w:val="24"/>
              </w:rPr>
              <w:t>8</w:t>
            </w:r>
          </w:p>
        </w:tc>
        <w:tc>
          <w:tcPr>
            <w:tcW w:w="1260" w:type="dxa"/>
            <w:tcBorders>
              <w:top w:val="nil"/>
              <w:left w:val="nil"/>
              <w:bottom w:val="single" w:sz="4" w:space="0" w:color="auto"/>
              <w:right w:val="single" w:sz="8" w:space="0" w:color="auto"/>
            </w:tcBorders>
            <w:vAlign w:val="center"/>
          </w:tcPr>
          <w:p w:rsidR="00AC40FC" w:rsidRDefault="00AC40FC" w:rsidP="00581946">
            <w:pPr>
              <w:spacing w:after="0"/>
              <w:jc w:val="center"/>
              <w:rPr>
                <w:rFonts w:cs="Arial"/>
                <w:color w:val="000000"/>
                <w:szCs w:val="24"/>
              </w:rPr>
            </w:pPr>
            <w:r>
              <w:rPr>
                <w:rFonts w:cs="Arial"/>
                <w:color w:val="000000"/>
                <w:szCs w:val="24"/>
              </w:rPr>
              <w:t>27</w:t>
            </w:r>
          </w:p>
        </w:tc>
        <w:tc>
          <w:tcPr>
            <w:tcW w:w="1170" w:type="dxa"/>
            <w:tcBorders>
              <w:top w:val="nil"/>
              <w:left w:val="nil"/>
              <w:bottom w:val="single" w:sz="4" w:space="0" w:color="auto"/>
              <w:right w:val="single" w:sz="8" w:space="0" w:color="auto"/>
            </w:tcBorders>
            <w:vAlign w:val="center"/>
          </w:tcPr>
          <w:p w:rsidR="00AC40FC" w:rsidRDefault="00AC40FC" w:rsidP="00581946">
            <w:pPr>
              <w:spacing w:after="0"/>
              <w:jc w:val="center"/>
              <w:rPr>
                <w:rFonts w:cs="Arial"/>
                <w:color w:val="000000"/>
                <w:szCs w:val="24"/>
              </w:rPr>
            </w:pPr>
            <w:r>
              <w:rPr>
                <w:rFonts w:cs="Arial"/>
                <w:color w:val="000000"/>
                <w:szCs w:val="24"/>
              </w:rPr>
              <w:t>+1</w:t>
            </w:r>
          </w:p>
        </w:tc>
      </w:tr>
      <w:tr w:rsidR="00AC40FC" w:rsidRPr="00E33F2E" w:rsidTr="00581946">
        <w:trPr>
          <w:trHeight w:val="300"/>
          <w:jc w:val="center"/>
        </w:trPr>
        <w:tc>
          <w:tcPr>
            <w:tcW w:w="815" w:type="dxa"/>
            <w:tcBorders>
              <w:top w:val="nil"/>
              <w:left w:val="single" w:sz="8" w:space="0" w:color="auto"/>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607</w:t>
            </w:r>
          </w:p>
        </w:tc>
        <w:tc>
          <w:tcPr>
            <w:tcW w:w="3604" w:type="dxa"/>
            <w:tcBorders>
              <w:top w:val="nil"/>
              <w:left w:val="nil"/>
              <w:bottom w:val="single" w:sz="4" w:space="0" w:color="auto"/>
              <w:right w:val="single" w:sz="4" w:space="0" w:color="auto"/>
            </w:tcBorders>
            <w:shd w:val="clear" w:color="auto" w:fill="auto"/>
            <w:noWrap/>
            <w:vAlign w:val="center"/>
            <w:hideMark/>
          </w:tcPr>
          <w:p w:rsidR="00AC40FC" w:rsidRPr="00E33F2E" w:rsidRDefault="00AC40FC" w:rsidP="00581946">
            <w:pPr>
              <w:spacing w:after="0"/>
              <w:jc w:val="left"/>
              <w:rPr>
                <w:rFonts w:cs="Arial"/>
                <w:color w:val="000000"/>
                <w:szCs w:val="24"/>
              </w:rPr>
            </w:pPr>
            <w:r w:rsidRPr="00E33F2E">
              <w:rPr>
                <w:rFonts w:cs="Arial"/>
                <w:color w:val="000000"/>
                <w:szCs w:val="24"/>
              </w:rPr>
              <w:t>Asset Management Operations Analysis</w:t>
            </w:r>
          </w:p>
        </w:tc>
        <w:tc>
          <w:tcPr>
            <w:tcW w:w="806" w:type="dxa"/>
            <w:tcBorders>
              <w:top w:val="nil"/>
              <w:left w:val="nil"/>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4</w:t>
            </w:r>
          </w:p>
        </w:tc>
        <w:tc>
          <w:tcPr>
            <w:tcW w:w="810" w:type="dxa"/>
            <w:tcBorders>
              <w:top w:val="nil"/>
              <w:left w:val="nil"/>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3</w:t>
            </w:r>
          </w:p>
        </w:tc>
        <w:tc>
          <w:tcPr>
            <w:tcW w:w="1170" w:type="dxa"/>
            <w:tcBorders>
              <w:top w:val="nil"/>
              <w:left w:val="nil"/>
              <w:bottom w:val="single" w:sz="4" w:space="0" w:color="auto"/>
              <w:right w:val="single" w:sz="8" w:space="0" w:color="auto"/>
            </w:tcBorders>
            <w:shd w:val="clear" w:color="auto" w:fill="auto"/>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-1</w:t>
            </w:r>
          </w:p>
        </w:tc>
        <w:tc>
          <w:tcPr>
            <w:tcW w:w="1260" w:type="dxa"/>
            <w:tcBorders>
              <w:top w:val="nil"/>
              <w:left w:val="nil"/>
              <w:bottom w:val="single" w:sz="4" w:space="0" w:color="auto"/>
              <w:right w:val="single" w:sz="8" w:space="0" w:color="auto"/>
            </w:tcBorders>
            <w:vAlign w:val="center"/>
          </w:tcPr>
          <w:p w:rsidR="00AC40FC" w:rsidRPr="00E33F2E" w:rsidRDefault="00AC40FC" w:rsidP="00581946">
            <w:pPr>
              <w:spacing w:after="0"/>
              <w:jc w:val="center"/>
              <w:rPr>
                <w:rFonts w:cs="Arial"/>
                <w:color w:val="000000"/>
                <w:szCs w:val="24"/>
              </w:rPr>
            </w:pPr>
            <w:r>
              <w:rPr>
                <w:rFonts w:cs="Arial"/>
                <w:color w:val="000000"/>
                <w:szCs w:val="24"/>
              </w:rPr>
              <w:t>7</w:t>
            </w:r>
          </w:p>
        </w:tc>
        <w:tc>
          <w:tcPr>
            <w:tcW w:w="1170" w:type="dxa"/>
            <w:tcBorders>
              <w:top w:val="nil"/>
              <w:left w:val="nil"/>
              <w:bottom w:val="single" w:sz="4" w:space="0" w:color="auto"/>
              <w:right w:val="single" w:sz="8" w:space="0" w:color="auto"/>
            </w:tcBorders>
            <w:vAlign w:val="center"/>
          </w:tcPr>
          <w:p w:rsidR="00AC40FC" w:rsidRPr="00E33F2E" w:rsidRDefault="00AC40FC" w:rsidP="00581946">
            <w:pPr>
              <w:spacing w:after="0"/>
              <w:jc w:val="center"/>
              <w:rPr>
                <w:rFonts w:cs="Arial"/>
                <w:color w:val="000000"/>
                <w:szCs w:val="24"/>
              </w:rPr>
            </w:pPr>
            <w:r>
              <w:rPr>
                <w:rFonts w:cs="Arial"/>
                <w:color w:val="000000"/>
                <w:szCs w:val="24"/>
              </w:rPr>
              <w:t>+4</w:t>
            </w:r>
          </w:p>
        </w:tc>
      </w:tr>
      <w:tr w:rsidR="00AC40FC" w:rsidRPr="00E33F2E" w:rsidTr="00581946">
        <w:trPr>
          <w:trHeight w:val="300"/>
          <w:jc w:val="center"/>
        </w:trPr>
        <w:tc>
          <w:tcPr>
            <w:tcW w:w="815" w:type="dxa"/>
            <w:tcBorders>
              <w:top w:val="nil"/>
              <w:left w:val="single" w:sz="8" w:space="0" w:color="auto"/>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876</w:t>
            </w:r>
          </w:p>
        </w:tc>
        <w:tc>
          <w:tcPr>
            <w:tcW w:w="3604" w:type="dxa"/>
            <w:tcBorders>
              <w:top w:val="nil"/>
              <w:left w:val="nil"/>
              <w:bottom w:val="single" w:sz="4" w:space="0" w:color="auto"/>
              <w:right w:val="single" w:sz="4" w:space="0" w:color="auto"/>
            </w:tcBorders>
            <w:shd w:val="clear" w:color="auto" w:fill="auto"/>
            <w:noWrap/>
            <w:vAlign w:val="center"/>
            <w:hideMark/>
          </w:tcPr>
          <w:p w:rsidR="00AC40FC" w:rsidRPr="00E33F2E" w:rsidRDefault="00AC40FC" w:rsidP="00581946">
            <w:pPr>
              <w:spacing w:after="0"/>
              <w:jc w:val="left"/>
              <w:rPr>
                <w:rFonts w:cs="Arial"/>
                <w:color w:val="000000"/>
                <w:szCs w:val="24"/>
              </w:rPr>
            </w:pPr>
            <w:r w:rsidRPr="00E33F2E">
              <w:rPr>
                <w:rFonts w:cs="Arial"/>
                <w:color w:val="000000"/>
                <w:szCs w:val="24"/>
              </w:rPr>
              <w:t>T-Portfolio Management</w:t>
            </w:r>
          </w:p>
        </w:tc>
        <w:tc>
          <w:tcPr>
            <w:tcW w:w="806" w:type="dxa"/>
            <w:tcBorders>
              <w:top w:val="nil"/>
              <w:left w:val="nil"/>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3</w:t>
            </w:r>
          </w:p>
        </w:tc>
        <w:tc>
          <w:tcPr>
            <w:tcW w:w="810" w:type="dxa"/>
            <w:tcBorders>
              <w:top w:val="nil"/>
              <w:left w:val="nil"/>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1</w:t>
            </w:r>
          </w:p>
        </w:tc>
        <w:tc>
          <w:tcPr>
            <w:tcW w:w="1170" w:type="dxa"/>
            <w:tcBorders>
              <w:top w:val="nil"/>
              <w:left w:val="nil"/>
              <w:bottom w:val="single" w:sz="4" w:space="0" w:color="auto"/>
              <w:right w:val="single" w:sz="8" w:space="0" w:color="auto"/>
            </w:tcBorders>
            <w:shd w:val="clear" w:color="auto" w:fill="auto"/>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-2</w:t>
            </w:r>
          </w:p>
        </w:tc>
        <w:tc>
          <w:tcPr>
            <w:tcW w:w="1260" w:type="dxa"/>
            <w:tcBorders>
              <w:top w:val="nil"/>
              <w:left w:val="nil"/>
              <w:bottom w:val="single" w:sz="4" w:space="0" w:color="auto"/>
              <w:right w:val="single" w:sz="8" w:space="0" w:color="auto"/>
            </w:tcBorders>
            <w:vAlign w:val="center"/>
          </w:tcPr>
          <w:p w:rsidR="00AC40FC" w:rsidRPr="00E33F2E" w:rsidRDefault="00AC40FC" w:rsidP="00581946">
            <w:pPr>
              <w:spacing w:after="0"/>
              <w:jc w:val="center"/>
              <w:rPr>
                <w:rFonts w:cs="Arial"/>
                <w:color w:val="000000"/>
                <w:szCs w:val="24"/>
              </w:rPr>
            </w:pPr>
            <w:r>
              <w:rPr>
                <w:rFonts w:cs="Arial"/>
                <w:color w:val="000000"/>
                <w:szCs w:val="24"/>
              </w:rPr>
              <w:t>3</w:t>
            </w:r>
          </w:p>
        </w:tc>
        <w:tc>
          <w:tcPr>
            <w:tcW w:w="1170" w:type="dxa"/>
            <w:tcBorders>
              <w:top w:val="nil"/>
              <w:left w:val="nil"/>
              <w:bottom w:val="single" w:sz="4" w:space="0" w:color="auto"/>
              <w:right w:val="single" w:sz="8" w:space="0" w:color="auto"/>
            </w:tcBorders>
            <w:vAlign w:val="center"/>
          </w:tcPr>
          <w:p w:rsidR="00AC40FC" w:rsidRPr="00E33F2E" w:rsidRDefault="00AC40FC" w:rsidP="00581946">
            <w:pPr>
              <w:spacing w:after="0"/>
              <w:jc w:val="center"/>
              <w:rPr>
                <w:rFonts w:cs="Arial"/>
                <w:color w:val="000000"/>
                <w:szCs w:val="24"/>
              </w:rPr>
            </w:pPr>
            <w:r>
              <w:rPr>
                <w:rFonts w:cs="Arial"/>
                <w:color w:val="000000"/>
                <w:szCs w:val="24"/>
              </w:rPr>
              <w:t>+2</w:t>
            </w:r>
          </w:p>
        </w:tc>
      </w:tr>
      <w:tr w:rsidR="00AC40FC" w:rsidRPr="00E33F2E" w:rsidTr="00581946">
        <w:trPr>
          <w:trHeight w:val="300"/>
          <w:jc w:val="center"/>
        </w:trPr>
        <w:tc>
          <w:tcPr>
            <w:tcW w:w="815" w:type="dxa"/>
            <w:tcBorders>
              <w:top w:val="nil"/>
              <w:left w:val="single" w:sz="8" w:space="0" w:color="auto"/>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878</w:t>
            </w:r>
          </w:p>
        </w:tc>
        <w:tc>
          <w:tcPr>
            <w:tcW w:w="3604" w:type="dxa"/>
            <w:tcBorders>
              <w:top w:val="nil"/>
              <w:left w:val="nil"/>
              <w:bottom w:val="single" w:sz="4" w:space="0" w:color="auto"/>
              <w:right w:val="single" w:sz="4" w:space="0" w:color="auto"/>
            </w:tcBorders>
            <w:shd w:val="clear" w:color="auto" w:fill="auto"/>
            <w:noWrap/>
            <w:vAlign w:val="center"/>
            <w:hideMark/>
          </w:tcPr>
          <w:p w:rsidR="00AC40FC" w:rsidRPr="00E33F2E" w:rsidRDefault="00AC40FC" w:rsidP="00581946">
            <w:pPr>
              <w:spacing w:after="0"/>
              <w:jc w:val="left"/>
              <w:rPr>
                <w:rFonts w:cs="Arial"/>
                <w:color w:val="000000"/>
                <w:szCs w:val="24"/>
              </w:rPr>
            </w:pPr>
            <w:r w:rsidRPr="00E33F2E">
              <w:rPr>
                <w:rFonts w:cs="Arial"/>
                <w:color w:val="000000"/>
                <w:szCs w:val="24"/>
              </w:rPr>
              <w:t>Maintenance Engineering</w:t>
            </w:r>
          </w:p>
        </w:tc>
        <w:tc>
          <w:tcPr>
            <w:tcW w:w="806" w:type="dxa"/>
            <w:tcBorders>
              <w:top w:val="nil"/>
              <w:left w:val="nil"/>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18</w:t>
            </w:r>
          </w:p>
        </w:tc>
        <w:tc>
          <w:tcPr>
            <w:tcW w:w="810" w:type="dxa"/>
            <w:tcBorders>
              <w:top w:val="nil"/>
              <w:left w:val="nil"/>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17</w:t>
            </w:r>
          </w:p>
        </w:tc>
        <w:tc>
          <w:tcPr>
            <w:tcW w:w="1170" w:type="dxa"/>
            <w:tcBorders>
              <w:top w:val="nil"/>
              <w:left w:val="nil"/>
              <w:bottom w:val="single" w:sz="4" w:space="0" w:color="auto"/>
              <w:right w:val="single" w:sz="8" w:space="0" w:color="auto"/>
            </w:tcBorders>
            <w:shd w:val="clear" w:color="auto" w:fill="auto"/>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-1</w:t>
            </w:r>
          </w:p>
        </w:tc>
        <w:tc>
          <w:tcPr>
            <w:tcW w:w="1260" w:type="dxa"/>
            <w:tcBorders>
              <w:top w:val="nil"/>
              <w:left w:val="nil"/>
              <w:bottom w:val="single" w:sz="4" w:space="0" w:color="auto"/>
              <w:right w:val="single" w:sz="8" w:space="0" w:color="auto"/>
            </w:tcBorders>
            <w:vAlign w:val="center"/>
          </w:tcPr>
          <w:p w:rsidR="00AC40FC" w:rsidRPr="00E33F2E" w:rsidRDefault="00AC40FC" w:rsidP="00581946">
            <w:pPr>
              <w:spacing w:after="0"/>
              <w:jc w:val="center"/>
              <w:rPr>
                <w:rFonts w:cs="Arial"/>
                <w:color w:val="000000"/>
                <w:szCs w:val="24"/>
              </w:rPr>
            </w:pPr>
            <w:r>
              <w:rPr>
                <w:rFonts w:cs="Arial"/>
                <w:color w:val="000000"/>
                <w:szCs w:val="24"/>
              </w:rPr>
              <w:t>17</w:t>
            </w:r>
          </w:p>
        </w:tc>
        <w:tc>
          <w:tcPr>
            <w:tcW w:w="1170" w:type="dxa"/>
            <w:tcBorders>
              <w:top w:val="nil"/>
              <w:left w:val="nil"/>
              <w:bottom w:val="single" w:sz="4" w:space="0" w:color="auto"/>
              <w:right w:val="single" w:sz="8" w:space="0" w:color="auto"/>
            </w:tcBorders>
            <w:vAlign w:val="center"/>
          </w:tcPr>
          <w:p w:rsidR="00AC40FC" w:rsidRPr="00E33F2E" w:rsidRDefault="00AC40FC" w:rsidP="00581946">
            <w:pPr>
              <w:spacing w:after="0"/>
              <w:jc w:val="center"/>
              <w:rPr>
                <w:rFonts w:cs="Arial"/>
                <w:color w:val="000000"/>
                <w:szCs w:val="24"/>
              </w:rPr>
            </w:pPr>
            <w:r>
              <w:rPr>
                <w:rFonts w:cs="Arial"/>
                <w:color w:val="000000"/>
                <w:szCs w:val="24"/>
              </w:rPr>
              <w:t>0</w:t>
            </w:r>
          </w:p>
        </w:tc>
      </w:tr>
      <w:tr w:rsidR="00AC40FC" w:rsidRPr="00E33F2E" w:rsidTr="00581946">
        <w:trPr>
          <w:trHeight w:val="300"/>
          <w:jc w:val="center"/>
        </w:trPr>
        <w:tc>
          <w:tcPr>
            <w:tcW w:w="815" w:type="dxa"/>
            <w:tcBorders>
              <w:top w:val="nil"/>
              <w:left w:val="single" w:sz="8" w:space="0" w:color="auto"/>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880</w:t>
            </w:r>
          </w:p>
        </w:tc>
        <w:tc>
          <w:tcPr>
            <w:tcW w:w="3604" w:type="dxa"/>
            <w:tcBorders>
              <w:top w:val="nil"/>
              <w:left w:val="nil"/>
              <w:bottom w:val="single" w:sz="4" w:space="0" w:color="auto"/>
              <w:right w:val="single" w:sz="4" w:space="0" w:color="auto"/>
            </w:tcBorders>
            <w:shd w:val="clear" w:color="auto" w:fill="auto"/>
            <w:noWrap/>
            <w:vAlign w:val="center"/>
            <w:hideMark/>
          </w:tcPr>
          <w:p w:rsidR="00AC40FC" w:rsidRPr="00E33F2E" w:rsidRDefault="00AC40FC" w:rsidP="00581946">
            <w:pPr>
              <w:spacing w:after="0"/>
              <w:jc w:val="left"/>
              <w:rPr>
                <w:rFonts w:cs="Arial"/>
                <w:color w:val="000000"/>
                <w:szCs w:val="24"/>
              </w:rPr>
            </w:pPr>
            <w:r w:rsidRPr="00E33F2E">
              <w:rPr>
                <w:rFonts w:cs="Arial"/>
                <w:color w:val="000000"/>
                <w:szCs w:val="24"/>
              </w:rPr>
              <w:t>Engineering and Maintenance Standards</w:t>
            </w:r>
          </w:p>
        </w:tc>
        <w:tc>
          <w:tcPr>
            <w:tcW w:w="806" w:type="dxa"/>
            <w:tcBorders>
              <w:top w:val="nil"/>
              <w:left w:val="nil"/>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8</w:t>
            </w:r>
          </w:p>
        </w:tc>
        <w:tc>
          <w:tcPr>
            <w:tcW w:w="810" w:type="dxa"/>
            <w:tcBorders>
              <w:top w:val="nil"/>
              <w:left w:val="nil"/>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7</w:t>
            </w:r>
          </w:p>
        </w:tc>
        <w:tc>
          <w:tcPr>
            <w:tcW w:w="1170" w:type="dxa"/>
            <w:tcBorders>
              <w:top w:val="nil"/>
              <w:left w:val="nil"/>
              <w:bottom w:val="single" w:sz="4" w:space="0" w:color="auto"/>
              <w:right w:val="single" w:sz="8" w:space="0" w:color="auto"/>
            </w:tcBorders>
            <w:shd w:val="clear" w:color="auto" w:fill="auto"/>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-1</w:t>
            </w:r>
          </w:p>
        </w:tc>
        <w:tc>
          <w:tcPr>
            <w:tcW w:w="1260" w:type="dxa"/>
            <w:tcBorders>
              <w:top w:val="nil"/>
              <w:left w:val="nil"/>
              <w:bottom w:val="single" w:sz="4" w:space="0" w:color="auto"/>
              <w:right w:val="single" w:sz="8" w:space="0" w:color="auto"/>
            </w:tcBorders>
            <w:vAlign w:val="center"/>
          </w:tcPr>
          <w:p w:rsidR="00AC40FC" w:rsidRPr="00E33F2E" w:rsidRDefault="00AC40FC" w:rsidP="00581946">
            <w:pPr>
              <w:spacing w:after="0"/>
              <w:jc w:val="center"/>
              <w:rPr>
                <w:rFonts w:cs="Arial"/>
                <w:color w:val="000000"/>
                <w:szCs w:val="24"/>
              </w:rPr>
            </w:pPr>
            <w:r>
              <w:rPr>
                <w:rFonts w:cs="Arial"/>
                <w:color w:val="000000"/>
                <w:szCs w:val="24"/>
              </w:rPr>
              <w:t>7</w:t>
            </w:r>
          </w:p>
        </w:tc>
        <w:tc>
          <w:tcPr>
            <w:tcW w:w="1170" w:type="dxa"/>
            <w:tcBorders>
              <w:top w:val="nil"/>
              <w:left w:val="nil"/>
              <w:bottom w:val="single" w:sz="4" w:space="0" w:color="auto"/>
              <w:right w:val="single" w:sz="8" w:space="0" w:color="auto"/>
            </w:tcBorders>
            <w:vAlign w:val="center"/>
          </w:tcPr>
          <w:p w:rsidR="00AC40FC" w:rsidRPr="00E33F2E" w:rsidRDefault="00AC40FC" w:rsidP="00581946">
            <w:pPr>
              <w:spacing w:after="0"/>
              <w:jc w:val="center"/>
              <w:rPr>
                <w:rFonts w:cs="Arial"/>
                <w:color w:val="000000"/>
                <w:szCs w:val="24"/>
              </w:rPr>
            </w:pPr>
            <w:r>
              <w:rPr>
                <w:rFonts w:cs="Arial"/>
                <w:color w:val="000000"/>
                <w:szCs w:val="24"/>
              </w:rPr>
              <w:t>0</w:t>
            </w:r>
          </w:p>
        </w:tc>
      </w:tr>
      <w:tr w:rsidR="00AC40FC" w:rsidRPr="00E33F2E" w:rsidTr="00581946">
        <w:trPr>
          <w:trHeight w:val="315"/>
          <w:jc w:val="center"/>
        </w:trPr>
        <w:tc>
          <w:tcPr>
            <w:tcW w:w="815" w:type="dxa"/>
            <w:tcBorders>
              <w:top w:val="nil"/>
              <w:left w:val="single" w:sz="8" w:space="0" w:color="auto"/>
              <w:bottom w:val="single" w:sz="8" w:space="0" w:color="auto"/>
              <w:right w:val="single" w:sz="4" w:space="0" w:color="auto"/>
            </w:tcBorders>
            <w:shd w:val="clear" w:color="auto" w:fill="auto"/>
            <w:noWrap/>
            <w:vAlign w:val="center"/>
            <w:hideMark/>
          </w:tcPr>
          <w:p w:rsidR="00AC40FC" w:rsidRPr="00E33F2E" w:rsidRDefault="00AC40FC" w:rsidP="00581946">
            <w:pPr>
              <w:spacing w:after="0"/>
              <w:jc w:val="left"/>
              <w:rPr>
                <w:rFonts w:ascii="Calibri" w:hAnsi="Calibri"/>
                <w:color w:val="000000"/>
                <w:sz w:val="20"/>
                <w:szCs w:val="20"/>
              </w:rPr>
            </w:pPr>
          </w:p>
        </w:tc>
        <w:tc>
          <w:tcPr>
            <w:tcW w:w="3604" w:type="dxa"/>
            <w:tcBorders>
              <w:top w:val="nil"/>
              <w:left w:val="nil"/>
              <w:bottom w:val="single" w:sz="8"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Subtotal</w:t>
            </w:r>
          </w:p>
        </w:tc>
        <w:tc>
          <w:tcPr>
            <w:tcW w:w="806" w:type="dxa"/>
            <w:tcBorders>
              <w:top w:val="nil"/>
              <w:left w:val="nil"/>
              <w:bottom w:val="single" w:sz="8"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51</w:t>
            </w:r>
          </w:p>
        </w:tc>
        <w:tc>
          <w:tcPr>
            <w:tcW w:w="810" w:type="dxa"/>
            <w:tcBorders>
              <w:top w:val="nil"/>
              <w:left w:val="nil"/>
              <w:bottom w:val="single" w:sz="8"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54</w:t>
            </w:r>
          </w:p>
        </w:tc>
        <w:tc>
          <w:tcPr>
            <w:tcW w:w="1170" w:type="dxa"/>
            <w:tcBorders>
              <w:top w:val="nil"/>
              <w:left w:val="nil"/>
              <w:bottom w:val="single" w:sz="8" w:space="0" w:color="auto"/>
              <w:right w:val="single" w:sz="8" w:space="0" w:color="auto"/>
            </w:tcBorders>
            <w:shd w:val="clear" w:color="auto" w:fill="auto"/>
            <w:vAlign w:val="center"/>
            <w:hideMark/>
          </w:tcPr>
          <w:p w:rsidR="00AC40FC" w:rsidRPr="00E33F2E" w:rsidRDefault="00AC40FC" w:rsidP="00581946">
            <w:pPr>
              <w:spacing w:after="0"/>
              <w:jc w:val="center"/>
              <w:rPr>
                <w:rFonts w:cs="Arial"/>
                <w:color w:val="000000"/>
                <w:szCs w:val="24"/>
              </w:rPr>
            </w:pPr>
            <w:r>
              <w:rPr>
                <w:rFonts w:cs="Arial"/>
                <w:color w:val="000000"/>
                <w:szCs w:val="24"/>
              </w:rPr>
              <w:t>+</w:t>
            </w:r>
            <w:r w:rsidRPr="00E33F2E">
              <w:rPr>
                <w:rFonts w:cs="Arial"/>
                <w:color w:val="000000"/>
                <w:szCs w:val="24"/>
              </w:rPr>
              <w:t>3</w:t>
            </w:r>
          </w:p>
        </w:tc>
        <w:tc>
          <w:tcPr>
            <w:tcW w:w="1260" w:type="dxa"/>
            <w:tcBorders>
              <w:top w:val="nil"/>
              <w:left w:val="nil"/>
              <w:bottom w:val="single" w:sz="8" w:space="0" w:color="auto"/>
              <w:right w:val="single" w:sz="8" w:space="0" w:color="auto"/>
            </w:tcBorders>
          </w:tcPr>
          <w:p w:rsidR="00AC40FC" w:rsidRDefault="00AC40FC" w:rsidP="00581946">
            <w:pPr>
              <w:spacing w:after="0"/>
              <w:jc w:val="center"/>
              <w:rPr>
                <w:rFonts w:cs="Arial"/>
                <w:color w:val="000000"/>
                <w:szCs w:val="24"/>
              </w:rPr>
            </w:pPr>
            <w:r>
              <w:rPr>
                <w:rFonts w:cs="Arial"/>
                <w:color w:val="000000"/>
                <w:szCs w:val="24"/>
              </w:rPr>
              <w:t>61</w:t>
            </w:r>
          </w:p>
        </w:tc>
        <w:tc>
          <w:tcPr>
            <w:tcW w:w="1170" w:type="dxa"/>
            <w:tcBorders>
              <w:top w:val="nil"/>
              <w:left w:val="nil"/>
              <w:bottom w:val="single" w:sz="8" w:space="0" w:color="auto"/>
              <w:right w:val="single" w:sz="8" w:space="0" w:color="auto"/>
            </w:tcBorders>
          </w:tcPr>
          <w:p w:rsidR="00AC40FC" w:rsidRDefault="00AC40FC" w:rsidP="00581946">
            <w:pPr>
              <w:spacing w:after="0"/>
              <w:jc w:val="center"/>
              <w:rPr>
                <w:rFonts w:cs="Arial"/>
                <w:color w:val="000000"/>
                <w:szCs w:val="24"/>
              </w:rPr>
            </w:pPr>
            <w:r>
              <w:rPr>
                <w:rFonts w:cs="Arial"/>
                <w:color w:val="000000"/>
                <w:szCs w:val="24"/>
              </w:rPr>
              <w:t>+7</w:t>
            </w:r>
          </w:p>
        </w:tc>
      </w:tr>
      <w:tr w:rsidR="00AC40FC" w:rsidRPr="00E33F2E" w:rsidTr="00581946">
        <w:trPr>
          <w:trHeight w:val="300"/>
          <w:jc w:val="center"/>
        </w:trPr>
        <w:tc>
          <w:tcPr>
            <w:tcW w:w="7205"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rsidR="00AC40FC" w:rsidRPr="008E72FF" w:rsidRDefault="00AC40FC" w:rsidP="00581946">
            <w:pPr>
              <w:spacing w:after="0"/>
              <w:jc w:val="left"/>
              <w:rPr>
                <w:rFonts w:cs="Arial"/>
                <w:b/>
                <w:color w:val="000000"/>
                <w:szCs w:val="24"/>
              </w:rPr>
            </w:pPr>
            <w:r w:rsidRPr="008E72FF">
              <w:rPr>
                <w:rFonts w:cs="Arial"/>
                <w:b/>
                <w:color w:val="000000"/>
                <w:szCs w:val="24"/>
              </w:rPr>
              <w:t>Engineering</w:t>
            </w:r>
          </w:p>
        </w:tc>
        <w:tc>
          <w:tcPr>
            <w:tcW w:w="1260" w:type="dxa"/>
            <w:tcBorders>
              <w:top w:val="single" w:sz="8" w:space="0" w:color="auto"/>
              <w:left w:val="single" w:sz="8" w:space="0" w:color="auto"/>
              <w:bottom w:val="single" w:sz="4" w:space="0" w:color="auto"/>
              <w:right w:val="single" w:sz="8" w:space="0" w:color="000000"/>
            </w:tcBorders>
          </w:tcPr>
          <w:p w:rsidR="00AC40FC" w:rsidRPr="00E33F2E" w:rsidRDefault="00AC40FC" w:rsidP="00581946">
            <w:pPr>
              <w:spacing w:after="0"/>
              <w:jc w:val="center"/>
              <w:rPr>
                <w:rFonts w:cs="Arial"/>
                <w:color w:val="000000"/>
                <w:szCs w:val="24"/>
              </w:rPr>
            </w:pPr>
          </w:p>
        </w:tc>
        <w:tc>
          <w:tcPr>
            <w:tcW w:w="1170" w:type="dxa"/>
            <w:tcBorders>
              <w:top w:val="single" w:sz="8" w:space="0" w:color="auto"/>
              <w:left w:val="single" w:sz="8" w:space="0" w:color="auto"/>
              <w:bottom w:val="single" w:sz="4" w:space="0" w:color="auto"/>
              <w:right w:val="single" w:sz="8" w:space="0" w:color="000000"/>
            </w:tcBorders>
          </w:tcPr>
          <w:p w:rsidR="00AC40FC" w:rsidRPr="00E33F2E" w:rsidRDefault="00AC40FC" w:rsidP="00581946">
            <w:pPr>
              <w:spacing w:after="0"/>
              <w:jc w:val="center"/>
              <w:rPr>
                <w:rFonts w:cs="Arial"/>
                <w:color w:val="000000"/>
                <w:szCs w:val="24"/>
              </w:rPr>
            </w:pPr>
          </w:p>
        </w:tc>
      </w:tr>
      <w:tr w:rsidR="00AC40FC" w:rsidRPr="00E33F2E" w:rsidTr="00581946">
        <w:trPr>
          <w:trHeight w:val="300"/>
          <w:jc w:val="center"/>
        </w:trPr>
        <w:tc>
          <w:tcPr>
            <w:tcW w:w="815" w:type="dxa"/>
            <w:tcBorders>
              <w:top w:val="nil"/>
              <w:left w:val="single" w:sz="8" w:space="0" w:color="auto"/>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881</w:t>
            </w:r>
          </w:p>
        </w:tc>
        <w:tc>
          <w:tcPr>
            <w:tcW w:w="3604" w:type="dxa"/>
            <w:tcBorders>
              <w:top w:val="nil"/>
              <w:left w:val="nil"/>
              <w:bottom w:val="single" w:sz="4" w:space="0" w:color="auto"/>
              <w:right w:val="single" w:sz="4" w:space="0" w:color="auto"/>
            </w:tcBorders>
            <w:shd w:val="clear" w:color="auto" w:fill="auto"/>
            <w:noWrap/>
            <w:vAlign w:val="center"/>
            <w:hideMark/>
          </w:tcPr>
          <w:p w:rsidR="00AC40FC" w:rsidRPr="00E33F2E" w:rsidRDefault="00AC40FC" w:rsidP="00581946">
            <w:pPr>
              <w:spacing w:after="0"/>
              <w:jc w:val="left"/>
              <w:rPr>
                <w:rFonts w:cs="Arial"/>
                <w:color w:val="000000"/>
                <w:szCs w:val="24"/>
              </w:rPr>
            </w:pPr>
            <w:r w:rsidRPr="00E33F2E">
              <w:rPr>
                <w:rFonts w:cs="Arial"/>
                <w:color w:val="000000"/>
                <w:szCs w:val="24"/>
              </w:rPr>
              <w:t>Transmission Design</w:t>
            </w:r>
          </w:p>
        </w:tc>
        <w:tc>
          <w:tcPr>
            <w:tcW w:w="806" w:type="dxa"/>
            <w:tcBorders>
              <w:top w:val="nil"/>
              <w:left w:val="nil"/>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48</w:t>
            </w:r>
          </w:p>
        </w:tc>
        <w:tc>
          <w:tcPr>
            <w:tcW w:w="810" w:type="dxa"/>
            <w:tcBorders>
              <w:top w:val="nil"/>
              <w:left w:val="nil"/>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23</w:t>
            </w:r>
          </w:p>
        </w:tc>
        <w:tc>
          <w:tcPr>
            <w:tcW w:w="1170" w:type="dxa"/>
            <w:tcBorders>
              <w:top w:val="nil"/>
              <w:left w:val="nil"/>
              <w:bottom w:val="single" w:sz="4" w:space="0" w:color="auto"/>
              <w:right w:val="single" w:sz="8" w:space="0" w:color="auto"/>
            </w:tcBorders>
            <w:shd w:val="clear" w:color="auto" w:fill="auto"/>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-25</w:t>
            </w:r>
          </w:p>
        </w:tc>
        <w:tc>
          <w:tcPr>
            <w:tcW w:w="1260" w:type="dxa"/>
            <w:tcBorders>
              <w:top w:val="nil"/>
              <w:left w:val="nil"/>
              <w:bottom w:val="single" w:sz="4" w:space="0" w:color="auto"/>
              <w:right w:val="single" w:sz="8" w:space="0" w:color="auto"/>
            </w:tcBorders>
            <w:vAlign w:val="center"/>
          </w:tcPr>
          <w:p w:rsidR="00AC40FC" w:rsidRPr="00E33F2E" w:rsidRDefault="00AC40FC" w:rsidP="00581946">
            <w:pPr>
              <w:spacing w:after="0"/>
              <w:jc w:val="center"/>
              <w:rPr>
                <w:rFonts w:cs="Arial"/>
                <w:color w:val="000000"/>
                <w:szCs w:val="24"/>
              </w:rPr>
            </w:pPr>
            <w:r>
              <w:rPr>
                <w:rFonts w:cs="Arial"/>
                <w:color w:val="000000"/>
                <w:szCs w:val="24"/>
              </w:rPr>
              <w:t>28</w:t>
            </w:r>
          </w:p>
        </w:tc>
        <w:tc>
          <w:tcPr>
            <w:tcW w:w="1170" w:type="dxa"/>
            <w:tcBorders>
              <w:top w:val="nil"/>
              <w:left w:val="nil"/>
              <w:bottom w:val="single" w:sz="4" w:space="0" w:color="auto"/>
              <w:right w:val="single" w:sz="8" w:space="0" w:color="auto"/>
            </w:tcBorders>
            <w:vAlign w:val="center"/>
          </w:tcPr>
          <w:p w:rsidR="00AC40FC" w:rsidRPr="00E33F2E" w:rsidRDefault="00AC40FC" w:rsidP="00581946">
            <w:pPr>
              <w:spacing w:after="0"/>
              <w:jc w:val="center"/>
              <w:rPr>
                <w:rFonts w:cs="Arial"/>
                <w:color w:val="000000"/>
                <w:szCs w:val="24"/>
              </w:rPr>
            </w:pPr>
            <w:r>
              <w:rPr>
                <w:rFonts w:cs="Arial"/>
                <w:color w:val="000000"/>
                <w:szCs w:val="24"/>
              </w:rPr>
              <w:t>+5</w:t>
            </w:r>
          </w:p>
        </w:tc>
      </w:tr>
      <w:tr w:rsidR="00AC40FC" w:rsidRPr="00E33F2E" w:rsidTr="00581946">
        <w:trPr>
          <w:trHeight w:val="300"/>
          <w:jc w:val="center"/>
        </w:trPr>
        <w:tc>
          <w:tcPr>
            <w:tcW w:w="815" w:type="dxa"/>
            <w:tcBorders>
              <w:top w:val="nil"/>
              <w:left w:val="single" w:sz="8" w:space="0" w:color="auto"/>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883</w:t>
            </w:r>
          </w:p>
        </w:tc>
        <w:tc>
          <w:tcPr>
            <w:tcW w:w="3604" w:type="dxa"/>
            <w:tcBorders>
              <w:top w:val="nil"/>
              <w:left w:val="nil"/>
              <w:bottom w:val="single" w:sz="4" w:space="0" w:color="auto"/>
              <w:right w:val="single" w:sz="4" w:space="0" w:color="auto"/>
            </w:tcBorders>
            <w:shd w:val="clear" w:color="auto" w:fill="auto"/>
            <w:noWrap/>
            <w:vAlign w:val="center"/>
            <w:hideMark/>
          </w:tcPr>
          <w:p w:rsidR="00AC40FC" w:rsidRPr="00E33F2E" w:rsidRDefault="00AC40FC" w:rsidP="00581946">
            <w:pPr>
              <w:spacing w:after="0"/>
              <w:jc w:val="left"/>
              <w:rPr>
                <w:rFonts w:cs="Arial"/>
                <w:color w:val="000000"/>
                <w:szCs w:val="24"/>
              </w:rPr>
            </w:pPr>
            <w:r w:rsidRPr="00E33F2E">
              <w:rPr>
                <w:rFonts w:cs="Arial"/>
                <w:color w:val="000000"/>
                <w:szCs w:val="24"/>
              </w:rPr>
              <w:t>Substation Engineering</w:t>
            </w:r>
          </w:p>
        </w:tc>
        <w:tc>
          <w:tcPr>
            <w:tcW w:w="806" w:type="dxa"/>
            <w:tcBorders>
              <w:top w:val="nil"/>
              <w:left w:val="nil"/>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12</w:t>
            </w:r>
          </w:p>
        </w:tc>
        <w:tc>
          <w:tcPr>
            <w:tcW w:w="810" w:type="dxa"/>
            <w:tcBorders>
              <w:top w:val="nil"/>
              <w:left w:val="nil"/>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35</w:t>
            </w:r>
          </w:p>
        </w:tc>
        <w:tc>
          <w:tcPr>
            <w:tcW w:w="1170" w:type="dxa"/>
            <w:tcBorders>
              <w:top w:val="nil"/>
              <w:left w:val="nil"/>
              <w:bottom w:val="single" w:sz="4" w:space="0" w:color="auto"/>
              <w:right w:val="single" w:sz="8" w:space="0" w:color="auto"/>
            </w:tcBorders>
            <w:shd w:val="clear" w:color="auto" w:fill="auto"/>
            <w:vAlign w:val="center"/>
            <w:hideMark/>
          </w:tcPr>
          <w:p w:rsidR="00AC40FC" w:rsidRPr="00E33F2E" w:rsidRDefault="00AC40FC" w:rsidP="00581946">
            <w:pPr>
              <w:spacing w:after="0"/>
              <w:jc w:val="center"/>
              <w:rPr>
                <w:rFonts w:cs="Arial"/>
                <w:color w:val="000000"/>
                <w:szCs w:val="24"/>
              </w:rPr>
            </w:pPr>
            <w:r>
              <w:rPr>
                <w:rFonts w:cs="Arial"/>
                <w:color w:val="000000"/>
                <w:szCs w:val="24"/>
              </w:rPr>
              <w:t>+</w:t>
            </w:r>
            <w:r w:rsidRPr="00E33F2E">
              <w:rPr>
                <w:rFonts w:cs="Arial"/>
                <w:color w:val="000000"/>
                <w:szCs w:val="24"/>
              </w:rPr>
              <w:t>23</w:t>
            </w:r>
          </w:p>
        </w:tc>
        <w:tc>
          <w:tcPr>
            <w:tcW w:w="1260" w:type="dxa"/>
            <w:tcBorders>
              <w:top w:val="nil"/>
              <w:left w:val="nil"/>
              <w:bottom w:val="single" w:sz="4" w:space="0" w:color="auto"/>
              <w:right w:val="single" w:sz="8" w:space="0" w:color="auto"/>
            </w:tcBorders>
            <w:vAlign w:val="center"/>
          </w:tcPr>
          <w:p w:rsidR="00AC40FC" w:rsidRDefault="00AC40FC" w:rsidP="00581946">
            <w:pPr>
              <w:spacing w:after="0"/>
              <w:jc w:val="center"/>
              <w:rPr>
                <w:rFonts w:cs="Arial"/>
                <w:color w:val="000000"/>
                <w:szCs w:val="24"/>
              </w:rPr>
            </w:pPr>
            <w:r>
              <w:rPr>
                <w:rFonts w:cs="Arial"/>
                <w:color w:val="000000"/>
                <w:szCs w:val="24"/>
              </w:rPr>
              <w:t>43</w:t>
            </w:r>
          </w:p>
        </w:tc>
        <w:tc>
          <w:tcPr>
            <w:tcW w:w="1170" w:type="dxa"/>
            <w:tcBorders>
              <w:top w:val="nil"/>
              <w:left w:val="nil"/>
              <w:bottom w:val="single" w:sz="4" w:space="0" w:color="auto"/>
              <w:right w:val="single" w:sz="8" w:space="0" w:color="auto"/>
            </w:tcBorders>
            <w:vAlign w:val="center"/>
          </w:tcPr>
          <w:p w:rsidR="00AC40FC" w:rsidRDefault="00AC40FC" w:rsidP="00581946">
            <w:pPr>
              <w:spacing w:after="0"/>
              <w:jc w:val="center"/>
              <w:rPr>
                <w:rFonts w:cs="Arial"/>
                <w:color w:val="000000"/>
                <w:szCs w:val="24"/>
              </w:rPr>
            </w:pPr>
            <w:r>
              <w:rPr>
                <w:rFonts w:cs="Arial"/>
                <w:color w:val="000000"/>
                <w:szCs w:val="24"/>
              </w:rPr>
              <w:t>+8</w:t>
            </w:r>
          </w:p>
        </w:tc>
      </w:tr>
      <w:tr w:rsidR="00AC40FC" w:rsidRPr="00E33F2E" w:rsidTr="00581946">
        <w:trPr>
          <w:trHeight w:val="300"/>
          <w:jc w:val="center"/>
        </w:trPr>
        <w:tc>
          <w:tcPr>
            <w:tcW w:w="815" w:type="dxa"/>
            <w:tcBorders>
              <w:top w:val="nil"/>
              <w:left w:val="single" w:sz="8" w:space="0" w:color="auto"/>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905</w:t>
            </w:r>
          </w:p>
        </w:tc>
        <w:tc>
          <w:tcPr>
            <w:tcW w:w="3604" w:type="dxa"/>
            <w:tcBorders>
              <w:top w:val="nil"/>
              <w:left w:val="nil"/>
              <w:bottom w:val="single" w:sz="4" w:space="0" w:color="auto"/>
              <w:right w:val="single" w:sz="4" w:space="0" w:color="auto"/>
            </w:tcBorders>
            <w:shd w:val="clear" w:color="auto" w:fill="auto"/>
            <w:noWrap/>
            <w:vAlign w:val="center"/>
            <w:hideMark/>
          </w:tcPr>
          <w:p w:rsidR="00AC40FC" w:rsidRPr="00E33F2E" w:rsidRDefault="00AC40FC" w:rsidP="00581946">
            <w:pPr>
              <w:spacing w:after="0"/>
              <w:jc w:val="left"/>
              <w:rPr>
                <w:rFonts w:cs="Arial"/>
                <w:color w:val="000000"/>
                <w:szCs w:val="24"/>
              </w:rPr>
            </w:pPr>
            <w:r w:rsidRPr="00E33F2E">
              <w:rPr>
                <w:rFonts w:cs="Arial"/>
                <w:color w:val="000000"/>
                <w:szCs w:val="24"/>
              </w:rPr>
              <w:t>Protection and Control Engineering</w:t>
            </w:r>
          </w:p>
        </w:tc>
        <w:tc>
          <w:tcPr>
            <w:tcW w:w="806" w:type="dxa"/>
            <w:tcBorders>
              <w:top w:val="nil"/>
              <w:left w:val="nil"/>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30</w:t>
            </w:r>
          </w:p>
        </w:tc>
        <w:tc>
          <w:tcPr>
            <w:tcW w:w="810" w:type="dxa"/>
            <w:tcBorders>
              <w:top w:val="nil"/>
              <w:left w:val="nil"/>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20</w:t>
            </w:r>
          </w:p>
        </w:tc>
        <w:tc>
          <w:tcPr>
            <w:tcW w:w="1170" w:type="dxa"/>
            <w:tcBorders>
              <w:top w:val="nil"/>
              <w:left w:val="nil"/>
              <w:bottom w:val="single" w:sz="4" w:space="0" w:color="auto"/>
              <w:right w:val="single" w:sz="8" w:space="0" w:color="auto"/>
            </w:tcBorders>
            <w:shd w:val="clear" w:color="auto" w:fill="auto"/>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-10</w:t>
            </w:r>
          </w:p>
        </w:tc>
        <w:tc>
          <w:tcPr>
            <w:tcW w:w="1260" w:type="dxa"/>
            <w:tcBorders>
              <w:top w:val="nil"/>
              <w:left w:val="nil"/>
              <w:bottom w:val="single" w:sz="4" w:space="0" w:color="auto"/>
              <w:right w:val="single" w:sz="8" w:space="0" w:color="auto"/>
            </w:tcBorders>
            <w:vAlign w:val="center"/>
          </w:tcPr>
          <w:p w:rsidR="00AC40FC" w:rsidRPr="00E33F2E" w:rsidRDefault="00AC40FC" w:rsidP="00581946">
            <w:pPr>
              <w:spacing w:after="0"/>
              <w:jc w:val="center"/>
              <w:rPr>
                <w:rFonts w:cs="Arial"/>
                <w:color w:val="000000"/>
                <w:szCs w:val="24"/>
              </w:rPr>
            </w:pPr>
            <w:r>
              <w:rPr>
                <w:rFonts w:cs="Arial"/>
                <w:color w:val="000000"/>
                <w:szCs w:val="24"/>
              </w:rPr>
              <w:t>23</w:t>
            </w:r>
          </w:p>
        </w:tc>
        <w:tc>
          <w:tcPr>
            <w:tcW w:w="1170" w:type="dxa"/>
            <w:tcBorders>
              <w:top w:val="nil"/>
              <w:left w:val="nil"/>
              <w:bottom w:val="single" w:sz="4" w:space="0" w:color="auto"/>
              <w:right w:val="single" w:sz="8" w:space="0" w:color="auto"/>
            </w:tcBorders>
            <w:vAlign w:val="center"/>
          </w:tcPr>
          <w:p w:rsidR="00AC40FC" w:rsidRPr="00E33F2E" w:rsidRDefault="00AC40FC" w:rsidP="00581946">
            <w:pPr>
              <w:spacing w:after="0"/>
              <w:jc w:val="center"/>
              <w:rPr>
                <w:rFonts w:cs="Arial"/>
                <w:color w:val="000000"/>
                <w:szCs w:val="24"/>
              </w:rPr>
            </w:pPr>
            <w:r>
              <w:rPr>
                <w:rFonts w:cs="Arial"/>
                <w:color w:val="000000"/>
                <w:szCs w:val="24"/>
              </w:rPr>
              <w:t>+3</w:t>
            </w:r>
          </w:p>
        </w:tc>
      </w:tr>
      <w:tr w:rsidR="00AC40FC" w:rsidRPr="00E33F2E" w:rsidTr="00581946">
        <w:trPr>
          <w:trHeight w:val="315"/>
          <w:jc w:val="center"/>
        </w:trPr>
        <w:tc>
          <w:tcPr>
            <w:tcW w:w="81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C40FC" w:rsidRPr="00E33F2E" w:rsidRDefault="00AC40FC" w:rsidP="00581946">
            <w:pPr>
              <w:spacing w:after="0"/>
              <w:jc w:val="left"/>
              <w:rPr>
                <w:rFonts w:ascii="Calibri" w:hAnsi="Calibri"/>
                <w:color w:val="000000"/>
                <w:sz w:val="20"/>
                <w:szCs w:val="20"/>
              </w:rPr>
            </w:pPr>
          </w:p>
        </w:tc>
        <w:tc>
          <w:tcPr>
            <w:tcW w:w="3604" w:type="dxa"/>
            <w:tcBorders>
              <w:top w:val="single" w:sz="4" w:space="0" w:color="auto"/>
              <w:left w:val="nil"/>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Subtotal</w:t>
            </w:r>
          </w:p>
        </w:tc>
        <w:tc>
          <w:tcPr>
            <w:tcW w:w="806" w:type="dxa"/>
            <w:tcBorders>
              <w:top w:val="single" w:sz="4" w:space="0" w:color="auto"/>
              <w:left w:val="nil"/>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90</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78</w:t>
            </w:r>
          </w:p>
        </w:tc>
        <w:tc>
          <w:tcPr>
            <w:tcW w:w="1170" w:type="dxa"/>
            <w:tcBorders>
              <w:top w:val="single" w:sz="4" w:space="0" w:color="auto"/>
              <w:left w:val="nil"/>
              <w:bottom w:val="single" w:sz="4" w:space="0" w:color="auto"/>
              <w:right w:val="single" w:sz="8" w:space="0" w:color="auto"/>
            </w:tcBorders>
            <w:shd w:val="clear" w:color="auto" w:fill="auto"/>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-12</w:t>
            </w:r>
          </w:p>
        </w:tc>
        <w:tc>
          <w:tcPr>
            <w:tcW w:w="1260" w:type="dxa"/>
            <w:tcBorders>
              <w:top w:val="single" w:sz="4" w:space="0" w:color="auto"/>
              <w:left w:val="nil"/>
              <w:bottom w:val="single" w:sz="4" w:space="0" w:color="auto"/>
              <w:right w:val="single" w:sz="8" w:space="0" w:color="auto"/>
            </w:tcBorders>
          </w:tcPr>
          <w:p w:rsidR="00AC40FC" w:rsidRPr="00E33F2E" w:rsidRDefault="00AC40FC" w:rsidP="00581946">
            <w:pPr>
              <w:spacing w:after="0"/>
              <w:jc w:val="center"/>
              <w:rPr>
                <w:rFonts w:cs="Arial"/>
                <w:color w:val="000000"/>
                <w:szCs w:val="24"/>
              </w:rPr>
            </w:pPr>
            <w:r>
              <w:rPr>
                <w:rFonts w:cs="Arial"/>
                <w:color w:val="000000"/>
                <w:szCs w:val="24"/>
              </w:rPr>
              <w:t>94</w:t>
            </w:r>
          </w:p>
        </w:tc>
        <w:tc>
          <w:tcPr>
            <w:tcW w:w="1170" w:type="dxa"/>
            <w:tcBorders>
              <w:top w:val="single" w:sz="4" w:space="0" w:color="auto"/>
              <w:left w:val="nil"/>
              <w:bottom w:val="single" w:sz="4" w:space="0" w:color="auto"/>
              <w:right w:val="single" w:sz="8" w:space="0" w:color="auto"/>
            </w:tcBorders>
          </w:tcPr>
          <w:p w:rsidR="00AC40FC" w:rsidRPr="00E33F2E" w:rsidRDefault="00AC40FC" w:rsidP="00581946">
            <w:pPr>
              <w:spacing w:after="0"/>
              <w:jc w:val="center"/>
              <w:rPr>
                <w:rFonts w:cs="Arial"/>
                <w:color w:val="000000"/>
                <w:szCs w:val="24"/>
              </w:rPr>
            </w:pPr>
            <w:r>
              <w:rPr>
                <w:rFonts w:cs="Arial"/>
                <w:color w:val="000000"/>
                <w:szCs w:val="24"/>
              </w:rPr>
              <w:t>+16</w:t>
            </w:r>
          </w:p>
        </w:tc>
      </w:tr>
      <w:tr w:rsidR="00AC40FC" w:rsidRPr="00E33F2E" w:rsidTr="00581946">
        <w:trPr>
          <w:trHeight w:val="300"/>
          <w:jc w:val="center"/>
        </w:trPr>
        <w:tc>
          <w:tcPr>
            <w:tcW w:w="7205" w:type="dxa"/>
            <w:gridSpan w:val="5"/>
            <w:tcBorders>
              <w:top w:val="single" w:sz="4" w:space="0" w:color="auto"/>
              <w:left w:val="single" w:sz="8" w:space="0" w:color="auto"/>
              <w:bottom w:val="single" w:sz="4" w:space="0" w:color="auto"/>
              <w:right w:val="single" w:sz="8" w:space="0" w:color="auto"/>
            </w:tcBorders>
            <w:shd w:val="clear" w:color="auto" w:fill="auto"/>
            <w:vAlign w:val="center"/>
          </w:tcPr>
          <w:p w:rsidR="00AC40FC" w:rsidRPr="008E72FF" w:rsidRDefault="00AC40FC" w:rsidP="00581946">
            <w:pPr>
              <w:spacing w:after="0"/>
              <w:jc w:val="left"/>
              <w:rPr>
                <w:rFonts w:cs="Arial"/>
                <w:b/>
                <w:color w:val="000000"/>
                <w:szCs w:val="24"/>
              </w:rPr>
            </w:pPr>
            <w:r w:rsidRPr="008E72FF">
              <w:rPr>
                <w:rFonts w:cs="Arial"/>
                <w:b/>
                <w:color w:val="000000"/>
                <w:szCs w:val="24"/>
              </w:rPr>
              <w:t>Operations</w:t>
            </w:r>
          </w:p>
        </w:tc>
        <w:tc>
          <w:tcPr>
            <w:tcW w:w="1260" w:type="dxa"/>
            <w:tcBorders>
              <w:top w:val="single" w:sz="4" w:space="0" w:color="auto"/>
              <w:left w:val="single" w:sz="8" w:space="0" w:color="auto"/>
              <w:bottom w:val="single" w:sz="4" w:space="0" w:color="auto"/>
              <w:right w:val="single" w:sz="8" w:space="0" w:color="auto"/>
            </w:tcBorders>
          </w:tcPr>
          <w:p w:rsidR="00AC40FC" w:rsidRDefault="00AC40FC" w:rsidP="00581946">
            <w:pPr>
              <w:spacing w:after="0"/>
              <w:jc w:val="center"/>
              <w:rPr>
                <w:rFonts w:cs="Arial"/>
                <w:color w:val="000000"/>
                <w:szCs w:val="24"/>
              </w:rPr>
            </w:pPr>
          </w:p>
        </w:tc>
        <w:tc>
          <w:tcPr>
            <w:tcW w:w="1170" w:type="dxa"/>
            <w:tcBorders>
              <w:top w:val="single" w:sz="4" w:space="0" w:color="auto"/>
              <w:left w:val="single" w:sz="8" w:space="0" w:color="auto"/>
              <w:bottom w:val="single" w:sz="4" w:space="0" w:color="auto"/>
              <w:right w:val="single" w:sz="8" w:space="0" w:color="auto"/>
            </w:tcBorders>
          </w:tcPr>
          <w:p w:rsidR="00AC40FC" w:rsidRDefault="00AC40FC" w:rsidP="00581946">
            <w:pPr>
              <w:spacing w:after="0"/>
              <w:jc w:val="center"/>
              <w:rPr>
                <w:rFonts w:cs="Arial"/>
                <w:color w:val="000000"/>
                <w:szCs w:val="24"/>
              </w:rPr>
            </w:pPr>
          </w:p>
        </w:tc>
      </w:tr>
      <w:tr w:rsidR="00AC40FC" w:rsidRPr="00E33F2E" w:rsidTr="00581946">
        <w:trPr>
          <w:trHeight w:val="300"/>
          <w:jc w:val="center"/>
        </w:trPr>
        <w:tc>
          <w:tcPr>
            <w:tcW w:w="815" w:type="dxa"/>
            <w:tcBorders>
              <w:top w:val="single" w:sz="4" w:space="0" w:color="auto"/>
              <w:left w:val="single" w:sz="8" w:space="0" w:color="auto"/>
              <w:bottom w:val="single" w:sz="8" w:space="0" w:color="auto"/>
              <w:right w:val="single" w:sz="4" w:space="0" w:color="auto"/>
            </w:tcBorders>
            <w:shd w:val="clear" w:color="auto" w:fill="auto"/>
            <w:vAlign w:val="center"/>
          </w:tcPr>
          <w:p w:rsidR="00AC40FC" w:rsidRPr="00E33F2E" w:rsidRDefault="00AC40FC" w:rsidP="00581946">
            <w:pPr>
              <w:spacing w:after="0"/>
              <w:jc w:val="center"/>
              <w:rPr>
                <w:rFonts w:cs="Arial"/>
                <w:color w:val="000000"/>
                <w:szCs w:val="24"/>
              </w:rPr>
            </w:pPr>
            <w:r w:rsidRPr="00E33F2E">
              <w:rPr>
                <w:rFonts w:cs="Arial"/>
                <w:color w:val="000000"/>
                <w:szCs w:val="24"/>
              </w:rPr>
              <w:t>661</w:t>
            </w:r>
          </w:p>
        </w:tc>
        <w:tc>
          <w:tcPr>
            <w:tcW w:w="3604" w:type="dxa"/>
            <w:tcBorders>
              <w:top w:val="single" w:sz="4" w:space="0" w:color="auto"/>
              <w:left w:val="single" w:sz="4" w:space="0" w:color="auto"/>
              <w:bottom w:val="single" w:sz="8" w:space="0" w:color="auto"/>
              <w:right w:val="single" w:sz="4" w:space="0" w:color="auto"/>
            </w:tcBorders>
            <w:shd w:val="clear" w:color="auto" w:fill="auto"/>
            <w:vAlign w:val="center"/>
          </w:tcPr>
          <w:p w:rsidR="00AC40FC" w:rsidRPr="00E33F2E" w:rsidRDefault="00AC40FC" w:rsidP="00581946">
            <w:pPr>
              <w:spacing w:after="0"/>
              <w:jc w:val="left"/>
              <w:rPr>
                <w:rFonts w:cs="Arial"/>
                <w:color w:val="000000"/>
                <w:szCs w:val="24"/>
              </w:rPr>
            </w:pPr>
            <w:r w:rsidRPr="00E33F2E">
              <w:rPr>
                <w:rFonts w:cs="Arial"/>
                <w:color w:val="000000"/>
                <w:szCs w:val="24"/>
              </w:rPr>
              <w:t>Power Dispatch (Operations)</w:t>
            </w:r>
          </w:p>
        </w:tc>
        <w:tc>
          <w:tcPr>
            <w:tcW w:w="806" w:type="dxa"/>
            <w:tcBorders>
              <w:top w:val="single" w:sz="4" w:space="0" w:color="auto"/>
              <w:left w:val="single" w:sz="4" w:space="0" w:color="auto"/>
              <w:bottom w:val="single" w:sz="8" w:space="0" w:color="auto"/>
              <w:right w:val="single" w:sz="4" w:space="0" w:color="auto"/>
            </w:tcBorders>
            <w:shd w:val="clear" w:color="auto" w:fill="auto"/>
            <w:vAlign w:val="center"/>
          </w:tcPr>
          <w:p w:rsidR="00AC40FC" w:rsidRPr="00E33F2E" w:rsidRDefault="00AC40FC" w:rsidP="00581946">
            <w:pPr>
              <w:spacing w:after="0"/>
              <w:jc w:val="center"/>
              <w:rPr>
                <w:rFonts w:cs="Arial"/>
                <w:color w:val="000000"/>
                <w:szCs w:val="24"/>
              </w:rPr>
            </w:pPr>
            <w:r w:rsidRPr="00E33F2E">
              <w:rPr>
                <w:rFonts w:cs="Arial"/>
                <w:color w:val="000000"/>
                <w:szCs w:val="24"/>
              </w:rPr>
              <w:t>32</w:t>
            </w:r>
          </w:p>
        </w:tc>
        <w:tc>
          <w:tcPr>
            <w:tcW w:w="810" w:type="dxa"/>
            <w:tcBorders>
              <w:top w:val="single" w:sz="4" w:space="0" w:color="auto"/>
              <w:left w:val="single" w:sz="4" w:space="0" w:color="auto"/>
              <w:bottom w:val="single" w:sz="8" w:space="0" w:color="auto"/>
              <w:right w:val="single" w:sz="4" w:space="0" w:color="auto"/>
            </w:tcBorders>
            <w:shd w:val="clear" w:color="auto" w:fill="auto"/>
            <w:vAlign w:val="center"/>
          </w:tcPr>
          <w:p w:rsidR="00AC40FC" w:rsidRPr="00E33F2E" w:rsidRDefault="00AC40FC" w:rsidP="00581946">
            <w:pPr>
              <w:spacing w:after="0"/>
              <w:jc w:val="center"/>
              <w:rPr>
                <w:rFonts w:cs="Arial"/>
                <w:color w:val="000000"/>
                <w:szCs w:val="24"/>
              </w:rPr>
            </w:pPr>
            <w:r w:rsidRPr="00E33F2E">
              <w:rPr>
                <w:rFonts w:cs="Arial"/>
                <w:color w:val="000000"/>
                <w:szCs w:val="24"/>
              </w:rPr>
              <w:t>30</w:t>
            </w:r>
          </w:p>
        </w:tc>
        <w:tc>
          <w:tcPr>
            <w:tcW w:w="1170" w:type="dxa"/>
            <w:tcBorders>
              <w:top w:val="single" w:sz="4" w:space="0" w:color="auto"/>
              <w:left w:val="single" w:sz="4" w:space="0" w:color="auto"/>
              <w:bottom w:val="single" w:sz="8" w:space="0" w:color="auto"/>
              <w:right w:val="single" w:sz="8" w:space="0" w:color="auto"/>
            </w:tcBorders>
            <w:shd w:val="clear" w:color="auto" w:fill="auto"/>
            <w:vAlign w:val="center"/>
          </w:tcPr>
          <w:p w:rsidR="00AC40FC" w:rsidRPr="00E33F2E" w:rsidRDefault="00AC40FC" w:rsidP="00581946">
            <w:pPr>
              <w:spacing w:after="0"/>
              <w:jc w:val="center"/>
              <w:rPr>
                <w:rFonts w:cs="Arial"/>
                <w:color w:val="000000"/>
                <w:szCs w:val="24"/>
              </w:rPr>
            </w:pPr>
            <w:r w:rsidRPr="00E33F2E">
              <w:rPr>
                <w:rFonts w:cs="Arial"/>
                <w:color w:val="000000"/>
                <w:szCs w:val="24"/>
              </w:rPr>
              <w:t>-2</w:t>
            </w:r>
          </w:p>
        </w:tc>
        <w:tc>
          <w:tcPr>
            <w:tcW w:w="1260" w:type="dxa"/>
            <w:tcBorders>
              <w:top w:val="single" w:sz="4" w:space="0" w:color="auto"/>
              <w:left w:val="single" w:sz="4" w:space="0" w:color="auto"/>
              <w:bottom w:val="single" w:sz="8" w:space="0" w:color="auto"/>
              <w:right w:val="single" w:sz="8" w:space="0" w:color="auto"/>
            </w:tcBorders>
            <w:vAlign w:val="center"/>
          </w:tcPr>
          <w:p w:rsidR="00AC40FC" w:rsidRPr="00E33F2E" w:rsidRDefault="00AC40FC" w:rsidP="00581946">
            <w:pPr>
              <w:spacing w:after="0"/>
              <w:jc w:val="center"/>
              <w:rPr>
                <w:rFonts w:cs="Arial"/>
                <w:color w:val="000000"/>
                <w:szCs w:val="24"/>
              </w:rPr>
            </w:pPr>
            <w:r>
              <w:rPr>
                <w:rFonts w:cs="Arial"/>
                <w:color w:val="000000"/>
                <w:szCs w:val="24"/>
              </w:rPr>
              <w:t>30</w:t>
            </w:r>
          </w:p>
        </w:tc>
        <w:tc>
          <w:tcPr>
            <w:tcW w:w="1170" w:type="dxa"/>
            <w:tcBorders>
              <w:top w:val="single" w:sz="4" w:space="0" w:color="auto"/>
              <w:left w:val="single" w:sz="4" w:space="0" w:color="auto"/>
              <w:bottom w:val="single" w:sz="8" w:space="0" w:color="auto"/>
              <w:right w:val="single" w:sz="8" w:space="0" w:color="auto"/>
            </w:tcBorders>
            <w:vAlign w:val="center"/>
          </w:tcPr>
          <w:p w:rsidR="00AC40FC" w:rsidRPr="00E33F2E" w:rsidRDefault="00AC40FC" w:rsidP="00581946">
            <w:pPr>
              <w:spacing w:after="0"/>
              <w:jc w:val="center"/>
              <w:rPr>
                <w:rFonts w:cs="Arial"/>
                <w:color w:val="000000"/>
                <w:szCs w:val="24"/>
              </w:rPr>
            </w:pPr>
            <w:r>
              <w:rPr>
                <w:rFonts w:cs="Arial"/>
                <w:color w:val="000000"/>
                <w:szCs w:val="24"/>
              </w:rPr>
              <w:t>0</w:t>
            </w:r>
          </w:p>
        </w:tc>
      </w:tr>
      <w:tr w:rsidR="00AC40FC" w:rsidRPr="00E33F2E" w:rsidTr="00581946">
        <w:trPr>
          <w:trHeight w:val="330"/>
          <w:jc w:val="center"/>
        </w:trPr>
        <w:tc>
          <w:tcPr>
            <w:tcW w:w="4419"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rsidR="00AC40FC" w:rsidRPr="00E33F2E" w:rsidRDefault="00AC40FC" w:rsidP="00581946">
            <w:pPr>
              <w:spacing w:after="0"/>
              <w:jc w:val="center"/>
              <w:rPr>
                <w:rFonts w:cs="Arial"/>
                <w:b/>
                <w:bCs/>
                <w:color w:val="000000"/>
                <w:szCs w:val="24"/>
              </w:rPr>
            </w:pPr>
            <w:r w:rsidRPr="00E33F2E">
              <w:rPr>
                <w:rFonts w:cs="Arial"/>
                <w:b/>
                <w:bCs/>
                <w:color w:val="000000"/>
                <w:szCs w:val="24"/>
              </w:rPr>
              <w:t>Totals</w:t>
            </w:r>
          </w:p>
        </w:tc>
        <w:tc>
          <w:tcPr>
            <w:tcW w:w="806" w:type="dxa"/>
            <w:tcBorders>
              <w:top w:val="single" w:sz="8" w:space="0" w:color="auto"/>
              <w:left w:val="nil"/>
              <w:bottom w:val="single" w:sz="8" w:space="0" w:color="auto"/>
              <w:right w:val="single" w:sz="4" w:space="0" w:color="auto"/>
            </w:tcBorders>
            <w:shd w:val="clear" w:color="auto" w:fill="auto"/>
            <w:vAlign w:val="center"/>
            <w:hideMark/>
          </w:tcPr>
          <w:p w:rsidR="00AC40FC" w:rsidRPr="00E33F2E" w:rsidRDefault="00AC40FC" w:rsidP="00581946">
            <w:pPr>
              <w:spacing w:after="0"/>
              <w:jc w:val="center"/>
              <w:rPr>
                <w:rFonts w:cs="Arial"/>
                <w:b/>
                <w:bCs/>
                <w:color w:val="000000"/>
                <w:szCs w:val="24"/>
              </w:rPr>
            </w:pPr>
            <w:r w:rsidRPr="00E33F2E">
              <w:rPr>
                <w:rFonts w:cs="Arial"/>
                <w:b/>
                <w:bCs/>
                <w:color w:val="000000"/>
                <w:szCs w:val="24"/>
              </w:rPr>
              <w:t>244</w:t>
            </w:r>
          </w:p>
        </w:tc>
        <w:tc>
          <w:tcPr>
            <w:tcW w:w="810" w:type="dxa"/>
            <w:tcBorders>
              <w:top w:val="single" w:sz="8" w:space="0" w:color="auto"/>
              <w:left w:val="nil"/>
              <w:bottom w:val="single" w:sz="8" w:space="0" w:color="auto"/>
              <w:right w:val="single" w:sz="4" w:space="0" w:color="auto"/>
            </w:tcBorders>
            <w:shd w:val="clear" w:color="auto" w:fill="auto"/>
            <w:vAlign w:val="center"/>
            <w:hideMark/>
          </w:tcPr>
          <w:p w:rsidR="00AC40FC" w:rsidRPr="00E33F2E" w:rsidRDefault="00AC40FC" w:rsidP="00581946">
            <w:pPr>
              <w:spacing w:after="0"/>
              <w:jc w:val="center"/>
              <w:rPr>
                <w:rFonts w:cs="Arial"/>
                <w:b/>
                <w:bCs/>
                <w:color w:val="000000"/>
                <w:szCs w:val="24"/>
              </w:rPr>
            </w:pPr>
            <w:r w:rsidRPr="00E33F2E">
              <w:rPr>
                <w:rFonts w:cs="Arial"/>
                <w:b/>
                <w:bCs/>
                <w:color w:val="000000"/>
                <w:szCs w:val="24"/>
              </w:rPr>
              <w:t>224</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rsidR="00AC40FC" w:rsidRPr="00E33F2E" w:rsidRDefault="00AC40FC" w:rsidP="00581946">
            <w:pPr>
              <w:spacing w:after="0"/>
              <w:jc w:val="center"/>
              <w:rPr>
                <w:rFonts w:cs="Arial"/>
                <w:b/>
                <w:bCs/>
                <w:color w:val="000000"/>
                <w:szCs w:val="24"/>
              </w:rPr>
            </w:pPr>
            <w:r w:rsidRPr="00E33F2E">
              <w:rPr>
                <w:rFonts w:cs="Arial"/>
                <w:b/>
                <w:bCs/>
                <w:color w:val="000000"/>
                <w:szCs w:val="24"/>
              </w:rPr>
              <w:t>-20</w:t>
            </w:r>
          </w:p>
        </w:tc>
        <w:tc>
          <w:tcPr>
            <w:tcW w:w="1260" w:type="dxa"/>
            <w:tcBorders>
              <w:top w:val="single" w:sz="8" w:space="0" w:color="auto"/>
              <w:left w:val="nil"/>
              <w:bottom w:val="single" w:sz="8" w:space="0" w:color="auto"/>
              <w:right w:val="single" w:sz="8" w:space="0" w:color="auto"/>
            </w:tcBorders>
          </w:tcPr>
          <w:p w:rsidR="00AC40FC" w:rsidRPr="00E33F2E" w:rsidRDefault="00AC40FC" w:rsidP="00581946">
            <w:pPr>
              <w:spacing w:after="0"/>
              <w:jc w:val="center"/>
              <w:rPr>
                <w:rFonts w:cs="Arial"/>
                <w:b/>
                <w:bCs/>
                <w:color w:val="000000"/>
                <w:szCs w:val="24"/>
              </w:rPr>
            </w:pPr>
            <w:r>
              <w:rPr>
                <w:rFonts w:cs="Arial"/>
                <w:b/>
                <w:bCs/>
                <w:color w:val="000000"/>
                <w:szCs w:val="24"/>
              </w:rPr>
              <w:t>251</w:t>
            </w:r>
          </w:p>
        </w:tc>
        <w:tc>
          <w:tcPr>
            <w:tcW w:w="1170" w:type="dxa"/>
            <w:tcBorders>
              <w:top w:val="single" w:sz="8" w:space="0" w:color="auto"/>
              <w:left w:val="nil"/>
              <w:bottom w:val="single" w:sz="8" w:space="0" w:color="auto"/>
              <w:right w:val="single" w:sz="8" w:space="0" w:color="auto"/>
            </w:tcBorders>
          </w:tcPr>
          <w:p w:rsidR="00AC40FC" w:rsidRPr="00E33F2E" w:rsidRDefault="00AC40FC" w:rsidP="00581946">
            <w:pPr>
              <w:spacing w:after="0"/>
              <w:jc w:val="center"/>
              <w:rPr>
                <w:rFonts w:cs="Arial"/>
                <w:b/>
                <w:bCs/>
                <w:color w:val="000000"/>
                <w:szCs w:val="24"/>
              </w:rPr>
            </w:pPr>
            <w:r>
              <w:rPr>
                <w:rFonts w:cs="Arial"/>
                <w:b/>
                <w:bCs/>
                <w:color w:val="000000"/>
                <w:szCs w:val="24"/>
              </w:rPr>
              <w:t>+27</w:t>
            </w:r>
          </w:p>
        </w:tc>
      </w:tr>
      <w:tr w:rsidR="00AC40FC" w:rsidRPr="00E33F2E" w:rsidTr="00581946">
        <w:trPr>
          <w:trHeight w:val="330"/>
          <w:jc w:val="center"/>
        </w:trPr>
        <w:tc>
          <w:tcPr>
            <w:tcW w:w="9635" w:type="dxa"/>
            <w:gridSpan w:val="7"/>
            <w:tcBorders>
              <w:top w:val="single" w:sz="8" w:space="0" w:color="auto"/>
              <w:left w:val="single" w:sz="8" w:space="0" w:color="auto"/>
              <w:bottom w:val="single" w:sz="4" w:space="0" w:color="auto"/>
              <w:right w:val="single" w:sz="8" w:space="0" w:color="auto"/>
            </w:tcBorders>
            <w:shd w:val="clear" w:color="auto" w:fill="auto"/>
            <w:vAlign w:val="center"/>
            <w:hideMark/>
          </w:tcPr>
          <w:p w:rsidR="00AC40FC" w:rsidRPr="00E33F2E" w:rsidRDefault="00AC40FC" w:rsidP="00581946">
            <w:pPr>
              <w:spacing w:after="0"/>
              <w:jc w:val="left"/>
              <w:rPr>
                <w:rFonts w:cs="Arial"/>
                <w:b/>
                <w:bCs/>
                <w:color w:val="000000"/>
                <w:szCs w:val="24"/>
              </w:rPr>
            </w:pPr>
            <w:r w:rsidRPr="00E94EB9">
              <w:rPr>
                <w:rFonts w:cs="Arial"/>
                <w:bCs/>
                <w:color w:val="000000"/>
                <w:szCs w:val="24"/>
              </w:rPr>
              <w:t>Sources: DN 01-071; DN 18-001-C</w:t>
            </w:r>
            <w:r>
              <w:rPr>
                <w:rFonts w:cs="Arial"/>
                <w:bCs/>
                <w:color w:val="000000"/>
                <w:szCs w:val="24"/>
              </w:rPr>
              <w:t xml:space="preserve">; </w:t>
            </w:r>
            <w:r w:rsidRPr="0043206C">
              <w:rPr>
                <w:rFonts w:cs="Arial"/>
                <w:bCs/>
                <w:color w:val="000000"/>
                <w:szCs w:val="24"/>
              </w:rPr>
              <w:t>DN 18-058</w:t>
            </w:r>
          </w:p>
        </w:tc>
      </w:tr>
    </w:tbl>
    <w:p w:rsidR="00AC40FC" w:rsidRDefault="00AC40FC" w:rsidP="00581946">
      <w:pPr>
        <w:pStyle w:val="Normal-aftertable"/>
      </w:pPr>
      <w:r>
        <w:rPr>
          <w:rFonts w:cs="Arial"/>
          <w:szCs w:val="24"/>
        </w:rPr>
        <w:t xml:space="preserve">The number of T&amp;S staff decreased by 20 positions in 2015 but is budgeted to increase by 27 positions in 2016 for a net gain of seven positions from 2014 to 2015.  </w:t>
      </w:r>
    </w:p>
    <w:p w:rsidR="00AC40FC" w:rsidRDefault="00AC40FC" w:rsidP="00581946">
      <w:r>
        <w:t xml:space="preserve">The most significant staffing adjustments during 2015 included the disbanding of </w:t>
      </w:r>
      <w:r w:rsidRPr="00E33F2E">
        <w:rPr>
          <w:rFonts w:cs="Arial"/>
          <w:color w:val="000000"/>
          <w:szCs w:val="24"/>
        </w:rPr>
        <w:t>Transmission Regulatory and Business Affairs</w:t>
      </w:r>
      <w:r>
        <w:t xml:space="preserve">, absorbing the </w:t>
      </w:r>
      <w:r w:rsidRPr="00E33F2E">
        <w:rPr>
          <w:rFonts w:cs="Arial"/>
          <w:color w:val="000000"/>
          <w:szCs w:val="24"/>
        </w:rPr>
        <w:t>Transmission Project Controls</w:t>
      </w:r>
      <w:r>
        <w:t xml:space="preserve"> group into the other Transmission Project Management groups, reductions in the Transmission Expansion group, and a realignment of staffing in the Engineering group.</w:t>
      </w:r>
    </w:p>
    <w:p w:rsidR="00AC40FC" w:rsidRDefault="00AC40FC" w:rsidP="00581946">
      <w:r w:rsidRPr="00E33F2E">
        <w:rPr>
          <w:rFonts w:cs="Arial"/>
          <w:color w:val="000000"/>
          <w:szCs w:val="24"/>
        </w:rPr>
        <w:t>Transmission Regulatory and Business Affairs</w:t>
      </w:r>
      <w:r>
        <w:rPr>
          <w:rFonts w:cs="Arial"/>
          <w:color w:val="000000"/>
          <w:szCs w:val="24"/>
        </w:rPr>
        <w:t xml:space="preserve"> engineers, analysts, and Director were either reassigned or the position vacancies were not refilled.  The </w:t>
      </w:r>
      <w:r>
        <w:t xml:space="preserve">Transmission Expansion group was reduced by seven positions based on process changes due to experience gained from recent projects and projected capital workload.  The Engineering group realigned engineers between transmission lines and substations based on project workload.  In addition, the staff performing distribution protection and controls was transferred from Engineering to the Distribution Engineering group in Distribution Operations. </w:t>
      </w:r>
    </w:p>
    <w:p w:rsidR="00AC40FC" w:rsidRDefault="00AC40FC" w:rsidP="00581946">
      <w:pPr>
        <w:rPr>
          <w:rFonts w:cs="Arial"/>
          <w:szCs w:val="24"/>
        </w:rPr>
      </w:pPr>
      <w:r>
        <w:rPr>
          <w:rFonts w:cs="Arial"/>
          <w:szCs w:val="24"/>
        </w:rPr>
        <w:t xml:space="preserve">A large retirement bubble in T&amp;S occurred around 2011 and 2012 but employee turnover has occurred at a normal rate since then.  As of March 2016, T&amp;S was not projecting any employee staffing changes from the forecast 2016 level during the five year horizon. </w:t>
      </w:r>
      <w:r w:rsidRPr="00625753">
        <w:rPr>
          <w:rFonts w:cs="Arial"/>
          <w:szCs w:val="24"/>
        </w:rPr>
        <w:t xml:space="preserve"> </w:t>
      </w:r>
      <w:r>
        <w:rPr>
          <w:rFonts w:cs="Arial"/>
          <w:szCs w:val="24"/>
        </w:rPr>
        <w:t xml:space="preserve">Projected yearend 2016 staffing in T&amp;S is a total of 251, an increase of </w:t>
      </w:r>
      <w:r>
        <w:rPr>
          <w:rFonts w:cs="Arial"/>
          <w:szCs w:val="24"/>
        </w:rPr>
        <w:lastRenderedPageBreak/>
        <w:t xml:space="preserve">27 positions over yearend 2015. </w:t>
      </w:r>
      <w:r>
        <w:t>Details by organizational elements are discussed below.</w:t>
      </w:r>
    </w:p>
    <w:p w:rsidR="00AC40FC" w:rsidRDefault="00AC40FC" w:rsidP="00581946">
      <w:pPr>
        <w:rPr>
          <w:rFonts w:cs="Arial"/>
          <w:szCs w:val="24"/>
        </w:rPr>
      </w:pPr>
      <w:r w:rsidRPr="00E7077F">
        <w:rPr>
          <w:rFonts w:cs="Arial"/>
          <w:b/>
          <w:szCs w:val="24"/>
        </w:rPr>
        <w:t>T</w:t>
      </w:r>
      <w:r w:rsidRPr="00E7077F">
        <w:rPr>
          <w:b/>
        </w:rPr>
        <w:t>ransmission Regulatory and Business Affairs.</w:t>
      </w:r>
      <w:r>
        <w:t xml:space="preserve">  </w:t>
      </w:r>
      <w:r>
        <w:rPr>
          <w:rFonts w:cs="Arial"/>
          <w:szCs w:val="24"/>
        </w:rPr>
        <w:t>The remaining PJM and Federal Regulatory Policy Manager position was moved to T&amp;S Asset Management in January 2016.  T</w:t>
      </w:r>
      <w:r>
        <w:t>ransmission Regulatory and Business Affairs</w:t>
      </w:r>
      <w:r>
        <w:rPr>
          <w:rStyle w:val="FootnoteReference"/>
          <w:rFonts w:cs="Arial"/>
          <w:szCs w:val="24"/>
        </w:rPr>
        <w:t xml:space="preserve"> </w:t>
      </w:r>
      <w:r>
        <w:rPr>
          <w:rFonts w:cs="Arial"/>
          <w:szCs w:val="24"/>
        </w:rPr>
        <w:t>is no longer a separate group.</w:t>
      </w:r>
    </w:p>
    <w:p w:rsidR="00AC40FC" w:rsidRDefault="00AC40FC" w:rsidP="00581946">
      <w:r>
        <w:rPr>
          <w:rFonts w:cs="Arial"/>
          <w:b/>
          <w:szCs w:val="24"/>
        </w:rPr>
        <w:t>Transmission Expansion.</w:t>
      </w:r>
      <w:r w:rsidRPr="00A73E15">
        <w:rPr>
          <w:rFonts w:cs="Arial"/>
          <w:szCs w:val="24"/>
        </w:rPr>
        <w:t xml:space="preserve">  </w:t>
      </w:r>
      <w:r w:rsidRPr="00204561">
        <w:t>The Transmission Expansion group functions were redistributed in January 2016</w:t>
      </w:r>
      <w:r>
        <w:t xml:space="preserve"> with t</w:t>
      </w:r>
      <w:r w:rsidRPr="00204561">
        <w:t xml:space="preserve">he personnel from </w:t>
      </w:r>
      <w:r>
        <w:t>Transmission Real Estate Siting and Permit</w:t>
      </w:r>
      <w:r w:rsidRPr="00204561">
        <w:t xml:space="preserve"> </w:t>
      </w:r>
      <w:r>
        <w:t>(</w:t>
      </w:r>
      <w:r w:rsidRPr="00204561">
        <w:t>SRC 2593</w:t>
      </w:r>
      <w:r>
        <w:t>)</w:t>
      </w:r>
      <w:r w:rsidRPr="00204561">
        <w:t xml:space="preserve"> transferred to </w:t>
      </w:r>
      <w:r>
        <w:t>Project Delivery</w:t>
      </w:r>
      <w:r w:rsidRPr="00204561">
        <w:t>.</w:t>
      </w:r>
    </w:p>
    <w:p w:rsidR="00AC40FC" w:rsidRDefault="00AC40FC" w:rsidP="00581946">
      <w:r w:rsidRPr="00336FD4">
        <w:rPr>
          <w:b/>
        </w:rPr>
        <w:t>Business Analysis and Work Management.</w:t>
      </w:r>
      <w:r>
        <w:t xml:space="preserve">  The new Business Analysis and Work Management group centralizes the business analysts in Transmission and Substations.  Two analysts were transferred from SRC 0605.  The Data Analytics and Performance group and the T&amp;S Scheduler from Power Dispatch were also transferred to the Business Analysis and Work Management organization.</w:t>
      </w:r>
      <w:r w:rsidRPr="00765A7D">
        <w:rPr>
          <w:rStyle w:val="FootnoteReference"/>
          <w:rFonts w:cs="Arial"/>
          <w:szCs w:val="24"/>
        </w:rPr>
        <w:t xml:space="preserve"> </w:t>
      </w:r>
    </w:p>
    <w:p w:rsidR="00AC40FC" w:rsidRDefault="00AC40FC" w:rsidP="00581946">
      <w:pPr>
        <w:rPr>
          <w:rFonts w:cs="Arial"/>
          <w:szCs w:val="24"/>
        </w:rPr>
      </w:pPr>
      <w:r w:rsidRPr="00FF45A5">
        <w:rPr>
          <w:rFonts w:cs="Arial"/>
          <w:b/>
          <w:szCs w:val="24"/>
        </w:rPr>
        <w:t>Transmission Project Management.</w:t>
      </w:r>
      <w:r>
        <w:rPr>
          <w:rFonts w:cs="Arial"/>
          <w:szCs w:val="24"/>
        </w:rPr>
        <w:t xml:space="preserve">  In January 2016, the Construction Management group (SRC 489) was relocated to Project Delivery.  The remaining group in Transmission Project Management is Transmission Project Management (SRC 2590).</w:t>
      </w:r>
    </w:p>
    <w:p w:rsidR="00AC40FC" w:rsidRDefault="00AC40FC" w:rsidP="00581946">
      <w:pPr>
        <w:rPr>
          <w:rFonts w:cs="Arial"/>
          <w:szCs w:val="24"/>
        </w:rPr>
      </w:pPr>
      <w:r>
        <w:rPr>
          <w:rFonts w:cs="Arial"/>
          <w:szCs w:val="24"/>
        </w:rPr>
        <w:t>The Transmission Project Management workload is driven by transmission capital spending which is expected to be relatively constant over the next five years.  There are no plans for changes to this unit’s scope of responsibilities or in the mix of employees to contractors.</w:t>
      </w:r>
    </w:p>
    <w:p w:rsidR="00AC40FC" w:rsidRDefault="00AC40FC" w:rsidP="00581946">
      <w:r w:rsidRPr="00C21DCD">
        <w:rPr>
          <w:rFonts w:cs="Arial"/>
          <w:b/>
          <w:szCs w:val="24"/>
        </w:rPr>
        <w:t>Asset Management.</w:t>
      </w:r>
      <w:r>
        <w:rPr>
          <w:rFonts w:cs="Arial"/>
          <w:szCs w:val="24"/>
        </w:rPr>
        <w:t xml:space="preserve">  </w:t>
      </w:r>
      <w:r>
        <w:t>One additional staff has been added to SRC 0601, Asset Management, four to Operations Analysis, and two to Portfolio Management, bringing the total staffing as of March 2016 to 61 positions.</w:t>
      </w:r>
    </w:p>
    <w:p w:rsidR="00AC40FC" w:rsidRDefault="00AC40FC" w:rsidP="00581946">
      <w:pPr>
        <w:rPr>
          <w:rFonts w:cs="Arial"/>
          <w:szCs w:val="24"/>
        </w:rPr>
      </w:pPr>
      <w:r>
        <w:rPr>
          <w:rFonts w:cs="Arial"/>
          <w:szCs w:val="24"/>
        </w:rPr>
        <w:t>The dollar value of upcoming capital projects is increasing but Asset Management does not expect to fully staff for this work with in-house employees.  Contractors will be used to absorb the upswing in work.</w:t>
      </w:r>
    </w:p>
    <w:p w:rsidR="00AC40FC" w:rsidRDefault="00AC40FC" w:rsidP="00581946">
      <w:pPr>
        <w:rPr>
          <w:rFonts w:cs="Arial"/>
          <w:szCs w:val="24"/>
        </w:rPr>
      </w:pPr>
      <w:r>
        <w:rPr>
          <w:rFonts w:cs="Arial"/>
          <w:szCs w:val="24"/>
        </w:rPr>
        <w:t>The dollar amount of the current five year capital project</w:t>
      </w:r>
      <w:r w:rsidRPr="00BD5CF4">
        <w:rPr>
          <w:rFonts w:cs="Arial"/>
          <w:szCs w:val="24"/>
        </w:rPr>
        <w:t xml:space="preserve"> </w:t>
      </w:r>
      <w:r>
        <w:rPr>
          <w:rFonts w:cs="Arial"/>
          <w:szCs w:val="24"/>
        </w:rPr>
        <w:t>plan for Asset Management is shown in the table below.</w:t>
      </w:r>
    </w:p>
    <w:p w:rsidR="00AC40FC" w:rsidRDefault="00AC40FC" w:rsidP="00B306CB">
      <w:pPr>
        <w:pStyle w:val="Caption"/>
      </w:pPr>
      <w:bookmarkStart w:id="350" w:name="_Toc462648490"/>
      <w:bookmarkStart w:id="351" w:name="_Toc464553112"/>
      <w:r>
        <w:t xml:space="preserve">Exhibit </w:t>
      </w:r>
      <w:fldSimple w:instr=" STYLEREF 1 \s ">
        <w:r w:rsidR="00A24205">
          <w:rPr>
            <w:noProof/>
          </w:rPr>
          <w:t>XV</w:t>
        </w:r>
      </w:fldSimple>
      <w:r w:rsidR="00264A1B">
        <w:noBreakHyphen/>
      </w:r>
      <w:fldSimple w:instr=" SEQ Exhibit \* ARABIC \s 1 ">
        <w:r w:rsidR="00A24205">
          <w:rPr>
            <w:noProof/>
          </w:rPr>
          <w:t>4</w:t>
        </w:r>
      </w:fldSimple>
      <w:r>
        <w:br/>
        <w:t>Five Year Transmission Capital Project Plan 2016–2020</w:t>
      </w:r>
      <w:bookmarkEnd w:id="350"/>
      <w:bookmarkEnd w:id="3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97"/>
        <w:gridCol w:w="967"/>
        <w:gridCol w:w="967"/>
        <w:gridCol w:w="968"/>
        <w:gridCol w:w="967"/>
        <w:gridCol w:w="968"/>
      </w:tblGrid>
      <w:tr w:rsidR="00AC40FC" w:rsidRPr="00F17825" w:rsidTr="00BB665B">
        <w:trPr>
          <w:cantSplit/>
          <w:trHeight w:val="300"/>
          <w:tblHeader/>
          <w:jc w:val="center"/>
        </w:trPr>
        <w:tc>
          <w:tcPr>
            <w:tcW w:w="4297" w:type="dxa"/>
            <w:shd w:val="clear" w:color="auto" w:fill="A5CD7E"/>
            <w:noWrap/>
            <w:vAlign w:val="center"/>
            <w:hideMark/>
          </w:tcPr>
          <w:p w:rsidR="00AC40FC" w:rsidRPr="00F17825" w:rsidRDefault="00AC40FC" w:rsidP="00581946">
            <w:pPr>
              <w:spacing w:after="0"/>
              <w:jc w:val="center"/>
              <w:rPr>
                <w:rFonts w:cs="Arial"/>
                <w:b/>
                <w:bCs/>
                <w:szCs w:val="24"/>
              </w:rPr>
            </w:pPr>
            <w:r>
              <w:rPr>
                <w:rFonts w:cs="Arial"/>
                <w:b/>
                <w:bCs/>
                <w:szCs w:val="24"/>
              </w:rPr>
              <w:t>Transmission Capital Projects</w:t>
            </w:r>
          </w:p>
        </w:tc>
        <w:tc>
          <w:tcPr>
            <w:tcW w:w="967" w:type="dxa"/>
            <w:shd w:val="clear" w:color="auto" w:fill="A5CD7E"/>
            <w:noWrap/>
            <w:vAlign w:val="center"/>
            <w:hideMark/>
          </w:tcPr>
          <w:p w:rsidR="00AC40FC" w:rsidRPr="00F17825" w:rsidRDefault="00AC40FC" w:rsidP="00581946">
            <w:pPr>
              <w:spacing w:after="0"/>
              <w:jc w:val="center"/>
              <w:rPr>
                <w:rFonts w:cs="Arial"/>
                <w:b/>
                <w:bCs/>
                <w:szCs w:val="24"/>
              </w:rPr>
            </w:pPr>
            <w:r>
              <w:rPr>
                <w:rFonts w:cs="Arial"/>
                <w:b/>
                <w:bCs/>
                <w:szCs w:val="24"/>
              </w:rPr>
              <w:t>2016</w:t>
            </w:r>
          </w:p>
        </w:tc>
        <w:tc>
          <w:tcPr>
            <w:tcW w:w="967" w:type="dxa"/>
            <w:shd w:val="clear" w:color="auto" w:fill="A5CD7E"/>
            <w:noWrap/>
            <w:vAlign w:val="center"/>
            <w:hideMark/>
          </w:tcPr>
          <w:p w:rsidR="00AC40FC" w:rsidRPr="00F17825" w:rsidRDefault="00AC40FC" w:rsidP="00581946">
            <w:pPr>
              <w:spacing w:after="0"/>
              <w:jc w:val="center"/>
              <w:rPr>
                <w:rFonts w:cs="Arial"/>
                <w:b/>
                <w:bCs/>
                <w:szCs w:val="24"/>
              </w:rPr>
            </w:pPr>
            <w:r>
              <w:rPr>
                <w:rFonts w:cs="Arial"/>
                <w:b/>
                <w:bCs/>
                <w:szCs w:val="24"/>
              </w:rPr>
              <w:t>2017</w:t>
            </w:r>
          </w:p>
        </w:tc>
        <w:tc>
          <w:tcPr>
            <w:tcW w:w="968" w:type="dxa"/>
            <w:shd w:val="clear" w:color="auto" w:fill="A5CD7E"/>
          </w:tcPr>
          <w:p w:rsidR="00AC40FC" w:rsidRDefault="00AC40FC" w:rsidP="00581946">
            <w:pPr>
              <w:spacing w:after="0"/>
              <w:jc w:val="center"/>
              <w:rPr>
                <w:rFonts w:cs="Arial"/>
                <w:b/>
                <w:bCs/>
                <w:szCs w:val="24"/>
              </w:rPr>
            </w:pPr>
            <w:r>
              <w:rPr>
                <w:rFonts w:cs="Arial"/>
                <w:b/>
                <w:bCs/>
                <w:szCs w:val="24"/>
              </w:rPr>
              <w:t>2018</w:t>
            </w:r>
          </w:p>
        </w:tc>
        <w:tc>
          <w:tcPr>
            <w:tcW w:w="967" w:type="dxa"/>
            <w:shd w:val="clear" w:color="auto" w:fill="A5CD7E"/>
          </w:tcPr>
          <w:p w:rsidR="00AC40FC" w:rsidRDefault="00AC40FC" w:rsidP="00581946">
            <w:pPr>
              <w:spacing w:after="0"/>
              <w:jc w:val="center"/>
              <w:rPr>
                <w:rFonts w:cs="Arial"/>
                <w:b/>
                <w:bCs/>
                <w:szCs w:val="24"/>
              </w:rPr>
            </w:pPr>
            <w:r>
              <w:rPr>
                <w:rFonts w:cs="Arial"/>
                <w:b/>
                <w:bCs/>
                <w:szCs w:val="24"/>
              </w:rPr>
              <w:t>2019</w:t>
            </w:r>
          </w:p>
        </w:tc>
        <w:tc>
          <w:tcPr>
            <w:tcW w:w="968" w:type="dxa"/>
            <w:shd w:val="clear" w:color="auto" w:fill="A5CD7E"/>
          </w:tcPr>
          <w:p w:rsidR="00AC40FC" w:rsidRPr="00F17825" w:rsidRDefault="00AC40FC" w:rsidP="00581946">
            <w:pPr>
              <w:spacing w:after="0"/>
              <w:jc w:val="center"/>
              <w:rPr>
                <w:rFonts w:cs="Arial"/>
                <w:b/>
                <w:bCs/>
                <w:szCs w:val="24"/>
              </w:rPr>
            </w:pPr>
            <w:r>
              <w:rPr>
                <w:rFonts w:cs="Arial"/>
                <w:b/>
                <w:bCs/>
                <w:szCs w:val="24"/>
              </w:rPr>
              <w:t>2020</w:t>
            </w:r>
          </w:p>
        </w:tc>
      </w:tr>
      <w:tr w:rsidR="00AC40FC" w:rsidRPr="00060B41" w:rsidTr="00BB665B">
        <w:trPr>
          <w:trHeight w:val="300"/>
          <w:jc w:val="center"/>
        </w:trPr>
        <w:tc>
          <w:tcPr>
            <w:tcW w:w="4297" w:type="dxa"/>
            <w:shd w:val="clear" w:color="auto" w:fill="auto"/>
            <w:noWrap/>
            <w:vAlign w:val="bottom"/>
          </w:tcPr>
          <w:p w:rsidR="00AC40FC" w:rsidRPr="00060B41" w:rsidRDefault="00AC40FC" w:rsidP="00581946">
            <w:pPr>
              <w:spacing w:after="0"/>
              <w:jc w:val="center"/>
              <w:rPr>
                <w:rFonts w:cs="Arial"/>
                <w:color w:val="000000"/>
              </w:rPr>
            </w:pPr>
            <w:r>
              <w:rPr>
                <w:rFonts w:cs="Arial"/>
                <w:bCs/>
                <w:color w:val="000000"/>
              </w:rPr>
              <w:t>Capital Project Dollar Value (millions)</w:t>
            </w:r>
          </w:p>
        </w:tc>
        <w:tc>
          <w:tcPr>
            <w:tcW w:w="967" w:type="dxa"/>
            <w:shd w:val="clear" w:color="auto" w:fill="auto"/>
            <w:noWrap/>
            <w:vAlign w:val="center"/>
          </w:tcPr>
          <w:p w:rsidR="00AC40FC" w:rsidRPr="00060B41" w:rsidRDefault="00AC40FC" w:rsidP="00581946">
            <w:pPr>
              <w:spacing w:after="0"/>
              <w:jc w:val="center"/>
              <w:rPr>
                <w:rFonts w:cs="Arial"/>
                <w:szCs w:val="24"/>
              </w:rPr>
            </w:pPr>
            <w:r>
              <w:rPr>
                <w:rFonts w:cs="Arial"/>
                <w:color w:val="000000"/>
              </w:rPr>
              <w:t>$599.7</w:t>
            </w:r>
          </w:p>
        </w:tc>
        <w:tc>
          <w:tcPr>
            <w:tcW w:w="967" w:type="dxa"/>
            <w:shd w:val="clear" w:color="auto" w:fill="auto"/>
            <w:noWrap/>
            <w:vAlign w:val="center"/>
          </w:tcPr>
          <w:p w:rsidR="00AC40FC" w:rsidRPr="00060B41" w:rsidRDefault="00AC40FC" w:rsidP="00581946">
            <w:pPr>
              <w:spacing w:after="0"/>
              <w:jc w:val="center"/>
              <w:rPr>
                <w:rFonts w:cs="Arial"/>
                <w:color w:val="000000"/>
              </w:rPr>
            </w:pPr>
            <w:r>
              <w:rPr>
                <w:rFonts w:cs="Arial"/>
                <w:color w:val="000000"/>
              </w:rPr>
              <w:t>$679.0</w:t>
            </w:r>
          </w:p>
        </w:tc>
        <w:tc>
          <w:tcPr>
            <w:tcW w:w="968" w:type="dxa"/>
            <w:vAlign w:val="center"/>
          </w:tcPr>
          <w:p w:rsidR="00AC40FC" w:rsidRDefault="00AC40FC" w:rsidP="00581946">
            <w:pPr>
              <w:spacing w:after="0"/>
              <w:jc w:val="center"/>
              <w:rPr>
                <w:rFonts w:cs="Arial"/>
                <w:color w:val="000000"/>
              </w:rPr>
            </w:pPr>
            <w:r>
              <w:rPr>
                <w:rFonts w:cs="Arial"/>
                <w:color w:val="000000"/>
              </w:rPr>
              <w:t>$629.5</w:t>
            </w:r>
          </w:p>
        </w:tc>
        <w:tc>
          <w:tcPr>
            <w:tcW w:w="967" w:type="dxa"/>
            <w:vAlign w:val="center"/>
          </w:tcPr>
          <w:p w:rsidR="00AC40FC" w:rsidRDefault="00AC40FC" w:rsidP="00581946">
            <w:pPr>
              <w:spacing w:after="0"/>
              <w:jc w:val="center"/>
              <w:rPr>
                <w:rFonts w:cs="Arial"/>
                <w:color w:val="000000"/>
              </w:rPr>
            </w:pPr>
            <w:r>
              <w:rPr>
                <w:rFonts w:cs="Arial"/>
                <w:color w:val="000000"/>
              </w:rPr>
              <w:t>$571.3</w:t>
            </w:r>
          </w:p>
        </w:tc>
        <w:tc>
          <w:tcPr>
            <w:tcW w:w="968" w:type="dxa"/>
            <w:vAlign w:val="center"/>
          </w:tcPr>
          <w:p w:rsidR="00AC40FC" w:rsidRDefault="00AC40FC" w:rsidP="00581946">
            <w:pPr>
              <w:spacing w:after="0"/>
              <w:jc w:val="center"/>
              <w:rPr>
                <w:rFonts w:cs="Arial"/>
                <w:color w:val="000000"/>
              </w:rPr>
            </w:pPr>
            <w:r>
              <w:rPr>
                <w:rFonts w:cs="Arial"/>
                <w:color w:val="000000"/>
              </w:rPr>
              <w:t>$609.1</w:t>
            </w:r>
          </w:p>
        </w:tc>
      </w:tr>
      <w:tr w:rsidR="00AC40FC" w:rsidRPr="00F17825" w:rsidTr="00BB665B">
        <w:trPr>
          <w:trHeight w:val="300"/>
          <w:jc w:val="center"/>
        </w:trPr>
        <w:tc>
          <w:tcPr>
            <w:tcW w:w="9134" w:type="dxa"/>
            <w:gridSpan w:val="6"/>
            <w:shd w:val="clear" w:color="auto" w:fill="auto"/>
            <w:noWrap/>
            <w:vAlign w:val="center"/>
          </w:tcPr>
          <w:p w:rsidR="00AC40FC" w:rsidRPr="00F17825" w:rsidRDefault="00AC40FC" w:rsidP="00BB665B">
            <w:pPr>
              <w:spacing w:after="0"/>
              <w:rPr>
                <w:rFonts w:cs="Arial"/>
                <w:bCs/>
                <w:szCs w:val="24"/>
              </w:rPr>
            </w:pPr>
            <w:r w:rsidRPr="00F17825">
              <w:rPr>
                <w:rFonts w:cs="Arial"/>
                <w:bCs/>
                <w:szCs w:val="24"/>
              </w:rPr>
              <w:t xml:space="preserve">Source: </w:t>
            </w:r>
            <w:r w:rsidRPr="002A37C6">
              <w:rPr>
                <w:rFonts w:cs="Arial"/>
                <w:bCs/>
                <w:szCs w:val="24"/>
              </w:rPr>
              <w:t xml:space="preserve">DN </w:t>
            </w:r>
            <w:r>
              <w:rPr>
                <w:rFonts w:cs="Arial"/>
                <w:bCs/>
                <w:szCs w:val="24"/>
              </w:rPr>
              <w:t>18-021</w:t>
            </w:r>
          </w:p>
        </w:tc>
      </w:tr>
    </w:tbl>
    <w:p w:rsidR="00AC40FC" w:rsidRDefault="00AC40FC" w:rsidP="00581946">
      <w:pPr>
        <w:pStyle w:val="Normal-aftertable"/>
      </w:pPr>
      <w:r>
        <w:t>Asset Management is planning to add staff in Transmission Planning to allow for more thorough and detailed analysis of future needs.  The Asset Management group is being reformed to increase the focus on reliability.</w:t>
      </w:r>
    </w:p>
    <w:p w:rsidR="00AC40FC" w:rsidRDefault="00AC40FC" w:rsidP="00581946">
      <w:r>
        <w:rPr>
          <w:rFonts w:cs="Arial"/>
          <w:b/>
          <w:szCs w:val="24"/>
        </w:rPr>
        <w:t>Project Delivery (formerly Engineering).</w:t>
      </w:r>
      <w:r w:rsidRPr="00475645">
        <w:rPr>
          <w:rFonts w:cs="Arial"/>
          <w:szCs w:val="24"/>
        </w:rPr>
        <w:t xml:space="preserve">  </w:t>
      </w:r>
      <w:r w:rsidRPr="00705DE0">
        <w:t>The Engineering organization is now called Project Delivery.  Project Delivery has increased the Substation Engineering group by eight positions in 2016 due to recent problems with missing deadlines and attrition.  Transmission Design has added five positions</w:t>
      </w:r>
      <w:r>
        <w:t xml:space="preserve"> in 2016 and Protection and Control Engineering has added three positions to meet the projected workload.</w:t>
      </w:r>
    </w:p>
    <w:p w:rsidR="00AC40FC" w:rsidRPr="002414DD" w:rsidRDefault="00AC40FC" w:rsidP="00581946">
      <w:r>
        <w:lastRenderedPageBreak/>
        <w:t>The Transmission Expansion group functions and several components of Transmission Project Management were realigned with Engineering to form the Project Delivery department.  These realignments were made based on the experience gained from several recent large projects including the Susquehanna-Roseland and Pocono projects.  T&amp;S is projecting a continued high level of capital spending through 2020.</w:t>
      </w:r>
    </w:p>
    <w:p w:rsidR="00AC40FC" w:rsidRDefault="00AC40FC" w:rsidP="00581946">
      <w:r>
        <w:t>The Construction Management group (SRC 0489) was transferred from Transmission Project Management to Project Delivery in early 2016.  The Transmission Real Estate Siting and Permit group (SRC 2593) was also transferred from the former Transmission Expansion department.</w:t>
      </w:r>
    </w:p>
    <w:p w:rsidR="00AC40FC" w:rsidRDefault="00AC40FC" w:rsidP="00581946">
      <w:pPr>
        <w:rPr>
          <w:rFonts w:cs="Arial"/>
          <w:szCs w:val="24"/>
        </w:rPr>
      </w:pPr>
      <w:r>
        <w:rPr>
          <w:rFonts w:cs="Arial"/>
          <w:b/>
          <w:szCs w:val="24"/>
        </w:rPr>
        <w:t>Operations</w:t>
      </w:r>
      <w:r w:rsidRPr="00C26FFB">
        <w:rPr>
          <w:rFonts w:cs="Arial"/>
          <w:b/>
          <w:szCs w:val="24"/>
        </w:rPr>
        <w:t>.</w:t>
      </w:r>
      <w:r w:rsidRPr="00D70638">
        <w:rPr>
          <w:rFonts w:cs="Arial"/>
          <w:szCs w:val="24"/>
        </w:rPr>
        <w:t xml:space="preserve">  </w:t>
      </w:r>
      <w:r>
        <w:rPr>
          <w:rFonts w:cs="Arial"/>
          <w:szCs w:val="24"/>
        </w:rPr>
        <w:t>The overall workload in Operations is expected to remain fairly constant.  It is a 24x7 operation with a constant flow of outage scheduling and switching work to accommodate capital and O&amp;M work performed on the system.  Daily monitoring and operating activity is steady.</w:t>
      </w:r>
    </w:p>
    <w:p w:rsidR="00AC40FC" w:rsidRDefault="00AC40FC" w:rsidP="00581946">
      <w:pPr>
        <w:rPr>
          <w:rFonts w:cs="Arial"/>
          <w:szCs w:val="24"/>
        </w:rPr>
      </w:pPr>
      <w:r>
        <w:rPr>
          <w:rFonts w:cs="Arial"/>
          <w:szCs w:val="24"/>
        </w:rPr>
        <w:t>Continued technological improvements for monitoring and operating the transmission system may reduce some of the daily manual workload and avoid the need to add any staff.  Operations is planning to perform system and outage studies beyond the current three month horizon.  Staff is also working on improvements to the outage request and coordination application to reduce the amount of time it takes to approve outage requests.</w:t>
      </w:r>
    </w:p>
    <w:p w:rsidR="00AC40FC" w:rsidRDefault="00AC40FC" w:rsidP="00581946">
      <w:pPr>
        <w:rPr>
          <w:rFonts w:cs="Arial"/>
          <w:szCs w:val="24"/>
        </w:rPr>
      </w:pPr>
      <w:r>
        <w:rPr>
          <w:rFonts w:cs="Arial"/>
          <w:b/>
          <w:szCs w:val="24"/>
        </w:rPr>
        <w:t>TransLink</w:t>
      </w:r>
      <w:r w:rsidRPr="004A1ABE">
        <w:rPr>
          <w:rFonts w:cs="Arial"/>
          <w:b/>
          <w:szCs w:val="24"/>
        </w:rPr>
        <w:t>.</w:t>
      </w:r>
      <w:r w:rsidRPr="005679E7">
        <w:rPr>
          <w:rFonts w:cs="Arial"/>
          <w:szCs w:val="24"/>
        </w:rPr>
        <w:t xml:space="preserve">  </w:t>
      </w:r>
      <w:r w:rsidRPr="00983125">
        <w:rPr>
          <w:rFonts w:cs="Arial"/>
          <w:szCs w:val="24"/>
        </w:rPr>
        <w:t xml:space="preserve">The separate transmission company, </w:t>
      </w:r>
      <w:r>
        <w:rPr>
          <w:rFonts w:cs="Arial"/>
          <w:szCs w:val="24"/>
        </w:rPr>
        <w:t>TransLink</w:t>
      </w:r>
      <w:r w:rsidRPr="00983125">
        <w:rPr>
          <w:rFonts w:cs="Arial"/>
          <w:szCs w:val="24"/>
        </w:rPr>
        <w:t>,</w:t>
      </w:r>
      <w:r>
        <w:rPr>
          <w:rFonts w:cs="Arial"/>
          <w:szCs w:val="24"/>
        </w:rPr>
        <w:t xml:space="preserve"> which was created in late 2015,</w:t>
      </w:r>
      <w:r w:rsidRPr="00983125">
        <w:rPr>
          <w:rFonts w:cs="Arial"/>
          <w:szCs w:val="24"/>
        </w:rPr>
        <w:t xml:space="preserve"> has been staffed.  Approximately five people were assigned to support </w:t>
      </w:r>
      <w:r>
        <w:rPr>
          <w:rFonts w:cs="Arial"/>
          <w:szCs w:val="24"/>
        </w:rPr>
        <w:t>TransLink</w:t>
      </w:r>
      <w:r w:rsidRPr="00983125">
        <w:rPr>
          <w:rFonts w:cs="Arial"/>
          <w:szCs w:val="24"/>
        </w:rPr>
        <w:t xml:space="preserve"> in January 2016.  This staff is supplemented by a project development team of four to five people in T&amp;S Project Management that will develop the conceptual plans for </w:t>
      </w:r>
      <w:r>
        <w:rPr>
          <w:rFonts w:cs="Arial"/>
          <w:szCs w:val="24"/>
        </w:rPr>
        <w:t>TransLink</w:t>
      </w:r>
      <w:r w:rsidRPr="00983125">
        <w:rPr>
          <w:rFonts w:cs="Arial"/>
          <w:szCs w:val="24"/>
        </w:rPr>
        <w:t xml:space="preserve"> proposals.  If a </w:t>
      </w:r>
      <w:r>
        <w:rPr>
          <w:rFonts w:cs="Arial"/>
          <w:szCs w:val="24"/>
        </w:rPr>
        <w:t>TransLink</w:t>
      </w:r>
      <w:r w:rsidRPr="00983125">
        <w:rPr>
          <w:rFonts w:cs="Arial"/>
          <w:szCs w:val="24"/>
        </w:rPr>
        <w:t xml:space="preserve"> bid is successful then Project Delivery or contractors may perform the design work.  </w:t>
      </w:r>
      <w:r>
        <w:rPr>
          <w:rFonts w:cs="Arial"/>
          <w:szCs w:val="24"/>
        </w:rPr>
        <w:t xml:space="preserve">Previously, </w:t>
      </w:r>
      <w:r w:rsidRPr="00983125">
        <w:rPr>
          <w:rFonts w:cs="Arial"/>
          <w:szCs w:val="24"/>
        </w:rPr>
        <w:t xml:space="preserve">Project Delivery provided support for the </w:t>
      </w:r>
      <w:r>
        <w:rPr>
          <w:rFonts w:cs="Arial"/>
          <w:szCs w:val="24"/>
        </w:rPr>
        <w:t>TransLink</w:t>
      </w:r>
      <w:r w:rsidRPr="00983125">
        <w:rPr>
          <w:rFonts w:cs="Arial"/>
          <w:szCs w:val="24"/>
        </w:rPr>
        <w:t xml:space="preserve"> proposal on the Cascade project</w:t>
      </w:r>
      <w:r>
        <w:rPr>
          <w:rFonts w:cs="Arial"/>
          <w:szCs w:val="24"/>
        </w:rPr>
        <w:t xml:space="preserve"> and</w:t>
      </w:r>
      <w:r w:rsidRPr="00983125">
        <w:rPr>
          <w:rFonts w:cs="Arial"/>
          <w:szCs w:val="24"/>
        </w:rPr>
        <w:t xml:space="preserve"> Asset Management may provide some support to future </w:t>
      </w:r>
      <w:r>
        <w:rPr>
          <w:rFonts w:cs="Arial"/>
          <w:szCs w:val="24"/>
        </w:rPr>
        <w:t>TransLink</w:t>
      </w:r>
      <w:r w:rsidRPr="00983125">
        <w:rPr>
          <w:rFonts w:cs="Arial"/>
          <w:szCs w:val="24"/>
        </w:rPr>
        <w:t xml:space="preserve"> projects within the PPL</w:t>
      </w:r>
      <w:r>
        <w:rPr>
          <w:rFonts w:cs="Arial"/>
          <w:szCs w:val="24"/>
        </w:rPr>
        <w:t xml:space="preserve"> EU</w:t>
      </w:r>
      <w:r w:rsidRPr="00983125">
        <w:rPr>
          <w:rFonts w:cs="Arial"/>
          <w:szCs w:val="24"/>
        </w:rPr>
        <w:t xml:space="preserve"> service area but none are currently underway.</w:t>
      </w:r>
    </w:p>
    <w:p w:rsidR="00AC40FC" w:rsidRDefault="00AC40FC" w:rsidP="00581946">
      <w:r w:rsidRPr="0043206C">
        <w:rPr>
          <w:rFonts w:cs="Arial"/>
          <w:b/>
          <w:szCs w:val="24"/>
        </w:rPr>
        <w:t>Staff Augmentation Contractors.</w:t>
      </w:r>
      <w:r>
        <w:rPr>
          <w:rFonts w:cs="Arial"/>
          <w:szCs w:val="24"/>
        </w:rPr>
        <w:t xml:space="preserve">  </w:t>
      </w:r>
      <w:r>
        <w:t>During 2015, T&amp;S reported spending for contractors as follows:</w:t>
      </w:r>
    </w:p>
    <w:p w:rsidR="00AC40FC" w:rsidRDefault="00AC40FC" w:rsidP="00581946">
      <w:pPr>
        <w:pStyle w:val="Bullet"/>
      </w:pPr>
      <w:r>
        <w:t>Staff Augmentation – $6,397,591</w:t>
      </w:r>
    </w:p>
    <w:p w:rsidR="00AC40FC" w:rsidRDefault="00AC40FC" w:rsidP="00581946">
      <w:pPr>
        <w:pStyle w:val="Bullet"/>
      </w:pPr>
      <w:r>
        <w:t>Design/Project Management – $60,899,430</w:t>
      </w:r>
    </w:p>
    <w:p w:rsidR="00AC40FC" w:rsidRDefault="00AC40FC" w:rsidP="00581946">
      <w:pPr>
        <w:pStyle w:val="Bullet"/>
      </w:pPr>
      <w:r>
        <w:t>Construction – $110,646,817</w:t>
      </w:r>
    </w:p>
    <w:p w:rsidR="00AC40FC" w:rsidRDefault="00AC40FC" w:rsidP="00581946">
      <w:pPr>
        <w:pStyle w:val="Normal-aftertable"/>
      </w:pPr>
      <w:r>
        <w:t>In addition to outsourcing the majority of design work, all T&amp;S construction is outsourced.</w:t>
      </w:r>
    </w:p>
    <w:p w:rsidR="00AC40FC" w:rsidRPr="00C26FFB" w:rsidRDefault="00AC40FC" w:rsidP="00581946">
      <w:r>
        <w:t>Within the above spending, the Engineering Group</w:t>
      </w:r>
      <w:r w:rsidRPr="00FF45A5">
        <w:t xml:space="preserve"> reported spending on contractors in 2015 as follows:</w:t>
      </w:r>
    </w:p>
    <w:p w:rsidR="00AC40FC" w:rsidRDefault="00AC40FC" w:rsidP="00581946">
      <w:pPr>
        <w:pStyle w:val="Bullet"/>
      </w:pPr>
      <w:r>
        <w:t>Design - $2,448,965</w:t>
      </w:r>
    </w:p>
    <w:p w:rsidR="00AC40FC" w:rsidRDefault="00AC40FC" w:rsidP="00581946">
      <w:pPr>
        <w:pStyle w:val="Bullet"/>
      </w:pPr>
      <w:r>
        <w:t>Siting/Permitting - $102,313</w:t>
      </w:r>
    </w:p>
    <w:p w:rsidR="00AC40FC" w:rsidRDefault="00AC40FC" w:rsidP="00581946">
      <w:pPr>
        <w:pStyle w:val="Bullet"/>
      </w:pPr>
      <w:r>
        <w:t>Construction Management - $574,858</w:t>
      </w:r>
    </w:p>
    <w:p w:rsidR="00AC40FC" w:rsidRDefault="00AC40FC" w:rsidP="00581946">
      <w:pPr>
        <w:pStyle w:val="Normal-aftertable"/>
      </w:pPr>
      <w:r>
        <w:lastRenderedPageBreak/>
        <w:t>Engineering for programmatic work is performed by off-site contractors.  Contractor liaisons and staff augmentation are on-site.  In-house T&amp;S staff focuses on the smaller short term projects.</w:t>
      </w:r>
    </w:p>
    <w:p w:rsidR="00AC40FC" w:rsidRDefault="00AC40FC" w:rsidP="00581946">
      <w:pPr>
        <w:rPr>
          <w:rFonts w:cs="Arial"/>
          <w:szCs w:val="24"/>
        </w:rPr>
      </w:pPr>
      <w:r>
        <w:rPr>
          <w:rFonts w:cs="Arial"/>
          <w:szCs w:val="24"/>
        </w:rPr>
        <w:t>T&amp;S utilizes staff augmentation contractors in many areas.  T&amp;S reported levels of support in full-time equivalent employees (FTEs) as of March 31, 2016 are shown in the following table.</w:t>
      </w:r>
    </w:p>
    <w:p w:rsidR="00AC40FC" w:rsidRDefault="00AC40FC" w:rsidP="00B306CB">
      <w:pPr>
        <w:pStyle w:val="Caption"/>
      </w:pPr>
      <w:bookmarkStart w:id="352" w:name="_Toc462648491"/>
      <w:bookmarkStart w:id="353" w:name="_Toc464553113"/>
      <w:r>
        <w:t xml:space="preserve">Exhibit </w:t>
      </w:r>
      <w:fldSimple w:instr=" STYLEREF 1 \s ">
        <w:r w:rsidR="00A24205">
          <w:rPr>
            <w:noProof/>
          </w:rPr>
          <w:t>XV</w:t>
        </w:r>
      </w:fldSimple>
      <w:r w:rsidR="00264A1B">
        <w:noBreakHyphen/>
      </w:r>
      <w:fldSimple w:instr=" SEQ Exhibit \* ARABIC \s 1 ">
        <w:r w:rsidR="00A24205">
          <w:rPr>
            <w:noProof/>
          </w:rPr>
          <w:t>5</w:t>
        </w:r>
      </w:fldSimple>
      <w:r>
        <w:br/>
      </w:r>
      <w:r>
        <w:rPr>
          <w:rFonts w:cs="Arial"/>
          <w:szCs w:val="24"/>
        </w:rPr>
        <w:t xml:space="preserve">T&amp;S </w:t>
      </w:r>
      <w:r w:rsidRPr="00F17825">
        <w:t>Staff</w:t>
      </w:r>
      <w:r>
        <w:t xml:space="preserve"> Augmentation Contractor FTEs as of March 31, 2016</w:t>
      </w:r>
      <w:bookmarkEnd w:id="352"/>
      <w:bookmarkEnd w:id="353"/>
    </w:p>
    <w:tbl>
      <w:tblPr>
        <w:tblW w:w="7323" w:type="dxa"/>
        <w:jc w:val="center"/>
        <w:tblLook w:val="04A0"/>
      </w:tblPr>
      <w:tblGrid>
        <w:gridCol w:w="926"/>
        <w:gridCol w:w="3996"/>
        <w:gridCol w:w="2401"/>
      </w:tblGrid>
      <w:tr w:rsidR="00AC40FC" w:rsidRPr="00D6083E" w:rsidTr="00581946">
        <w:trPr>
          <w:trHeight w:val="330"/>
          <w:tblHeader/>
          <w:jc w:val="center"/>
        </w:trPr>
        <w:tc>
          <w:tcPr>
            <w:tcW w:w="926" w:type="dxa"/>
            <w:tcBorders>
              <w:top w:val="single" w:sz="8" w:space="0" w:color="auto"/>
              <w:left w:val="single" w:sz="8" w:space="0" w:color="auto"/>
              <w:bottom w:val="single" w:sz="8" w:space="0" w:color="auto"/>
              <w:right w:val="single" w:sz="4" w:space="0" w:color="auto"/>
            </w:tcBorders>
            <w:shd w:val="clear" w:color="000000" w:fill="A5CD7E"/>
            <w:vAlign w:val="center"/>
            <w:hideMark/>
          </w:tcPr>
          <w:p w:rsidR="00AC40FC" w:rsidRPr="00D6083E" w:rsidRDefault="00AC40FC" w:rsidP="00D6083E">
            <w:pPr>
              <w:pStyle w:val="TableHeading0"/>
              <w:spacing w:before="120" w:after="120"/>
              <w:rPr>
                <w:szCs w:val="24"/>
              </w:rPr>
            </w:pPr>
            <w:r w:rsidRPr="00D6083E">
              <w:rPr>
                <w:szCs w:val="24"/>
              </w:rPr>
              <w:t>SRC</w:t>
            </w:r>
          </w:p>
        </w:tc>
        <w:tc>
          <w:tcPr>
            <w:tcW w:w="3996" w:type="dxa"/>
            <w:tcBorders>
              <w:top w:val="single" w:sz="8" w:space="0" w:color="auto"/>
              <w:left w:val="nil"/>
              <w:bottom w:val="single" w:sz="8" w:space="0" w:color="auto"/>
              <w:right w:val="single" w:sz="4" w:space="0" w:color="auto"/>
            </w:tcBorders>
            <w:shd w:val="clear" w:color="000000" w:fill="A5CD7E"/>
            <w:vAlign w:val="center"/>
            <w:hideMark/>
          </w:tcPr>
          <w:p w:rsidR="00AC40FC" w:rsidRPr="00D6083E" w:rsidRDefault="00AC40FC" w:rsidP="00D6083E">
            <w:pPr>
              <w:pStyle w:val="TableHeading0"/>
              <w:spacing w:before="120" w:after="120"/>
              <w:rPr>
                <w:szCs w:val="24"/>
              </w:rPr>
            </w:pPr>
            <w:r w:rsidRPr="00D6083E">
              <w:rPr>
                <w:szCs w:val="24"/>
              </w:rPr>
              <w:t>Organizational Unit</w:t>
            </w:r>
          </w:p>
        </w:tc>
        <w:tc>
          <w:tcPr>
            <w:tcW w:w="2401" w:type="dxa"/>
            <w:tcBorders>
              <w:top w:val="single" w:sz="8" w:space="0" w:color="auto"/>
              <w:left w:val="nil"/>
              <w:bottom w:val="single" w:sz="8" w:space="0" w:color="auto"/>
              <w:right w:val="single" w:sz="8" w:space="0" w:color="auto"/>
            </w:tcBorders>
            <w:shd w:val="clear" w:color="000000" w:fill="A5CD7E"/>
            <w:vAlign w:val="center"/>
            <w:hideMark/>
          </w:tcPr>
          <w:p w:rsidR="00AC40FC" w:rsidRPr="00D6083E" w:rsidRDefault="00AC40FC" w:rsidP="00D6083E">
            <w:pPr>
              <w:pStyle w:val="TableHeading0"/>
              <w:spacing w:before="120" w:after="120"/>
              <w:rPr>
                <w:szCs w:val="24"/>
              </w:rPr>
            </w:pPr>
            <w:r w:rsidRPr="00D6083E">
              <w:rPr>
                <w:szCs w:val="24"/>
              </w:rPr>
              <w:t>Staff Augmentation FTEs</w:t>
            </w:r>
          </w:p>
        </w:tc>
      </w:tr>
      <w:tr w:rsidR="00AC40FC" w:rsidRPr="00E33F2E" w:rsidTr="00581946">
        <w:trPr>
          <w:trHeight w:val="600"/>
          <w:jc w:val="center"/>
        </w:trPr>
        <w:tc>
          <w:tcPr>
            <w:tcW w:w="926"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C40FC" w:rsidRPr="00E33F2E" w:rsidRDefault="00AC40FC" w:rsidP="00581946">
            <w:pPr>
              <w:spacing w:after="0"/>
              <w:jc w:val="center"/>
              <w:rPr>
                <w:rFonts w:cs="Arial"/>
                <w:color w:val="000000"/>
                <w:szCs w:val="24"/>
              </w:rPr>
            </w:pPr>
            <w:r>
              <w:rPr>
                <w:rFonts w:cs="Arial"/>
                <w:color w:val="000000"/>
                <w:szCs w:val="24"/>
              </w:rPr>
              <w:t>0</w:t>
            </w:r>
            <w:r w:rsidRPr="00E33F2E">
              <w:rPr>
                <w:rFonts w:cs="Arial"/>
                <w:color w:val="000000"/>
                <w:szCs w:val="24"/>
              </w:rPr>
              <w:t>605</w:t>
            </w:r>
          </w:p>
        </w:tc>
        <w:tc>
          <w:tcPr>
            <w:tcW w:w="3996" w:type="dxa"/>
            <w:tcBorders>
              <w:top w:val="single" w:sz="8" w:space="0" w:color="auto"/>
              <w:left w:val="nil"/>
              <w:bottom w:val="single" w:sz="8" w:space="0" w:color="auto"/>
              <w:right w:val="single" w:sz="4" w:space="0" w:color="auto"/>
            </w:tcBorders>
            <w:shd w:val="clear" w:color="auto" w:fill="auto"/>
            <w:vAlign w:val="center"/>
            <w:hideMark/>
          </w:tcPr>
          <w:p w:rsidR="00AC40FC" w:rsidRPr="00E33F2E" w:rsidRDefault="00AC40FC" w:rsidP="00581946">
            <w:pPr>
              <w:spacing w:after="0"/>
              <w:jc w:val="left"/>
              <w:rPr>
                <w:rFonts w:cs="Arial"/>
                <w:color w:val="000000"/>
                <w:szCs w:val="24"/>
              </w:rPr>
            </w:pPr>
            <w:r w:rsidRPr="00E33F2E">
              <w:rPr>
                <w:rFonts w:cs="Arial"/>
                <w:color w:val="000000"/>
                <w:szCs w:val="24"/>
              </w:rPr>
              <w:t>Transmission and Substations (administration and leadership)</w:t>
            </w:r>
          </w:p>
        </w:tc>
        <w:tc>
          <w:tcPr>
            <w:tcW w:w="2401"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AC40FC" w:rsidRPr="00E33F2E" w:rsidRDefault="00AC40FC" w:rsidP="00581946">
            <w:pPr>
              <w:spacing w:after="0"/>
              <w:jc w:val="center"/>
              <w:rPr>
                <w:rFonts w:cs="Arial"/>
                <w:color w:val="000000"/>
                <w:szCs w:val="24"/>
              </w:rPr>
            </w:pPr>
            <w:r>
              <w:rPr>
                <w:rFonts w:cs="Arial"/>
                <w:color w:val="000000"/>
                <w:szCs w:val="24"/>
              </w:rPr>
              <w:t>3</w:t>
            </w:r>
          </w:p>
        </w:tc>
      </w:tr>
      <w:tr w:rsidR="00AC40FC" w:rsidRPr="00E33F2E" w:rsidTr="00581946">
        <w:trPr>
          <w:trHeight w:val="300"/>
          <w:jc w:val="center"/>
        </w:trPr>
        <w:tc>
          <w:tcPr>
            <w:tcW w:w="926" w:type="dxa"/>
            <w:tcBorders>
              <w:top w:val="nil"/>
              <w:left w:val="single" w:sz="8" w:space="0" w:color="auto"/>
              <w:bottom w:val="single" w:sz="8" w:space="0" w:color="auto"/>
              <w:right w:val="single" w:sz="4" w:space="0" w:color="auto"/>
            </w:tcBorders>
            <w:shd w:val="clear" w:color="auto" w:fill="auto"/>
            <w:vAlign w:val="center"/>
            <w:hideMark/>
          </w:tcPr>
          <w:p w:rsidR="00AC40FC" w:rsidRPr="00E33F2E" w:rsidRDefault="00AC40FC" w:rsidP="00581946">
            <w:pPr>
              <w:spacing w:after="0"/>
              <w:jc w:val="center"/>
              <w:rPr>
                <w:rFonts w:cs="Arial"/>
                <w:color w:val="000000"/>
                <w:szCs w:val="24"/>
              </w:rPr>
            </w:pPr>
            <w:r>
              <w:rPr>
                <w:rFonts w:cs="Arial"/>
                <w:color w:val="000000"/>
                <w:szCs w:val="24"/>
              </w:rPr>
              <w:t>0</w:t>
            </w:r>
            <w:r w:rsidRPr="00E33F2E">
              <w:rPr>
                <w:rFonts w:cs="Arial"/>
                <w:color w:val="000000"/>
                <w:szCs w:val="24"/>
              </w:rPr>
              <w:t>604</w:t>
            </w:r>
          </w:p>
        </w:tc>
        <w:tc>
          <w:tcPr>
            <w:tcW w:w="3996" w:type="dxa"/>
            <w:tcBorders>
              <w:top w:val="nil"/>
              <w:left w:val="nil"/>
              <w:bottom w:val="single" w:sz="8" w:space="0" w:color="auto"/>
              <w:right w:val="single" w:sz="4" w:space="0" w:color="auto"/>
            </w:tcBorders>
            <w:shd w:val="clear" w:color="auto" w:fill="auto"/>
            <w:vAlign w:val="center"/>
            <w:hideMark/>
          </w:tcPr>
          <w:p w:rsidR="00AC40FC" w:rsidRPr="00E33F2E" w:rsidRDefault="00AC40FC" w:rsidP="00581946">
            <w:pPr>
              <w:spacing w:after="0"/>
              <w:jc w:val="left"/>
              <w:rPr>
                <w:rFonts w:cs="Arial"/>
                <w:color w:val="000000"/>
                <w:szCs w:val="24"/>
              </w:rPr>
            </w:pPr>
            <w:r w:rsidRPr="00E33F2E">
              <w:rPr>
                <w:rFonts w:cs="Arial"/>
                <w:color w:val="000000"/>
                <w:szCs w:val="24"/>
              </w:rPr>
              <w:t>Reliability Compliance</w:t>
            </w:r>
          </w:p>
        </w:tc>
        <w:tc>
          <w:tcPr>
            <w:tcW w:w="2401" w:type="dxa"/>
            <w:tcBorders>
              <w:top w:val="single" w:sz="4" w:space="0" w:color="auto"/>
              <w:left w:val="single" w:sz="4" w:space="0" w:color="auto"/>
              <w:bottom w:val="single" w:sz="8" w:space="0" w:color="auto"/>
              <w:right w:val="single" w:sz="8" w:space="0" w:color="auto"/>
            </w:tcBorders>
            <w:shd w:val="clear" w:color="auto" w:fill="auto"/>
            <w:vAlign w:val="center"/>
          </w:tcPr>
          <w:p w:rsidR="00AC40FC" w:rsidRPr="00E33F2E" w:rsidRDefault="00AC40FC" w:rsidP="00581946">
            <w:pPr>
              <w:spacing w:after="0"/>
              <w:jc w:val="center"/>
              <w:rPr>
                <w:rFonts w:cs="Arial"/>
                <w:color w:val="000000"/>
                <w:szCs w:val="24"/>
              </w:rPr>
            </w:pPr>
            <w:r>
              <w:rPr>
                <w:rFonts w:cs="Arial"/>
                <w:color w:val="000000"/>
                <w:szCs w:val="24"/>
              </w:rPr>
              <w:t>0</w:t>
            </w:r>
          </w:p>
        </w:tc>
      </w:tr>
      <w:tr w:rsidR="00AC40FC" w:rsidRPr="00E33F2E" w:rsidTr="00581946">
        <w:trPr>
          <w:trHeight w:val="300"/>
          <w:jc w:val="center"/>
        </w:trPr>
        <w:tc>
          <w:tcPr>
            <w:tcW w:w="926"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2594</w:t>
            </w:r>
          </w:p>
        </w:tc>
        <w:tc>
          <w:tcPr>
            <w:tcW w:w="3996" w:type="dxa"/>
            <w:tcBorders>
              <w:top w:val="single" w:sz="4" w:space="0" w:color="auto"/>
              <w:left w:val="nil"/>
              <w:bottom w:val="single" w:sz="8" w:space="0" w:color="auto"/>
              <w:right w:val="single" w:sz="4" w:space="0" w:color="auto"/>
            </w:tcBorders>
            <w:shd w:val="clear" w:color="auto" w:fill="auto"/>
            <w:noWrap/>
            <w:vAlign w:val="center"/>
            <w:hideMark/>
          </w:tcPr>
          <w:p w:rsidR="00AC40FC" w:rsidRPr="00E33F2E" w:rsidRDefault="00AC40FC" w:rsidP="00581946">
            <w:pPr>
              <w:spacing w:after="0"/>
              <w:jc w:val="left"/>
              <w:rPr>
                <w:rFonts w:cs="Arial"/>
                <w:color w:val="000000"/>
                <w:szCs w:val="24"/>
              </w:rPr>
            </w:pPr>
            <w:r w:rsidRPr="00E33F2E">
              <w:rPr>
                <w:rFonts w:cs="Arial"/>
                <w:color w:val="000000"/>
                <w:szCs w:val="24"/>
              </w:rPr>
              <w:t>Work Management</w:t>
            </w:r>
          </w:p>
        </w:tc>
        <w:tc>
          <w:tcPr>
            <w:tcW w:w="2401" w:type="dxa"/>
            <w:tcBorders>
              <w:top w:val="single" w:sz="4" w:space="0" w:color="auto"/>
              <w:left w:val="single" w:sz="4" w:space="0" w:color="auto"/>
              <w:bottom w:val="single" w:sz="8" w:space="0" w:color="auto"/>
              <w:right w:val="single" w:sz="8" w:space="0" w:color="auto"/>
            </w:tcBorders>
            <w:shd w:val="clear" w:color="auto" w:fill="auto"/>
            <w:noWrap/>
            <w:vAlign w:val="center"/>
          </w:tcPr>
          <w:p w:rsidR="00AC40FC" w:rsidRPr="00E33F2E" w:rsidRDefault="00AC40FC" w:rsidP="00581946">
            <w:pPr>
              <w:spacing w:after="0"/>
              <w:jc w:val="center"/>
              <w:rPr>
                <w:rFonts w:cs="Arial"/>
                <w:color w:val="000000"/>
                <w:szCs w:val="24"/>
              </w:rPr>
            </w:pPr>
            <w:r>
              <w:rPr>
                <w:rFonts w:cs="Arial"/>
                <w:color w:val="000000"/>
                <w:szCs w:val="24"/>
              </w:rPr>
              <w:t>2</w:t>
            </w:r>
          </w:p>
        </w:tc>
      </w:tr>
      <w:tr w:rsidR="00AC40FC" w:rsidRPr="00E33F2E" w:rsidTr="00581946">
        <w:trPr>
          <w:trHeight w:val="300"/>
          <w:jc w:val="center"/>
        </w:trPr>
        <w:tc>
          <w:tcPr>
            <w:tcW w:w="926"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2590</w:t>
            </w:r>
          </w:p>
        </w:tc>
        <w:tc>
          <w:tcPr>
            <w:tcW w:w="3996" w:type="dxa"/>
            <w:tcBorders>
              <w:top w:val="single" w:sz="4" w:space="0" w:color="auto"/>
              <w:left w:val="nil"/>
              <w:bottom w:val="single" w:sz="8" w:space="0" w:color="auto"/>
              <w:right w:val="single" w:sz="4" w:space="0" w:color="auto"/>
            </w:tcBorders>
            <w:shd w:val="clear" w:color="auto" w:fill="auto"/>
            <w:noWrap/>
            <w:vAlign w:val="center"/>
            <w:hideMark/>
          </w:tcPr>
          <w:p w:rsidR="00AC40FC" w:rsidRPr="00E33F2E" w:rsidRDefault="00AC40FC" w:rsidP="00581946">
            <w:pPr>
              <w:spacing w:after="0"/>
              <w:jc w:val="left"/>
              <w:rPr>
                <w:rFonts w:cs="Arial"/>
                <w:color w:val="000000"/>
                <w:szCs w:val="24"/>
              </w:rPr>
            </w:pPr>
            <w:r w:rsidRPr="00E33F2E">
              <w:rPr>
                <w:rFonts w:cs="Arial"/>
                <w:bCs/>
                <w:color w:val="000000"/>
                <w:szCs w:val="24"/>
              </w:rPr>
              <w:t>Transmission Project Management</w:t>
            </w:r>
          </w:p>
        </w:tc>
        <w:tc>
          <w:tcPr>
            <w:tcW w:w="2401"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Pr>
                <w:rFonts w:cs="Arial"/>
                <w:color w:val="000000"/>
                <w:szCs w:val="24"/>
              </w:rPr>
              <w:t>38</w:t>
            </w:r>
          </w:p>
        </w:tc>
      </w:tr>
      <w:tr w:rsidR="00AC40FC" w:rsidRPr="00E33F2E" w:rsidTr="00581946">
        <w:trPr>
          <w:trHeight w:val="300"/>
          <w:jc w:val="center"/>
        </w:trPr>
        <w:tc>
          <w:tcPr>
            <w:tcW w:w="926" w:type="dxa"/>
            <w:tcBorders>
              <w:top w:val="nil"/>
              <w:left w:val="single" w:sz="8" w:space="0" w:color="auto"/>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Pr>
                <w:rFonts w:cs="Arial"/>
                <w:color w:val="000000"/>
                <w:szCs w:val="24"/>
              </w:rPr>
              <w:t>0</w:t>
            </w:r>
            <w:r w:rsidRPr="00E33F2E">
              <w:rPr>
                <w:rFonts w:cs="Arial"/>
                <w:color w:val="000000"/>
                <w:szCs w:val="24"/>
              </w:rPr>
              <w:t>601</w:t>
            </w:r>
          </w:p>
        </w:tc>
        <w:tc>
          <w:tcPr>
            <w:tcW w:w="3996" w:type="dxa"/>
            <w:tcBorders>
              <w:top w:val="nil"/>
              <w:left w:val="nil"/>
              <w:bottom w:val="single" w:sz="4" w:space="0" w:color="auto"/>
              <w:right w:val="single" w:sz="4" w:space="0" w:color="auto"/>
            </w:tcBorders>
            <w:shd w:val="clear" w:color="auto" w:fill="auto"/>
            <w:noWrap/>
            <w:vAlign w:val="center"/>
            <w:hideMark/>
          </w:tcPr>
          <w:p w:rsidR="00AC40FC" w:rsidRPr="00E33F2E" w:rsidRDefault="00AC40FC" w:rsidP="00581946">
            <w:pPr>
              <w:spacing w:after="0"/>
              <w:jc w:val="left"/>
              <w:rPr>
                <w:rFonts w:cs="Arial"/>
                <w:color w:val="000000"/>
                <w:szCs w:val="24"/>
              </w:rPr>
            </w:pPr>
            <w:r w:rsidRPr="00E33F2E">
              <w:rPr>
                <w:rFonts w:cs="Arial"/>
                <w:color w:val="000000"/>
                <w:szCs w:val="24"/>
              </w:rPr>
              <w:t>Asset Management</w:t>
            </w:r>
          </w:p>
        </w:tc>
        <w:tc>
          <w:tcPr>
            <w:tcW w:w="2401"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Pr>
                <w:rFonts w:cs="Arial"/>
                <w:color w:val="000000"/>
                <w:szCs w:val="24"/>
              </w:rPr>
              <w:t>5</w:t>
            </w:r>
          </w:p>
        </w:tc>
      </w:tr>
      <w:tr w:rsidR="00AC40FC" w:rsidRPr="00E33F2E" w:rsidTr="00581946">
        <w:trPr>
          <w:trHeight w:val="300"/>
          <w:jc w:val="center"/>
        </w:trPr>
        <w:tc>
          <w:tcPr>
            <w:tcW w:w="926" w:type="dxa"/>
            <w:tcBorders>
              <w:top w:val="nil"/>
              <w:left w:val="single" w:sz="8" w:space="0" w:color="auto"/>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Pr>
                <w:rFonts w:cs="Arial"/>
                <w:color w:val="000000"/>
                <w:szCs w:val="24"/>
              </w:rPr>
              <w:t>0</w:t>
            </w:r>
            <w:r w:rsidRPr="00E33F2E">
              <w:rPr>
                <w:rFonts w:cs="Arial"/>
                <w:color w:val="000000"/>
                <w:szCs w:val="24"/>
              </w:rPr>
              <w:t>607</w:t>
            </w:r>
          </w:p>
        </w:tc>
        <w:tc>
          <w:tcPr>
            <w:tcW w:w="3996" w:type="dxa"/>
            <w:tcBorders>
              <w:top w:val="nil"/>
              <w:left w:val="nil"/>
              <w:bottom w:val="single" w:sz="4" w:space="0" w:color="auto"/>
              <w:right w:val="single" w:sz="4" w:space="0" w:color="auto"/>
            </w:tcBorders>
            <w:shd w:val="clear" w:color="auto" w:fill="auto"/>
            <w:noWrap/>
            <w:vAlign w:val="center"/>
            <w:hideMark/>
          </w:tcPr>
          <w:p w:rsidR="00AC40FC" w:rsidRPr="00E33F2E" w:rsidRDefault="00AC40FC" w:rsidP="00581946">
            <w:pPr>
              <w:spacing w:after="0"/>
              <w:jc w:val="left"/>
              <w:rPr>
                <w:rFonts w:cs="Arial"/>
                <w:color w:val="000000"/>
                <w:szCs w:val="24"/>
              </w:rPr>
            </w:pPr>
            <w:r w:rsidRPr="00E33F2E">
              <w:rPr>
                <w:rFonts w:cs="Arial"/>
                <w:color w:val="000000"/>
                <w:szCs w:val="24"/>
              </w:rPr>
              <w:t>Asset Management Operations Analysis</w:t>
            </w:r>
          </w:p>
        </w:tc>
        <w:tc>
          <w:tcPr>
            <w:tcW w:w="2401" w:type="dxa"/>
            <w:tcBorders>
              <w:top w:val="single" w:sz="4" w:space="0" w:color="auto"/>
              <w:left w:val="single" w:sz="4" w:space="0" w:color="auto"/>
              <w:bottom w:val="single" w:sz="4" w:space="0" w:color="auto"/>
              <w:right w:val="single" w:sz="8" w:space="0" w:color="auto"/>
            </w:tcBorders>
            <w:shd w:val="clear" w:color="auto" w:fill="auto"/>
            <w:noWrap/>
            <w:vAlign w:val="center"/>
          </w:tcPr>
          <w:p w:rsidR="00AC40FC" w:rsidRPr="00E33F2E" w:rsidRDefault="00AC40FC" w:rsidP="00581946">
            <w:pPr>
              <w:spacing w:after="0"/>
              <w:jc w:val="center"/>
              <w:rPr>
                <w:rFonts w:cs="Arial"/>
                <w:color w:val="000000"/>
                <w:szCs w:val="24"/>
              </w:rPr>
            </w:pPr>
            <w:r>
              <w:rPr>
                <w:rFonts w:cs="Arial"/>
                <w:color w:val="000000"/>
                <w:szCs w:val="24"/>
              </w:rPr>
              <w:t>0</w:t>
            </w:r>
          </w:p>
        </w:tc>
      </w:tr>
      <w:tr w:rsidR="00AC40FC" w:rsidRPr="00E33F2E" w:rsidTr="00581946">
        <w:trPr>
          <w:trHeight w:val="300"/>
          <w:jc w:val="center"/>
        </w:trPr>
        <w:tc>
          <w:tcPr>
            <w:tcW w:w="926" w:type="dxa"/>
            <w:tcBorders>
              <w:top w:val="nil"/>
              <w:left w:val="single" w:sz="8" w:space="0" w:color="auto"/>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Pr>
                <w:rFonts w:cs="Arial"/>
                <w:color w:val="000000"/>
                <w:szCs w:val="24"/>
              </w:rPr>
              <w:t>0</w:t>
            </w:r>
            <w:r w:rsidRPr="00E33F2E">
              <w:rPr>
                <w:rFonts w:cs="Arial"/>
                <w:color w:val="000000"/>
                <w:szCs w:val="24"/>
              </w:rPr>
              <w:t>876</w:t>
            </w:r>
          </w:p>
        </w:tc>
        <w:tc>
          <w:tcPr>
            <w:tcW w:w="3996" w:type="dxa"/>
            <w:tcBorders>
              <w:top w:val="nil"/>
              <w:left w:val="nil"/>
              <w:bottom w:val="single" w:sz="4" w:space="0" w:color="auto"/>
              <w:right w:val="single" w:sz="4" w:space="0" w:color="auto"/>
            </w:tcBorders>
            <w:shd w:val="clear" w:color="auto" w:fill="auto"/>
            <w:noWrap/>
            <w:vAlign w:val="center"/>
            <w:hideMark/>
          </w:tcPr>
          <w:p w:rsidR="00AC40FC" w:rsidRPr="00E33F2E" w:rsidRDefault="00AC40FC" w:rsidP="00581946">
            <w:pPr>
              <w:spacing w:after="0"/>
              <w:jc w:val="left"/>
              <w:rPr>
                <w:rFonts w:cs="Arial"/>
                <w:color w:val="000000"/>
                <w:szCs w:val="24"/>
              </w:rPr>
            </w:pPr>
            <w:r w:rsidRPr="00E33F2E">
              <w:rPr>
                <w:rFonts w:cs="Arial"/>
                <w:color w:val="000000"/>
                <w:szCs w:val="24"/>
              </w:rPr>
              <w:t>T-Portfolio Management</w:t>
            </w:r>
          </w:p>
        </w:tc>
        <w:tc>
          <w:tcPr>
            <w:tcW w:w="2401" w:type="dxa"/>
            <w:tcBorders>
              <w:top w:val="single" w:sz="4" w:space="0" w:color="auto"/>
              <w:left w:val="single" w:sz="4" w:space="0" w:color="auto"/>
              <w:bottom w:val="single" w:sz="4" w:space="0" w:color="auto"/>
              <w:right w:val="single" w:sz="8" w:space="0" w:color="auto"/>
            </w:tcBorders>
            <w:shd w:val="clear" w:color="auto" w:fill="auto"/>
            <w:noWrap/>
            <w:vAlign w:val="center"/>
          </w:tcPr>
          <w:p w:rsidR="00AC40FC" w:rsidRPr="00E33F2E" w:rsidRDefault="00AC40FC" w:rsidP="00581946">
            <w:pPr>
              <w:spacing w:after="0"/>
              <w:jc w:val="center"/>
              <w:rPr>
                <w:rFonts w:cs="Arial"/>
                <w:color w:val="000000"/>
                <w:szCs w:val="24"/>
              </w:rPr>
            </w:pPr>
            <w:r>
              <w:rPr>
                <w:rFonts w:cs="Arial"/>
                <w:color w:val="000000"/>
                <w:szCs w:val="24"/>
              </w:rPr>
              <w:t>2</w:t>
            </w:r>
          </w:p>
        </w:tc>
      </w:tr>
      <w:tr w:rsidR="00AC40FC" w:rsidRPr="00E33F2E" w:rsidTr="00581946">
        <w:trPr>
          <w:trHeight w:val="300"/>
          <w:jc w:val="center"/>
        </w:trPr>
        <w:tc>
          <w:tcPr>
            <w:tcW w:w="926" w:type="dxa"/>
            <w:tcBorders>
              <w:top w:val="nil"/>
              <w:left w:val="single" w:sz="8" w:space="0" w:color="auto"/>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Pr>
                <w:rFonts w:cs="Arial"/>
                <w:color w:val="000000"/>
                <w:szCs w:val="24"/>
              </w:rPr>
              <w:t>0</w:t>
            </w:r>
            <w:r w:rsidRPr="00E33F2E">
              <w:rPr>
                <w:rFonts w:cs="Arial"/>
                <w:color w:val="000000"/>
                <w:szCs w:val="24"/>
              </w:rPr>
              <w:t>878</w:t>
            </w:r>
          </w:p>
        </w:tc>
        <w:tc>
          <w:tcPr>
            <w:tcW w:w="3996" w:type="dxa"/>
            <w:tcBorders>
              <w:top w:val="nil"/>
              <w:left w:val="nil"/>
              <w:bottom w:val="single" w:sz="4" w:space="0" w:color="auto"/>
              <w:right w:val="single" w:sz="4" w:space="0" w:color="auto"/>
            </w:tcBorders>
            <w:shd w:val="clear" w:color="auto" w:fill="auto"/>
            <w:noWrap/>
            <w:vAlign w:val="center"/>
            <w:hideMark/>
          </w:tcPr>
          <w:p w:rsidR="00AC40FC" w:rsidRPr="00E33F2E" w:rsidRDefault="00AC40FC" w:rsidP="00581946">
            <w:pPr>
              <w:spacing w:after="0"/>
              <w:jc w:val="left"/>
              <w:rPr>
                <w:rFonts w:cs="Arial"/>
                <w:color w:val="000000"/>
                <w:szCs w:val="24"/>
              </w:rPr>
            </w:pPr>
            <w:r w:rsidRPr="00E33F2E">
              <w:rPr>
                <w:rFonts w:cs="Arial"/>
                <w:color w:val="000000"/>
                <w:szCs w:val="24"/>
              </w:rPr>
              <w:t>Maintenance Engineering</w:t>
            </w:r>
          </w:p>
        </w:tc>
        <w:tc>
          <w:tcPr>
            <w:tcW w:w="2401" w:type="dxa"/>
            <w:tcBorders>
              <w:top w:val="single" w:sz="4" w:space="0" w:color="auto"/>
              <w:left w:val="single" w:sz="4" w:space="0" w:color="auto"/>
              <w:bottom w:val="single" w:sz="4" w:space="0" w:color="auto"/>
              <w:right w:val="single" w:sz="8" w:space="0" w:color="auto"/>
            </w:tcBorders>
            <w:shd w:val="clear" w:color="auto" w:fill="auto"/>
            <w:noWrap/>
            <w:vAlign w:val="center"/>
          </w:tcPr>
          <w:p w:rsidR="00AC40FC" w:rsidRPr="00E33F2E" w:rsidRDefault="00AC40FC" w:rsidP="00581946">
            <w:pPr>
              <w:spacing w:after="0"/>
              <w:jc w:val="center"/>
              <w:rPr>
                <w:rFonts w:cs="Arial"/>
                <w:color w:val="000000"/>
                <w:szCs w:val="24"/>
              </w:rPr>
            </w:pPr>
            <w:r>
              <w:rPr>
                <w:rFonts w:cs="Arial"/>
                <w:color w:val="000000"/>
                <w:szCs w:val="24"/>
              </w:rPr>
              <w:t>2</w:t>
            </w:r>
          </w:p>
        </w:tc>
      </w:tr>
      <w:tr w:rsidR="00AC40FC" w:rsidRPr="00E33F2E" w:rsidTr="00581946">
        <w:trPr>
          <w:trHeight w:val="300"/>
          <w:jc w:val="center"/>
        </w:trPr>
        <w:tc>
          <w:tcPr>
            <w:tcW w:w="926" w:type="dxa"/>
            <w:tcBorders>
              <w:top w:val="nil"/>
              <w:left w:val="single" w:sz="8" w:space="0" w:color="auto"/>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Pr>
                <w:rFonts w:cs="Arial"/>
                <w:color w:val="000000"/>
                <w:szCs w:val="24"/>
              </w:rPr>
              <w:t>0</w:t>
            </w:r>
            <w:r w:rsidRPr="00E33F2E">
              <w:rPr>
                <w:rFonts w:cs="Arial"/>
                <w:color w:val="000000"/>
                <w:szCs w:val="24"/>
              </w:rPr>
              <w:t>880</w:t>
            </w:r>
          </w:p>
        </w:tc>
        <w:tc>
          <w:tcPr>
            <w:tcW w:w="3996" w:type="dxa"/>
            <w:tcBorders>
              <w:top w:val="nil"/>
              <w:left w:val="nil"/>
              <w:bottom w:val="single" w:sz="4" w:space="0" w:color="auto"/>
              <w:right w:val="single" w:sz="4" w:space="0" w:color="auto"/>
            </w:tcBorders>
            <w:shd w:val="clear" w:color="auto" w:fill="auto"/>
            <w:noWrap/>
            <w:vAlign w:val="center"/>
            <w:hideMark/>
          </w:tcPr>
          <w:p w:rsidR="00AC40FC" w:rsidRPr="00E33F2E" w:rsidRDefault="00AC40FC" w:rsidP="00581946">
            <w:pPr>
              <w:spacing w:after="0"/>
              <w:jc w:val="left"/>
              <w:rPr>
                <w:rFonts w:cs="Arial"/>
                <w:color w:val="000000"/>
                <w:szCs w:val="24"/>
              </w:rPr>
            </w:pPr>
            <w:r w:rsidRPr="00E33F2E">
              <w:rPr>
                <w:rFonts w:cs="Arial"/>
                <w:color w:val="000000"/>
                <w:szCs w:val="24"/>
              </w:rPr>
              <w:t>Engineering and Maintenance Standards</w:t>
            </w:r>
          </w:p>
        </w:tc>
        <w:tc>
          <w:tcPr>
            <w:tcW w:w="2401" w:type="dxa"/>
            <w:tcBorders>
              <w:top w:val="single" w:sz="4" w:space="0" w:color="auto"/>
              <w:left w:val="single" w:sz="4" w:space="0" w:color="auto"/>
              <w:bottom w:val="single" w:sz="4" w:space="0" w:color="auto"/>
              <w:right w:val="single" w:sz="8" w:space="0" w:color="auto"/>
            </w:tcBorders>
            <w:shd w:val="clear" w:color="auto" w:fill="auto"/>
            <w:noWrap/>
            <w:vAlign w:val="center"/>
          </w:tcPr>
          <w:p w:rsidR="00AC40FC" w:rsidRPr="00E33F2E" w:rsidRDefault="00AC40FC" w:rsidP="00581946">
            <w:pPr>
              <w:spacing w:after="0"/>
              <w:jc w:val="center"/>
              <w:rPr>
                <w:rFonts w:cs="Arial"/>
                <w:color w:val="000000"/>
                <w:szCs w:val="24"/>
              </w:rPr>
            </w:pPr>
            <w:r>
              <w:rPr>
                <w:rFonts w:cs="Arial"/>
                <w:color w:val="000000"/>
                <w:szCs w:val="24"/>
              </w:rPr>
              <w:t>4</w:t>
            </w:r>
          </w:p>
        </w:tc>
      </w:tr>
      <w:tr w:rsidR="00AC40FC" w:rsidRPr="00E33F2E" w:rsidTr="00581946">
        <w:trPr>
          <w:trHeight w:val="315"/>
          <w:jc w:val="center"/>
        </w:trPr>
        <w:tc>
          <w:tcPr>
            <w:tcW w:w="926" w:type="dxa"/>
            <w:tcBorders>
              <w:top w:val="nil"/>
              <w:left w:val="single" w:sz="8" w:space="0" w:color="auto"/>
              <w:bottom w:val="single" w:sz="8" w:space="0" w:color="auto"/>
              <w:right w:val="single" w:sz="4" w:space="0" w:color="auto"/>
            </w:tcBorders>
            <w:shd w:val="clear" w:color="auto" w:fill="auto"/>
            <w:noWrap/>
            <w:vAlign w:val="center"/>
            <w:hideMark/>
          </w:tcPr>
          <w:p w:rsidR="00AC40FC" w:rsidRPr="00E33F2E" w:rsidRDefault="00AC40FC" w:rsidP="00581946">
            <w:pPr>
              <w:spacing w:after="0"/>
              <w:jc w:val="left"/>
              <w:rPr>
                <w:rFonts w:ascii="Calibri" w:hAnsi="Calibri"/>
                <w:color w:val="000000"/>
                <w:sz w:val="20"/>
                <w:szCs w:val="20"/>
              </w:rPr>
            </w:pPr>
          </w:p>
        </w:tc>
        <w:tc>
          <w:tcPr>
            <w:tcW w:w="3996" w:type="dxa"/>
            <w:tcBorders>
              <w:top w:val="nil"/>
              <w:left w:val="nil"/>
              <w:bottom w:val="single" w:sz="8" w:space="0" w:color="auto"/>
              <w:right w:val="single" w:sz="4" w:space="0" w:color="auto"/>
            </w:tcBorders>
            <w:shd w:val="clear" w:color="auto" w:fill="auto"/>
            <w:noWrap/>
            <w:vAlign w:val="center"/>
            <w:hideMark/>
          </w:tcPr>
          <w:p w:rsidR="00AC40FC" w:rsidRPr="00D70638" w:rsidRDefault="00AC40FC" w:rsidP="00581946">
            <w:pPr>
              <w:spacing w:after="0"/>
              <w:jc w:val="center"/>
              <w:rPr>
                <w:rFonts w:cs="Arial"/>
                <w:color w:val="000000"/>
                <w:szCs w:val="24"/>
              </w:rPr>
            </w:pPr>
            <w:r w:rsidRPr="00D70638">
              <w:rPr>
                <w:rFonts w:cs="Arial"/>
                <w:color w:val="000000"/>
                <w:szCs w:val="24"/>
              </w:rPr>
              <w:t>Subtotal</w:t>
            </w:r>
          </w:p>
        </w:tc>
        <w:tc>
          <w:tcPr>
            <w:tcW w:w="2401" w:type="dxa"/>
            <w:tcBorders>
              <w:top w:val="single" w:sz="4" w:space="0" w:color="auto"/>
              <w:left w:val="single" w:sz="4" w:space="0" w:color="auto"/>
              <w:bottom w:val="single" w:sz="8" w:space="0" w:color="auto"/>
              <w:right w:val="single" w:sz="8" w:space="0" w:color="auto"/>
            </w:tcBorders>
            <w:shd w:val="clear" w:color="auto" w:fill="auto"/>
            <w:noWrap/>
            <w:vAlign w:val="center"/>
          </w:tcPr>
          <w:p w:rsidR="00AC40FC" w:rsidRPr="00D70638" w:rsidRDefault="00AC40FC" w:rsidP="00581946">
            <w:pPr>
              <w:spacing w:after="0"/>
              <w:jc w:val="center"/>
              <w:rPr>
                <w:rFonts w:cs="Arial"/>
                <w:color w:val="000000"/>
                <w:szCs w:val="24"/>
              </w:rPr>
            </w:pPr>
            <w:r>
              <w:rPr>
                <w:rFonts w:cs="Arial"/>
                <w:color w:val="000000"/>
                <w:szCs w:val="24"/>
              </w:rPr>
              <w:t>56</w:t>
            </w:r>
          </w:p>
        </w:tc>
      </w:tr>
      <w:tr w:rsidR="00AC40FC" w:rsidRPr="00E33F2E" w:rsidTr="00581946">
        <w:trPr>
          <w:trHeight w:val="300"/>
          <w:jc w:val="center"/>
        </w:trPr>
        <w:tc>
          <w:tcPr>
            <w:tcW w:w="926" w:type="dxa"/>
            <w:tcBorders>
              <w:top w:val="nil"/>
              <w:left w:val="single" w:sz="8" w:space="0" w:color="auto"/>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Pr>
                <w:rFonts w:cs="Arial"/>
                <w:color w:val="000000"/>
                <w:szCs w:val="24"/>
              </w:rPr>
              <w:t>0</w:t>
            </w:r>
            <w:r w:rsidRPr="00E33F2E">
              <w:rPr>
                <w:rFonts w:cs="Arial"/>
                <w:color w:val="000000"/>
                <w:szCs w:val="24"/>
              </w:rPr>
              <w:t>881</w:t>
            </w:r>
          </w:p>
        </w:tc>
        <w:tc>
          <w:tcPr>
            <w:tcW w:w="3996" w:type="dxa"/>
            <w:tcBorders>
              <w:top w:val="nil"/>
              <w:left w:val="nil"/>
              <w:bottom w:val="single" w:sz="4" w:space="0" w:color="auto"/>
              <w:right w:val="single" w:sz="4" w:space="0" w:color="auto"/>
            </w:tcBorders>
            <w:shd w:val="clear" w:color="auto" w:fill="auto"/>
            <w:noWrap/>
            <w:vAlign w:val="center"/>
            <w:hideMark/>
          </w:tcPr>
          <w:p w:rsidR="00AC40FC" w:rsidRPr="00E33F2E" w:rsidRDefault="00AC40FC" w:rsidP="00581946">
            <w:pPr>
              <w:spacing w:after="0"/>
              <w:jc w:val="left"/>
              <w:rPr>
                <w:rFonts w:cs="Arial"/>
                <w:color w:val="000000"/>
                <w:szCs w:val="24"/>
              </w:rPr>
            </w:pPr>
            <w:r w:rsidRPr="00E33F2E">
              <w:rPr>
                <w:rFonts w:cs="Arial"/>
                <w:color w:val="000000"/>
                <w:szCs w:val="24"/>
              </w:rPr>
              <w:t>Transmission Design</w:t>
            </w:r>
          </w:p>
        </w:tc>
        <w:tc>
          <w:tcPr>
            <w:tcW w:w="2401" w:type="dxa"/>
            <w:tcBorders>
              <w:top w:val="single" w:sz="4" w:space="0" w:color="auto"/>
              <w:left w:val="single" w:sz="4" w:space="0" w:color="auto"/>
              <w:bottom w:val="single" w:sz="4" w:space="0" w:color="auto"/>
              <w:right w:val="single" w:sz="8" w:space="0" w:color="auto"/>
            </w:tcBorders>
            <w:shd w:val="clear" w:color="auto" w:fill="auto"/>
            <w:noWrap/>
            <w:vAlign w:val="center"/>
          </w:tcPr>
          <w:p w:rsidR="00AC40FC" w:rsidRPr="00E33F2E" w:rsidRDefault="00AC40FC" w:rsidP="00581946">
            <w:pPr>
              <w:spacing w:after="0"/>
              <w:jc w:val="center"/>
              <w:rPr>
                <w:rFonts w:cs="Arial"/>
                <w:color w:val="000000"/>
                <w:szCs w:val="24"/>
              </w:rPr>
            </w:pPr>
            <w:r>
              <w:rPr>
                <w:rFonts w:cs="Arial"/>
                <w:color w:val="000000"/>
                <w:szCs w:val="24"/>
              </w:rPr>
              <w:t>2</w:t>
            </w:r>
          </w:p>
        </w:tc>
      </w:tr>
      <w:tr w:rsidR="00AC40FC" w:rsidRPr="00E33F2E" w:rsidTr="00581946">
        <w:trPr>
          <w:trHeight w:val="300"/>
          <w:jc w:val="center"/>
        </w:trPr>
        <w:tc>
          <w:tcPr>
            <w:tcW w:w="926" w:type="dxa"/>
            <w:tcBorders>
              <w:top w:val="nil"/>
              <w:left w:val="single" w:sz="8" w:space="0" w:color="auto"/>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Pr>
                <w:rFonts w:cs="Arial"/>
                <w:color w:val="000000"/>
                <w:szCs w:val="24"/>
              </w:rPr>
              <w:t>0</w:t>
            </w:r>
            <w:r w:rsidRPr="00E33F2E">
              <w:rPr>
                <w:rFonts w:cs="Arial"/>
                <w:color w:val="000000"/>
                <w:szCs w:val="24"/>
              </w:rPr>
              <w:t>883</w:t>
            </w:r>
          </w:p>
        </w:tc>
        <w:tc>
          <w:tcPr>
            <w:tcW w:w="3996" w:type="dxa"/>
            <w:tcBorders>
              <w:top w:val="nil"/>
              <w:left w:val="nil"/>
              <w:bottom w:val="single" w:sz="4" w:space="0" w:color="auto"/>
              <w:right w:val="single" w:sz="4" w:space="0" w:color="auto"/>
            </w:tcBorders>
            <w:shd w:val="clear" w:color="auto" w:fill="auto"/>
            <w:noWrap/>
            <w:vAlign w:val="center"/>
            <w:hideMark/>
          </w:tcPr>
          <w:p w:rsidR="00AC40FC" w:rsidRPr="00E33F2E" w:rsidRDefault="00AC40FC" w:rsidP="00581946">
            <w:pPr>
              <w:spacing w:after="0"/>
              <w:jc w:val="left"/>
              <w:rPr>
                <w:rFonts w:cs="Arial"/>
                <w:color w:val="000000"/>
                <w:szCs w:val="24"/>
              </w:rPr>
            </w:pPr>
            <w:r w:rsidRPr="00E33F2E">
              <w:rPr>
                <w:rFonts w:cs="Arial"/>
                <w:color w:val="000000"/>
                <w:szCs w:val="24"/>
              </w:rPr>
              <w:t>Substation Engineering</w:t>
            </w:r>
          </w:p>
        </w:tc>
        <w:tc>
          <w:tcPr>
            <w:tcW w:w="2401" w:type="dxa"/>
            <w:tcBorders>
              <w:top w:val="single" w:sz="4" w:space="0" w:color="auto"/>
              <w:left w:val="single" w:sz="4" w:space="0" w:color="auto"/>
              <w:bottom w:val="single" w:sz="4" w:space="0" w:color="auto"/>
              <w:right w:val="single" w:sz="8" w:space="0" w:color="auto"/>
            </w:tcBorders>
            <w:shd w:val="clear" w:color="auto" w:fill="auto"/>
            <w:noWrap/>
            <w:vAlign w:val="center"/>
          </w:tcPr>
          <w:p w:rsidR="00AC40FC" w:rsidRPr="00E33F2E" w:rsidRDefault="00AC40FC" w:rsidP="00581946">
            <w:pPr>
              <w:spacing w:after="0"/>
              <w:jc w:val="center"/>
              <w:rPr>
                <w:rFonts w:cs="Arial"/>
                <w:color w:val="000000"/>
                <w:szCs w:val="24"/>
              </w:rPr>
            </w:pPr>
            <w:r>
              <w:rPr>
                <w:rFonts w:cs="Arial"/>
                <w:color w:val="000000"/>
                <w:szCs w:val="24"/>
              </w:rPr>
              <w:t>4</w:t>
            </w:r>
          </w:p>
        </w:tc>
      </w:tr>
      <w:tr w:rsidR="00AC40FC" w:rsidRPr="00E33F2E" w:rsidTr="00581946">
        <w:trPr>
          <w:trHeight w:val="300"/>
          <w:jc w:val="center"/>
        </w:trPr>
        <w:tc>
          <w:tcPr>
            <w:tcW w:w="926" w:type="dxa"/>
            <w:tcBorders>
              <w:top w:val="nil"/>
              <w:left w:val="single" w:sz="8" w:space="0" w:color="auto"/>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Pr>
                <w:rFonts w:cs="Arial"/>
                <w:color w:val="000000"/>
                <w:szCs w:val="24"/>
              </w:rPr>
              <w:t>0</w:t>
            </w:r>
            <w:r w:rsidRPr="00E33F2E">
              <w:rPr>
                <w:rFonts w:cs="Arial"/>
                <w:color w:val="000000"/>
                <w:szCs w:val="24"/>
              </w:rPr>
              <w:t>905</w:t>
            </w:r>
          </w:p>
        </w:tc>
        <w:tc>
          <w:tcPr>
            <w:tcW w:w="3996" w:type="dxa"/>
            <w:tcBorders>
              <w:top w:val="nil"/>
              <w:left w:val="nil"/>
              <w:bottom w:val="single" w:sz="4" w:space="0" w:color="auto"/>
              <w:right w:val="single" w:sz="4" w:space="0" w:color="auto"/>
            </w:tcBorders>
            <w:shd w:val="clear" w:color="auto" w:fill="auto"/>
            <w:noWrap/>
            <w:vAlign w:val="center"/>
            <w:hideMark/>
          </w:tcPr>
          <w:p w:rsidR="00AC40FC" w:rsidRPr="00E33F2E" w:rsidRDefault="00AC40FC" w:rsidP="00581946">
            <w:pPr>
              <w:spacing w:after="0"/>
              <w:jc w:val="left"/>
              <w:rPr>
                <w:rFonts w:cs="Arial"/>
                <w:color w:val="000000"/>
                <w:szCs w:val="24"/>
              </w:rPr>
            </w:pPr>
            <w:r w:rsidRPr="00E33F2E">
              <w:rPr>
                <w:rFonts w:cs="Arial"/>
                <w:color w:val="000000"/>
                <w:szCs w:val="24"/>
              </w:rPr>
              <w:t>Protection and Control Engineering</w:t>
            </w:r>
          </w:p>
        </w:tc>
        <w:tc>
          <w:tcPr>
            <w:tcW w:w="2401" w:type="dxa"/>
            <w:tcBorders>
              <w:top w:val="single" w:sz="4" w:space="0" w:color="auto"/>
              <w:left w:val="single" w:sz="4" w:space="0" w:color="auto"/>
              <w:bottom w:val="single" w:sz="4" w:space="0" w:color="auto"/>
              <w:right w:val="single" w:sz="8" w:space="0" w:color="auto"/>
            </w:tcBorders>
            <w:shd w:val="clear" w:color="auto" w:fill="auto"/>
            <w:noWrap/>
            <w:vAlign w:val="center"/>
          </w:tcPr>
          <w:p w:rsidR="00AC40FC" w:rsidRPr="00E33F2E" w:rsidRDefault="00AC40FC" w:rsidP="00581946">
            <w:pPr>
              <w:spacing w:after="0"/>
              <w:jc w:val="center"/>
              <w:rPr>
                <w:rFonts w:cs="Arial"/>
                <w:color w:val="000000"/>
                <w:szCs w:val="24"/>
              </w:rPr>
            </w:pPr>
            <w:r>
              <w:rPr>
                <w:rFonts w:cs="Arial"/>
                <w:color w:val="000000"/>
                <w:szCs w:val="24"/>
              </w:rPr>
              <w:t>27</w:t>
            </w:r>
          </w:p>
        </w:tc>
      </w:tr>
      <w:tr w:rsidR="00AC40FC" w:rsidRPr="00E33F2E" w:rsidTr="00581946">
        <w:trPr>
          <w:trHeight w:val="300"/>
          <w:jc w:val="center"/>
        </w:trPr>
        <w:tc>
          <w:tcPr>
            <w:tcW w:w="926" w:type="dxa"/>
            <w:tcBorders>
              <w:top w:val="nil"/>
              <w:left w:val="single" w:sz="8" w:space="0" w:color="auto"/>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Pr>
                <w:rFonts w:cs="Arial"/>
                <w:color w:val="000000"/>
                <w:szCs w:val="24"/>
              </w:rPr>
              <w:t>0</w:t>
            </w:r>
            <w:r w:rsidRPr="00E33F2E">
              <w:rPr>
                <w:rFonts w:cs="Arial"/>
                <w:color w:val="000000"/>
                <w:szCs w:val="24"/>
              </w:rPr>
              <w:t>489</w:t>
            </w:r>
          </w:p>
        </w:tc>
        <w:tc>
          <w:tcPr>
            <w:tcW w:w="3996" w:type="dxa"/>
            <w:tcBorders>
              <w:top w:val="nil"/>
              <w:left w:val="nil"/>
              <w:bottom w:val="single" w:sz="4" w:space="0" w:color="auto"/>
              <w:right w:val="single" w:sz="4" w:space="0" w:color="auto"/>
            </w:tcBorders>
            <w:shd w:val="clear" w:color="auto" w:fill="auto"/>
            <w:noWrap/>
            <w:vAlign w:val="center"/>
            <w:hideMark/>
          </w:tcPr>
          <w:p w:rsidR="00AC40FC" w:rsidRPr="00E33F2E" w:rsidRDefault="00AC40FC" w:rsidP="00581946">
            <w:pPr>
              <w:spacing w:after="0"/>
              <w:jc w:val="left"/>
              <w:rPr>
                <w:rFonts w:cs="Arial"/>
                <w:color w:val="000000"/>
                <w:szCs w:val="24"/>
              </w:rPr>
            </w:pPr>
            <w:r w:rsidRPr="00E33F2E">
              <w:rPr>
                <w:rFonts w:cs="Arial"/>
                <w:color w:val="000000"/>
                <w:szCs w:val="24"/>
              </w:rPr>
              <w:t>Construction Management</w:t>
            </w:r>
          </w:p>
        </w:tc>
        <w:tc>
          <w:tcPr>
            <w:tcW w:w="2401"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Pr>
                <w:rFonts w:cs="Arial"/>
                <w:color w:val="000000"/>
                <w:szCs w:val="24"/>
              </w:rPr>
              <w:t>7</w:t>
            </w:r>
          </w:p>
        </w:tc>
      </w:tr>
      <w:tr w:rsidR="00AC40FC" w:rsidRPr="00E33F2E" w:rsidTr="00581946">
        <w:trPr>
          <w:trHeight w:val="300"/>
          <w:jc w:val="center"/>
        </w:trPr>
        <w:tc>
          <w:tcPr>
            <w:tcW w:w="926" w:type="dxa"/>
            <w:tcBorders>
              <w:top w:val="nil"/>
              <w:left w:val="single" w:sz="8" w:space="0" w:color="auto"/>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2593</w:t>
            </w:r>
          </w:p>
        </w:tc>
        <w:tc>
          <w:tcPr>
            <w:tcW w:w="3996" w:type="dxa"/>
            <w:tcBorders>
              <w:top w:val="nil"/>
              <w:left w:val="nil"/>
              <w:bottom w:val="single" w:sz="4" w:space="0" w:color="auto"/>
              <w:right w:val="single" w:sz="4" w:space="0" w:color="auto"/>
            </w:tcBorders>
            <w:shd w:val="clear" w:color="auto" w:fill="auto"/>
            <w:noWrap/>
            <w:vAlign w:val="center"/>
            <w:hideMark/>
          </w:tcPr>
          <w:p w:rsidR="00AC40FC" w:rsidRPr="00E33F2E" w:rsidRDefault="00AC40FC" w:rsidP="00581946">
            <w:pPr>
              <w:spacing w:after="0"/>
              <w:jc w:val="left"/>
              <w:rPr>
                <w:rFonts w:cs="Arial"/>
                <w:color w:val="000000"/>
                <w:szCs w:val="24"/>
              </w:rPr>
            </w:pPr>
            <w:r w:rsidRPr="00E33F2E">
              <w:rPr>
                <w:rFonts w:cs="Arial"/>
                <w:color w:val="000000"/>
                <w:szCs w:val="24"/>
              </w:rPr>
              <w:t>Transmission Real Estate Siting and Permit</w:t>
            </w:r>
          </w:p>
        </w:tc>
        <w:tc>
          <w:tcPr>
            <w:tcW w:w="2401" w:type="dxa"/>
            <w:tcBorders>
              <w:top w:val="single" w:sz="4" w:space="0" w:color="auto"/>
              <w:left w:val="single" w:sz="4" w:space="0" w:color="auto"/>
              <w:bottom w:val="single" w:sz="4" w:space="0" w:color="auto"/>
              <w:right w:val="single" w:sz="8" w:space="0" w:color="auto"/>
            </w:tcBorders>
            <w:shd w:val="clear" w:color="auto" w:fill="auto"/>
            <w:noWrap/>
            <w:vAlign w:val="center"/>
          </w:tcPr>
          <w:p w:rsidR="00AC40FC" w:rsidRPr="00E33F2E" w:rsidRDefault="00AC40FC" w:rsidP="00581946">
            <w:pPr>
              <w:spacing w:after="0"/>
              <w:jc w:val="center"/>
              <w:rPr>
                <w:rFonts w:cs="Arial"/>
                <w:color w:val="000000"/>
                <w:szCs w:val="24"/>
              </w:rPr>
            </w:pPr>
            <w:r>
              <w:rPr>
                <w:rFonts w:cs="Arial"/>
                <w:color w:val="000000"/>
                <w:szCs w:val="24"/>
              </w:rPr>
              <w:t>0</w:t>
            </w:r>
          </w:p>
        </w:tc>
      </w:tr>
      <w:tr w:rsidR="00AC40FC" w:rsidRPr="00E33F2E" w:rsidTr="00581946">
        <w:trPr>
          <w:trHeight w:val="300"/>
          <w:jc w:val="center"/>
        </w:trPr>
        <w:tc>
          <w:tcPr>
            <w:tcW w:w="926" w:type="dxa"/>
            <w:tcBorders>
              <w:top w:val="nil"/>
              <w:left w:val="single" w:sz="8" w:space="0" w:color="auto"/>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2595</w:t>
            </w:r>
          </w:p>
        </w:tc>
        <w:tc>
          <w:tcPr>
            <w:tcW w:w="3996" w:type="dxa"/>
            <w:tcBorders>
              <w:top w:val="nil"/>
              <w:left w:val="nil"/>
              <w:bottom w:val="single" w:sz="4" w:space="0" w:color="auto"/>
              <w:right w:val="single" w:sz="4" w:space="0" w:color="auto"/>
            </w:tcBorders>
            <w:shd w:val="clear" w:color="auto" w:fill="auto"/>
            <w:noWrap/>
            <w:vAlign w:val="center"/>
            <w:hideMark/>
          </w:tcPr>
          <w:p w:rsidR="00AC40FC" w:rsidRPr="00E33F2E" w:rsidRDefault="00AC40FC" w:rsidP="00581946">
            <w:pPr>
              <w:spacing w:after="0"/>
              <w:jc w:val="left"/>
              <w:rPr>
                <w:rFonts w:cs="Arial"/>
                <w:color w:val="000000"/>
                <w:szCs w:val="24"/>
              </w:rPr>
            </w:pPr>
            <w:r w:rsidRPr="00E33F2E">
              <w:rPr>
                <w:rFonts w:cs="Arial"/>
                <w:bCs/>
                <w:color w:val="000000"/>
                <w:szCs w:val="24"/>
              </w:rPr>
              <w:t>Transmission Expansion</w:t>
            </w:r>
          </w:p>
        </w:tc>
        <w:tc>
          <w:tcPr>
            <w:tcW w:w="2401" w:type="dxa"/>
            <w:tcBorders>
              <w:top w:val="single" w:sz="4" w:space="0" w:color="auto"/>
              <w:left w:val="single" w:sz="4" w:space="0" w:color="auto"/>
              <w:bottom w:val="single" w:sz="4" w:space="0" w:color="auto"/>
              <w:right w:val="single" w:sz="8" w:space="0" w:color="auto"/>
            </w:tcBorders>
            <w:shd w:val="clear" w:color="auto" w:fill="auto"/>
            <w:noWrap/>
            <w:vAlign w:val="center"/>
          </w:tcPr>
          <w:p w:rsidR="00AC40FC" w:rsidRPr="00E33F2E" w:rsidRDefault="00AC40FC" w:rsidP="00581946">
            <w:pPr>
              <w:spacing w:after="0"/>
              <w:jc w:val="center"/>
              <w:rPr>
                <w:rFonts w:cs="Arial"/>
                <w:color w:val="000000"/>
                <w:szCs w:val="24"/>
              </w:rPr>
            </w:pPr>
            <w:r>
              <w:rPr>
                <w:rFonts w:cs="Arial"/>
                <w:color w:val="000000"/>
                <w:szCs w:val="24"/>
              </w:rPr>
              <w:t>1</w:t>
            </w:r>
          </w:p>
        </w:tc>
      </w:tr>
      <w:tr w:rsidR="00AC40FC" w:rsidRPr="00E33F2E" w:rsidTr="00581946">
        <w:trPr>
          <w:trHeight w:val="315"/>
          <w:jc w:val="center"/>
        </w:trPr>
        <w:tc>
          <w:tcPr>
            <w:tcW w:w="926"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AC40FC" w:rsidRPr="00E33F2E" w:rsidRDefault="00AC40FC" w:rsidP="00581946">
            <w:pPr>
              <w:spacing w:after="0"/>
              <w:jc w:val="left"/>
              <w:rPr>
                <w:rFonts w:ascii="Calibri" w:hAnsi="Calibri"/>
                <w:color w:val="000000"/>
                <w:sz w:val="20"/>
                <w:szCs w:val="20"/>
              </w:rPr>
            </w:pPr>
          </w:p>
        </w:tc>
        <w:tc>
          <w:tcPr>
            <w:tcW w:w="3996" w:type="dxa"/>
            <w:tcBorders>
              <w:top w:val="single" w:sz="4" w:space="0" w:color="auto"/>
              <w:left w:val="nil"/>
              <w:bottom w:val="single" w:sz="8"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sidRPr="00E33F2E">
              <w:rPr>
                <w:rFonts w:cs="Arial"/>
                <w:color w:val="000000"/>
                <w:szCs w:val="24"/>
              </w:rPr>
              <w:t>Subtotal</w:t>
            </w:r>
          </w:p>
        </w:tc>
        <w:tc>
          <w:tcPr>
            <w:tcW w:w="2401" w:type="dxa"/>
            <w:tcBorders>
              <w:top w:val="single" w:sz="4" w:space="0" w:color="auto"/>
              <w:left w:val="single" w:sz="4" w:space="0" w:color="auto"/>
              <w:bottom w:val="single" w:sz="8" w:space="0" w:color="auto"/>
              <w:right w:val="single" w:sz="8" w:space="0" w:color="auto"/>
            </w:tcBorders>
            <w:shd w:val="clear" w:color="auto" w:fill="auto"/>
            <w:noWrap/>
            <w:vAlign w:val="center"/>
          </w:tcPr>
          <w:p w:rsidR="00AC40FC" w:rsidRPr="00E33F2E" w:rsidRDefault="00AC40FC" w:rsidP="00581946">
            <w:pPr>
              <w:spacing w:after="0"/>
              <w:jc w:val="center"/>
              <w:rPr>
                <w:rFonts w:cs="Arial"/>
                <w:color w:val="000000"/>
                <w:szCs w:val="24"/>
              </w:rPr>
            </w:pPr>
            <w:r>
              <w:rPr>
                <w:rFonts w:cs="Arial"/>
                <w:color w:val="000000"/>
                <w:szCs w:val="24"/>
              </w:rPr>
              <w:t>41</w:t>
            </w:r>
          </w:p>
        </w:tc>
      </w:tr>
      <w:tr w:rsidR="00AC40FC" w:rsidRPr="00E33F2E" w:rsidTr="00581946">
        <w:trPr>
          <w:trHeight w:val="300"/>
          <w:jc w:val="center"/>
        </w:trPr>
        <w:tc>
          <w:tcPr>
            <w:tcW w:w="926" w:type="dxa"/>
            <w:tcBorders>
              <w:top w:val="nil"/>
              <w:left w:val="single" w:sz="8" w:space="0" w:color="auto"/>
              <w:bottom w:val="single" w:sz="8"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Pr>
                <w:rFonts w:cs="Arial"/>
                <w:color w:val="000000"/>
                <w:szCs w:val="24"/>
              </w:rPr>
              <w:t>066</w:t>
            </w:r>
            <w:r w:rsidRPr="00E33F2E">
              <w:rPr>
                <w:rFonts w:cs="Arial"/>
                <w:color w:val="000000"/>
                <w:szCs w:val="24"/>
              </w:rPr>
              <w:t>1</w:t>
            </w:r>
          </w:p>
        </w:tc>
        <w:tc>
          <w:tcPr>
            <w:tcW w:w="3996" w:type="dxa"/>
            <w:tcBorders>
              <w:top w:val="nil"/>
              <w:left w:val="nil"/>
              <w:bottom w:val="single" w:sz="8" w:space="0" w:color="auto"/>
              <w:right w:val="single" w:sz="4" w:space="0" w:color="auto"/>
            </w:tcBorders>
            <w:shd w:val="clear" w:color="auto" w:fill="auto"/>
            <w:noWrap/>
            <w:vAlign w:val="center"/>
            <w:hideMark/>
          </w:tcPr>
          <w:p w:rsidR="00AC40FC" w:rsidRPr="00E33F2E" w:rsidRDefault="00AC40FC" w:rsidP="00581946">
            <w:pPr>
              <w:spacing w:after="0"/>
              <w:jc w:val="left"/>
              <w:rPr>
                <w:rFonts w:cs="Arial"/>
                <w:color w:val="000000"/>
                <w:szCs w:val="24"/>
              </w:rPr>
            </w:pPr>
            <w:r>
              <w:rPr>
                <w:rFonts w:cs="Arial"/>
                <w:color w:val="000000"/>
                <w:szCs w:val="24"/>
              </w:rPr>
              <w:t>Power Dispatch</w:t>
            </w:r>
          </w:p>
        </w:tc>
        <w:tc>
          <w:tcPr>
            <w:tcW w:w="2401" w:type="dxa"/>
            <w:tcBorders>
              <w:top w:val="single" w:sz="4" w:space="0" w:color="auto"/>
              <w:left w:val="single" w:sz="4" w:space="0" w:color="auto"/>
              <w:bottom w:val="single" w:sz="8" w:space="0" w:color="auto"/>
              <w:right w:val="single" w:sz="8" w:space="0" w:color="auto"/>
            </w:tcBorders>
            <w:shd w:val="clear" w:color="auto" w:fill="auto"/>
            <w:noWrap/>
            <w:vAlign w:val="center"/>
          </w:tcPr>
          <w:p w:rsidR="00AC40FC" w:rsidRPr="00E33F2E" w:rsidRDefault="00AC40FC" w:rsidP="00581946">
            <w:pPr>
              <w:spacing w:after="0"/>
              <w:jc w:val="center"/>
              <w:rPr>
                <w:rFonts w:cs="Arial"/>
                <w:color w:val="000000"/>
                <w:szCs w:val="24"/>
              </w:rPr>
            </w:pPr>
            <w:r>
              <w:rPr>
                <w:rFonts w:cs="Arial"/>
                <w:color w:val="000000"/>
                <w:szCs w:val="24"/>
              </w:rPr>
              <w:t>1</w:t>
            </w:r>
          </w:p>
        </w:tc>
      </w:tr>
      <w:tr w:rsidR="00AC40FC" w:rsidRPr="00E33F2E" w:rsidTr="00BB665B">
        <w:trPr>
          <w:trHeight w:val="330"/>
          <w:jc w:val="center"/>
        </w:trPr>
        <w:tc>
          <w:tcPr>
            <w:tcW w:w="926"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C40FC" w:rsidRPr="00E33F2E" w:rsidRDefault="00AC40FC" w:rsidP="00581946">
            <w:pPr>
              <w:spacing w:after="0"/>
              <w:jc w:val="left"/>
              <w:rPr>
                <w:rFonts w:ascii="Calibri" w:hAnsi="Calibri"/>
                <w:color w:val="000000"/>
                <w:sz w:val="20"/>
                <w:szCs w:val="20"/>
              </w:rPr>
            </w:pPr>
          </w:p>
        </w:tc>
        <w:tc>
          <w:tcPr>
            <w:tcW w:w="3996" w:type="dxa"/>
            <w:tcBorders>
              <w:top w:val="single" w:sz="8" w:space="0" w:color="auto"/>
              <w:left w:val="nil"/>
              <w:bottom w:val="single" w:sz="8" w:space="0" w:color="auto"/>
              <w:right w:val="single" w:sz="4" w:space="0" w:color="auto"/>
            </w:tcBorders>
            <w:shd w:val="clear" w:color="auto" w:fill="auto"/>
            <w:vAlign w:val="center"/>
            <w:hideMark/>
          </w:tcPr>
          <w:p w:rsidR="00AC40FC" w:rsidRPr="00E33F2E" w:rsidRDefault="00AC40FC" w:rsidP="00581946">
            <w:pPr>
              <w:spacing w:after="0"/>
              <w:jc w:val="center"/>
              <w:rPr>
                <w:rFonts w:cs="Arial"/>
                <w:b/>
                <w:bCs/>
                <w:color w:val="000000"/>
                <w:szCs w:val="24"/>
              </w:rPr>
            </w:pPr>
            <w:r w:rsidRPr="00E33F2E">
              <w:rPr>
                <w:rFonts w:cs="Arial"/>
                <w:b/>
                <w:bCs/>
                <w:color w:val="000000"/>
                <w:szCs w:val="24"/>
              </w:rPr>
              <w:t>Total</w:t>
            </w:r>
          </w:p>
        </w:tc>
        <w:tc>
          <w:tcPr>
            <w:tcW w:w="2401"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AC40FC" w:rsidRPr="00E33F2E" w:rsidRDefault="00AC40FC" w:rsidP="00581946">
            <w:pPr>
              <w:spacing w:after="0"/>
              <w:jc w:val="center"/>
              <w:rPr>
                <w:rFonts w:cs="Arial"/>
                <w:b/>
                <w:bCs/>
                <w:color w:val="000000"/>
                <w:szCs w:val="24"/>
              </w:rPr>
            </w:pPr>
            <w:r>
              <w:rPr>
                <w:rFonts w:cs="Arial"/>
                <w:b/>
                <w:bCs/>
                <w:color w:val="000000"/>
                <w:szCs w:val="24"/>
              </w:rPr>
              <w:t>98</w:t>
            </w:r>
          </w:p>
        </w:tc>
      </w:tr>
      <w:tr w:rsidR="00AC40FC" w:rsidRPr="00E33F2E" w:rsidTr="00BB665B">
        <w:trPr>
          <w:trHeight w:val="330"/>
          <w:jc w:val="center"/>
        </w:trPr>
        <w:tc>
          <w:tcPr>
            <w:tcW w:w="7323" w:type="dxa"/>
            <w:gridSpan w:val="3"/>
            <w:tcBorders>
              <w:top w:val="single" w:sz="8" w:space="0" w:color="auto"/>
              <w:left w:val="single" w:sz="8" w:space="0" w:color="auto"/>
              <w:bottom w:val="single" w:sz="4" w:space="0" w:color="auto"/>
              <w:right w:val="single" w:sz="8" w:space="0" w:color="auto"/>
            </w:tcBorders>
            <w:shd w:val="clear" w:color="auto" w:fill="auto"/>
            <w:vAlign w:val="center"/>
          </w:tcPr>
          <w:p w:rsidR="00AC40FC" w:rsidRPr="00F123F9" w:rsidRDefault="00AC40FC" w:rsidP="00BB665B">
            <w:pPr>
              <w:spacing w:after="0"/>
              <w:jc w:val="left"/>
              <w:rPr>
                <w:rFonts w:cs="Arial"/>
                <w:bCs/>
                <w:color w:val="000000"/>
                <w:szCs w:val="24"/>
              </w:rPr>
            </w:pPr>
            <w:r>
              <w:rPr>
                <w:rFonts w:cs="Arial"/>
                <w:bCs/>
                <w:color w:val="000000"/>
                <w:szCs w:val="24"/>
              </w:rPr>
              <w:t>Source: DN 18-059</w:t>
            </w:r>
          </w:p>
        </w:tc>
      </w:tr>
    </w:tbl>
    <w:p w:rsidR="00AC40FC" w:rsidRDefault="00AC40FC" w:rsidP="00581946">
      <w:pPr>
        <w:pStyle w:val="Normal-aftertable"/>
      </w:pPr>
      <w:r>
        <w:t>High levels of contractors are being utilized in several areas to supplement the in-house staff, most notably in Transmission Project Management, Asset Management, and Project Delivery in which contractors exceed the in-house staff levels.</w:t>
      </w:r>
    </w:p>
    <w:p w:rsidR="00AC40FC" w:rsidRDefault="00AC40FC" w:rsidP="00581946">
      <w:pPr>
        <w:rPr>
          <w:rFonts w:cs="Arial"/>
          <w:szCs w:val="24"/>
        </w:rPr>
      </w:pPr>
      <w:r w:rsidRPr="00336FD4">
        <w:rPr>
          <w:rFonts w:cs="Arial"/>
          <w:b/>
          <w:color w:val="000000"/>
          <w:szCs w:val="24"/>
        </w:rPr>
        <w:t>Transmission Project Management.</w:t>
      </w:r>
      <w:r>
        <w:rPr>
          <w:rFonts w:cs="Arial"/>
          <w:color w:val="000000"/>
          <w:szCs w:val="24"/>
        </w:rPr>
        <w:t xml:space="preserve"> </w:t>
      </w:r>
      <w:r w:rsidRPr="00204561">
        <w:t xml:space="preserve"> </w:t>
      </w:r>
      <w:r>
        <w:rPr>
          <w:rFonts w:cs="Arial"/>
          <w:szCs w:val="24"/>
        </w:rPr>
        <w:t xml:space="preserve">The Project Management staff is augmented by 38 contractors, both on-site and off-site, who serve as associate project managers, </w:t>
      </w:r>
      <w:r>
        <w:rPr>
          <w:rFonts w:cs="Arial"/>
          <w:szCs w:val="24"/>
        </w:rPr>
        <w:lastRenderedPageBreak/>
        <w:t>providing support to the PPL EU project managers in drafting project plans and other support.</w:t>
      </w:r>
    </w:p>
    <w:p w:rsidR="00AC40FC" w:rsidRDefault="00AC40FC" w:rsidP="00581946">
      <w:pPr>
        <w:rPr>
          <w:rFonts w:cs="Arial"/>
          <w:szCs w:val="24"/>
        </w:rPr>
      </w:pPr>
      <w:r w:rsidRPr="00336FD4">
        <w:rPr>
          <w:rFonts w:cs="Arial"/>
          <w:b/>
          <w:szCs w:val="24"/>
        </w:rPr>
        <w:t>Asset Management.</w:t>
      </w:r>
      <w:r>
        <w:rPr>
          <w:rFonts w:cs="Arial"/>
          <w:szCs w:val="24"/>
        </w:rPr>
        <w:t xml:space="preserve">  Thirteen contractors are augmenting Asset Management staff as of March 2016.  Five contractors are currently supporting capital planning in Asset Management.  Portfolio Management is supplemented by two contractors, as is Maintenance Engineering, while the staff augmentation for Engineering and Maintenance Standards is currently four positions.  Off-site contractors also are supporting specialty analysis on specific systems and equipment.</w:t>
      </w:r>
    </w:p>
    <w:p w:rsidR="00AC40FC" w:rsidRDefault="00AC40FC" w:rsidP="00581946">
      <w:pPr>
        <w:rPr>
          <w:rFonts w:cs="Arial"/>
          <w:szCs w:val="24"/>
        </w:rPr>
      </w:pPr>
      <w:r w:rsidRPr="00CC44DB">
        <w:rPr>
          <w:rFonts w:cs="Arial"/>
          <w:b/>
          <w:szCs w:val="24"/>
        </w:rPr>
        <w:t>Project Delivery.</w:t>
      </w:r>
      <w:r>
        <w:rPr>
          <w:rFonts w:cs="Arial"/>
          <w:szCs w:val="24"/>
        </w:rPr>
        <w:t xml:space="preserve">  Project Delivery is </w:t>
      </w:r>
      <w:r>
        <w:t xml:space="preserve">supported by 41 staff augmentation contractors.  </w:t>
      </w:r>
      <w:r>
        <w:rPr>
          <w:rFonts w:cs="Arial"/>
          <w:szCs w:val="24"/>
        </w:rPr>
        <w:t>The Transmission Design staff is augmented by two contractors, Substation Engineering by four contractors, and Protection and Control Engineering by 27 contractors.  Seven contractors also supplement the field construction supervisor staff in Construction Management, supervising construction work in the field performed by the construction contractors.  The Work Management and Transmission Expansion functions are supplemented by three contractors.  In addition, design work for specific major capital projects is contracted out.</w:t>
      </w:r>
    </w:p>
    <w:p w:rsidR="00AC40FC" w:rsidRDefault="00AC40FC" w:rsidP="00581946">
      <w:pPr>
        <w:rPr>
          <w:rFonts w:cs="Arial"/>
          <w:szCs w:val="24"/>
        </w:rPr>
      </w:pPr>
      <w:r>
        <w:rPr>
          <w:rFonts w:cs="Arial"/>
          <w:szCs w:val="24"/>
        </w:rPr>
        <w:t>A number of organizational changes were made in January 2016.  Transmission and Substations has been reorganized into six departments: Reliability Compliance, Business Analysis and Work Management, Transmission Project Management, Asset Management, Project Delivery, and Operations.</w:t>
      </w:r>
    </w:p>
    <w:p w:rsidR="00AC40FC" w:rsidRDefault="00AC40FC" w:rsidP="00581946">
      <w:pPr>
        <w:pStyle w:val="Heading40"/>
      </w:pPr>
      <w:r>
        <w:t>Employee and Contractor Staffing Planning Criteria and Process</w:t>
      </w:r>
    </w:p>
    <w:p w:rsidR="00AC40FC" w:rsidRDefault="00AC40FC" w:rsidP="00581946">
      <w:pPr>
        <w:rPr>
          <w:rFonts w:cs="Arial"/>
          <w:szCs w:val="24"/>
        </w:rPr>
      </w:pPr>
      <w:r>
        <w:rPr>
          <w:rFonts w:cs="Arial"/>
          <w:szCs w:val="24"/>
        </w:rPr>
        <w:t>The PPL EU investment in the transmission system has increased the past several years to address aging infrastructure, reliability, system hardening for storm resiliency, and physical or cyber threats.  As a result, T&amp;S is using more contractors to supplement in-house staff and for most engineering design work.  All transmission line construction and maintenance and most substation construction work is contracted out.</w:t>
      </w:r>
    </w:p>
    <w:p w:rsidR="00AC40FC" w:rsidRDefault="00AC40FC" w:rsidP="00581946">
      <w:pPr>
        <w:rPr>
          <w:rFonts w:cs="Arial"/>
          <w:szCs w:val="24"/>
        </w:rPr>
      </w:pPr>
      <w:r>
        <w:rPr>
          <w:rFonts w:cs="Arial"/>
          <w:szCs w:val="24"/>
        </w:rPr>
        <w:t>The Vice President of T&amp;S meets annually with the department heads to review the alignment of the organization to best implement the five year capital plan and establish appropriate staffing to support the plan.  The primary input into staffing needs is the capital workload based on the capital plan as well as projected levels of emergent work.</w:t>
      </w:r>
    </w:p>
    <w:p w:rsidR="00AC40FC" w:rsidRDefault="00AC40FC" w:rsidP="00581946">
      <w:pPr>
        <w:pStyle w:val="Heading40"/>
      </w:pPr>
      <w:r>
        <w:t>The Allocation of Personnel to PPL EU and PPL EUS in the Formation of PPL EUS</w:t>
      </w:r>
    </w:p>
    <w:p w:rsidR="00AC40FC" w:rsidRDefault="00AC40FC" w:rsidP="00581946">
      <w:pPr>
        <w:rPr>
          <w:rFonts w:cs="Arial"/>
          <w:szCs w:val="24"/>
        </w:rPr>
      </w:pPr>
      <w:r>
        <w:rPr>
          <w:rFonts w:cs="Arial"/>
          <w:szCs w:val="24"/>
        </w:rPr>
        <w:t>No T&amp;S personnel were identified as transferring to PPL EUS.</w:t>
      </w:r>
    </w:p>
    <w:p w:rsidR="00AC40FC" w:rsidRDefault="00AC40FC" w:rsidP="00581946">
      <w:pPr>
        <w:pStyle w:val="Heading40"/>
      </w:pPr>
      <w:r>
        <w:t>The Plans for Adjusting Staffing in PPL EU, PPL SC, and PPL EUS As The Talen TSA Winds Down and Terminates</w:t>
      </w:r>
    </w:p>
    <w:p w:rsidR="00AC40FC" w:rsidRDefault="00AC40FC" w:rsidP="00581946">
      <w:pPr>
        <w:rPr>
          <w:rFonts w:cs="Arial"/>
          <w:szCs w:val="24"/>
        </w:rPr>
      </w:pPr>
      <w:r>
        <w:rPr>
          <w:rFonts w:cs="Arial"/>
          <w:szCs w:val="24"/>
        </w:rPr>
        <w:t>There is no continuing Talen impact on T&amp;S other than completion of the segregation of facilities at substation interfaces.  Project Delivery supported the electric system interface agreements for the split for the Talen divestiture.  There is a multi-year effort underway to complete work in substations to segregate the Talen-owned facilities from PPL EU-owned facilities.  Contractors are performing this design work.</w:t>
      </w:r>
    </w:p>
    <w:p w:rsidR="00AC40FC" w:rsidRDefault="00AC40FC" w:rsidP="00581946">
      <w:pPr>
        <w:rPr>
          <w:rFonts w:cs="Arial"/>
          <w:szCs w:val="24"/>
        </w:rPr>
      </w:pPr>
      <w:r>
        <w:rPr>
          <w:rFonts w:cs="Arial"/>
          <w:szCs w:val="24"/>
        </w:rPr>
        <w:t xml:space="preserve">The Generator Operators were a separate function from Power Dispatch that moved to Talen.  Prior to the Talen divestiture, the use of black start facilities and performance of balancing functions for system restoration was supported by the generator operators. </w:t>
      </w:r>
      <w:r>
        <w:rPr>
          <w:rFonts w:cs="Arial"/>
          <w:szCs w:val="24"/>
        </w:rPr>
        <w:lastRenderedPageBreak/>
        <w:t xml:space="preserve">The PPL EU Transmission System Operators were trained to perform this function as part of the transition.  Additionally, PPL EU Transmission Operations shared use of IT support for systems with the generator operators.  IT split these resources as part of the divestiture. </w:t>
      </w:r>
    </w:p>
    <w:p w:rsidR="00AC40FC" w:rsidRDefault="00AC40FC" w:rsidP="00581946">
      <w:pPr>
        <w:rPr>
          <w:rFonts w:cs="Arial"/>
          <w:szCs w:val="24"/>
        </w:rPr>
      </w:pPr>
      <w:r>
        <w:rPr>
          <w:rFonts w:cs="Arial"/>
          <w:szCs w:val="24"/>
        </w:rPr>
        <w:t xml:space="preserve">The transmission operator responsibilities under the NERC NUC-001 </w:t>
      </w:r>
      <w:r>
        <w:t xml:space="preserve">Nuclear Plant Interface Coordination </w:t>
      </w:r>
      <w:r>
        <w:rPr>
          <w:rFonts w:cs="Arial"/>
          <w:szCs w:val="24"/>
        </w:rPr>
        <w:t>standard for coordination of service to the Talen nuclear plants remain in place.</w:t>
      </w:r>
    </w:p>
    <w:p w:rsidR="00AC40FC" w:rsidRDefault="00AC40FC" w:rsidP="00BB665B">
      <w:pPr>
        <w:pStyle w:val="Heading-forToC"/>
      </w:pPr>
      <w:bookmarkStart w:id="354" w:name="_Toc462647902"/>
      <w:bookmarkStart w:id="355" w:name="_Toc464552141"/>
      <w:r>
        <w:t>finding</w:t>
      </w:r>
      <w:bookmarkEnd w:id="354"/>
      <w:bookmarkEnd w:id="355"/>
      <w:r>
        <w:t xml:space="preserve"> </w:t>
      </w:r>
    </w:p>
    <w:p w:rsidR="00AC40FC" w:rsidRPr="00581946" w:rsidRDefault="00AC40FC" w:rsidP="004F00E5">
      <w:pPr>
        <w:pStyle w:val="Findings"/>
        <w:numPr>
          <w:ilvl w:val="0"/>
          <w:numId w:val="136"/>
        </w:numPr>
      </w:pPr>
      <w:r w:rsidRPr="00581946">
        <w:t>Most T&amp;S functions have developed and maintain core competencies; however, little internal expertise is being maintained in transmission project design, contracts and interconnection agreements, protection and control engineering, and field construction.</w:t>
      </w:r>
    </w:p>
    <w:p w:rsidR="00AC40FC" w:rsidRDefault="00AC40FC" w:rsidP="00581946">
      <w:r>
        <w:t xml:space="preserve">T&amp;S has focused its core competencies in project planning and implementation, system operations, and maintenance programs.  </w:t>
      </w:r>
      <w:r w:rsidRPr="004E195F">
        <w:t>All transmission line and major substation construction is contracted out along with quality control and most engineering design work.  Multiple design firms are used to prepare designs and provide construction drawings for use in construction contracting and building of the projects.</w:t>
      </w:r>
      <w:r>
        <w:t xml:space="preserve"> </w:t>
      </w:r>
    </w:p>
    <w:p w:rsidR="00AC40FC" w:rsidRDefault="00AC40FC" w:rsidP="00581946">
      <w:r>
        <w:t>T&amp;S</w:t>
      </w:r>
      <w:r w:rsidRPr="00F77A66">
        <w:t xml:space="preserve"> has established </w:t>
      </w:r>
      <w:r>
        <w:t xml:space="preserve">employee </w:t>
      </w:r>
      <w:r w:rsidRPr="00F77A66">
        <w:t>core competencies in the areas of planning, project development, system operations, and system maintenance.</w:t>
      </w:r>
      <w:r>
        <w:t xml:space="preserve">  However</w:t>
      </w:r>
      <w:r w:rsidRPr="00F77A66">
        <w:t>, there is significant reliance on contractors for project design work</w:t>
      </w:r>
      <w:r>
        <w:t>, asset management contracts and interconnection agreements,</w:t>
      </w:r>
      <w:r w:rsidRPr="00F77A66">
        <w:t xml:space="preserve"> and field monitoring of projects.  T&amp;S has also eliminated in-house capability to construct and maintain the facilities in the field.</w:t>
      </w:r>
      <w:r>
        <w:t xml:space="preserve">  </w:t>
      </w:r>
    </w:p>
    <w:p w:rsidR="00AC40FC" w:rsidRDefault="00AC40FC" w:rsidP="00581946">
      <w:pPr>
        <w:rPr>
          <w:rFonts w:cs="Arial"/>
          <w:szCs w:val="24"/>
        </w:rPr>
      </w:pPr>
      <w:r w:rsidRPr="00F77A66">
        <w:t>Most capital project design work is outsourced on a proje</w:t>
      </w:r>
      <w:r>
        <w:t xml:space="preserve">ct by project basis to </w:t>
      </w:r>
      <w:r w:rsidRPr="00F77A66">
        <w:t>contractors.</w:t>
      </w:r>
      <w:r>
        <w:t xml:space="preserve">  </w:t>
      </w:r>
      <w:r>
        <w:rPr>
          <w:rFonts w:cs="Arial"/>
          <w:szCs w:val="24"/>
        </w:rPr>
        <w:t>T&amp;S</w:t>
      </w:r>
      <w:r w:rsidRPr="00194E8A">
        <w:rPr>
          <w:rFonts w:cs="Arial"/>
          <w:szCs w:val="24"/>
        </w:rPr>
        <w:t xml:space="preserve"> currently uses multiple design firms which typically bid on specific design projects</w:t>
      </w:r>
      <w:r>
        <w:rPr>
          <w:rFonts w:cs="Arial"/>
          <w:szCs w:val="24"/>
        </w:rPr>
        <w:t>.  The in-house design staff is largely responsible for unplanned emergent work to address maintenance issues and equipment failures.  The absence of large project design opportunities prevents the development of robust skills in the Project Delivery department to apply to projects and continued oversight of contracted design work.</w:t>
      </w:r>
    </w:p>
    <w:p w:rsidR="00AC40FC" w:rsidRPr="00F77A66" w:rsidRDefault="00AC40FC" w:rsidP="00581946">
      <w:r w:rsidRPr="00F77A66">
        <w:t>Asset Management has lost some expertise on contracts and interconnection agreements due to retirements and is now focusing on rebuilding these areas of expertise.  It is challenging for Asset Management to find qualified transmission planners and contract developers in the market.  Other engineering needs in design and maintenance are relatively easy to find in the market.</w:t>
      </w:r>
    </w:p>
    <w:p w:rsidR="00AC40FC" w:rsidRPr="00191889" w:rsidRDefault="00AC40FC" w:rsidP="00581946">
      <w:pPr>
        <w:rPr>
          <w:rFonts w:cs="Arial"/>
          <w:szCs w:val="24"/>
        </w:rPr>
      </w:pPr>
      <w:r>
        <w:t>The Protection and Control Engineering staff is projected to be 23 in 2016.  As of March 2016, the staff is augmented by 27 contractors.  Protection and controls are critical areas in assuring the reliable operation of the transmission system in compliance with NERC standards.  Comprehensive knowledge and understanding of the protection schemes and applications in use is vital to proper coordination of protection systems, protection of equipment, and in analyzing potential misoperations of installed systems.</w:t>
      </w:r>
    </w:p>
    <w:p w:rsidR="00AC40FC" w:rsidRPr="00191889" w:rsidRDefault="00AC40FC" w:rsidP="00581946">
      <w:pPr>
        <w:rPr>
          <w:rFonts w:cs="Arial"/>
          <w:szCs w:val="24"/>
        </w:rPr>
      </w:pPr>
      <w:r>
        <w:rPr>
          <w:rFonts w:cs="Arial"/>
          <w:szCs w:val="24"/>
        </w:rPr>
        <w:t>T</w:t>
      </w:r>
      <w:r w:rsidRPr="00191889">
        <w:rPr>
          <w:rFonts w:cs="Arial"/>
          <w:szCs w:val="24"/>
        </w:rPr>
        <w:t xml:space="preserve">here are about 15 contract construction supervisors supporting specific programs such as the smart switch installations, lightning arrestor installations, and fiber installations </w:t>
      </w:r>
      <w:r w:rsidRPr="00191889">
        <w:rPr>
          <w:rFonts w:cs="Arial"/>
          <w:szCs w:val="24"/>
        </w:rPr>
        <w:lastRenderedPageBreak/>
        <w:t xml:space="preserve">which are comprised of a large number of small jobs.  Some programs are also managed directly by the contractor and inspected by the </w:t>
      </w:r>
      <w:r>
        <w:rPr>
          <w:rFonts w:cs="Arial"/>
          <w:szCs w:val="24"/>
        </w:rPr>
        <w:t xml:space="preserve">contract </w:t>
      </w:r>
      <w:r w:rsidRPr="00191889">
        <w:rPr>
          <w:rFonts w:cs="Arial"/>
          <w:szCs w:val="24"/>
        </w:rPr>
        <w:t>quality inspectors.</w:t>
      </w:r>
    </w:p>
    <w:p w:rsidR="00AC40FC" w:rsidRDefault="00AC40FC" w:rsidP="00581946">
      <w:pPr>
        <w:rPr>
          <w:rFonts w:cs="Arial"/>
          <w:szCs w:val="24"/>
        </w:rPr>
      </w:pPr>
      <w:r>
        <w:rPr>
          <w:rFonts w:cs="Arial"/>
          <w:szCs w:val="24"/>
        </w:rPr>
        <w:t>Construction q</w:t>
      </w:r>
      <w:r w:rsidRPr="00191889">
        <w:rPr>
          <w:rFonts w:cs="Arial"/>
          <w:szCs w:val="24"/>
        </w:rPr>
        <w:t xml:space="preserve">uality control is provided by six contract quality inspectors, one for each region, </w:t>
      </w:r>
      <w:r>
        <w:rPr>
          <w:rFonts w:cs="Arial"/>
          <w:szCs w:val="24"/>
        </w:rPr>
        <w:t>who</w:t>
      </w:r>
      <w:r w:rsidRPr="00191889">
        <w:rPr>
          <w:rFonts w:cs="Arial"/>
          <w:szCs w:val="24"/>
        </w:rPr>
        <w:t xml:space="preserve"> are managed by a Quality Manager in Construction Management.  The Quality Manager is a new position created in March 2015.  The quality inspectors perform detailed reviews of the constructed facilities as compared to the job plans and construction standards.  The results of quality reviews are provided to the Project Manager.</w:t>
      </w:r>
    </w:p>
    <w:p w:rsidR="00AC40FC" w:rsidRPr="004E195F" w:rsidRDefault="00AC40FC" w:rsidP="00581946">
      <w:r>
        <w:rPr>
          <w:rFonts w:cs="Arial"/>
          <w:szCs w:val="24"/>
        </w:rPr>
        <w:t xml:space="preserve">The absence of in-house construction crews also means that T&amp;S is </w:t>
      </w:r>
      <w:r>
        <w:t xml:space="preserve">fully reliant on its contractors and mutual assistance for outage and storm restoration work.  </w:t>
      </w:r>
      <w:r>
        <w:rPr>
          <w:rFonts w:cs="Arial"/>
          <w:szCs w:val="24"/>
        </w:rPr>
        <w:t>Maintaining some level of in-house construction capability would offer benefits in the management of contract crews and would provide a more direct line of feedback from the field to project managers and designers on developing issues or opportunities for improvement.</w:t>
      </w:r>
    </w:p>
    <w:p w:rsidR="00AC40FC" w:rsidRDefault="00AC40FC" w:rsidP="00BB665B">
      <w:pPr>
        <w:pStyle w:val="Heading-forToC"/>
      </w:pPr>
      <w:bookmarkStart w:id="356" w:name="_Toc462647903"/>
      <w:bookmarkStart w:id="357" w:name="_Toc464552142"/>
      <w:r>
        <w:t>RecommendationS</w:t>
      </w:r>
      <w:bookmarkEnd w:id="356"/>
      <w:bookmarkEnd w:id="357"/>
    </w:p>
    <w:p w:rsidR="00AC40FC" w:rsidRPr="006236DA" w:rsidRDefault="00AC40FC" w:rsidP="004F00E5">
      <w:pPr>
        <w:pStyle w:val="Findings"/>
        <w:numPr>
          <w:ilvl w:val="0"/>
          <w:numId w:val="137"/>
        </w:numPr>
      </w:pPr>
      <w:r>
        <w:t xml:space="preserve">Enhance employee core competencies in </w:t>
      </w:r>
      <w:r w:rsidRPr="002708E8">
        <w:t>transmission project design, contracts and interconnection agreements, protection and control engineering, and field construction</w:t>
      </w:r>
      <w:r w:rsidRPr="006236DA">
        <w:t>.</w:t>
      </w:r>
      <w:r>
        <w:t xml:space="preserve">  (See Finding 1)</w:t>
      </w:r>
    </w:p>
    <w:p w:rsidR="00AC40FC" w:rsidRDefault="00AC40FC" w:rsidP="00581946">
      <w:pPr>
        <w:rPr>
          <w:rFonts w:cs="Arial"/>
          <w:szCs w:val="24"/>
        </w:rPr>
      </w:pPr>
      <w:r>
        <w:rPr>
          <w:rFonts w:cs="Arial"/>
          <w:szCs w:val="24"/>
        </w:rPr>
        <w:t xml:space="preserve">Extended use of contractors in core competency areas can lead to a loss of key internal skills, knowledge, and experience.  T&amp;S should develop and maintain employee core competency teams for </w:t>
      </w:r>
      <w:r w:rsidRPr="006435B1">
        <w:rPr>
          <w:rFonts w:cs="Arial"/>
          <w:szCs w:val="24"/>
        </w:rPr>
        <w:t>transmission project design</w:t>
      </w:r>
      <w:r>
        <w:rPr>
          <w:rFonts w:cs="Arial"/>
          <w:szCs w:val="24"/>
        </w:rPr>
        <w:t xml:space="preserve">, contracts and interconnection agreements, and protection and control engineering while continuing to contract out the peaks of workload. Maintaining some in-house field construction capability and hands-on employee experience would be valuable in effectively managing contract crews and in providing effective contractor oversight in these areas.  </w:t>
      </w:r>
    </w:p>
    <w:p w:rsidR="00AC40FC" w:rsidRDefault="00AC40FC" w:rsidP="00581946">
      <w:pPr>
        <w:rPr>
          <w:rFonts w:cs="Arial"/>
          <w:szCs w:val="24"/>
        </w:rPr>
      </w:pPr>
      <w:r>
        <w:rPr>
          <w:rFonts w:cs="Arial"/>
          <w:szCs w:val="24"/>
        </w:rPr>
        <w:t>Potentially, two or three transmission crews per super region could perform smaller capital and maintenance work and an occasional larger job to maintain skills.  The crews could potentially be managed by Distribution Operations since T&amp;S does not have the management infrastructure in place.  These crews would help provide long-term continuity in communication of observed field related issues to the Asset Management and Project Delivery functions for potential improvements to materials, equipment, or construction standards.</w:t>
      </w:r>
    </w:p>
    <w:p w:rsidR="00AC40FC" w:rsidRDefault="00AC40FC" w:rsidP="002708E8">
      <w:pPr>
        <w:pStyle w:val="Findings"/>
      </w:pPr>
      <w:r>
        <w:t>Establish strategic alliances with no more than three engineering services companies for design work.  (See Finding 1)</w:t>
      </w:r>
    </w:p>
    <w:p w:rsidR="00AC40FC" w:rsidRDefault="00AC40FC" w:rsidP="00581946">
      <w:r w:rsidRPr="00194E8A">
        <w:rPr>
          <w:rFonts w:cs="Arial"/>
          <w:szCs w:val="24"/>
        </w:rPr>
        <w:t>Consideration should be given to soliciting proposals and entering into longer term agreement</w:t>
      </w:r>
      <w:r>
        <w:rPr>
          <w:rFonts w:cs="Arial"/>
          <w:szCs w:val="24"/>
        </w:rPr>
        <w:t>s</w:t>
      </w:r>
      <w:r w:rsidRPr="00194E8A">
        <w:rPr>
          <w:rFonts w:cs="Arial"/>
          <w:szCs w:val="24"/>
        </w:rPr>
        <w:t xml:space="preserve"> with </w:t>
      </w:r>
      <w:r>
        <w:rPr>
          <w:rFonts w:cs="Arial"/>
          <w:szCs w:val="24"/>
        </w:rPr>
        <w:t>larger</w:t>
      </w:r>
      <w:r w:rsidRPr="00194E8A">
        <w:rPr>
          <w:rFonts w:cs="Arial"/>
          <w:szCs w:val="24"/>
        </w:rPr>
        <w:t xml:space="preserve"> design firm</w:t>
      </w:r>
      <w:r>
        <w:rPr>
          <w:rFonts w:cs="Arial"/>
          <w:szCs w:val="24"/>
        </w:rPr>
        <w:t>s</w:t>
      </w:r>
      <w:r w:rsidRPr="00194E8A">
        <w:rPr>
          <w:rFonts w:cs="Arial"/>
          <w:szCs w:val="24"/>
        </w:rPr>
        <w:t>.  This approach would allow for the contracted firm</w:t>
      </w:r>
      <w:r>
        <w:rPr>
          <w:rFonts w:cs="Arial"/>
          <w:szCs w:val="24"/>
        </w:rPr>
        <w:t>s</w:t>
      </w:r>
      <w:r w:rsidRPr="00194E8A">
        <w:rPr>
          <w:rFonts w:cs="Arial"/>
          <w:szCs w:val="24"/>
        </w:rPr>
        <w:t xml:space="preserve"> to gain a more complete understanding of the design considerations, regulations, PPL</w:t>
      </w:r>
      <w:r>
        <w:rPr>
          <w:rFonts w:cs="Arial"/>
          <w:szCs w:val="24"/>
        </w:rPr>
        <w:t xml:space="preserve"> EU</w:t>
      </w:r>
      <w:r w:rsidRPr="00194E8A">
        <w:rPr>
          <w:rFonts w:cs="Arial"/>
          <w:szCs w:val="24"/>
        </w:rPr>
        <w:t xml:space="preserve"> </w:t>
      </w:r>
      <w:r>
        <w:rPr>
          <w:rFonts w:cs="Arial"/>
          <w:szCs w:val="24"/>
        </w:rPr>
        <w:t xml:space="preserve">expectations and </w:t>
      </w:r>
      <w:r w:rsidRPr="00194E8A">
        <w:rPr>
          <w:rFonts w:cs="Arial"/>
          <w:szCs w:val="24"/>
        </w:rPr>
        <w:t xml:space="preserve">standards, and resulting system performance.  Efficiencies in transferring information and coordinating projects with </w:t>
      </w:r>
      <w:r>
        <w:rPr>
          <w:rFonts w:cs="Arial"/>
          <w:szCs w:val="24"/>
        </w:rPr>
        <w:t>fewer</w:t>
      </w:r>
      <w:r w:rsidRPr="00194E8A">
        <w:rPr>
          <w:rFonts w:cs="Arial"/>
          <w:szCs w:val="24"/>
        </w:rPr>
        <w:t xml:space="preserve"> design firm</w:t>
      </w:r>
      <w:r>
        <w:rPr>
          <w:rFonts w:cs="Arial"/>
          <w:szCs w:val="24"/>
        </w:rPr>
        <w:t>s</w:t>
      </w:r>
      <w:r w:rsidRPr="00194E8A">
        <w:rPr>
          <w:rFonts w:cs="Arial"/>
          <w:szCs w:val="24"/>
        </w:rPr>
        <w:t xml:space="preserve"> would also be realized.  Larger firms will also have expertise in new and developing technologies and design approaches and have the ability to more readily scale up resources to meet surges in demand.</w:t>
      </w:r>
      <w:r>
        <w:rPr>
          <w:rFonts w:cs="Arial"/>
          <w:szCs w:val="24"/>
        </w:rPr>
        <w:t xml:space="preserve">  </w:t>
      </w:r>
    </w:p>
    <w:p w:rsidR="00AC40FC" w:rsidRDefault="00AC40FC" w:rsidP="004F00E5">
      <w:pPr>
        <w:pStyle w:val="Heading2"/>
        <w:numPr>
          <w:ilvl w:val="0"/>
          <w:numId w:val="113"/>
        </w:numPr>
      </w:pPr>
      <w:bookmarkStart w:id="358" w:name="_Toc462647904"/>
      <w:bookmarkStart w:id="359" w:name="_Toc464552143"/>
      <w:r>
        <w:lastRenderedPageBreak/>
        <w:t>Distribution operations and Technical Development and Improvement</w:t>
      </w:r>
      <w:bookmarkEnd w:id="358"/>
      <w:bookmarkEnd w:id="359"/>
    </w:p>
    <w:p w:rsidR="00AC40FC" w:rsidRDefault="00AC40FC" w:rsidP="00BB665B">
      <w:pPr>
        <w:pStyle w:val="Heading-forToC"/>
      </w:pPr>
      <w:bookmarkStart w:id="360" w:name="_Toc462647905"/>
      <w:bookmarkStart w:id="361" w:name="_Toc464552144"/>
      <w:r>
        <w:t>background</w:t>
      </w:r>
      <w:bookmarkEnd w:id="360"/>
      <w:bookmarkEnd w:id="361"/>
    </w:p>
    <w:p w:rsidR="00AC40FC" w:rsidRDefault="00AC40FC" w:rsidP="00581946">
      <w:r>
        <w:t>This section addresses staffing issues in the PPL EU Distribution Operations and Technical Development and Improvement organizations.  This section covers the Distribution Operations units and the Technical Development and Improvement unit as organized at the end of 2015:</w:t>
      </w:r>
    </w:p>
    <w:p w:rsidR="00AC40FC" w:rsidRPr="000E163C" w:rsidRDefault="00AC40FC" w:rsidP="00581946">
      <w:pPr>
        <w:pStyle w:val="Bullet"/>
      </w:pPr>
      <w:r w:rsidRPr="000E163C">
        <w:t>Distribution Asset Management</w:t>
      </w:r>
    </w:p>
    <w:p w:rsidR="00AC40FC" w:rsidRPr="000E163C" w:rsidRDefault="00AC40FC" w:rsidP="00581946">
      <w:pPr>
        <w:pStyle w:val="Bullet"/>
      </w:pPr>
      <w:r w:rsidRPr="000E163C">
        <w:t>Vegetation Management</w:t>
      </w:r>
    </w:p>
    <w:p w:rsidR="00AC40FC" w:rsidRPr="000E163C" w:rsidRDefault="00AC40FC" w:rsidP="00581946">
      <w:pPr>
        <w:pStyle w:val="Bullet"/>
      </w:pPr>
      <w:r w:rsidRPr="000E163C">
        <w:t xml:space="preserve">Project </w:t>
      </w:r>
      <w:r>
        <w:t>and</w:t>
      </w:r>
      <w:r w:rsidRPr="000E163C">
        <w:t xml:space="preserve"> Construction Management</w:t>
      </w:r>
    </w:p>
    <w:p w:rsidR="00AC40FC" w:rsidRPr="000E163C" w:rsidRDefault="00AC40FC" w:rsidP="00581946">
      <w:pPr>
        <w:pStyle w:val="Bullet"/>
      </w:pPr>
      <w:r w:rsidRPr="000E163C">
        <w:t>Respond to Customer (Operations)</w:t>
      </w:r>
    </w:p>
    <w:p w:rsidR="00AC40FC" w:rsidRPr="000E163C" w:rsidRDefault="00AC40FC" w:rsidP="00581946">
      <w:pPr>
        <w:pStyle w:val="Bullet"/>
      </w:pPr>
      <w:r w:rsidRPr="000E163C">
        <w:t>Lehigh/Northeast Region Operations</w:t>
      </w:r>
    </w:p>
    <w:p w:rsidR="00AC40FC" w:rsidRPr="000E163C" w:rsidRDefault="00AC40FC" w:rsidP="00581946">
      <w:pPr>
        <w:pStyle w:val="Bullet"/>
      </w:pPr>
      <w:r w:rsidRPr="000E163C">
        <w:t>Central/Susquehanna Region Operations</w:t>
      </w:r>
    </w:p>
    <w:p w:rsidR="00AC40FC" w:rsidRPr="000E163C" w:rsidRDefault="00AC40FC" w:rsidP="00581946">
      <w:pPr>
        <w:pStyle w:val="Bullet"/>
      </w:pPr>
      <w:r w:rsidRPr="000E163C">
        <w:t>Harrisburg/Lancaster Region Operations</w:t>
      </w:r>
    </w:p>
    <w:p w:rsidR="00AC40FC" w:rsidRPr="000E163C" w:rsidRDefault="00AC40FC" w:rsidP="00581946">
      <w:pPr>
        <w:pStyle w:val="Bullet"/>
      </w:pPr>
      <w:r w:rsidRPr="000E163C">
        <w:t>Transportation Services</w:t>
      </w:r>
    </w:p>
    <w:p w:rsidR="00AC40FC" w:rsidRDefault="00AC40FC" w:rsidP="00581946">
      <w:pPr>
        <w:pStyle w:val="Bullet"/>
      </w:pPr>
      <w:r>
        <w:t>Distribution Engineering</w:t>
      </w:r>
    </w:p>
    <w:p w:rsidR="00AC40FC" w:rsidRDefault="00AC40FC" w:rsidP="00581946">
      <w:pPr>
        <w:pStyle w:val="Bullet"/>
      </w:pPr>
      <w:r>
        <w:t>Technical Development and Improvement</w:t>
      </w:r>
    </w:p>
    <w:p w:rsidR="00AC40FC" w:rsidRPr="006149CA" w:rsidRDefault="00AC40FC" w:rsidP="00581946">
      <w:pPr>
        <w:pStyle w:val="Heading40"/>
      </w:pPr>
      <w:r>
        <w:t>Staffing Studies</w:t>
      </w:r>
    </w:p>
    <w:p w:rsidR="00AC40FC" w:rsidRPr="009F0339" w:rsidRDefault="00AC40FC" w:rsidP="00581946">
      <w:pPr>
        <w:rPr>
          <w:rFonts w:cs="Arial"/>
          <w:szCs w:val="24"/>
        </w:rPr>
      </w:pPr>
      <w:r>
        <w:rPr>
          <w:rFonts w:cs="Arial"/>
          <w:szCs w:val="24"/>
        </w:rPr>
        <w:t>Distribution Operations commissioned a staffing study in December 2015 that was completed in January 2016.  The goal is to align staffing with first quartile cost performance.  The study included benchmarking with other utilities and development of a road map for Distribution Operations to follow.  The study identified opportunities to cut costs in the areas of field productivity, work management processes, spans of control/headcount, sourcing opportunities in contract management, and proper categorization of capital and O&amp;M charges for accounting.  The study indicated that Distribution Operations currently is in the second quartile for field staffing and in the third quartile for support functions.  Distribution Operations is using the results to develop a plan during 2016 for implementation in the following years to achieve first quartile levels.</w:t>
      </w:r>
    </w:p>
    <w:p w:rsidR="00AC40FC" w:rsidRDefault="00AC40FC" w:rsidP="00581946">
      <w:pPr>
        <w:rPr>
          <w:rFonts w:cs="Arial"/>
          <w:szCs w:val="24"/>
        </w:rPr>
      </w:pPr>
      <w:r>
        <w:rPr>
          <w:rFonts w:cs="Arial"/>
          <w:szCs w:val="24"/>
        </w:rPr>
        <w:t xml:space="preserve">During </w:t>
      </w:r>
      <w:r w:rsidRPr="006401AA">
        <w:rPr>
          <w:rFonts w:cs="Arial"/>
          <w:szCs w:val="24"/>
        </w:rPr>
        <w:t xml:space="preserve">2015, The Director of </w:t>
      </w:r>
      <w:r>
        <w:rPr>
          <w:rFonts w:cs="Arial"/>
          <w:szCs w:val="24"/>
        </w:rPr>
        <w:t xml:space="preserve">Respond to Customer </w:t>
      </w:r>
      <w:r w:rsidRPr="006401AA">
        <w:rPr>
          <w:rFonts w:cs="Arial"/>
          <w:szCs w:val="24"/>
        </w:rPr>
        <w:t>Operations</w:t>
      </w:r>
      <w:r>
        <w:rPr>
          <w:rFonts w:cs="Arial"/>
          <w:szCs w:val="24"/>
        </w:rPr>
        <w:t xml:space="preserve"> also</w:t>
      </w:r>
      <w:r w:rsidRPr="006401AA">
        <w:rPr>
          <w:rFonts w:cs="Arial"/>
          <w:szCs w:val="24"/>
        </w:rPr>
        <w:t xml:space="preserve"> conducted benchmarking with approximately twelve other utilities, including LG&amp;E and KU, as part of a review of overall staffing needs.</w:t>
      </w:r>
      <w:r>
        <w:rPr>
          <w:rFonts w:cs="Arial"/>
          <w:szCs w:val="24"/>
        </w:rPr>
        <w:t xml:space="preserve">  Furthermore, Transportation Services uses a fleet consulting and benchmarking company to develop workforce projections.  The 2016 projection indicates a need for 48 garage mechanics</w:t>
      </w:r>
      <w:r w:rsidRPr="008413B6">
        <w:rPr>
          <w:rFonts w:cs="Arial"/>
          <w:szCs w:val="24"/>
        </w:rPr>
        <w:t xml:space="preserve"> </w:t>
      </w:r>
      <w:r>
        <w:rPr>
          <w:rFonts w:cs="Arial"/>
          <w:szCs w:val="24"/>
        </w:rPr>
        <w:t xml:space="preserve">to support the current PPL EU fleet of 2,561 vehicles. </w:t>
      </w:r>
    </w:p>
    <w:p w:rsidR="00AC40FC" w:rsidRDefault="00AC40FC" w:rsidP="00581946">
      <w:pPr>
        <w:rPr>
          <w:rFonts w:cs="Arial"/>
          <w:szCs w:val="24"/>
        </w:rPr>
      </w:pPr>
      <w:r w:rsidRPr="00BC02C2">
        <w:rPr>
          <w:rFonts w:cs="Arial"/>
          <w:szCs w:val="24"/>
        </w:rPr>
        <w:t>Project and Construction Management</w:t>
      </w:r>
      <w:r>
        <w:rPr>
          <w:rFonts w:cs="Arial"/>
          <w:szCs w:val="24"/>
        </w:rPr>
        <w:t xml:space="preserve"> and Technical Development and Improvement have not conducted any staffing studies.  However, the Project Construction and Management group plans to benchmark its project management functions and processes with other utilities, including LG&amp;E and KU, in 2016.</w:t>
      </w:r>
    </w:p>
    <w:p w:rsidR="00AC40FC" w:rsidRDefault="00AC40FC" w:rsidP="00581946">
      <w:pPr>
        <w:pStyle w:val="Heading40"/>
      </w:pPr>
      <w:r>
        <w:lastRenderedPageBreak/>
        <w:t>2015 Employee and Contractor Changes and 2016 Forecast</w:t>
      </w:r>
    </w:p>
    <w:p w:rsidR="00AC40FC" w:rsidRDefault="00AC40FC" w:rsidP="00581946">
      <w:pPr>
        <w:rPr>
          <w:rFonts w:cs="Arial"/>
          <w:szCs w:val="24"/>
        </w:rPr>
      </w:pPr>
      <w:r>
        <w:rPr>
          <w:rFonts w:cs="Arial"/>
          <w:szCs w:val="24"/>
        </w:rPr>
        <w:t xml:space="preserve">Distribution Operations staffing is presented by department and SRC number and title from the end of 2014 to the end of 2015 along with the staffing forecast from the end of 2015 to 2016 in the following table. </w:t>
      </w:r>
    </w:p>
    <w:p w:rsidR="00AC40FC" w:rsidRPr="00AC5F71" w:rsidRDefault="00AC40FC" w:rsidP="00B306CB">
      <w:pPr>
        <w:pStyle w:val="Caption"/>
      </w:pPr>
      <w:bookmarkStart w:id="362" w:name="_Toc462648492"/>
      <w:bookmarkStart w:id="363" w:name="_Toc464553114"/>
      <w:r>
        <w:t xml:space="preserve">Exhibit </w:t>
      </w:r>
      <w:fldSimple w:instr=" STYLEREF 1 \s ">
        <w:r w:rsidR="00A24205">
          <w:rPr>
            <w:noProof/>
          </w:rPr>
          <w:t>XV</w:t>
        </w:r>
      </w:fldSimple>
      <w:r w:rsidR="00264A1B">
        <w:noBreakHyphen/>
      </w:r>
      <w:fldSimple w:instr=" SEQ Exhibit \* ARABIC \s 1 ">
        <w:r w:rsidR="00A24205">
          <w:rPr>
            <w:noProof/>
          </w:rPr>
          <w:t>6</w:t>
        </w:r>
      </w:fldSimple>
      <w:r>
        <w:br/>
      </w:r>
      <w:r>
        <w:rPr>
          <w:rFonts w:cs="Arial"/>
          <w:szCs w:val="24"/>
        </w:rPr>
        <w:t>Distribution Operations</w:t>
      </w:r>
      <w:r w:rsidRPr="00AC5F71">
        <w:t xml:space="preserve"> </w:t>
      </w:r>
      <w:r>
        <w:t xml:space="preserve">Staffing </w:t>
      </w:r>
      <w:r w:rsidRPr="00AC5F71">
        <w:t>Changes 2014–2015</w:t>
      </w:r>
      <w:r>
        <w:t xml:space="preserve"> and 2016 Forecast</w:t>
      </w:r>
      <w:bookmarkEnd w:id="362"/>
      <w:bookmarkEnd w:id="363"/>
    </w:p>
    <w:tbl>
      <w:tblPr>
        <w:tblW w:w="0" w:type="auto"/>
        <w:tblInd w:w="93" w:type="dxa"/>
        <w:tblLayout w:type="fixed"/>
        <w:tblLook w:val="04A0"/>
      </w:tblPr>
      <w:tblGrid>
        <w:gridCol w:w="661"/>
        <w:gridCol w:w="4394"/>
        <w:gridCol w:w="720"/>
        <w:gridCol w:w="720"/>
        <w:gridCol w:w="1080"/>
        <w:gridCol w:w="720"/>
        <w:gridCol w:w="1080"/>
      </w:tblGrid>
      <w:tr w:rsidR="00AC40FC" w:rsidRPr="00863A99" w:rsidTr="00581946">
        <w:trPr>
          <w:cantSplit/>
          <w:trHeight w:val="330"/>
          <w:tblHeader/>
        </w:trPr>
        <w:tc>
          <w:tcPr>
            <w:tcW w:w="661" w:type="dxa"/>
            <w:tcBorders>
              <w:top w:val="single" w:sz="8" w:space="0" w:color="auto"/>
              <w:left w:val="single" w:sz="8" w:space="0" w:color="auto"/>
              <w:bottom w:val="single" w:sz="4" w:space="0" w:color="auto"/>
              <w:right w:val="single" w:sz="4" w:space="0" w:color="auto"/>
            </w:tcBorders>
            <w:shd w:val="clear" w:color="000000" w:fill="A5CD7E"/>
            <w:vAlign w:val="center"/>
            <w:hideMark/>
          </w:tcPr>
          <w:p w:rsidR="00AC40FC" w:rsidRPr="00863A99" w:rsidRDefault="00AC40FC" w:rsidP="00D6083E">
            <w:pPr>
              <w:spacing w:before="120"/>
              <w:jc w:val="center"/>
              <w:rPr>
                <w:rFonts w:cs="Arial"/>
                <w:b/>
                <w:bCs/>
                <w:color w:val="000000"/>
                <w:sz w:val="20"/>
                <w:szCs w:val="20"/>
              </w:rPr>
            </w:pPr>
            <w:r w:rsidRPr="00863A99">
              <w:rPr>
                <w:rFonts w:cs="Arial"/>
                <w:b/>
                <w:bCs/>
                <w:color w:val="000000"/>
                <w:sz w:val="20"/>
                <w:szCs w:val="20"/>
              </w:rPr>
              <w:t>SRC</w:t>
            </w:r>
          </w:p>
        </w:tc>
        <w:tc>
          <w:tcPr>
            <w:tcW w:w="4394" w:type="dxa"/>
            <w:tcBorders>
              <w:top w:val="single" w:sz="8" w:space="0" w:color="auto"/>
              <w:left w:val="nil"/>
              <w:bottom w:val="single" w:sz="4" w:space="0" w:color="auto"/>
              <w:right w:val="single" w:sz="4" w:space="0" w:color="auto"/>
            </w:tcBorders>
            <w:shd w:val="clear" w:color="000000" w:fill="A5CD7E"/>
            <w:vAlign w:val="center"/>
            <w:hideMark/>
          </w:tcPr>
          <w:p w:rsidR="00AC40FC" w:rsidRPr="00863A99" w:rsidRDefault="00AC40FC" w:rsidP="00D6083E">
            <w:pPr>
              <w:spacing w:before="120"/>
              <w:jc w:val="center"/>
              <w:rPr>
                <w:rFonts w:cs="Arial"/>
                <w:b/>
                <w:bCs/>
                <w:color w:val="000000"/>
                <w:sz w:val="20"/>
                <w:szCs w:val="20"/>
              </w:rPr>
            </w:pPr>
            <w:r w:rsidRPr="00863A99">
              <w:rPr>
                <w:rFonts w:cs="Arial"/>
                <w:b/>
                <w:bCs/>
                <w:color w:val="000000"/>
                <w:sz w:val="20"/>
                <w:szCs w:val="20"/>
              </w:rPr>
              <w:t>Organizational Unit</w:t>
            </w:r>
          </w:p>
        </w:tc>
        <w:tc>
          <w:tcPr>
            <w:tcW w:w="720" w:type="dxa"/>
            <w:tcBorders>
              <w:top w:val="single" w:sz="8" w:space="0" w:color="auto"/>
              <w:left w:val="nil"/>
              <w:bottom w:val="single" w:sz="4" w:space="0" w:color="auto"/>
              <w:right w:val="single" w:sz="4" w:space="0" w:color="auto"/>
            </w:tcBorders>
            <w:shd w:val="clear" w:color="000000" w:fill="A5CD7E"/>
            <w:vAlign w:val="center"/>
            <w:hideMark/>
          </w:tcPr>
          <w:p w:rsidR="00AC40FC" w:rsidRPr="00863A99" w:rsidRDefault="00AC40FC" w:rsidP="00D6083E">
            <w:pPr>
              <w:spacing w:before="120"/>
              <w:jc w:val="center"/>
              <w:rPr>
                <w:rFonts w:cs="Arial"/>
                <w:b/>
                <w:bCs/>
                <w:color w:val="000000"/>
                <w:sz w:val="20"/>
                <w:szCs w:val="20"/>
              </w:rPr>
            </w:pPr>
            <w:r w:rsidRPr="00863A99">
              <w:rPr>
                <w:rFonts w:cs="Arial"/>
                <w:b/>
                <w:bCs/>
                <w:color w:val="000000"/>
                <w:sz w:val="20"/>
                <w:szCs w:val="20"/>
              </w:rPr>
              <w:t>2014</w:t>
            </w:r>
          </w:p>
        </w:tc>
        <w:tc>
          <w:tcPr>
            <w:tcW w:w="720" w:type="dxa"/>
            <w:tcBorders>
              <w:top w:val="single" w:sz="8" w:space="0" w:color="auto"/>
              <w:left w:val="nil"/>
              <w:bottom w:val="single" w:sz="4" w:space="0" w:color="auto"/>
              <w:right w:val="single" w:sz="4" w:space="0" w:color="auto"/>
            </w:tcBorders>
            <w:shd w:val="clear" w:color="000000" w:fill="A5CD7E"/>
            <w:vAlign w:val="center"/>
            <w:hideMark/>
          </w:tcPr>
          <w:p w:rsidR="00AC40FC" w:rsidRPr="00863A99" w:rsidRDefault="00AC40FC" w:rsidP="00D6083E">
            <w:pPr>
              <w:spacing w:before="120"/>
              <w:jc w:val="center"/>
              <w:rPr>
                <w:rFonts w:cs="Arial"/>
                <w:b/>
                <w:bCs/>
                <w:color w:val="000000"/>
                <w:sz w:val="20"/>
                <w:szCs w:val="20"/>
              </w:rPr>
            </w:pPr>
            <w:r w:rsidRPr="00863A99">
              <w:rPr>
                <w:rFonts w:cs="Arial"/>
                <w:b/>
                <w:bCs/>
                <w:color w:val="000000"/>
                <w:sz w:val="20"/>
                <w:szCs w:val="20"/>
              </w:rPr>
              <w:t>2015</w:t>
            </w:r>
          </w:p>
        </w:tc>
        <w:tc>
          <w:tcPr>
            <w:tcW w:w="1080" w:type="dxa"/>
            <w:tcBorders>
              <w:top w:val="single" w:sz="8" w:space="0" w:color="auto"/>
              <w:left w:val="nil"/>
              <w:bottom w:val="single" w:sz="4" w:space="0" w:color="auto"/>
              <w:right w:val="single" w:sz="8" w:space="0" w:color="auto"/>
            </w:tcBorders>
            <w:shd w:val="clear" w:color="000000" w:fill="A5CD7E"/>
            <w:vAlign w:val="center"/>
            <w:hideMark/>
          </w:tcPr>
          <w:p w:rsidR="00AC40FC" w:rsidRPr="00863A99" w:rsidRDefault="00AC40FC" w:rsidP="00BB665B">
            <w:pPr>
              <w:spacing w:before="120"/>
              <w:jc w:val="center"/>
              <w:rPr>
                <w:rFonts w:cs="Arial"/>
                <w:b/>
                <w:bCs/>
                <w:color w:val="000000"/>
                <w:sz w:val="20"/>
                <w:szCs w:val="20"/>
              </w:rPr>
            </w:pPr>
            <w:r>
              <w:rPr>
                <w:rFonts w:cs="Arial"/>
                <w:b/>
                <w:bCs/>
                <w:color w:val="000000"/>
                <w:sz w:val="20"/>
                <w:szCs w:val="20"/>
              </w:rPr>
              <w:t xml:space="preserve">2014–2015 </w:t>
            </w:r>
            <w:r w:rsidRPr="00863A99">
              <w:rPr>
                <w:rFonts w:cs="Arial"/>
                <w:b/>
                <w:bCs/>
                <w:color w:val="000000"/>
                <w:sz w:val="20"/>
                <w:szCs w:val="20"/>
              </w:rPr>
              <w:t>Change</w:t>
            </w:r>
          </w:p>
        </w:tc>
        <w:tc>
          <w:tcPr>
            <w:tcW w:w="720" w:type="dxa"/>
            <w:tcBorders>
              <w:top w:val="single" w:sz="8" w:space="0" w:color="auto"/>
              <w:left w:val="nil"/>
              <w:bottom w:val="single" w:sz="4" w:space="0" w:color="auto"/>
              <w:right w:val="single" w:sz="8" w:space="0" w:color="auto"/>
            </w:tcBorders>
            <w:shd w:val="clear" w:color="000000" w:fill="A5CD7E"/>
            <w:vAlign w:val="center"/>
          </w:tcPr>
          <w:p w:rsidR="00AC40FC" w:rsidRPr="00863A99" w:rsidRDefault="00AC40FC" w:rsidP="00D6083E">
            <w:pPr>
              <w:spacing w:before="120"/>
              <w:jc w:val="center"/>
              <w:rPr>
                <w:rFonts w:cs="Arial"/>
                <w:b/>
                <w:bCs/>
                <w:color w:val="000000"/>
                <w:sz w:val="20"/>
                <w:szCs w:val="20"/>
              </w:rPr>
            </w:pPr>
            <w:r w:rsidRPr="00863A99">
              <w:rPr>
                <w:rFonts w:cs="Arial"/>
                <w:b/>
                <w:bCs/>
                <w:color w:val="000000"/>
                <w:sz w:val="20"/>
                <w:szCs w:val="20"/>
              </w:rPr>
              <w:t>2016</w:t>
            </w:r>
          </w:p>
        </w:tc>
        <w:tc>
          <w:tcPr>
            <w:tcW w:w="1080" w:type="dxa"/>
            <w:tcBorders>
              <w:top w:val="single" w:sz="8" w:space="0" w:color="auto"/>
              <w:left w:val="nil"/>
              <w:bottom w:val="single" w:sz="4" w:space="0" w:color="auto"/>
              <w:right w:val="single" w:sz="8" w:space="0" w:color="auto"/>
            </w:tcBorders>
            <w:shd w:val="clear" w:color="000000" w:fill="A5CD7E"/>
            <w:vAlign w:val="center"/>
          </w:tcPr>
          <w:p w:rsidR="00AC40FC" w:rsidRPr="00863A99" w:rsidRDefault="00AC40FC" w:rsidP="00D6083E">
            <w:pPr>
              <w:spacing w:before="120"/>
              <w:jc w:val="center"/>
              <w:rPr>
                <w:rFonts w:cs="Arial"/>
                <w:b/>
                <w:bCs/>
                <w:color w:val="000000"/>
                <w:sz w:val="20"/>
                <w:szCs w:val="20"/>
              </w:rPr>
            </w:pPr>
            <w:r>
              <w:rPr>
                <w:rFonts w:cs="Arial"/>
                <w:b/>
                <w:bCs/>
                <w:color w:val="000000"/>
                <w:sz w:val="20"/>
                <w:szCs w:val="20"/>
              </w:rPr>
              <w:t xml:space="preserve">2015–2016 </w:t>
            </w:r>
            <w:r w:rsidRPr="00863A99">
              <w:rPr>
                <w:rFonts w:cs="Arial"/>
                <w:b/>
                <w:bCs/>
                <w:color w:val="000000"/>
                <w:sz w:val="20"/>
                <w:szCs w:val="20"/>
              </w:rPr>
              <w:t>Change</w:t>
            </w:r>
          </w:p>
        </w:tc>
      </w:tr>
      <w:tr w:rsidR="00AC40FC" w:rsidRPr="00863A99" w:rsidTr="00581946">
        <w:trPr>
          <w:trHeight w:val="300"/>
        </w:trPr>
        <w:tc>
          <w:tcPr>
            <w:tcW w:w="9375" w:type="dxa"/>
            <w:gridSpan w:val="7"/>
            <w:tcBorders>
              <w:top w:val="single" w:sz="4" w:space="0" w:color="auto"/>
              <w:left w:val="single" w:sz="8" w:space="0" w:color="auto"/>
              <w:bottom w:val="single" w:sz="8" w:space="0" w:color="auto"/>
              <w:right w:val="single" w:sz="8" w:space="0" w:color="auto"/>
            </w:tcBorders>
            <w:shd w:val="clear" w:color="auto" w:fill="auto"/>
            <w:vAlign w:val="center"/>
          </w:tcPr>
          <w:p w:rsidR="00AC40FC" w:rsidRPr="00182BF2" w:rsidRDefault="00AC40FC" w:rsidP="00581946">
            <w:pPr>
              <w:spacing w:after="0"/>
              <w:jc w:val="left"/>
              <w:rPr>
                <w:rFonts w:cs="Arial"/>
                <w:b/>
                <w:color w:val="000000"/>
                <w:sz w:val="20"/>
                <w:szCs w:val="20"/>
              </w:rPr>
            </w:pPr>
            <w:r>
              <w:rPr>
                <w:rFonts w:cs="Arial"/>
                <w:b/>
                <w:color w:val="000000"/>
                <w:sz w:val="20"/>
                <w:szCs w:val="20"/>
              </w:rPr>
              <w:t>Leadership and Administration</w:t>
            </w:r>
          </w:p>
        </w:tc>
      </w:tr>
      <w:tr w:rsidR="00AC40FC" w:rsidRPr="00863A99" w:rsidTr="00581946">
        <w:trPr>
          <w:trHeight w:val="300"/>
        </w:trPr>
        <w:tc>
          <w:tcPr>
            <w:tcW w:w="661" w:type="dxa"/>
            <w:tcBorders>
              <w:top w:val="single" w:sz="4" w:space="0" w:color="auto"/>
              <w:left w:val="single" w:sz="8" w:space="0" w:color="auto"/>
              <w:bottom w:val="single" w:sz="8" w:space="0" w:color="auto"/>
              <w:right w:val="single" w:sz="4" w:space="0" w:color="auto"/>
            </w:tcBorders>
            <w:shd w:val="clear" w:color="auto" w:fill="auto"/>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0400</w:t>
            </w:r>
          </w:p>
        </w:tc>
        <w:tc>
          <w:tcPr>
            <w:tcW w:w="4394" w:type="dxa"/>
            <w:tcBorders>
              <w:top w:val="single" w:sz="4" w:space="0" w:color="auto"/>
              <w:left w:val="nil"/>
              <w:bottom w:val="single" w:sz="8" w:space="0" w:color="auto"/>
              <w:right w:val="single" w:sz="4" w:space="0" w:color="auto"/>
            </w:tcBorders>
            <w:shd w:val="clear" w:color="auto" w:fill="auto"/>
            <w:vAlign w:val="center"/>
          </w:tcPr>
          <w:p w:rsidR="00AC40FC" w:rsidRPr="00863A99" w:rsidRDefault="00AC40FC" w:rsidP="00581946">
            <w:pPr>
              <w:spacing w:after="0"/>
              <w:jc w:val="left"/>
              <w:rPr>
                <w:sz w:val="20"/>
                <w:szCs w:val="20"/>
              </w:rPr>
            </w:pPr>
            <w:r w:rsidRPr="00863A99">
              <w:rPr>
                <w:sz w:val="20"/>
                <w:szCs w:val="20"/>
              </w:rPr>
              <w:t>Distribution Operations</w:t>
            </w:r>
          </w:p>
        </w:tc>
        <w:tc>
          <w:tcPr>
            <w:tcW w:w="720" w:type="dxa"/>
            <w:tcBorders>
              <w:top w:val="single" w:sz="4" w:space="0" w:color="auto"/>
              <w:left w:val="nil"/>
              <w:bottom w:val="single" w:sz="8" w:space="0" w:color="auto"/>
              <w:right w:val="single" w:sz="4" w:space="0" w:color="auto"/>
            </w:tcBorders>
            <w:shd w:val="clear" w:color="auto" w:fill="auto"/>
            <w:vAlign w:val="center"/>
          </w:tcPr>
          <w:p w:rsidR="00AC40FC" w:rsidRPr="00863A99" w:rsidRDefault="00AC40FC" w:rsidP="00581946">
            <w:pPr>
              <w:spacing w:after="0"/>
              <w:jc w:val="center"/>
              <w:rPr>
                <w:rFonts w:cs="Arial"/>
                <w:sz w:val="20"/>
                <w:szCs w:val="20"/>
              </w:rPr>
            </w:pPr>
            <w:r w:rsidRPr="00863A99">
              <w:rPr>
                <w:rFonts w:cs="Arial"/>
                <w:color w:val="000000"/>
                <w:sz w:val="20"/>
                <w:szCs w:val="20"/>
              </w:rPr>
              <w:t>9</w:t>
            </w:r>
          </w:p>
        </w:tc>
        <w:tc>
          <w:tcPr>
            <w:tcW w:w="720" w:type="dxa"/>
            <w:tcBorders>
              <w:top w:val="single" w:sz="4" w:space="0" w:color="auto"/>
              <w:left w:val="nil"/>
              <w:bottom w:val="single" w:sz="8" w:space="0" w:color="auto"/>
              <w:right w:val="single" w:sz="4" w:space="0" w:color="auto"/>
            </w:tcBorders>
            <w:shd w:val="clear" w:color="auto" w:fill="auto"/>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7</w:t>
            </w:r>
          </w:p>
        </w:tc>
        <w:tc>
          <w:tcPr>
            <w:tcW w:w="1080" w:type="dxa"/>
            <w:tcBorders>
              <w:top w:val="single" w:sz="4" w:space="0" w:color="auto"/>
              <w:left w:val="nil"/>
              <w:bottom w:val="single" w:sz="8" w:space="0" w:color="auto"/>
              <w:right w:val="single" w:sz="8" w:space="0" w:color="auto"/>
            </w:tcBorders>
            <w:shd w:val="clear" w:color="auto" w:fill="auto"/>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-2</w:t>
            </w:r>
          </w:p>
        </w:tc>
        <w:tc>
          <w:tcPr>
            <w:tcW w:w="720" w:type="dxa"/>
            <w:tcBorders>
              <w:top w:val="single" w:sz="4" w:space="0" w:color="auto"/>
              <w:left w:val="nil"/>
              <w:bottom w:val="single" w:sz="8"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6</w:t>
            </w:r>
          </w:p>
        </w:tc>
        <w:tc>
          <w:tcPr>
            <w:tcW w:w="1080" w:type="dxa"/>
            <w:tcBorders>
              <w:top w:val="single" w:sz="4" w:space="0" w:color="auto"/>
              <w:left w:val="nil"/>
              <w:bottom w:val="single" w:sz="8"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w:t>
            </w:r>
          </w:p>
        </w:tc>
      </w:tr>
      <w:tr w:rsidR="00AC40FC" w:rsidRPr="00863A99" w:rsidTr="00581946">
        <w:trPr>
          <w:trHeight w:val="300"/>
        </w:trPr>
        <w:tc>
          <w:tcPr>
            <w:tcW w:w="661" w:type="dxa"/>
            <w:tcBorders>
              <w:top w:val="nil"/>
              <w:left w:val="single" w:sz="8" w:space="0" w:color="auto"/>
              <w:bottom w:val="single" w:sz="4" w:space="0" w:color="auto"/>
              <w:right w:val="single" w:sz="4" w:space="0" w:color="auto"/>
            </w:tcBorders>
            <w:shd w:val="clear" w:color="auto" w:fill="auto"/>
            <w:vAlign w:val="center"/>
            <w:hideMark/>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0479</w:t>
            </w:r>
          </w:p>
        </w:tc>
        <w:tc>
          <w:tcPr>
            <w:tcW w:w="4394" w:type="dxa"/>
            <w:tcBorders>
              <w:top w:val="nil"/>
              <w:left w:val="nil"/>
              <w:bottom w:val="single" w:sz="4" w:space="0" w:color="auto"/>
              <w:right w:val="single" w:sz="4" w:space="0" w:color="auto"/>
            </w:tcBorders>
            <w:shd w:val="clear" w:color="auto" w:fill="auto"/>
            <w:vAlign w:val="center"/>
            <w:hideMark/>
          </w:tcPr>
          <w:p w:rsidR="00AC40FC" w:rsidRPr="00863A99" w:rsidRDefault="00AC40FC" w:rsidP="00581946">
            <w:pPr>
              <w:spacing w:after="0"/>
              <w:jc w:val="left"/>
              <w:rPr>
                <w:rFonts w:cs="Arial"/>
                <w:color w:val="000000"/>
                <w:sz w:val="20"/>
                <w:szCs w:val="20"/>
              </w:rPr>
            </w:pPr>
            <w:r w:rsidRPr="00863A99">
              <w:rPr>
                <w:sz w:val="20"/>
                <w:szCs w:val="20"/>
              </w:rPr>
              <w:t>Vegetation Management</w:t>
            </w:r>
          </w:p>
        </w:tc>
        <w:tc>
          <w:tcPr>
            <w:tcW w:w="720" w:type="dxa"/>
            <w:tcBorders>
              <w:top w:val="nil"/>
              <w:left w:val="nil"/>
              <w:bottom w:val="single" w:sz="4" w:space="0" w:color="auto"/>
              <w:right w:val="single" w:sz="4" w:space="0" w:color="auto"/>
            </w:tcBorders>
            <w:shd w:val="clear" w:color="auto" w:fill="auto"/>
            <w:vAlign w:val="center"/>
            <w:hideMark/>
          </w:tcPr>
          <w:p w:rsidR="00AC40FC" w:rsidRPr="00863A99" w:rsidRDefault="00AC40FC" w:rsidP="00581946">
            <w:pPr>
              <w:spacing w:after="0"/>
              <w:jc w:val="center"/>
              <w:rPr>
                <w:rFonts w:cs="Arial"/>
                <w:sz w:val="20"/>
                <w:szCs w:val="20"/>
              </w:rPr>
            </w:pPr>
            <w:r w:rsidRPr="00863A99">
              <w:rPr>
                <w:rFonts w:cs="Arial"/>
                <w:sz w:val="20"/>
                <w:szCs w:val="20"/>
              </w:rPr>
              <w:t>18</w:t>
            </w:r>
          </w:p>
        </w:tc>
        <w:tc>
          <w:tcPr>
            <w:tcW w:w="720" w:type="dxa"/>
            <w:tcBorders>
              <w:top w:val="nil"/>
              <w:left w:val="nil"/>
              <w:bottom w:val="single" w:sz="4" w:space="0" w:color="auto"/>
              <w:right w:val="single" w:sz="4" w:space="0" w:color="auto"/>
            </w:tcBorders>
            <w:shd w:val="clear" w:color="auto" w:fill="auto"/>
            <w:vAlign w:val="center"/>
            <w:hideMark/>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18</w:t>
            </w:r>
          </w:p>
        </w:tc>
        <w:tc>
          <w:tcPr>
            <w:tcW w:w="1080" w:type="dxa"/>
            <w:tcBorders>
              <w:top w:val="nil"/>
              <w:left w:val="nil"/>
              <w:bottom w:val="single" w:sz="4" w:space="0" w:color="auto"/>
              <w:right w:val="single" w:sz="8" w:space="0" w:color="auto"/>
            </w:tcBorders>
            <w:shd w:val="clear" w:color="auto" w:fill="auto"/>
            <w:vAlign w:val="center"/>
            <w:hideMark/>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w:t>
            </w:r>
          </w:p>
        </w:tc>
        <w:tc>
          <w:tcPr>
            <w:tcW w:w="72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18</w:t>
            </w:r>
          </w:p>
        </w:tc>
        <w:tc>
          <w:tcPr>
            <w:tcW w:w="108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w:t>
            </w:r>
          </w:p>
        </w:tc>
      </w:tr>
      <w:tr w:rsidR="00AC40FC" w:rsidRPr="00863A99" w:rsidTr="00581946">
        <w:trPr>
          <w:trHeight w:val="330"/>
        </w:trPr>
        <w:tc>
          <w:tcPr>
            <w:tcW w:w="7575" w:type="dxa"/>
            <w:gridSpan w:val="5"/>
            <w:tcBorders>
              <w:top w:val="single" w:sz="8" w:space="0" w:color="auto"/>
              <w:left w:val="single" w:sz="8" w:space="0" w:color="auto"/>
              <w:bottom w:val="single" w:sz="4" w:space="0" w:color="auto"/>
              <w:right w:val="single" w:sz="8" w:space="0" w:color="auto"/>
            </w:tcBorders>
            <w:shd w:val="clear" w:color="auto" w:fill="auto"/>
            <w:vAlign w:val="center"/>
            <w:hideMark/>
          </w:tcPr>
          <w:p w:rsidR="00AC40FC" w:rsidRPr="00863A99" w:rsidRDefault="00AC40FC" w:rsidP="00581946">
            <w:pPr>
              <w:spacing w:after="0"/>
              <w:jc w:val="left"/>
              <w:rPr>
                <w:rFonts w:cs="Arial"/>
                <w:b/>
                <w:color w:val="000000"/>
                <w:sz w:val="20"/>
                <w:szCs w:val="20"/>
              </w:rPr>
            </w:pPr>
            <w:r w:rsidRPr="00863A99">
              <w:rPr>
                <w:b/>
                <w:sz w:val="20"/>
                <w:szCs w:val="20"/>
              </w:rPr>
              <w:t>Distribution Asset Management</w:t>
            </w:r>
          </w:p>
        </w:tc>
        <w:tc>
          <w:tcPr>
            <w:tcW w:w="720" w:type="dxa"/>
            <w:tcBorders>
              <w:top w:val="single" w:sz="8" w:space="0" w:color="auto"/>
              <w:left w:val="single" w:sz="8" w:space="0" w:color="auto"/>
              <w:bottom w:val="single" w:sz="4" w:space="0" w:color="auto"/>
              <w:right w:val="single" w:sz="8" w:space="0" w:color="auto"/>
            </w:tcBorders>
            <w:vAlign w:val="center"/>
          </w:tcPr>
          <w:p w:rsidR="00AC40FC" w:rsidRPr="00863A99" w:rsidRDefault="00AC40FC" w:rsidP="00581946">
            <w:pPr>
              <w:spacing w:after="0"/>
              <w:jc w:val="center"/>
              <w:rPr>
                <w:sz w:val="20"/>
                <w:szCs w:val="20"/>
              </w:rPr>
            </w:pPr>
          </w:p>
        </w:tc>
        <w:tc>
          <w:tcPr>
            <w:tcW w:w="1080" w:type="dxa"/>
            <w:tcBorders>
              <w:top w:val="single" w:sz="8" w:space="0" w:color="auto"/>
              <w:left w:val="single" w:sz="8" w:space="0" w:color="auto"/>
              <w:bottom w:val="single" w:sz="4" w:space="0" w:color="auto"/>
              <w:right w:val="single" w:sz="8" w:space="0" w:color="auto"/>
            </w:tcBorders>
            <w:vAlign w:val="center"/>
          </w:tcPr>
          <w:p w:rsidR="00AC40FC" w:rsidRPr="00863A99" w:rsidRDefault="00AC40FC" w:rsidP="00581946">
            <w:pPr>
              <w:spacing w:after="0"/>
              <w:jc w:val="center"/>
              <w:rPr>
                <w:sz w:val="20"/>
                <w:szCs w:val="20"/>
              </w:rPr>
            </w:pPr>
          </w:p>
        </w:tc>
      </w:tr>
      <w:tr w:rsidR="00AC40FC" w:rsidRPr="00863A99" w:rsidTr="00581946">
        <w:trPr>
          <w:trHeight w:val="300"/>
        </w:trPr>
        <w:tc>
          <w:tcPr>
            <w:tcW w:w="661" w:type="dxa"/>
            <w:tcBorders>
              <w:top w:val="nil"/>
              <w:left w:val="single" w:sz="8" w:space="0" w:color="auto"/>
              <w:bottom w:val="single" w:sz="4" w:space="0" w:color="auto"/>
              <w:right w:val="single" w:sz="4" w:space="0" w:color="auto"/>
            </w:tcBorders>
            <w:shd w:val="clear" w:color="auto" w:fill="auto"/>
            <w:noWrap/>
            <w:vAlign w:val="center"/>
            <w:hideMark/>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0402</w:t>
            </w:r>
          </w:p>
        </w:tc>
        <w:tc>
          <w:tcPr>
            <w:tcW w:w="4394"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left"/>
              <w:rPr>
                <w:rFonts w:cs="Arial"/>
                <w:color w:val="000000"/>
                <w:sz w:val="20"/>
                <w:szCs w:val="20"/>
              </w:rPr>
            </w:pPr>
            <w:r>
              <w:rPr>
                <w:rFonts w:cs="Arial"/>
                <w:bCs/>
                <w:color w:val="000000"/>
                <w:sz w:val="20"/>
                <w:szCs w:val="20"/>
              </w:rPr>
              <w:t>Distribution Portfolio Management</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sz w:val="20"/>
                <w:szCs w:val="20"/>
              </w:rPr>
            </w:pPr>
            <w:r>
              <w:rPr>
                <w:rFonts w:cs="Arial"/>
                <w:color w:val="000000"/>
                <w:sz w:val="20"/>
                <w:szCs w:val="20"/>
              </w:rPr>
              <w:t>10</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Pr>
                <w:rFonts w:cs="Arial"/>
                <w:color w:val="000000"/>
                <w:sz w:val="20"/>
                <w:szCs w:val="20"/>
              </w:rPr>
              <w:t>9</w:t>
            </w:r>
          </w:p>
        </w:tc>
        <w:tc>
          <w:tcPr>
            <w:tcW w:w="1080" w:type="dxa"/>
            <w:tcBorders>
              <w:top w:val="nil"/>
              <w:left w:val="nil"/>
              <w:bottom w:val="single" w:sz="4" w:space="0" w:color="auto"/>
              <w:right w:val="single" w:sz="8" w:space="0" w:color="auto"/>
            </w:tcBorders>
            <w:shd w:val="clear" w:color="auto" w:fill="auto"/>
            <w:vAlign w:val="center"/>
          </w:tcPr>
          <w:p w:rsidR="00AC40FC" w:rsidRPr="00863A99" w:rsidRDefault="00AC40FC" w:rsidP="00581946">
            <w:pPr>
              <w:spacing w:after="0"/>
              <w:jc w:val="center"/>
              <w:rPr>
                <w:rFonts w:cs="Arial"/>
                <w:color w:val="000000"/>
                <w:sz w:val="20"/>
                <w:szCs w:val="20"/>
              </w:rPr>
            </w:pPr>
            <w:r>
              <w:rPr>
                <w:rFonts w:cs="Arial"/>
                <w:color w:val="000000"/>
                <w:sz w:val="20"/>
                <w:szCs w:val="20"/>
              </w:rPr>
              <w:t>1</w:t>
            </w:r>
          </w:p>
        </w:tc>
        <w:tc>
          <w:tcPr>
            <w:tcW w:w="72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Pr>
                <w:rFonts w:cs="Arial"/>
                <w:color w:val="000000"/>
                <w:sz w:val="20"/>
                <w:szCs w:val="20"/>
              </w:rPr>
              <w:t>9</w:t>
            </w:r>
          </w:p>
        </w:tc>
        <w:tc>
          <w:tcPr>
            <w:tcW w:w="108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Pr>
                <w:rFonts w:cs="Arial"/>
                <w:color w:val="000000"/>
                <w:sz w:val="20"/>
                <w:szCs w:val="20"/>
              </w:rPr>
              <w:t>0</w:t>
            </w:r>
          </w:p>
        </w:tc>
      </w:tr>
      <w:tr w:rsidR="00AC40FC" w:rsidRPr="00863A99" w:rsidTr="00581946">
        <w:trPr>
          <w:trHeight w:val="300"/>
        </w:trPr>
        <w:tc>
          <w:tcPr>
            <w:tcW w:w="661" w:type="dxa"/>
            <w:tcBorders>
              <w:top w:val="nil"/>
              <w:left w:val="single" w:sz="8" w:space="0" w:color="auto"/>
              <w:bottom w:val="single" w:sz="4" w:space="0" w:color="auto"/>
              <w:right w:val="single" w:sz="4" w:space="0" w:color="auto"/>
            </w:tcBorders>
            <w:shd w:val="clear" w:color="auto" w:fill="auto"/>
            <w:noWrap/>
            <w:vAlign w:val="center"/>
            <w:hideMark/>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0873</w:t>
            </w:r>
          </w:p>
        </w:tc>
        <w:tc>
          <w:tcPr>
            <w:tcW w:w="4394"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left"/>
              <w:rPr>
                <w:rFonts w:cs="Arial"/>
                <w:color w:val="000000"/>
                <w:sz w:val="20"/>
                <w:szCs w:val="20"/>
              </w:rPr>
            </w:pPr>
            <w:r>
              <w:rPr>
                <w:rFonts w:cs="Arial"/>
                <w:color w:val="000000"/>
                <w:sz w:val="20"/>
                <w:szCs w:val="20"/>
              </w:rPr>
              <w:t>Distribution Asset Management</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sz w:val="20"/>
                <w:szCs w:val="20"/>
              </w:rPr>
            </w:pPr>
            <w:r>
              <w:rPr>
                <w:rFonts w:cs="Arial"/>
                <w:color w:val="000000"/>
                <w:sz w:val="20"/>
                <w:szCs w:val="20"/>
              </w:rPr>
              <w:t>16</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Pr>
                <w:rFonts w:cs="Arial"/>
                <w:color w:val="000000"/>
                <w:sz w:val="20"/>
                <w:szCs w:val="20"/>
              </w:rPr>
              <w:t>16</w:t>
            </w:r>
          </w:p>
        </w:tc>
        <w:tc>
          <w:tcPr>
            <w:tcW w:w="1080" w:type="dxa"/>
            <w:tcBorders>
              <w:top w:val="nil"/>
              <w:left w:val="nil"/>
              <w:bottom w:val="single" w:sz="4" w:space="0" w:color="auto"/>
              <w:right w:val="single" w:sz="8" w:space="0" w:color="auto"/>
            </w:tcBorders>
            <w:shd w:val="clear" w:color="auto" w:fill="auto"/>
            <w:vAlign w:val="center"/>
          </w:tcPr>
          <w:p w:rsidR="00AC40FC" w:rsidRPr="00863A99" w:rsidDel="00B32A5B" w:rsidRDefault="00AC40FC" w:rsidP="00581946">
            <w:pPr>
              <w:spacing w:after="0"/>
              <w:jc w:val="center"/>
              <w:rPr>
                <w:rFonts w:cs="Arial"/>
                <w:color w:val="000000"/>
                <w:sz w:val="20"/>
                <w:szCs w:val="20"/>
              </w:rPr>
            </w:pPr>
            <w:r>
              <w:rPr>
                <w:rFonts w:cs="Arial"/>
                <w:color w:val="000000"/>
                <w:sz w:val="20"/>
                <w:szCs w:val="20"/>
              </w:rPr>
              <w:t>0</w:t>
            </w:r>
          </w:p>
        </w:tc>
        <w:tc>
          <w:tcPr>
            <w:tcW w:w="72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16</w:t>
            </w:r>
          </w:p>
        </w:tc>
        <w:tc>
          <w:tcPr>
            <w:tcW w:w="108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Pr>
                <w:rFonts w:cs="Arial"/>
                <w:color w:val="000000"/>
                <w:sz w:val="20"/>
                <w:szCs w:val="20"/>
              </w:rPr>
              <w:t>0</w:t>
            </w:r>
          </w:p>
        </w:tc>
      </w:tr>
      <w:tr w:rsidR="00AC40FC" w:rsidRPr="00863A99" w:rsidTr="00581946">
        <w:trPr>
          <w:trHeight w:val="300"/>
        </w:trPr>
        <w:tc>
          <w:tcPr>
            <w:tcW w:w="661" w:type="dxa"/>
            <w:tcBorders>
              <w:top w:val="nil"/>
              <w:left w:val="single" w:sz="8" w:space="0" w:color="auto"/>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p>
        </w:tc>
        <w:tc>
          <w:tcPr>
            <w:tcW w:w="4394"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Subtotal</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sz w:val="20"/>
                <w:szCs w:val="20"/>
              </w:rPr>
            </w:pPr>
            <w:r>
              <w:rPr>
                <w:rFonts w:cs="Arial"/>
                <w:sz w:val="20"/>
                <w:szCs w:val="20"/>
              </w:rPr>
              <w:t>26</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Pr>
                <w:rFonts w:cs="Arial"/>
                <w:color w:val="000000"/>
                <w:sz w:val="20"/>
                <w:szCs w:val="20"/>
              </w:rPr>
              <w:t>25</w:t>
            </w:r>
          </w:p>
        </w:tc>
        <w:tc>
          <w:tcPr>
            <w:tcW w:w="1080" w:type="dxa"/>
            <w:tcBorders>
              <w:top w:val="nil"/>
              <w:left w:val="nil"/>
              <w:bottom w:val="single" w:sz="4" w:space="0" w:color="auto"/>
              <w:right w:val="single" w:sz="8" w:space="0" w:color="auto"/>
            </w:tcBorders>
            <w:shd w:val="clear" w:color="auto" w:fill="auto"/>
            <w:vAlign w:val="center"/>
          </w:tcPr>
          <w:p w:rsidR="00AC40FC" w:rsidRPr="00863A99" w:rsidDel="00B32A5B" w:rsidRDefault="00AC40FC" w:rsidP="00581946">
            <w:pPr>
              <w:spacing w:after="0"/>
              <w:jc w:val="center"/>
              <w:rPr>
                <w:rFonts w:cs="Arial"/>
                <w:color w:val="000000"/>
                <w:sz w:val="20"/>
                <w:szCs w:val="20"/>
              </w:rPr>
            </w:pPr>
            <w:r>
              <w:rPr>
                <w:rFonts w:cs="Arial"/>
                <w:color w:val="000000"/>
                <w:sz w:val="20"/>
                <w:szCs w:val="20"/>
              </w:rPr>
              <w:t>-1</w:t>
            </w:r>
          </w:p>
        </w:tc>
        <w:tc>
          <w:tcPr>
            <w:tcW w:w="72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25</w:t>
            </w:r>
          </w:p>
        </w:tc>
        <w:tc>
          <w:tcPr>
            <w:tcW w:w="108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Pr>
                <w:rFonts w:cs="Arial"/>
                <w:color w:val="000000"/>
                <w:sz w:val="20"/>
                <w:szCs w:val="20"/>
              </w:rPr>
              <w:t>0</w:t>
            </w:r>
          </w:p>
        </w:tc>
      </w:tr>
      <w:tr w:rsidR="00AC40FC" w:rsidRPr="00863A99" w:rsidTr="00581946">
        <w:trPr>
          <w:trHeight w:val="330"/>
        </w:trPr>
        <w:tc>
          <w:tcPr>
            <w:tcW w:w="7575" w:type="dxa"/>
            <w:gridSpan w:val="5"/>
            <w:tcBorders>
              <w:top w:val="single" w:sz="8" w:space="0" w:color="auto"/>
              <w:left w:val="single" w:sz="8" w:space="0" w:color="auto"/>
              <w:bottom w:val="single" w:sz="4" w:space="0" w:color="auto"/>
              <w:right w:val="single" w:sz="8" w:space="0" w:color="auto"/>
            </w:tcBorders>
            <w:shd w:val="clear" w:color="auto" w:fill="auto"/>
            <w:vAlign w:val="center"/>
            <w:hideMark/>
          </w:tcPr>
          <w:p w:rsidR="00AC40FC" w:rsidRPr="00863A99" w:rsidRDefault="00AC40FC" w:rsidP="00581946">
            <w:pPr>
              <w:spacing w:after="0"/>
              <w:jc w:val="left"/>
              <w:rPr>
                <w:rFonts w:cs="Arial"/>
                <w:b/>
                <w:color w:val="000000"/>
                <w:sz w:val="20"/>
                <w:szCs w:val="20"/>
              </w:rPr>
            </w:pPr>
            <w:r w:rsidRPr="00863A99">
              <w:rPr>
                <w:b/>
                <w:sz w:val="20"/>
                <w:szCs w:val="20"/>
              </w:rPr>
              <w:t>Distribution Engineering</w:t>
            </w:r>
          </w:p>
        </w:tc>
        <w:tc>
          <w:tcPr>
            <w:tcW w:w="720" w:type="dxa"/>
            <w:tcBorders>
              <w:top w:val="single" w:sz="8" w:space="0" w:color="auto"/>
              <w:left w:val="single" w:sz="8" w:space="0" w:color="auto"/>
              <w:bottom w:val="single" w:sz="4" w:space="0" w:color="auto"/>
              <w:right w:val="single" w:sz="8" w:space="0" w:color="auto"/>
            </w:tcBorders>
            <w:vAlign w:val="center"/>
          </w:tcPr>
          <w:p w:rsidR="00AC40FC" w:rsidRPr="00863A99" w:rsidRDefault="00AC40FC" w:rsidP="00581946">
            <w:pPr>
              <w:spacing w:after="0"/>
              <w:jc w:val="center"/>
              <w:rPr>
                <w:sz w:val="20"/>
                <w:szCs w:val="20"/>
              </w:rPr>
            </w:pPr>
          </w:p>
        </w:tc>
        <w:tc>
          <w:tcPr>
            <w:tcW w:w="1080" w:type="dxa"/>
            <w:tcBorders>
              <w:top w:val="single" w:sz="8" w:space="0" w:color="auto"/>
              <w:left w:val="single" w:sz="8" w:space="0" w:color="auto"/>
              <w:bottom w:val="single" w:sz="4" w:space="0" w:color="auto"/>
              <w:right w:val="single" w:sz="8" w:space="0" w:color="auto"/>
            </w:tcBorders>
            <w:vAlign w:val="center"/>
          </w:tcPr>
          <w:p w:rsidR="00AC40FC" w:rsidRPr="00863A99" w:rsidRDefault="00AC40FC" w:rsidP="00581946">
            <w:pPr>
              <w:spacing w:after="0"/>
              <w:jc w:val="center"/>
              <w:rPr>
                <w:sz w:val="20"/>
                <w:szCs w:val="20"/>
              </w:rPr>
            </w:pPr>
          </w:p>
        </w:tc>
      </w:tr>
      <w:tr w:rsidR="00AC40FC" w:rsidRPr="00863A99" w:rsidTr="00581946">
        <w:trPr>
          <w:trHeight w:val="300"/>
        </w:trPr>
        <w:tc>
          <w:tcPr>
            <w:tcW w:w="661" w:type="dxa"/>
            <w:tcBorders>
              <w:top w:val="nil"/>
              <w:left w:val="single" w:sz="8" w:space="0" w:color="auto"/>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0665</w:t>
            </w:r>
          </w:p>
        </w:tc>
        <w:tc>
          <w:tcPr>
            <w:tcW w:w="4394"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left"/>
              <w:rPr>
                <w:rFonts w:cs="Arial"/>
                <w:color w:val="000000"/>
                <w:sz w:val="20"/>
                <w:szCs w:val="20"/>
              </w:rPr>
            </w:pPr>
            <w:r w:rsidRPr="00863A99">
              <w:rPr>
                <w:rFonts w:cs="Arial"/>
                <w:color w:val="000000"/>
                <w:sz w:val="20"/>
                <w:szCs w:val="20"/>
              </w:rPr>
              <w:t>Relay Test</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sz w:val="20"/>
                <w:szCs w:val="20"/>
              </w:rPr>
            </w:pPr>
            <w:r w:rsidRPr="00863A99">
              <w:rPr>
                <w:rFonts w:cs="Arial"/>
                <w:color w:val="000000"/>
                <w:sz w:val="20"/>
                <w:szCs w:val="20"/>
              </w:rPr>
              <w:t>48</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45</w:t>
            </w:r>
          </w:p>
        </w:tc>
        <w:tc>
          <w:tcPr>
            <w:tcW w:w="1080" w:type="dxa"/>
            <w:tcBorders>
              <w:top w:val="nil"/>
              <w:left w:val="nil"/>
              <w:bottom w:val="single" w:sz="4" w:space="0" w:color="auto"/>
              <w:right w:val="single" w:sz="8" w:space="0" w:color="auto"/>
            </w:tcBorders>
            <w:shd w:val="clear" w:color="auto" w:fill="auto"/>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-3</w:t>
            </w:r>
          </w:p>
        </w:tc>
        <w:tc>
          <w:tcPr>
            <w:tcW w:w="72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45</w:t>
            </w:r>
          </w:p>
        </w:tc>
        <w:tc>
          <w:tcPr>
            <w:tcW w:w="108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w:t>
            </w:r>
          </w:p>
        </w:tc>
      </w:tr>
      <w:tr w:rsidR="00AC40FC" w:rsidRPr="00863A99" w:rsidTr="00581946">
        <w:trPr>
          <w:trHeight w:val="300"/>
        </w:trPr>
        <w:tc>
          <w:tcPr>
            <w:tcW w:w="661" w:type="dxa"/>
            <w:tcBorders>
              <w:top w:val="nil"/>
              <w:left w:val="single" w:sz="8" w:space="0" w:color="auto"/>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0872</w:t>
            </w:r>
          </w:p>
        </w:tc>
        <w:tc>
          <w:tcPr>
            <w:tcW w:w="4394"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left"/>
              <w:rPr>
                <w:rFonts w:cs="Arial"/>
                <w:color w:val="000000"/>
                <w:sz w:val="20"/>
                <w:szCs w:val="20"/>
              </w:rPr>
            </w:pPr>
            <w:r w:rsidRPr="00863A99">
              <w:rPr>
                <w:rFonts w:cs="Arial"/>
                <w:color w:val="000000"/>
                <w:sz w:val="20"/>
                <w:szCs w:val="20"/>
              </w:rPr>
              <w:t>System Shops</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sz w:val="20"/>
                <w:szCs w:val="20"/>
              </w:rPr>
            </w:pPr>
            <w:r w:rsidRPr="00863A99">
              <w:rPr>
                <w:rFonts w:cs="Arial"/>
                <w:color w:val="000000"/>
                <w:sz w:val="20"/>
                <w:szCs w:val="20"/>
              </w:rPr>
              <w:t>39</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39</w:t>
            </w:r>
          </w:p>
        </w:tc>
        <w:tc>
          <w:tcPr>
            <w:tcW w:w="1080" w:type="dxa"/>
            <w:tcBorders>
              <w:top w:val="nil"/>
              <w:left w:val="nil"/>
              <w:bottom w:val="single" w:sz="4" w:space="0" w:color="auto"/>
              <w:right w:val="single" w:sz="8" w:space="0" w:color="auto"/>
            </w:tcBorders>
            <w:shd w:val="clear" w:color="auto" w:fill="auto"/>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w:t>
            </w:r>
          </w:p>
        </w:tc>
        <w:tc>
          <w:tcPr>
            <w:tcW w:w="72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36</w:t>
            </w:r>
          </w:p>
        </w:tc>
        <w:tc>
          <w:tcPr>
            <w:tcW w:w="108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-3</w:t>
            </w:r>
          </w:p>
        </w:tc>
      </w:tr>
      <w:tr w:rsidR="00AC40FC" w:rsidRPr="00863A99" w:rsidTr="00581946">
        <w:trPr>
          <w:trHeight w:val="315"/>
        </w:trPr>
        <w:tc>
          <w:tcPr>
            <w:tcW w:w="661" w:type="dxa"/>
            <w:tcBorders>
              <w:top w:val="single" w:sz="4" w:space="0" w:color="auto"/>
              <w:left w:val="single" w:sz="8" w:space="0" w:color="auto"/>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0888</w:t>
            </w:r>
          </w:p>
        </w:tc>
        <w:tc>
          <w:tcPr>
            <w:tcW w:w="4394" w:type="dxa"/>
            <w:tcBorders>
              <w:top w:val="single" w:sz="4" w:space="0" w:color="auto"/>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left"/>
              <w:rPr>
                <w:rFonts w:cs="Arial"/>
                <w:color w:val="000000"/>
                <w:sz w:val="20"/>
                <w:szCs w:val="20"/>
              </w:rPr>
            </w:pPr>
            <w:r w:rsidRPr="00863A99">
              <w:rPr>
                <w:rFonts w:cs="Arial"/>
                <w:color w:val="000000"/>
                <w:sz w:val="20"/>
                <w:szCs w:val="20"/>
              </w:rPr>
              <w:t>Distribution Design and Standards</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sz w:val="20"/>
                <w:szCs w:val="20"/>
              </w:rPr>
            </w:pPr>
            <w:r w:rsidRPr="00863A99">
              <w:rPr>
                <w:rFonts w:cs="Arial"/>
                <w:color w:val="000000"/>
                <w:sz w:val="20"/>
                <w:szCs w:val="20"/>
              </w:rPr>
              <w:t>22</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29</w:t>
            </w:r>
          </w:p>
        </w:tc>
        <w:tc>
          <w:tcPr>
            <w:tcW w:w="1080" w:type="dxa"/>
            <w:tcBorders>
              <w:top w:val="single" w:sz="4" w:space="0" w:color="auto"/>
              <w:left w:val="nil"/>
              <w:bottom w:val="single" w:sz="4" w:space="0" w:color="auto"/>
              <w:right w:val="single" w:sz="8" w:space="0" w:color="auto"/>
            </w:tcBorders>
            <w:shd w:val="clear" w:color="auto" w:fill="auto"/>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+7</w:t>
            </w:r>
          </w:p>
        </w:tc>
        <w:tc>
          <w:tcPr>
            <w:tcW w:w="720" w:type="dxa"/>
            <w:tcBorders>
              <w:top w:val="single" w:sz="4" w:space="0" w:color="auto"/>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28</w:t>
            </w:r>
          </w:p>
        </w:tc>
        <w:tc>
          <w:tcPr>
            <w:tcW w:w="1080" w:type="dxa"/>
            <w:tcBorders>
              <w:top w:val="single" w:sz="4" w:space="0" w:color="auto"/>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w:t>
            </w:r>
          </w:p>
        </w:tc>
      </w:tr>
      <w:tr w:rsidR="00AC40FC" w:rsidRPr="00863A99" w:rsidTr="00581946">
        <w:trPr>
          <w:trHeight w:val="315"/>
        </w:trPr>
        <w:tc>
          <w:tcPr>
            <w:tcW w:w="661" w:type="dxa"/>
            <w:tcBorders>
              <w:top w:val="single" w:sz="4" w:space="0" w:color="auto"/>
              <w:left w:val="single" w:sz="8" w:space="0" w:color="auto"/>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0985</w:t>
            </w:r>
          </w:p>
        </w:tc>
        <w:tc>
          <w:tcPr>
            <w:tcW w:w="4394" w:type="dxa"/>
            <w:tcBorders>
              <w:top w:val="single" w:sz="4" w:space="0" w:color="auto"/>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left"/>
              <w:rPr>
                <w:rFonts w:cs="Arial"/>
                <w:color w:val="000000"/>
                <w:sz w:val="20"/>
                <w:szCs w:val="20"/>
              </w:rPr>
            </w:pPr>
            <w:r w:rsidRPr="00863A99">
              <w:rPr>
                <w:rFonts w:cs="Arial"/>
                <w:color w:val="000000"/>
                <w:sz w:val="20"/>
                <w:szCs w:val="20"/>
              </w:rPr>
              <w:t>Smart Grid</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sz w:val="20"/>
                <w:szCs w:val="20"/>
              </w:rPr>
            </w:pPr>
            <w:r w:rsidRPr="00863A99">
              <w:rPr>
                <w:rFonts w:cs="Arial"/>
                <w:color w:val="000000"/>
                <w:sz w:val="20"/>
                <w:szCs w:val="20"/>
              </w:rPr>
              <w:t>1</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w:t>
            </w:r>
          </w:p>
        </w:tc>
        <w:tc>
          <w:tcPr>
            <w:tcW w:w="1080" w:type="dxa"/>
            <w:tcBorders>
              <w:top w:val="single" w:sz="4" w:space="0" w:color="auto"/>
              <w:left w:val="nil"/>
              <w:bottom w:val="single" w:sz="4" w:space="0" w:color="auto"/>
              <w:right w:val="single" w:sz="8" w:space="0" w:color="auto"/>
            </w:tcBorders>
            <w:shd w:val="clear" w:color="auto" w:fill="auto"/>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w:t>
            </w:r>
          </w:p>
        </w:tc>
        <w:tc>
          <w:tcPr>
            <w:tcW w:w="720" w:type="dxa"/>
            <w:tcBorders>
              <w:top w:val="single" w:sz="4" w:space="0" w:color="auto"/>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w:t>
            </w:r>
          </w:p>
        </w:tc>
        <w:tc>
          <w:tcPr>
            <w:tcW w:w="1080" w:type="dxa"/>
            <w:tcBorders>
              <w:top w:val="single" w:sz="4" w:space="0" w:color="auto"/>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w:t>
            </w:r>
          </w:p>
        </w:tc>
      </w:tr>
      <w:tr w:rsidR="00AC40FC" w:rsidRPr="00863A99" w:rsidTr="00581946">
        <w:trPr>
          <w:trHeight w:val="315"/>
        </w:trPr>
        <w:tc>
          <w:tcPr>
            <w:tcW w:w="661" w:type="dxa"/>
            <w:tcBorders>
              <w:top w:val="single" w:sz="4" w:space="0" w:color="auto"/>
              <w:left w:val="single" w:sz="8" w:space="0" w:color="auto"/>
              <w:bottom w:val="single" w:sz="8"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p>
        </w:tc>
        <w:tc>
          <w:tcPr>
            <w:tcW w:w="4394" w:type="dxa"/>
            <w:tcBorders>
              <w:top w:val="single" w:sz="4" w:space="0" w:color="auto"/>
              <w:left w:val="nil"/>
              <w:bottom w:val="single" w:sz="8" w:space="0" w:color="auto"/>
              <w:right w:val="single" w:sz="4" w:space="0" w:color="auto"/>
            </w:tcBorders>
            <w:shd w:val="clear" w:color="auto" w:fill="auto"/>
            <w:noWrap/>
            <w:vAlign w:val="center"/>
            <w:hideMark/>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Subtotal</w:t>
            </w:r>
          </w:p>
        </w:tc>
        <w:tc>
          <w:tcPr>
            <w:tcW w:w="720" w:type="dxa"/>
            <w:tcBorders>
              <w:top w:val="single" w:sz="4" w:space="0" w:color="auto"/>
              <w:left w:val="nil"/>
              <w:bottom w:val="single" w:sz="8"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110</w:t>
            </w:r>
          </w:p>
        </w:tc>
        <w:tc>
          <w:tcPr>
            <w:tcW w:w="720" w:type="dxa"/>
            <w:tcBorders>
              <w:top w:val="single" w:sz="4" w:space="0" w:color="auto"/>
              <w:left w:val="nil"/>
              <w:bottom w:val="single" w:sz="8"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113</w:t>
            </w:r>
          </w:p>
        </w:tc>
        <w:tc>
          <w:tcPr>
            <w:tcW w:w="1080" w:type="dxa"/>
            <w:tcBorders>
              <w:top w:val="single" w:sz="4" w:space="0" w:color="auto"/>
              <w:left w:val="nil"/>
              <w:bottom w:val="single" w:sz="8" w:space="0" w:color="auto"/>
              <w:right w:val="single" w:sz="8" w:space="0" w:color="auto"/>
            </w:tcBorders>
            <w:shd w:val="clear" w:color="auto" w:fill="auto"/>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+3</w:t>
            </w:r>
          </w:p>
        </w:tc>
        <w:tc>
          <w:tcPr>
            <w:tcW w:w="720" w:type="dxa"/>
            <w:tcBorders>
              <w:top w:val="single" w:sz="4" w:space="0" w:color="auto"/>
              <w:left w:val="nil"/>
              <w:bottom w:val="single" w:sz="8"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109</w:t>
            </w:r>
          </w:p>
        </w:tc>
        <w:tc>
          <w:tcPr>
            <w:tcW w:w="1080" w:type="dxa"/>
            <w:tcBorders>
              <w:top w:val="single" w:sz="4" w:space="0" w:color="auto"/>
              <w:left w:val="nil"/>
              <w:bottom w:val="single" w:sz="8"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-4</w:t>
            </w:r>
          </w:p>
        </w:tc>
      </w:tr>
      <w:tr w:rsidR="00AC40FC" w:rsidRPr="00863A99" w:rsidTr="00581946">
        <w:trPr>
          <w:trHeight w:val="300"/>
        </w:trPr>
        <w:tc>
          <w:tcPr>
            <w:tcW w:w="7575" w:type="dxa"/>
            <w:gridSpan w:val="5"/>
            <w:tcBorders>
              <w:top w:val="single" w:sz="8" w:space="0" w:color="auto"/>
              <w:left w:val="single" w:sz="8" w:space="0" w:color="auto"/>
              <w:bottom w:val="single" w:sz="4" w:space="0" w:color="auto"/>
              <w:right w:val="single" w:sz="8" w:space="0" w:color="auto"/>
            </w:tcBorders>
            <w:shd w:val="clear" w:color="auto" w:fill="auto"/>
            <w:vAlign w:val="center"/>
            <w:hideMark/>
          </w:tcPr>
          <w:p w:rsidR="00AC40FC" w:rsidRPr="00863A99" w:rsidRDefault="00AC40FC" w:rsidP="00581946">
            <w:pPr>
              <w:spacing w:after="0"/>
              <w:jc w:val="left"/>
              <w:rPr>
                <w:rFonts w:cs="Arial"/>
                <w:b/>
                <w:color w:val="000000"/>
                <w:sz w:val="20"/>
                <w:szCs w:val="20"/>
              </w:rPr>
            </w:pPr>
            <w:r w:rsidRPr="00863A99">
              <w:rPr>
                <w:b/>
                <w:sz w:val="20"/>
                <w:szCs w:val="20"/>
              </w:rPr>
              <w:t>Project and Construction Management</w:t>
            </w:r>
          </w:p>
        </w:tc>
        <w:tc>
          <w:tcPr>
            <w:tcW w:w="720" w:type="dxa"/>
            <w:tcBorders>
              <w:top w:val="single" w:sz="8" w:space="0" w:color="auto"/>
              <w:left w:val="single" w:sz="8" w:space="0" w:color="auto"/>
              <w:bottom w:val="single" w:sz="4" w:space="0" w:color="auto"/>
              <w:right w:val="single" w:sz="8" w:space="0" w:color="auto"/>
            </w:tcBorders>
            <w:vAlign w:val="center"/>
          </w:tcPr>
          <w:p w:rsidR="00AC40FC" w:rsidRPr="00863A99" w:rsidRDefault="00AC40FC" w:rsidP="00581946">
            <w:pPr>
              <w:spacing w:after="0"/>
              <w:jc w:val="center"/>
              <w:rPr>
                <w:sz w:val="20"/>
                <w:szCs w:val="20"/>
              </w:rPr>
            </w:pPr>
          </w:p>
        </w:tc>
        <w:tc>
          <w:tcPr>
            <w:tcW w:w="1080" w:type="dxa"/>
            <w:tcBorders>
              <w:top w:val="single" w:sz="8" w:space="0" w:color="auto"/>
              <w:left w:val="single" w:sz="8" w:space="0" w:color="auto"/>
              <w:bottom w:val="single" w:sz="4" w:space="0" w:color="auto"/>
              <w:right w:val="single" w:sz="8" w:space="0" w:color="auto"/>
            </w:tcBorders>
            <w:vAlign w:val="center"/>
          </w:tcPr>
          <w:p w:rsidR="00AC40FC" w:rsidRPr="00863A99" w:rsidRDefault="00AC40FC" w:rsidP="00581946">
            <w:pPr>
              <w:spacing w:after="0"/>
              <w:jc w:val="center"/>
              <w:rPr>
                <w:sz w:val="20"/>
                <w:szCs w:val="20"/>
              </w:rPr>
            </w:pPr>
          </w:p>
        </w:tc>
      </w:tr>
      <w:tr w:rsidR="00AC40FC" w:rsidRPr="00863A99" w:rsidTr="00581946">
        <w:trPr>
          <w:trHeight w:val="300"/>
        </w:trPr>
        <w:tc>
          <w:tcPr>
            <w:tcW w:w="661" w:type="dxa"/>
            <w:tcBorders>
              <w:top w:val="nil"/>
              <w:left w:val="single" w:sz="8" w:space="0" w:color="auto"/>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 xml:space="preserve">0475 </w:t>
            </w:r>
          </w:p>
        </w:tc>
        <w:tc>
          <w:tcPr>
            <w:tcW w:w="4394"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left"/>
              <w:rPr>
                <w:rFonts w:cs="Arial"/>
                <w:color w:val="000000"/>
                <w:sz w:val="20"/>
                <w:szCs w:val="20"/>
              </w:rPr>
            </w:pPr>
            <w:r w:rsidRPr="00863A99">
              <w:rPr>
                <w:rFonts w:cs="Arial"/>
                <w:bCs/>
                <w:color w:val="000000"/>
                <w:sz w:val="20"/>
                <w:szCs w:val="20"/>
              </w:rPr>
              <w:t>Project and Construction Management</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sz w:val="20"/>
                <w:szCs w:val="20"/>
              </w:rPr>
            </w:pPr>
            <w:r w:rsidRPr="00863A99">
              <w:rPr>
                <w:rFonts w:cs="Arial"/>
                <w:color w:val="000000"/>
                <w:sz w:val="20"/>
                <w:szCs w:val="20"/>
              </w:rPr>
              <w:t>21</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21</w:t>
            </w:r>
          </w:p>
        </w:tc>
        <w:tc>
          <w:tcPr>
            <w:tcW w:w="1080" w:type="dxa"/>
            <w:tcBorders>
              <w:top w:val="nil"/>
              <w:left w:val="nil"/>
              <w:bottom w:val="single" w:sz="4" w:space="0" w:color="auto"/>
              <w:right w:val="single" w:sz="8" w:space="0" w:color="auto"/>
            </w:tcBorders>
            <w:shd w:val="clear" w:color="auto" w:fill="auto"/>
            <w:vAlign w:val="center"/>
          </w:tcPr>
          <w:p w:rsidR="00AC40FC" w:rsidRPr="00863A99" w:rsidDel="00C31B44" w:rsidRDefault="00AC40FC" w:rsidP="00581946">
            <w:pPr>
              <w:spacing w:after="0"/>
              <w:jc w:val="center"/>
              <w:rPr>
                <w:rFonts w:cs="Arial"/>
                <w:color w:val="000000"/>
                <w:sz w:val="20"/>
                <w:szCs w:val="20"/>
              </w:rPr>
            </w:pPr>
            <w:r w:rsidRPr="00863A99">
              <w:rPr>
                <w:rFonts w:cs="Arial"/>
                <w:color w:val="000000"/>
                <w:sz w:val="20"/>
                <w:szCs w:val="20"/>
              </w:rPr>
              <w:t>0</w:t>
            </w:r>
          </w:p>
        </w:tc>
        <w:tc>
          <w:tcPr>
            <w:tcW w:w="72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19</w:t>
            </w:r>
          </w:p>
        </w:tc>
        <w:tc>
          <w:tcPr>
            <w:tcW w:w="108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-2</w:t>
            </w:r>
          </w:p>
        </w:tc>
      </w:tr>
      <w:tr w:rsidR="00AC40FC" w:rsidRPr="00863A99" w:rsidTr="00581946">
        <w:trPr>
          <w:trHeight w:val="300"/>
        </w:trPr>
        <w:tc>
          <w:tcPr>
            <w:tcW w:w="661" w:type="dxa"/>
            <w:tcBorders>
              <w:top w:val="nil"/>
              <w:left w:val="single" w:sz="8" w:space="0" w:color="auto"/>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0477</w:t>
            </w:r>
          </w:p>
        </w:tc>
        <w:tc>
          <w:tcPr>
            <w:tcW w:w="4394"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left"/>
              <w:rPr>
                <w:rFonts w:cs="Arial"/>
                <w:color w:val="000000"/>
                <w:sz w:val="20"/>
                <w:szCs w:val="20"/>
              </w:rPr>
            </w:pPr>
            <w:r w:rsidRPr="00863A99">
              <w:rPr>
                <w:rFonts w:cs="Arial"/>
                <w:color w:val="000000"/>
                <w:sz w:val="20"/>
                <w:szCs w:val="20"/>
              </w:rPr>
              <w:t>Contract Management</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sz w:val="20"/>
                <w:szCs w:val="20"/>
              </w:rPr>
            </w:pPr>
            <w:r w:rsidRPr="00863A99">
              <w:rPr>
                <w:rFonts w:cs="Arial"/>
                <w:color w:val="000000"/>
                <w:sz w:val="20"/>
                <w:szCs w:val="20"/>
              </w:rPr>
              <w:t>4</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w:t>
            </w:r>
          </w:p>
        </w:tc>
        <w:tc>
          <w:tcPr>
            <w:tcW w:w="1080" w:type="dxa"/>
            <w:tcBorders>
              <w:top w:val="nil"/>
              <w:left w:val="nil"/>
              <w:bottom w:val="single" w:sz="4" w:space="0" w:color="auto"/>
              <w:right w:val="single" w:sz="8" w:space="0" w:color="auto"/>
            </w:tcBorders>
            <w:shd w:val="clear" w:color="auto" w:fill="auto"/>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-4</w:t>
            </w:r>
          </w:p>
        </w:tc>
        <w:tc>
          <w:tcPr>
            <w:tcW w:w="72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w:t>
            </w:r>
          </w:p>
        </w:tc>
        <w:tc>
          <w:tcPr>
            <w:tcW w:w="108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w:t>
            </w:r>
          </w:p>
        </w:tc>
      </w:tr>
      <w:tr w:rsidR="00AC40FC" w:rsidRPr="00863A99" w:rsidTr="00581946">
        <w:trPr>
          <w:trHeight w:val="300"/>
        </w:trPr>
        <w:tc>
          <w:tcPr>
            <w:tcW w:w="661" w:type="dxa"/>
            <w:tcBorders>
              <w:top w:val="nil"/>
              <w:left w:val="single" w:sz="8" w:space="0" w:color="auto"/>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0478</w:t>
            </w:r>
          </w:p>
        </w:tc>
        <w:tc>
          <w:tcPr>
            <w:tcW w:w="4394"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left"/>
              <w:rPr>
                <w:rFonts w:cs="Arial"/>
                <w:color w:val="000000"/>
                <w:sz w:val="20"/>
                <w:szCs w:val="20"/>
              </w:rPr>
            </w:pPr>
            <w:r w:rsidRPr="00863A99">
              <w:rPr>
                <w:rFonts w:cs="Arial"/>
                <w:color w:val="000000"/>
                <w:sz w:val="20"/>
                <w:szCs w:val="20"/>
              </w:rPr>
              <w:t>Attachments &amp; Telecomm Business</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sz w:val="20"/>
                <w:szCs w:val="20"/>
              </w:rPr>
            </w:pPr>
            <w:r w:rsidRPr="00863A99">
              <w:rPr>
                <w:rFonts w:cs="Arial"/>
                <w:color w:val="000000"/>
                <w:sz w:val="20"/>
                <w:szCs w:val="20"/>
              </w:rPr>
              <w:t>6</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6</w:t>
            </w:r>
          </w:p>
        </w:tc>
        <w:tc>
          <w:tcPr>
            <w:tcW w:w="1080" w:type="dxa"/>
            <w:tcBorders>
              <w:top w:val="nil"/>
              <w:left w:val="nil"/>
              <w:bottom w:val="single" w:sz="4" w:space="0" w:color="auto"/>
              <w:right w:val="single" w:sz="8" w:space="0" w:color="auto"/>
            </w:tcBorders>
            <w:shd w:val="clear" w:color="auto" w:fill="auto"/>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w:t>
            </w:r>
          </w:p>
        </w:tc>
        <w:tc>
          <w:tcPr>
            <w:tcW w:w="72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6</w:t>
            </w:r>
          </w:p>
        </w:tc>
        <w:tc>
          <w:tcPr>
            <w:tcW w:w="108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w:t>
            </w:r>
          </w:p>
        </w:tc>
      </w:tr>
      <w:tr w:rsidR="00AC40FC" w:rsidRPr="00863A99" w:rsidTr="00581946">
        <w:trPr>
          <w:trHeight w:val="315"/>
        </w:trPr>
        <w:tc>
          <w:tcPr>
            <w:tcW w:w="661" w:type="dxa"/>
            <w:tcBorders>
              <w:top w:val="nil"/>
              <w:left w:val="single" w:sz="8" w:space="0" w:color="auto"/>
              <w:bottom w:val="single" w:sz="8" w:space="0" w:color="auto"/>
              <w:right w:val="single" w:sz="4" w:space="0" w:color="auto"/>
            </w:tcBorders>
            <w:shd w:val="clear" w:color="auto" w:fill="auto"/>
            <w:noWrap/>
            <w:vAlign w:val="center"/>
            <w:hideMark/>
          </w:tcPr>
          <w:p w:rsidR="00AC40FC" w:rsidRPr="00863A99" w:rsidRDefault="00AC40FC" w:rsidP="00581946">
            <w:pPr>
              <w:spacing w:after="0"/>
              <w:jc w:val="left"/>
              <w:rPr>
                <w:rFonts w:ascii="Calibri" w:hAnsi="Calibri"/>
                <w:color w:val="000000"/>
                <w:sz w:val="20"/>
                <w:szCs w:val="20"/>
              </w:rPr>
            </w:pPr>
          </w:p>
        </w:tc>
        <w:tc>
          <w:tcPr>
            <w:tcW w:w="4394" w:type="dxa"/>
            <w:tcBorders>
              <w:top w:val="nil"/>
              <w:left w:val="nil"/>
              <w:bottom w:val="single" w:sz="8" w:space="0" w:color="auto"/>
              <w:right w:val="single" w:sz="4" w:space="0" w:color="auto"/>
            </w:tcBorders>
            <w:shd w:val="clear" w:color="auto" w:fill="auto"/>
            <w:noWrap/>
            <w:vAlign w:val="center"/>
            <w:hideMark/>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Subtotal</w:t>
            </w:r>
          </w:p>
        </w:tc>
        <w:tc>
          <w:tcPr>
            <w:tcW w:w="720" w:type="dxa"/>
            <w:tcBorders>
              <w:top w:val="nil"/>
              <w:left w:val="nil"/>
              <w:bottom w:val="single" w:sz="8" w:space="0" w:color="auto"/>
              <w:right w:val="single" w:sz="4" w:space="0" w:color="auto"/>
            </w:tcBorders>
            <w:shd w:val="clear" w:color="auto" w:fill="auto"/>
            <w:noWrap/>
            <w:vAlign w:val="center"/>
            <w:hideMark/>
          </w:tcPr>
          <w:p w:rsidR="00AC40FC" w:rsidRPr="00863A99" w:rsidRDefault="00AC40FC" w:rsidP="00581946">
            <w:pPr>
              <w:spacing w:after="0"/>
              <w:jc w:val="center"/>
              <w:rPr>
                <w:rFonts w:cs="Arial"/>
                <w:sz w:val="20"/>
                <w:szCs w:val="20"/>
              </w:rPr>
            </w:pPr>
            <w:r w:rsidRPr="00863A99">
              <w:rPr>
                <w:rFonts w:cs="Arial"/>
                <w:sz w:val="20"/>
                <w:szCs w:val="20"/>
              </w:rPr>
              <w:t>31</w:t>
            </w:r>
          </w:p>
        </w:tc>
        <w:tc>
          <w:tcPr>
            <w:tcW w:w="720" w:type="dxa"/>
            <w:tcBorders>
              <w:top w:val="nil"/>
              <w:left w:val="nil"/>
              <w:bottom w:val="single" w:sz="8" w:space="0" w:color="auto"/>
              <w:right w:val="single" w:sz="4" w:space="0" w:color="auto"/>
            </w:tcBorders>
            <w:shd w:val="clear" w:color="auto" w:fill="auto"/>
            <w:noWrap/>
            <w:vAlign w:val="center"/>
            <w:hideMark/>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27</w:t>
            </w:r>
          </w:p>
        </w:tc>
        <w:tc>
          <w:tcPr>
            <w:tcW w:w="1080" w:type="dxa"/>
            <w:tcBorders>
              <w:top w:val="nil"/>
              <w:left w:val="nil"/>
              <w:bottom w:val="single" w:sz="8" w:space="0" w:color="auto"/>
              <w:right w:val="single" w:sz="8" w:space="0" w:color="auto"/>
            </w:tcBorders>
            <w:shd w:val="clear" w:color="auto" w:fill="auto"/>
            <w:vAlign w:val="center"/>
            <w:hideMark/>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-4</w:t>
            </w:r>
          </w:p>
        </w:tc>
        <w:tc>
          <w:tcPr>
            <w:tcW w:w="720" w:type="dxa"/>
            <w:tcBorders>
              <w:top w:val="nil"/>
              <w:left w:val="nil"/>
              <w:bottom w:val="single" w:sz="8"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25</w:t>
            </w:r>
          </w:p>
        </w:tc>
        <w:tc>
          <w:tcPr>
            <w:tcW w:w="1080" w:type="dxa"/>
            <w:tcBorders>
              <w:top w:val="nil"/>
              <w:left w:val="nil"/>
              <w:bottom w:val="single" w:sz="8"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-2</w:t>
            </w:r>
          </w:p>
        </w:tc>
      </w:tr>
      <w:tr w:rsidR="00AC40FC" w:rsidRPr="00863A99" w:rsidTr="00581946">
        <w:trPr>
          <w:trHeight w:val="300"/>
        </w:trPr>
        <w:tc>
          <w:tcPr>
            <w:tcW w:w="7575" w:type="dxa"/>
            <w:gridSpan w:val="5"/>
            <w:tcBorders>
              <w:top w:val="single" w:sz="8" w:space="0" w:color="auto"/>
              <w:left w:val="single" w:sz="8" w:space="0" w:color="auto"/>
              <w:bottom w:val="single" w:sz="4" w:space="0" w:color="auto"/>
              <w:right w:val="single" w:sz="8" w:space="0" w:color="auto"/>
            </w:tcBorders>
            <w:shd w:val="clear" w:color="auto" w:fill="auto"/>
            <w:vAlign w:val="center"/>
            <w:hideMark/>
          </w:tcPr>
          <w:p w:rsidR="00AC40FC" w:rsidRPr="00863A99" w:rsidRDefault="00AC40FC" w:rsidP="00581946">
            <w:pPr>
              <w:spacing w:after="0"/>
              <w:jc w:val="left"/>
              <w:rPr>
                <w:rFonts w:cs="Arial"/>
                <w:b/>
                <w:color w:val="000000"/>
                <w:sz w:val="20"/>
                <w:szCs w:val="20"/>
              </w:rPr>
            </w:pPr>
            <w:r w:rsidRPr="00863A99">
              <w:rPr>
                <w:b/>
                <w:sz w:val="20"/>
                <w:szCs w:val="20"/>
              </w:rPr>
              <w:t>Respond to Customer (Operations)</w:t>
            </w:r>
          </w:p>
        </w:tc>
        <w:tc>
          <w:tcPr>
            <w:tcW w:w="720" w:type="dxa"/>
            <w:tcBorders>
              <w:top w:val="single" w:sz="8" w:space="0" w:color="auto"/>
              <w:left w:val="single" w:sz="8" w:space="0" w:color="auto"/>
              <w:bottom w:val="single" w:sz="4" w:space="0" w:color="auto"/>
              <w:right w:val="single" w:sz="8" w:space="0" w:color="auto"/>
            </w:tcBorders>
            <w:vAlign w:val="center"/>
          </w:tcPr>
          <w:p w:rsidR="00AC40FC" w:rsidRPr="00863A99" w:rsidRDefault="00AC40FC" w:rsidP="00581946">
            <w:pPr>
              <w:spacing w:after="0"/>
              <w:jc w:val="center"/>
              <w:rPr>
                <w:sz w:val="20"/>
                <w:szCs w:val="20"/>
              </w:rPr>
            </w:pPr>
          </w:p>
        </w:tc>
        <w:tc>
          <w:tcPr>
            <w:tcW w:w="1080" w:type="dxa"/>
            <w:tcBorders>
              <w:top w:val="single" w:sz="8" w:space="0" w:color="auto"/>
              <w:left w:val="single" w:sz="8" w:space="0" w:color="auto"/>
              <w:bottom w:val="single" w:sz="4" w:space="0" w:color="auto"/>
              <w:right w:val="single" w:sz="8" w:space="0" w:color="auto"/>
            </w:tcBorders>
            <w:vAlign w:val="center"/>
          </w:tcPr>
          <w:p w:rsidR="00AC40FC" w:rsidRPr="00863A99" w:rsidRDefault="00AC40FC" w:rsidP="00581946">
            <w:pPr>
              <w:spacing w:after="0"/>
              <w:jc w:val="center"/>
              <w:rPr>
                <w:sz w:val="20"/>
                <w:szCs w:val="20"/>
              </w:rPr>
            </w:pPr>
          </w:p>
        </w:tc>
      </w:tr>
      <w:tr w:rsidR="00AC40FC" w:rsidRPr="00863A99" w:rsidTr="00581946">
        <w:trPr>
          <w:trHeight w:val="300"/>
        </w:trPr>
        <w:tc>
          <w:tcPr>
            <w:tcW w:w="661" w:type="dxa"/>
            <w:tcBorders>
              <w:top w:val="nil"/>
              <w:left w:val="single" w:sz="8" w:space="0" w:color="auto"/>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0481</w:t>
            </w:r>
          </w:p>
        </w:tc>
        <w:tc>
          <w:tcPr>
            <w:tcW w:w="4394"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left"/>
              <w:rPr>
                <w:rFonts w:cs="Arial"/>
                <w:color w:val="000000"/>
                <w:sz w:val="20"/>
                <w:szCs w:val="20"/>
              </w:rPr>
            </w:pPr>
            <w:r w:rsidRPr="00863A99">
              <w:rPr>
                <w:rFonts w:cs="Arial"/>
                <w:bCs/>
                <w:color w:val="000000"/>
                <w:sz w:val="20"/>
                <w:szCs w:val="20"/>
              </w:rPr>
              <w:t>Respond To Customer</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sz w:val="20"/>
                <w:szCs w:val="20"/>
              </w:rPr>
            </w:pPr>
            <w:r w:rsidRPr="00863A99">
              <w:rPr>
                <w:rFonts w:cs="Arial"/>
                <w:color w:val="000000"/>
                <w:sz w:val="20"/>
                <w:szCs w:val="20"/>
              </w:rPr>
              <w:t>12</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13</w:t>
            </w:r>
          </w:p>
        </w:tc>
        <w:tc>
          <w:tcPr>
            <w:tcW w:w="1080" w:type="dxa"/>
            <w:tcBorders>
              <w:top w:val="nil"/>
              <w:left w:val="nil"/>
              <w:bottom w:val="single" w:sz="4" w:space="0" w:color="auto"/>
              <w:right w:val="single" w:sz="8" w:space="0" w:color="auto"/>
            </w:tcBorders>
            <w:shd w:val="clear" w:color="auto" w:fill="auto"/>
            <w:vAlign w:val="center"/>
          </w:tcPr>
          <w:p w:rsidR="00AC40FC" w:rsidRPr="00863A99" w:rsidDel="00C31B44" w:rsidRDefault="00AC40FC" w:rsidP="00581946">
            <w:pPr>
              <w:spacing w:after="0"/>
              <w:jc w:val="center"/>
              <w:rPr>
                <w:rFonts w:cs="Arial"/>
                <w:color w:val="000000"/>
                <w:sz w:val="20"/>
                <w:szCs w:val="20"/>
              </w:rPr>
            </w:pPr>
            <w:r w:rsidRPr="00863A99">
              <w:rPr>
                <w:rFonts w:cs="Arial"/>
                <w:color w:val="000000"/>
                <w:sz w:val="20"/>
                <w:szCs w:val="20"/>
              </w:rPr>
              <w:t>+1</w:t>
            </w:r>
          </w:p>
        </w:tc>
        <w:tc>
          <w:tcPr>
            <w:tcW w:w="72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15</w:t>
            </w:r>
          </w:p>
        </w:tc>
        <w:tc>
          <w:tcPr>
            <w:tcW w:w="108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+2</w:t>
            </w:r>
          </w:p>
        </w:tc>
      </w:tr>
      <w:tr w:rsidR="00AC40FC" w:rsidRPr="00863A99" w:rsidTr="00581946">
        <w:trPr>
          <w:trHeight w:val="300"/>
        </w:trPr>
        <w:tc>
          <w:tcPr>
            <w:tcW w:w="661" w:type="dxa"/>
            <w:tcBorders>
              <w:top w:val="nil"/>
              <w:left w:val="single" w:sz="8" w:space="0" w:color="auto"/>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0482</w:t>
            </w:r>
          </w:p>
        </w:tc>
        <w:tc>
          <w:tcPr>
            <w:tcW w:w="4394"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left"/>
              <w:rPr>
                <w:rFonts w:cs="Arial"/>
                <w:color w:val="000000"/>
                <w:sz w:val="20"/>
                <w:szCs w:val="20"/>
              </w:rPr>
            </w:pPr>
            <w:r w:rsidRPr="00863A99">
              <w:rPr>
                <w:rFonts w:cs="Arial"/>
                <w:color w:val="000000"/>
                <w:sz w:val="20"/>
                <w:szCs w:val="20"/>
              </w:rPr>
              <w:t>Distribution System Operations and Dispatch</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sz w:val="20"/>
                <w:szCs w:val="20"/>
              </w:rPr>
            </w:pPr>
            <w:r w:rsidRPr="00863A99">
              <w:rPr>
                <w:rFonts w:cs="Arial"/>
                <w:color w:val="000000"/>
                <w:sz w:val="20"/>
                <w:szCs w:val="20"/>
              </w:rPr>
              <w:t>70</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73</w:t>
            </w:r>
          </w:p>
        </w:tc>
        <w:tc>
          <w:tcPr>
            <w:tcW w:w="1080" w:type="dxa"/>
            <w:tcBorders>
              <w:top w:val="nil"/>
              <w:left w:val="nil"/>
              <w:bottom w:val="single" w:sz="4" w:space="0" w:color="auto"/>
              <w:right w:val="single" w:sz="8" w:space="0" w:color="auto"/>
            </w:tcBorders>
            <w:shd w:val="clear" w:color="auto" w:fill="auto"/>
            <w:vAlign w:val="center"/>
          </w:tcPr>
          <w:p w:rsidR="00AC40FC" w:rsidRPr="00863A99" w:rsidDel="00C31B44" w:rsidRDefault="00AC40FC" w:rsidP="00581946">
            <w:pPr>
              <w:spacing w:after="0"/>
              <w:jc w:val="center"/>
              <w:rPr>
                <w:rFonts w:cs="Arial"/>
                <w:color w:val="000000"/>
                <w:sz w:val="20"/>
                <w:szCs w:val="20"/>
              </w:rPr>
            </w:pPr>
            <w:r w:rsidRPr="00863A99">
              <w:rPr>
                <w:rFonts w:cs="Arial"/>
                <w:color w:val="000000"/>
                <w:sz w:val="20"/>
                <w:szCs w:val="20"/>
              </w:rPr>
              <w:t>+3</w:t>
            </w:r>
          </w:p>
        </w:tc>
        <w:tc>
          <w:tcPr>
            <w:tcW w:w="72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61</w:t>
            </w:r>
          </w:p>
        </w:tc>
        <w:tc>
          <w:tcPr>
            <w:tcW w:w="108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-12</w:t>
            </w:r>
          </w:p>
        </w:tc>
      </w:tr>
      <w:tr w:rsidR="00AC40FC" w:rsidRPr="00863A99" w:rsidTr="00581946">
        <w:trPr>
          <w:trHeight w:val="300"/>
        </w:trPr>
        <w:tc>
          <w:tcPr>
            <w:tcW w:w="661" w:type="dxa"/>
            <w:tcBorders>
              <w:top w:val="nil"/>
              <w:left w:val="single" w:sz="8" w:space="0" w:color="auto"/>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0483</w:t>
            </w:r>
          </w:p>
        </w:tc>
        <w:tc>
          <w:tcPr>
            <w:tcW w:w="4394"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left"/>
              <w:rPr>
                <w:rFonts w:cs="Arial"/>
                <w:color w:val="000000"/>
                <w:sz w:val="20"/>
                <w:szCs w:val="20"/>
              </w:rPr>
            </w:pPr>
            <w:r w:rsidRPr="00863A99">
              <w:rPr>
                <w:rFonts w:cs="Arial"/>
                <w:color w:val="000000"/>
                <w:sz w:val="20"/>
                <w:szCs w:val="20"/>
              </w:rPr>
              <w:t>Trouble Department</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sz w:val="20"/>
                <w:szCs w:val="20"/>
              </w:rPr>
            </w:pPr>
            <w:r w:rsidRPr="00863A99">
              <w:rPr>
                <w:rFonts w:cs="Arial"/>
                <w:color w:val="000000"/>
                <w:sz w:val="20"/>
                <w:szCs w:val="20"/>
              </w:rPr>
              <w:t>57</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57</w:t>
            </w:r>
          </w:p>
        </w:tc>
        <w:tc>
          <w:tcPr>
            <w:tcW w:w="1080" w:type="dxa"/>
            <w:tcBorders>
              <w:top w:val="nil"/>
              <w:left w:val="nil"/>
              <w:bottom w:val="single" w:sz="4" w:space="0" w:color="auto"/>
              <w:right w:val="single" w:sz="8" w:space="0" w:color="auto"/>
            </w:tcBorders>
            <w:shd w:val="clear" w:color="auto" w:fill="auto"/>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w:t>
            </w:r>
          </w:p>
        </w:tc>
        <w:tc>
          <w:tcPr>
            <w:tcW w:w="72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57</w:t>
            </w:r>
          </w:p>
        </w:tc>
        <w:tc>
          <w:tcPr>
            <w:tcW w:w="108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w:t>
            </w:r>
          </w:p>
        </w:tc>
      </w:tr>
      <w:tr w:rsidR="00AC40FC" w:rsidRPr="00863A99" w:rsidTr="00581946">
        <w:trPr>
          <w:trHeight w:val="315"/>
        </w:trPr>
        <w:tc>
          <w:tcPr>
            <w:tcW w:w="661" w:type="dxa"/>
            <w:tcBorders>
              <w:top w:val="nil"/>
              <w:left w:val="single" w:sz="8" w:space="0" w:color="auto"/>
              <w:bottom w:val="single" w:sz="8" w:space="0" w:color="auto"/>
              <w:right w:val="single" w:sz="4" w:space="0" w:color="auto"/>
            </w:tcBorders>
            <w:shd w:val="clear" w:color="auto" w:fill="auto"/>
            <w:noWrap/>
            <w:vAlign w:val="center"/>
            <w:hideMark/>
          </w:tcPr>
          <w:p w:rsidR="00AC40FC" w:rsidRPr="00863A99" w:rsidRDefault="00AC40FC" w:rsidP="00581946">
            <w:pPr>
              <w:spacing w:after="0"/>
              <w:jc w:val="left"/>
              <w:rPr>
                <w:rFonts w:ascii="Calibri" w:hAnsi="Calibri"/>
                <w:color w:val="000000"/>
                <w:sz w:val="20"/>
                <w:szCs w:val="20"/>
              </w:rPr>
            </w:pPr>
          </w:p>
        </w:tc>
        <w:tc>
          <w:tcPr>
            <w:tcW w:w="4394" w:type="dxa"/>
            <w:tcBorders>
              <w:top w:val="nil"/>
              <w:left w:val="nil"/>
              <w:bottom w:val="single" w:sz="8" w:space="0" w:color="auto"/>
              <w:right w:val="single" w:sz="4" w:space="0" w:color="auto"/>
            </w:tcBorders>
            <w:shd w:val="clear" w:color="auto" w:fill="auto"/>
            <w:noWrap/>
            <w:vAlign w:val="center"/>
            <w:hideMark/>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Subtotal</w:t>
            </w:r>
          </w:p>
        </w:tc>
        <w:tc>
          <w:tcPr>
            <w:tcW w:w="720" w:type="dxa"/>
            <w:tcBorders>
              <w:top w:val="nil"/>
              <w:left w:val="nil"/>
              <w:bottom w:val="single" w:sz="8" w:space="0" w:color="auto"/>
              <w:right w:val="single" w:sz="4" w:space="0" w:color="auto"/>
            </w:tcBorders>
            <w:shd w:val="clear" w:color="auto" w:fill="auto"/>
            <w:noWrap/>
            <w:vAlign w:val="center"/>
          </w:tcPr>
          <w:p w:rsidR="00AC40FC" w:rsidRPr="00863A99" w:rsidRDefault="00AC40FC" w:rsidP="00581946">
            <w:pPr>
              <w:spacing w:after="0"/>
              <w:jc w:val="center"/>
              <w:rPr>
                <w:rFonts w:cs="Arial"/>
                <w:sz w:val="20"/>
                <w:szCs w:val="20"/>
              </w:rPr>
            </w:pPr>
            <w:r w:rsidRPr="00863A99">
              <w:rPr>
                <w:rFonts w:cs="Arial"/>
                <w:sz w:val="20"/>
                <w:szCs w:val="20"/>
              </w:rPr>
              <w:t>139</w:t>
            </w:r>
          </w:p>
        </w:tc>
        <w:tc>
          <w:tcPr>
            <w:tcW w:w="720" w:type="dxa"/>
            <w:tcBorders>
              <w:top w:val="nil"/>
              <w:left w:val="nil"/>
              <w:bottom w:val="single" w:sz="8"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143</w:t>
            </w:r>
          </w:p>
        </w:tc>
        <w:tc>
          <w:tcPr>
            <w:tcW w:w="1080" w:type="dxa"/>
            <w:tcBorders>
              <w:top w:val="nil"/>
              <w:left w:val="nil"/>
              <w:bottom w:val="single" w:sz="8" w:space="0" w:color="auto"/>
              <w:right w:val="single" w:sz="8" w:space="0" w:color="auto"/>
            </w:tcBorders>
            <w:shd w:val="clear" w:color="auto" w:fill="auto"/>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+4</w:t>
            </w:r>
          </w:p>
        </w:tc>
        <w:tc>
          <w:tcPr>
            <w:tcW w:w="720" w:type="dxa"/>
            <w:tcBorders>
              <w:top w:val="nil"/>
              <w:left w:val="nil"/>
              <w:bottom w:val="single" w:sz="8"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133</w:t>
            </w:r>
          </w:p>
        </w:tc>
        <w:tc>
          <w:tcPr>
            <w:tcW w:w="1080" w:type="dxa"/>
            <w:tcBorders>
              <w:top w:val="nil"/>
              <w:left w:val="nil"/>
              <w:bottom w:val="single" w:sz="8"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-10</w:t>
            </w:r>
          </w:p>
        </w:tc>
      </w:tr>
      <w:tr w:rsidR="00AC40FC" w:rsidRPr="00863A99" w:rsidTr="00581946">
        <w:trPr>
          <w:trHeight w:val="300"/>
        </w:trPr>
        <w:tc>
          <w:tcPr>
            <w:tcW w:w="7575" w:type="dxa"/>
            <w:gridSpan w:val="5"/>
            <w:tcBorders>
              <w:top w:val="single" w:sz="8" w:space="0" w:color="auto"/>
              <w:left w:val="single" w:sz="8" w:space="0" w:color="auto"/>
              <w:bottom w:val="single" w:sz="4" w:space="0" w:color="auto"/>
              <w:right w:val="single" w:sz="8" w:space="0" w:color="auto"/>
            </w:tcBorders>
            <w:shd w:val="clear" w:color="auto" w:fill="auto"/>
            <w:vAlign w:val="center"/>
            <w:hideMark/>
          </w:tcPr>
          <w:p w:rsidR="00AC40FC" w:rsidRPr="00863A99" w:rsidRDefault="00AC40FC" w:rsidP="00581946">
            <w:pPr>
              <w:spacing w:after="0"/>
              <w:jc w:val="left"/>
              <w:rPr>
                <w:rFonts w:cs="Arial"/>
                <w:b/>
                <w:color w:val="000000"/>
                <w:sz w:val="20"/>
                <w:szCs w:val="20"/>
              </w:rPr>
            </w:pPr>
            <w:r w:rsidRPr="00863A99">
              <w:rPr>
                <w:b/>
                <w:sz w:val="20"/>
                <w:szCs w:val="20"/>
              </w:rPr>
              <w:t>Lehigh/Northeast Region Operations</w:t>
            </w:r>
          </w:p>
        </w:tc>
        <w:tc>
          <w:tcPr>
            <w:tcW w:w="720" w:type="dxa"/>
            <w:tcBorders>
              <w:top w:val="single" w:sz="8" w:space="0" w:color="auto"/>
              <w:left w:val="single" w:sz="8" w:space="0" w:color="auto"/>
              <w:bottom w:val="single" w:sz="4" w:space="0" w:color="auto"/>
              <w:right w:val="single" w:sz="8" w:space="0" w:color="auto"/>
            </w:tcBorders>
            <w:vAlign w:val="center"/>
          </w:tcPr>
          <w:p w:rsidR="00AC40FC" w:rsidRPr="00863A99" w:rsidRDefault="00AC40FC" w:rsidP="00581946">
            <w:pPr>
              <w:spacing w:after="0"/>
              <w:jc w:val="center"/>
              <w:rPr>
                <w:sz w:val="20"/>
                <w:szCs w:val="20"/>
              </w:rPr>
            </w:pPr>
          </w:p>
        </w:tc>
        <w:tc>
          <w:tcPr>
            <w:tcW w:w="1080" w:type="dxa"/>
            <w:tcBorders>
              <w:top w:val="single" w:sz="8" w:space="0" w:color="auto"/>
              <w:left w:val="single" w:sz="8" w:space="0" w:color="auto"/>
              <w:bottom w:val="single" w:sz="4" w:space="0" w:color="auto"/>
              <w:right w:val="single" w:sz="8" w:space="0" w:color="auto"/>
            </w:tcBorders>
            <w:vAlign w:val="center"/>
          </w:tcPr>
          <w:p w:rsidR="00AC40FC" w:rsidRPr="00863A99" w:rsidRDefault="00AC40FC" w:rsidP="00581946">
            <w:pPr>
              <w:spacing w:after="0"/>
              <w:jc w:val="center"/>
              <w:rPr>
                <w:sz w:val="20"/>
                <w:szCs w:val="20"/>
              </w:rPr>
            </w:pPr>
          </w:p>
        </w:tc>
      </w:tr>
      <w:tr w:rsidR="00AC40FC" w:rsidRPr="00863A99" w:rsidTr="00581946">
        <w:trPr>
          <w:trHeight w:val="300"/>
        </w:trPr>
        <w:tc>
          <w:tcPr>
            <w:tcW w:w="661" w:type="dxa"/>
            <w:tcBorders>
              <w:top w:val="nil"/>
              <w:left w:val="single" w:sz="8" w:space="0" w:color="auto"/>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0486</w:t>
            </w:r>
          </w:p>
        </w:tc>
        <w:tc>
          <w:tcPr>
            <w:tcW w:w="4394"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left"/>
              <w:rPr>
                <w:rFonts w:cs="Arial"/>
                <w:color w:val="000000"/>
                <w:sz w:val="20"/>
                <w:szCs w:val="20"/>
              </w:rPr>
            </w:pPr>
            <w:r w:rsidRPr="00863A99">
              <w:rPr>
                <w:rFonts w:cs="Arial"/>
                <w:bCs/>
                <w:color w:val="000000"/>
                <w:sz w:val="20"/>
                <w:szCs w:val="20"/>
              </w:rPr>
              <w:t>Lehigh/Northeast Region Operations</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sz w:val="20"/>
                <w:szCs w:val="20"/>
              </w:rPr>
            </w:pPr>
            <w:r w:rsidRPr="00863A99">
              <w:rPr>
                <w:rFonts w:cs="Arial"/>
                <w:color w:val="000000"/>
                <w:sz w:val="20"/>
                <w:szCs w:val="20"/>
              </w:rPr>
              <w:t>15</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16</w:t>
            </w:r>
          </w:p>
        </w:tc>
        <w:tc>
          <w:tcPr>
            <w:tcW w:w="1080" w:type="dxa"/>
            <w:tcBorders>
              <w:top w:val="nil"/>
              <w:left w:val="nil"/>
              <w:bottom w:val="single" w:sz="4" w:space="0" w:color="auto"/>
              <w:right w:val="single" w:sz="8" w:space="0" w:color="auto"/>
            </w:tcBorders>
            <w:shd w:val="clear" w:color="auto" w:fill="auto"/>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w:t>
            </w:r>
          </w:p>
        </w:tc>
        <w:tc>
          <w:tcPr>
            <w:tcW w:w="72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15</w:t>
            </w:r>
          </w:p>
        </w:tc>
        <w:tc>
          <w:tcPr>
            <w:tcW w:w="108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w:t>
            </w:r>
          </w:p>
        </w:tc>
      </w:tr>
      <w:tr w:rsidR="00AC40FC" w:rsidRPr="00863A99" w:rsidTr="00581946">
        <w:trPr>
          <w:trHeight w:val="300"/>
        </w:trPr>
        <w:tc>
          <w:tcPr>
            <w:tcW w:w="661" w:type="dxa"/>
            <w:tcBorders>
              <w:top w:val="nil"/>
              <w:left w:val="single" w:sz="8" w:space="0" w:color="auto"/>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0445</w:t>
            </w:r>
          </w:p>
        </w:tc>
        <w:tc>
          <w:tcPr>
            <w:tcW w:w="4394"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left"/>
              <w:rPr>
                <w:rFonts w:cs="Arial"/>
                <w:color w:val="000000"/>
                <w:sz w:val="20"/>
                <w:szCs w:val="20"/>
              </w:rPr>
            </w:pPr>
            <w:r w:rsidRPr="00863A99">
              <w:rPr>
                <w:rFonts w:cs="Arial"/>
                <w:color w:val="000000"/>
                <w:sz w:val="20"/>
                <w:szCs w:val="20"/>
              </w:rPr>
              <w:t>Lehigh Region Admin &amp; Support</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sz w:val="20"/>
                <w:szCs w:val="20"/>
              </w:rPr>
            </w:pPr>
            <w:r w:rsidRPr="00863A99">
              <w:rPr>
                <w:rFonts w:cs="Arial"/>
                <w:color w:val="000000"/>
                <w:sz w:val="20"/>
                <w:szCs w:val="20"/>
              </w:rPr>
              <w:t>17</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18</w:t>
            </w:r>
          </w:p>
        </w:tc>
        <w:tc>
          <w:tcPr>
            <w:tcW w:w="1080" w:type="dxa"/>
            <w:tcBorders>
              <w:top w:val="nil"/>
              <w:left w:val="nil"/>
              <w:bottom w:val="single" w:sz="4" w:space="0" w:color="auto"/>
              <w:right w:val="single" w:sz="8" w:space="0" w:color="auto"/>
            </w:tcBorders>
            <w:shd w:val="clear" w:color="auto" w:fill="auto"/>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w:t>
            </w:r>
          </w:p>
        </w:tc>
        <w:tc>
          <w:tcPr>
            <w:tcW w:w="72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16</w:t>
            </w:r>
          </w:p>
        </w:tc>
        <w:tc>
          <w:tcPr>
            <w:tcW w:w="108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-2</w:t>
            </w:r>
          </w:p>
        </w:tc>
      </w:tr>
      <w:tr w:rsidR="00AC40FC" w:rsidRPr="00863A99" w:rsidTr="00581946">
        <w:trPr>
          <w:trHeight w:val="300"/>
        </w:trPr>
        <w:tc>
          <w:tcPr>
            <w:tcW w:w="661" w:type="dxa"/>
            <w:tcBorders>
              <w:top w:val="nil"/>
              <w:left w:val="single" w:sz="8" w:space="0" w:color="auto"/>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0446</w:t>
            </w:r>
          </w:p>
        </w:tc>
        <w:tc>
          <w:tcPr>
            <w:tcW w:w="4394"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left"/>
              <w:rPr>
                <w:rFonts w:cs="Arial"/>
                <w:color w:val="000000"/>
                <w:sz w:val="20"/>
                <w:szCs w:val="20"/>
              </w:rPr>
            </w:pPr>
            <w:r w:rsidRPr="00863A99">
              <w:rPr>
                <w:rFonts w:cs="Arial"/>
                <w:color w:val="000000"/>
                <w:sz w:val="20"/>
                <w:szCs w:val="20"/>
              </w:rPr>
              <w:t>Lehigh Region Design</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sz w:val="20"/>
                <w:szCs w:val="20"/>
              </w:rPr>
            </w:pPr>
            <w:r w:rsidRPr="00863A99">
              <w:rPr>
                <w:rFonts w:cs="Arial"/>
                <w:color w:val="000000"/>
                <w:sz w:val="20"/>
                <w:szCs w:val="20"/>
              </w:rPr>
              <w:t>19</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18</w:t>
            </w:r>
          </w:p>
        </w:tc>
        <w:tc>
          <w:tcPr>
            <w:tcW w:w="1080" w:type="dxa"/>
            <w:tcBorders>
              <w:top w:val="nil"/>
              <w:left w:val="nil"/>
              <w:bottom w:val="single" w:sz="4" w:space="0" w:color="auto"/>
              <w:right w:val="single" w:sz="8" w:space="0" w:color="auto"/>
            </w:tcBorders>
            <w:shd w:val="clear" w:color="auto" w:fill="auto"/>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w:t>
            </w:r>
          </w:p>
        </w:tc>
        <w:tc>
          <w:tcPr>
            <w:tcW w:w="72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18</w:t>
            </w:r>
          </w:p>
        </w:tc>
        <w:tc>
          <w:tcPr>
            <w:tcW w:w="108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w:t>
            </w:r>
          </w:p>
        </w:tc>
      </w:tr>
      <w:tr w:rsidR="00AC40FC" w:rsidRPr="00863A99" w:rsidTr="00581946">
        <w:trPr>
          <w:trHeight w:val="300"/>
        </w:trPr>
        <w:tc>
          <w:tcPr>
            <w:tcW w:w="661" w:type="dxa"/>
            <w:tcBorders>
              <w:top w:val="nil"/>
              <w:left w:val="single" w:sz="8" w:space="0" w:color="auto"/>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0448</w:t>
            </w:r>
          </w:p>
        </w:tc>
        <w:tc>
          <w:tcPr>
            <w:tcW w:w="4394"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left"/>
              <w:rPr>
                <w:rFonts w:cs="Arial"/>
                <w:color w:val="000000"/>
                <w:sz w:val="20"/>
                <w:szCs w:val="20"/>
              </w:rPr>
            </w:pPr>
            <w:r w:rsidRPr="00863A99">
              <w:rPr>
                <w:rFonts w:cs="Arial"/>
                <w:color w:val="000000"/>
                <w:sz w:val="20"/>
                <w:szCs w:val="20"/>
              </w:rPr>
              <w:t>Lehigh Region T&amp;D</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sz w:val="20"/>
                <w:szCs w:val="20"/>
              </w:rPr>
            </w:pPr>
            <w:r w:rsidRPr="00863A99">
              <w:rPr>
                <w:rFonts w:cs="Arial"/>
                <w:color w:val="000000"/>
                <w:sz w:val="20"/>
                <w:szCs w:val="20"/>
              </w:rPr>
              <w:t>77</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77</w:t>
            </w:r>
          </w:p>
        </w:tc>
        <w:tc>
          <w:tcPr>
            <w:tcW w:w="1080" w:type="dxa"/>
            <w:tcBorders>
              <w:top w:val="nil"/>
              <w:left w:val="nil"/>
              <w:bottom w:val="single" w:sz="4" w:space="0" w:color="auto"/>
              <w:right w:val="single" w:sz="8" w:space="0" w:color="auto"/>
            </w:tcBorders>
            <w:shd w:val="clear" w:color="auto" w:fill="auto"/>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w:t>
            </w:r>
          </w:p>
        </w:tc>
        <w:tc>
          <w:tcPr>
            <w:tcW w:w="72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78</w:t>
            </w:r>
          </w:p>
        </w:tc>
        <w:tc>
          <w:tcPr>
            <w:tcW w:w="108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w:t>
            </w:r>
          </w:p>
        </w:tc>
      </w:tr>
      <w:tr w:rsidR="00AC40FC" w:rsidRPr="00863A99" w:rsidTr="00581946">
        <w:trPr>
          <w:trHeight w:val="300"/>
        </w:trPr>
        <w:tc>
          <w:tcPr>
            <w:tcW w:w="661" w:type="dxa"/>
            <w:tcBorders>
              <w:top w:val="nil"/>
              <w:left w:val="single" w:sz="8" w:space="0" w:color="auto"/>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0449</w:t>
            </w:r>
          </w:p>
        </w:tc>
        <w:tc>
          <w:tcPr>
            <w:tcW w:w="4394"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left"/>
              <w:rPr>
                <w:rFonts w:cs="Arial"/>
                <w:sz w:val="20"/>
                <w:szCs w:val="20"/>
              </w:rPr>
            </w:pPr>
            <w:r w:rsidRPr="00863A99">
              <w:rPr>
                <w:rFonts w:cs="Arial"/>
                <w:color w:val="000000"/>
                <w:sz w:val="20"/>
                <w:szCs w:val="20"/>
              </w:rPr>
              <w:t>Lehigh Region M&amp;E</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50</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Pr>
                <w:rFonts w:cs="Arial"/>
                <w:color w:val="000000"/>
                <w:sz w:val="20"/>
                <w:szCs w:val="20"/>
              </w:rPr>
              <w:t>50</w:t>
            </w:r>
          </w:p>
        </w:tc>
        <w:tc>
          <w:tcPr>
            <w:tcW w:w="1080" w:type="dxa"/>
            <w:tcBorders>
              <w:top w:val="nil"/>
              <w:left w:val="nil"/>
              <w:bottom w:val="single" w:sz="4" w:space="0" w:color="auto"/>
              <w:right w:val="single" w:sz="8" w:space="0" w:color="auto"/>
            </w:tcBorders>
            <w:shd w:val="clear" w:color="auto" w:fill="auto"/>
            <w:vAlign w:val="center"/>
          </w:tcPr>
          <w:p w:rsidR="00AC40FC" w:rsidRPr="00863A99" w:rsidRDefault="00AC40FC" w:rsidP="00581946">
            <w:pPr>
              <w:spacing w:after="0"/>
              <w:jc w:val="center"/>
              <w:rPr>
                <w:rFonts w:cs="Arial"/>
                <w:color w:val="000000"/>
                <w:sz w:val="20"/>
                <w:szCs w:val="20"/>
              </w:rPr>
            </w:pPr>
            <w:r>
              <w:rPr>
                <w:rFonts w:cs="Arial"/>
                <w:color w:val="000000"/>
                <w:sz w:val="20"/>
                <w:szCs w:val="20"/>
              </w:rPr>
              <w:t>0</w:t>
            </w:r>
          </w:p>
        </w:tc>
        <w:tc>
          <w:tcPr>
            <w:tcW w:w="72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51</w:t>
            </w:r>
          </w:p>
        </w:tc>
        <w:tc>
          <w:tcPr>
            <w:tcW w:w="108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Pr>
                <w:rFonts w:cs="Arial"/>
                <w:color w:val="000000"/>
                <w:sz w:val="20"/>
                <w:szCs w:val="20"/>
              </w:rPr>
              <w:t>+1</w:t>
            </w:r>
          </w:p>
        </w:tc>
      </w:tr>
      <w:tr w:rsidR="00AC40FC" w:rsidRPr="00863A99" w:rsidTr="00581946">
        <w:trPr>
          <w:trHeight w:val="300"/>
        </w:trPr>
        <w:tc>
          <w:tcPr>
            <w:tcW w:w="661" w:type="dxa"/>
            <w:tcBorders>
              <w:top w:val="nil"/>
              <w:left w:val="single" w:sz="8" w:space="0" w:color="auto"/>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0451</w:t>
            </w:r>
          </w:p>
        </w:tc>
        <w:tc>
          <w:tcPr>
            <w:tcW w:w="4394"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left"/>
              <w:rPr>
                <w:rFonts w:cs="Arial"/>
                <w:color w:val="000000"/>
                <w:sz w:val="20"/>
                <w:szCs w:val="20"/>
              </w:rPr>
            </w:pPr>
            <w:r w:rsidRPr="00863A99">
              <w:rPr>
                <w:rFonts w:cs="Arial"/>
                <w:color w:val="000000"/>
                <w:sz w:val="20"/>
                <w:szCs w:val="20"/>
              </w:rPr>
              <w:t>Northeast Region Design</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21</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Pr>
                <w:rFonts w:cs="Arial"/>
                <w:color w:val="000000"/>
                <w:sz w:val="20"/>
                <w:szCs w:val="20"/>
              </w:rPr>
              <w:t>21</w:t>
            </w:r>
          </w:p>
        </w:tc>
        <w:tc>
          <w:tcPr>
            <w:tcW w:w="1080" w:type="dxa"/>
            <w:tcBorders>
              <w:top w:val="nil"/>
              <w:left w:val="nil"/>
              <w:bottom w:val="single" w:sz="4" w:space="0" w:color="auto"/>
              <w:right w:val="single" w:sz="8" w:space="0" w:color="auto"/>
            </w:tcBorders>
            <w:shd w:val="clear" w:color="auto" w:fill="auto"/>
            <w:vAlign w:val="center"/>
          </w:tcPr>
          <w:p w:rsidR="00AC40FC" w:rsidRPr="00863A99" w:rsidRDefault="00AC40FC" w:rsidP="00581946">
            <w:pPr>
              <w:spacing w:after="0"/>
              <w:jc w:val="center"/>
              <w:rPr>
                <w:rFonts w:cs="Arial"/>
                <w:color w:val="000000"/>
                <w:sz w:val="20"/>
                <w:szCs w:val="20"/>
              </w:rPr>
            </w:pPr>
            <w:r>
              <w:rPr>
                <w:rFonts w:cs="Arial"/>
                <w:color w:val="000000"/>
                <w:sz w:val="20"/>
                <w:szCs w:val="20"/>
              </w:rPr>
              <w:t>0</w:t>
            </w:r>
          </w:p>
        </w:tc>
        <w:tc>
          <w:tcPr>
            <w:tcW w:w="72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22</w:t>
            </w:r>
          </w:p>
        </w:tc>
        <w:tc>
          <w:tcPr>
            <w:tcW w:w="108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Pr>
                <w:rFonts w:cs="Arial"/>
                <w:color w:val="000000"/>
                <w:sz w:val="20"/>
                <w:szCs w:val="20"/>
              </w:rPr>
              <w:t>+1</w:t>
            </w:r>
          </w:p>
        </w:tc>
      </w:tr>
      <w:tr w:rsidR="00AC40FC" w:rsidRPr="00863A99" w:rsidTr="00581946">
        <w:trPr>
          <w:trHeight w:val="300"/>
        </w:trPr>
        <w:tc>
          <w:tcPr>
            <w:tcW w:w="661" w:type="dxa"/>
            <w:tcBorders>
              <w:top w:val="nil"/>
              <w:left w:val="single" w:sz="8" w:space="0" w:color="auto"/>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0453</w:t>
            </w:r>
          </w:p>
        </w:tc>
        <w:tc>
          <w:tcPr>
            <w:tcW w:w="4394"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left"/>
              <w:rPr>
                <w:rFonts w:cs="Arial"/>
                <w:color w:val="000000"/>
                <w:sz w:val="20"/>
                <w:szCs w:val="20"/>
              </w:rPr>
            </w:pPr>
            <w:r w:rsidRPr="00863A99">
              <w:rPr>
                <w:rFonts w:cs="Arial"/>
                <w:color w:val="000000"/>
                <w:sz w:val="20"/>
                <w:szCs w:val="20"/>
              </w:rPr>
              <w:t>Northeast Region T&amp;D</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74</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74</w:t>
            </w:r>
          </w:p>
        </w:tc>
        <w:tc>
          <w:tcPr>
            <w:tcW w:w="1080" w:type="dxa"/>
            <w:tcBorders>
              <w:top w:val="nil"/>
              <w:left w:val="nil"/>
              <w:bottom w:val="single" w:sz="4" w:space="0" w:color="auto"/>
              <w:right w:val="single" w:sz="8" w:space="0" w:color="auto"/>
            </w:tcBorders>
            <w:shd w:val="clear" w:color="auto" w:fill="auto"/>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w:t>
            </w:r>
          </w:p>
        </w:tc>
        <w:tc>
          <w:tcPr>
            <w:tcW w:w="72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72</w:t>
            </w:r>
          </w:p>
        </w:tc>
        <w:tc>
          <w:tcPr>
            <w:tcW w:w="108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-2</w:t>
            </w:r>
          </w:p>
        </w:tc>
      </w:tr>
      <w:tr w:rsidR="00AC40FC" w:rsidRPr="00863A99" w:rsidTr="00581946">
        <w:trPr>
          <w:trHeight w:val="300"/>
        </w:trPr>
        <w:tc>
          <w:tcPr>
            <w:tcW w:w="661" w:type="dxa"/>
            <w:tcBorders>
              <w:top w:val="nil"/>
              <w:left w:val="single" w:sz="8" w:space="0" w:color="auto"/>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lastRenderedPageBreak/>
              <w:t>0454</w:t>
            </w:r>
          </w:p>
        </w:tc>
        <w:tc>
          <w:tcPr>
            <w:tcW w:w="4394"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left"/>
              <w:rPr>
                <w:rFonts w:cs="Arial"/>
                <w:color w:val="000000"/>
                <w:sz w:val="20"/>
                <w:szCs w:val="20"/>
              </w:rPr>
            </w:pPr>
            <w:r w:rsidRPr="00863A99">
              <w:rPr>
                <w:rFonts w:cs="Arial"/>
                <w:color w:val="000000"/>
                <w:sz w:val="20"/>
                <w:szCs w:val="20"/>
              </w:rPr>
              <w:t>Northeast Region M&amp;E</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32</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32</w:t>
            </w:r>
          </w:p>
        </w:tc>
        <w:tc>
          <w:tcPr>
            <w:tcW w:w="1080" w:type="dxa"/>
            <w:tcBorders>
              <w:top w:val="nil"/>
              <w:left w:val="nil"/>
              <w:bottom w:val="single" w:sz="4" w:space="0" w:color="auto"/>
              <w:right w:val="single" w:sz="8" w:space="0" w:color="auto"/>
            </w:tcBorders>
            <w:shd w:val="clear" w:color="auto" w:fill="auto"/>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w:t>
            </w:r>
          </w:p>
        </w:tc>
        <w:tc>
          <w:tcPr>
            <w:tcW w:w="72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32</w:t>
            </w:r>
          </w:p>
        </w:tc>
        <w:tc>
          <w:tcPr>
            <w:tcW w:w="108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w:t>
            </w:r>
          </w:p>
        </w:tc>
      </w:tr>
      <w:tr w:rsidR="00AC40FC" w:rsidRPr="00863A99" w:rsidTr="00581946">
        <w:trPr>
          <w:trHeight w:val="300"/>
        </w:trPr>
        <w:tc>
          <w:tcPr>
            <w:tcW w:w="661" w:type="dxa"/>
            <w:tcBorders>
              <w:top w:val="nil"/>
              <w:left w:val="single" w:sz="8" w:space="0" w:color="auto"/>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0470</w:t>
            </w:r>
          </w:p>
        </w:tc>
        <w:tc>
          <w:tcPr>
            <w:tcW w:w="4394"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left"/>
              <w:rPr>
                <w:rFonts w:cs="Arial"/>
                <w:color w:val="000000"/>
                <w:sz w:val="20"/>
                <w:szCs w:val="20"/>
              </w:rPr>
            </w:pPr>
            <w:r w:rsidRPr="00863A99">
              <w:rPr>
                <w:rFonts w:cs="Arial"/>
                <w:color w:val="000000"/>
                <w:sz w:val="20"/>
                <w:szCs w:val="20"/>
              </w:rPr>
              <w:t>Northeast Region Admin &amp; Support</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10</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10</w:t>
            </w:r>
          </w:p>
        </w:tc>
        <w:tc>
          <w:tcPr>
            <w:tcW w:w="1080" w:type="dxa"/>
            <w:tcBorders>
              <w:top w:val="nil"/>
              <w:left w:val="nil"/>
              <w:bottom w:val="single" w:sz="4" w:space="0" w:color="auto"/>
              <w:right w:val="single" w:sz="8" w:space="0" w:color="auto"/>
            </w:tcBorders>
            <w:shd w:val="clear" w:color="auto" w:fill="auto"/>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w:t>
            </w:r>
          </w:p>
        </w:tc>
        <w:tc>
          <w:tcPr>
            <w:tcW w:w="72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10</w:t>
            </w:r>
          </w:p>
        </w:tc>
        <w:tc>
          <w:tcPr>
            <w:tcW w:w="108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w:t>
            </w:r>
          </w:p>
        </w:tc>
      </w:tr>
      <w:tr w:rsidR="00AC40FC" w:rsidRPr="00863A99" w:rsidTr="00581946">
        <w:trPr>
          <w:trHeight w:val="315"/>
        </w:trPr>
        <w:tc>
          <w:tcPr>
            <w:tcW w:w="661" w:type="dxa"/>
            <w:tcBorders>
              <w:top w:val="nil"/>
              <w:left w:val="single" w:sz="8" w:space="0" w:color="auto"/>
              <w:bottom w:val="single" w:sz="8" w:space="0" w:color="auto"/>
              <w:right w:val="single" w:sz="4" w:space="0" w:color="auto"/>
            </w:tcBorders>
            <w:shd w:val="clear" w:color="auto" w:fill="auto"/>
            <w:noWrap/>
            <w:vAlign w:val="center"/>
            <w:hideMark/>
          </w:tcPr>
          <w:p w:rsidR="00AC40FC" w:rsidRPr="00863A99" w:rsidRDefault="00AC40FC" w:rsidP="00581946">
            <w:pPr>
              <w:spacing w:after="0"/>
              <w:jc w:val="left"/>
              <w:rPr>
                <w:rFonts w:ascii="Calibri" w:hAnsi="Calibri"/>
                <w:color w:val="000000"/>
                <w:sz w:val="20"/>
                <w:szCs w:val="20"/>
              </w:rPr>
            </w:pPr>
          </w:p>
        </w:tc>
        <w:tc>
          <w:tcPr>
            <w:tcW w:w="4394" w:type="dxa"/>
            <w:tcBorders>
              <w:top w:val="nil"/>
              <w:left w:val="nil"/>
              <w:bottom w:val="single" w:sz="8" w:space="0" w:color="auto"/>
              <w:right w:val="single" w:sz="4" w:space="0" w:color="auto"/>
            </w:tcBorders>
            <w:shd w:val="clear" w:color="auto" w:fill="auto"/>
            <w:noWrap/>
            <w:vAlign w:val="center"/>
            <w:hideMark/>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Subtotal</w:t>
            </w:r>
          </w:p>
        </w:tc>
        <w:tc>
          <w:tcPr>
            <w:tcW w:w="720" w:type="dxa"/>
            <w:tcBorders>
              <w:top w:val="nil"/>
              <w:left w:val="nil"/>
              <w:bottom w:val="single" w:sz="8"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315</w:t>
            </w:r>
          </w:p>
        </w:tc>
        <w:tc>
          <w:tcPr>
            <w:tcW w:w="720" w:type="dxa"/>
            <w:tcBorders>
              <w:top w:val="nil"/>
              <w:left w:val="nil"/>
              <w:bottom w:val="single" w:sz="8"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31</w:t>
            </w:r>
            <w:r>
              <w:rPr>
                <w:rFonts w:cs="Arial"/>
                <w:color w:val="000000"/>
                <w:sz w:val="20"/>
                <w:szCs w:val="20"/>
              </w:rPr>
              <w:t>6</w:t>
            </w:r>
          </w:p>
        </w:tc>
        <w:tc>
          <w:tcPr>
            <w:tcW w:w="1080" w:type="dxa"/>
            <w:tcBorders>
              <w:top w:val="nil"/>
              <w:left w:val="nil"/>
              <w:bottom w:val="single" w:sz="8" w:space="0" w:color="auto"/>
              <w:right w:val="single" w:sz="8" w:space="0" w:color="auto"/>
            </w:tcBorders>
            <w:shd w:val="clear" w:color="auto" w:fill="auto"/>
            <w:vAlign w:val="center"/>
          </w:tcPr>
          <w:p w:rsidR="00AC40FC" w:rsidRPr="00863A99" w:rsidDel="004C3AA8" w:rsidRDefault="00AC40FC" w:rsidP="00581946">
            <w:pPr>
              <w:spacing w:after="0"/>
              <w:jc w:val="center"/>
              <w:rPr>
                <w:rFonts w:cs="Arial"/>
                <w:color w:val="000000"/>
                <w:sz w:val="20"/>
                <w:szCs w:val="20"/>
              </w:rPr>
            </w:pPr>
            <w:r>
              <w:rPr>
                <w:rFonts w:cs="Arial"/>
                <w:color w:val="000000"/>
                <w:sz w:val="20"/>
                <w:szCs w:val="20"/>
              </w:rPr>
              <w:t>+1</w:t>
            </w:r>
          </w:p>
        </w:tc>
        <w:tc>
          <w:tcPr>
            <w:tcW w:w="720" w:type="dxa"/>
            <w:tcBorders>
              <w:top w:val="nil"/>
              <w:left w:val="nil"/>
              <w:bottom w:val="single" w:sz="8"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314</w:t>
            </w:r>
          </w:p>
        </w:tc>
        <w:tc>
          <w:tcPr>
            <w:tcW w:w="1080" w:type="dxa"/>
            <w:tcBorders>
              <w:top w:val="nil"/>
              <w:left w:val="nil"/>
              <w:bottom w:val="single" w:sz="8"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Pr>
                <w:rFonts w:cs="Arial"/>
                <w:color w:val="000000"/>
                <w:sz w:val="20"/>
                <w:szCs w:val="20"/>
              </w:rPr>
              <w:t>-2</w:t>
            </w:r>
          </w:p>
        </w:tc>
      </w:tr>
      <w:tr w:rsidR="00AC40FC" w:rsidRPr="00863A99" w:rsidTr="00581946">
        <w:trPr>
          <w:trHeight w:val="300"/>
        </w:trPr>
        <w:tc>
          <w:tcPr>
            <w:tcW w:w="7575" w:type="dxa"/>
            <w:gridSpan w:val="5"/>
            <w:tcBorders>
              <w:top w:val="single" w:sz="8" w:space="0" w:color="auto"/>
              <w:left w:val="single" w:sz="8" w:space="0" w:color="auto"/>
              <w:bottom w:val="single" w:sz="4" w:space="0" w:color="auto"/>
              <w:right w:val="single" w:sz="8" w:space="0" w:color="auto"/>
            </w:tcBorders>
            <w:shd w:val="clear" w:color="auto" w:fill="auto"/>
            <w:vAlign w:val="center"/>
            <w:hideMark/>
          </w:tcPr>
          <w:p w:rsidR="00AC40FC" w:rsidRPr="00863A99" w:rsidRDefault="00AC40FC" w:rsidP="00581946">
            <w:pPr>
              <w:spacing w:after="0"/>
              <w:jc w:val="left"/>
              <w:rPr>
                <w:rFonts w:cs="Arial"/>
                <w:b/>
                <w:color w:val="000000"/>
                <w:sz w:val="20"/>
                <w:szCs w:val="20"/>
              </w:rPr>
            </w:pPr>
            <w:r w:rsidRPr="00863A99">
              <w:rPr>
                <w:b/>
                <w:sz w:val="20"/>
                <w:szCs w:val="20"/>
              </w:rPr>
              <w:t>Central/Susquehanna Region Operations</w:t>
            </w:r>
          </w:p>
        </w:tc>
        <w:tc>
          <w:tcPr>
            <w:tcW w:w="720" w:type="dxa"/>
            <w:tcBorders>
              <w:top w:val="single" w:sz="8" w:space="0" w:color="auto"/>
              <w:left w:val="single" w:sz="8" w:space="0" w:color="auto"/>
              <w:bottom w:val="single" w:sz="4" w:space="0" w:color="auto"/>
              <w:right w:val="single" w:sz="8" w:space="0" w:color="auto"/>
            </w:tcBorders>
            <w:vAlign w:val="center"/>
          </w:tcPr>
          <w:p w:rsidR="00AC40FC" w:rsidRPr="00863A99" w:rsidRDefault="00AC40FC" w:rsidP="00581946">
            <w:pPr>
              <w:spacing w:after="0"/>
              <w:jc w:val="center"/>
              <w:rPr>
                <w:sz w:val="20"/>
                <w:szCs w:val="20"/>
              </w:rPr>
            </w:pPr>
          </w:p>
        </w:tc>
        <w:tc>
          <w:tcPr>
            <w:tcW w:w="1080" w:type="dxa"/>
            <w:tcBorders>
              <w:top w:val="single" w:sz="8" w:space="0" w:color="auto"/>
              <w:left w:val="single" w:sz="8" w:space="0" w:color="auto"/>
              <w:bottom w:val="single" w:sz="4" w:space="0" w:color="auto"/>
              <w:right w:val="single" w:sz="8" w:space="0" w:color="auto"/>
            </w:tcBorders>
            <w:vAlign w:val="center"/>
          </w:tcPr>
          <w:p w:rsidR="00AC40FC" w:rsidRPr="00863A99" w:rsidRDefault="00AC40FC" w:rsidP="00581946">
            <w:pPr>
              <w:spacing w:after="0"/>
              <w:jc w:val="center"/>
              <w:rPr>
                <w:sz w:val="20"/>
                <w:szCs w:val="20"/>
              </w:rPr>
            </w:pPr>
          </w:p>
        </w:tc>
      </w:tr>
      <w:tr w:rsidR="00AC40FC" w:rsidRPr="00863A99" w:rsidTr="00581946">
        <w:trPr>
          <w:trHeight w:val="300"/>
        </w:trPr>
        <w:tc>
          <w:tcPr>
            <w:tcW w:w="661" w:type="dxa"/>
            <w:tcBorders>
              <w:top w:val="nil"/>
              <w:left w:val="single" w:sz="8" w:space="0" w:color="auto"/>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0487</w:t>
            </w:r>
          </w:p>
        </w:tc>
        <w:tc>
          <w:tcPr>
            <w:tcW w:w="4394"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left"/>
              <w:rPr>
                <w:rFonts w:cs="Arial"/>
                <w:color w:val="000000"/>
                <w:sz w:val="20"/>
                <w:szCs w:val="20"/>
              </w:rPr>
            </w:pPr>
            <w:r w:rsidRPr="00863A99">
              <w:rPr>
                <w:rFonts w:cs="Arial"/>
                <w:bCs/>
                <w:color w:val="000000"/>
                <w:sz w:val="20"/>
                <w:szCs w:val="20"/>
              </w:rPr>
              <w:t>Central/Susquehanna Region Operations</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sz w:val="20"/>
                <w:szCs w:val="20"/>
              </w:rPr>
            </w:pPr>
            <w:r w:rsidRPr="00863A99">
              <w:rPr>
                <w:rFonts w:cs="Arial"/>
                <w:color w:val="000000"/>
                <w:sz w:val="20"/>
                <w:szCs w:val="20"/>
              </w:rPr>
              <w:t>8</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8</w:t>
            </w:r>
          </w:p>
        </w:tc>
        <w:tc>
          <w:tcPr>
            <w:tcW w:w="1080" w:type="dxa"/>
            <w:tcBorders>
              <w:top w:val="nil"/>
              <w:left w:val="nil"/>
              <w:bottom w:val="single" w:sz="4" w:space="0" w:color="auto"/>
              <w:right w:val="single" w:sz="8" w:space="0" w:color="auto"/>
            </w:tcBorders>
            <w:shd w:val="clear" w:color="auto" w:fill="auto"/>
            <w:vAlign w:val="center"/>
          </w:tcPr>
          <w:p w:rsidR="00AC40FC" w:rsidRPr="00863A99" w:rsidDel="00093545" w:rsidRDefault="00AC40FC" w:rsidP="00581946">
            <w:pPr>
              <w:spacing w:after="0"/>
              <w:jc w:val="center"/>
              <w:rPr>
                <w:rFonts w:cs="Arial"/>
                <w:color w:val="000000"/>
                <w:sz w:val="20"/>
                <w:szCs w:val="20"/>
              </w:rPr>
            </w:pPr>
            <w:r w:rsidRPr="00863A99">
              <w:rPr>
                <w:rFonts w:cs="Arial"/>
                <w:color w:val="000000"/>
                <w:sz w:val="20"/>
                <w:szCs w:val="20"/>
              </w:rPr>
              <w:t>0</w:t>
            </w:r>
          </w:p>
        </w:tc>
        <w:tc>
          <w:tcPr>
            <w:tcW w:w="72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7</w:t>
            </w:r>
          </w:p>
        </w:tc>
        <w:tc>
          <w:tcPr>
            <w:tcW w:w="108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w:t>
            </w:r>
          </w:p>
        </w:tc>
      </w:tr>
      <w:tr w:rsidR="00AC40FC" w:rsidRPr="00863A99" w:rsidTr="00581946">
        <w:trPr>
          <w:trHeight w:val="300"/>
        </w:trPr>
        <w:tc>
          <w:tcPr>
            <w:tcW w:w="661" w:type="dxa"/>
            <w:tcBorders>
              <w:top w:val="nil"/>
              <w:left w:val="single" w:sz="8" w:space="0" w:color="auto"/>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0420</w:t>
            </w:r>
          </w:p>
        </w:tc>
        <w:tc>
          <w:tcPr>
            <w:tcW w:w="4394"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left"/>
              <w:rPr>
                <w:rFonts w:cs="Arial"/>
                <w:color w:val="000000"/>
                <w:sz w:val="20"/>
                <w:szCs w:val="20"/>
              </w:rPr>
            </w:pPr>
            <w:r w:rsidRPr="00863A99">
              <w:rPr>
                <w:rFonts w:cs="Arial"/>
                <w:color w:val="000000"/>
                <w:sz w:val="20"/>
                <w:szCs w:val="20"/>
              </w:rPr>
              <w:t>Susquehanna Region Admin &amp; Support</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sz w:val="20"/>
                <w:szCs w:val="20"/>
              </w:rPr>
            </w:pPr>
            <w:r w:rsidRPr="00863A99">
              <w:rPr>
                <w:rFonts w:cs="Arial"/>
                <w:color w:val="000000"/>
                <w:sz w:val="20"/>
                <w:szCs w:val="20"/>
              </w:rPr>
              <w:t>14</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14</w:t>
            </w:r>
          </w:p>
        </w:tc>
        <w:tc>
          <w:tcPr>
            <w:tcW w:w="1080" w:type="dxa"/>
            <w:tcBorders>
              <w:top w:val="nil"/>
              <w:left w:val="nil"/>
              <w:bottom w:val="single" w:sz="4" w:space="0" w:color="auto"/>
              <w:right w:val="single" w:sz="8" w:space="0" w:color="auto"/>
            </w:tcBorders>
            <w:shd w:val="clear" w:color="auto" w:fill="auto"/>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w:t>
            </w:r>
          </w:p>
        </w:tc>
        <w:tc>
          <w:tcPr>
            <w:tcW w:w="72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14</w:t>
            </w:r>
          </w:p>
        </w:tc>
        <w:tc>
          <w:tcPr>
            <w:tcW w:w="108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w:t>
            </w:r>
          </w:p>
        </w:tc>
      </w:tr>
      <w:tr w:rsidR="00AC40FC" w:rsidRPr="00863A99" w:rsidTr="00581946">
        <w:trPr>
          <w:trHeight w:val="300"/>
        </w:trPr>
        <w:tc>
          <w:tcPr>
            <w:tcW w:w="661" w:type="dxa"/>
            <w:tcBorders>
              <w:top w:val="nil"/>
              <w:left w:val="single" w:sz="8" w:space="0" w:color="auto"/>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0421</w:t>
            </w:r>
          </w:p>
        </w:tc>
        <w:tc>
          <w:tcPr>
            <w:tcW w:w="4394"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left"/>
              <w:rPr>
                <w:rFonts w:cs="Arial"/>
                <w:color w:val="000000"/>
                <w:sz w:val="20"/>
                <w:szCs w:val="20"/>
              </w:rPr>
            </w:pPr>
            <w:r w:rsidRPr="00863A99">
              <w:rPr>
                <w:rFonts w:cs="Arial"/>
                <w:color w:val="000000"/>
                <w:sz w:val="20"/>
                <w:szCs w:val="20"/>
              </w:rPr>
              <w:t>Susquehanna Region Design</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sz w:val="20"/>
                <w:szCs w:val="20"/>
              </w:rPr>
            </w:pPr>
            <w:r w:rsidRPr="00863A99">
              <w:rPr>
                <w:rFonts w:cs="Arial"/>
                <w:color w:val="000000"/>
                <w:sz w:val="20"/>
                <w:szCs w:val="20"/>
              </w:rPr>
              <w:t>19</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20</w:t>
            </w:r>
          </w:p>
        </w:tc>
        <w:tc>
          <w:tcPr>
            <w:tcW w:w="1080" w:type="dxa"/>
            <w:tcBorders>
              <w:top w:val="nil"/>
              <w:left w:val="nil"/>
              <w:bottom w:val="single" w:sz="4" w:space="0" w:color="auto"/>
              <w:right w:val="single" w:sz="8" w:space="0" w:color="auto"/>
            </w:tcBorders>
            <w:shd w:val="clear" w:color="auto" w:fill="auto"/>
            <w:vAlign w:val="center"/>
          </w:tcPr>
          <w:p w:rsidR="00AC40FC" w:rsidRPr="00863A99" w:rsidDel="00AB4619" w:rsidRDefault="00AC40FC" w:rsidP="00581946">
            <w:pPr>
              <w:spacing w:after="0"/>
              <w:jc w:val="center"/>
              <w:rPr>
                <w:rFonts w:cs="Arial"/>
                <w:color w:val="000000"/>
                <w:sz w:val="20"/>
                <w:szCs w:val="20"/>
              </w:rPr>
            </w:pPr>
            <w:r w:rsidRPr="00863A99">
              <w:rPr>
                <w:rFonts w:cs="Arial"/>
                <w:color w:val="000000"/>
                <w:sz w:val="20"/>
                <w:szCs w:val="20"/>
              </w:rPr>
              <w:t>+1</w:t>
            </w:r>
          </w:p>
        </w:tc>
        <w:tc>
          <w:tcPr>
            <w:tcW w:w="72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20</w:t>
            </w:r>
          </w:p>
        </w:tc>
        <w:tc>
          <w:tcPr>
            <w:tcW w:w="108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w:t>
            </w:r>
          </w:p>
        </w:tc>
      </w:tr>
      <w:tr w:rsidR="00AC40FC" w:rsidRPr="00863A99" w:rsidTr="00581946">
        <w:trPr>
          <w:trHeight w:val="300"/>
        </w:trPr>
        <w:tc>
          <w:tcPr>
            <w:tcW w:w="661" w:type="dxa"/>
            <w:tcBorders>
              <w:top w:val="nil"/>
              <w:left w:val="single" w:sz="8" w:space="0" w:color="auto"/>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0423</w:t>
            </w:r>
          </w:p>
        </w:tc>
        <w:tc>
          <w:tcPr>
            <w:tcW w:w="4394"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left"/>
              <w:rPr>
                <w:rFonts w:cs="Arial"/>
                <w:color w:val="000000"/>
                <w:sz w:val="20"/>
                <w:szCs w:val="20"/>
              </w:rPr>
            </w:pPr>
            <w:r w:rsidRPr="00863A99">
              <w:rPr>
                <w:rFonts w:cs="Arial"/>
                <w:color w:val="000000"/>
                <w:sz w:val="20"/>
                <w:szCs w:val="20"/>
              </w:rPr>
              <w:t>Susquehanna Region T&amp;D</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67</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65</w:t>
            </w:r>
          </w:p>
        </w:tc>
        <w:tc>
          <w:tcPr>
            <w:tcW w:w="1080" w:type="dxa"/>
            <w:tcBorders>
              <w:top w:val="nil"/>
              <w:left w:val="nil"/>
              <w:bottom w:val="single" w:sz="4" w:space="0" w:color="auto"/>
              <w:right w:val="single" w:sz="8" w:space="0" w:color="auto"/>
            </w:tcBorders>
            <w:shd w:val="clear" w:color="auto" w:fill="auto"/>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-2</w:t>
            </w:r>
          </w:p>
        </w:tc>
        <w:tc>
          <w:tcPr>
            <w:tcW w:w="72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67</w:t>
            </w:r>
          </w:p>
        </w:tc>
        <w:tc>
          <w:tcPr>
            <w:tcW w:w="108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+2</w:t>
            </w:r>
          </w:p>
        </w:tc>
      </w:tr>
      <w:tr w:rsidR="00AC40FC" w:rsidRPr="00863A99" w:rsidTr="00581946">
        <w:trPr>
          <w:trHeight w:val="300"/>
        </w:trPr>
        <w:tc>
          <w:tcPr>
            <w:tcW w:w="661" w:type="dxa"/>
            <w:tcBorders>
              <w:top w:val="nil"/>
              <w:left w:val="single" w:sz="8" w:space="0" w:color="auto"/>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0424</w:t>
            </w:r>
          </w:p>
        </w:tc>
        <w:tc>
          <w:tcPr>
            <w:tcW w:w="4394"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left"/>
              <w:rPr>
                <w:rFonts w:cs="Arial"/>
                <w:color w:val="000000"/>
                <w:sz w:val="20"/>
                <w:szCs w:val="20"/>
              </w:rPr>
            </w:pPr>
            <w:r w:rsidRPr="00863A99">
              <w:rPr>
                <w:rFonts w:cs="Arial"/>
                <w:color w:val="000000"/>
                <w:sz w:val="20"/>
                <w:szCs w:val="20"/>
              </w:rPr>
              <w:t>Susquehanna Region M&amp;E</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sz w:val="20"/>
                <w:szCs w:val="20"/>
              </w:rPr>
            </w:pPr>
            <w:r w:rsidRPr="00863A99">
              <w:rPr>
                <w:rFonts w:cs="Arial"/>
                <w:color w:val="000000"/>
                <w:sz w:val="20"/>
                <w:szCs w:val="20"/>
              </w:rPr>
              <w:t>29</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29</w:t>
            </w:r>
          </w:p>
        </w:tc>
        <w:tc>
          <w:tcPr>
            <w:tcW w:w="1080" w:type="dxa"/>
            <w:tcBorders>
              <w:top w:val="nil"/>
              <w:left w:val="nil"/>
              <w:bottom w:val="single" w:sz="4" w:space="0" w:color="auto"/>
              <w:right w:val="single" w:sz="8" w:space="0" w:color="auto"/>
            </w:tcBorders>
            <w:shd w:val="clear" w:color="auto" w:fill="auto"/>
            <w:vAlign w:val="center"/>
          </w:tcPr>
          <w:p w:rsidR="00AC40FC" w:rsidRPr="00863A99" w:rsidDel="00AB4619" w:rsidRDefault="00AC40FC" w:rsidP="00581946">
            <w:pPr>
              <w:spacing w:after="0"/>
              <w:jc w:val="center"/>
              <w:rPr>
                <w:rFonts w:cs="Arial"/>
                <w:color w:val="000000"/>
                <w:sz w:val="20"/>
                <w:szCs w:val="20"/>
              </w:rPr>
            </w:pPr>
            <w:r>
              <w:rPr>
                <w:rFonts w:cs="Arial"/>
                <w:color w:val="000000"/>
                <w:sz w:val="20"/>
                <w:szCs w:val="20"/>
              </w:rPr>
              <w:t>0</w:t>
            </w:r>
          </w:p>
        </w:tc>
        <w:tc>
          <w:tcPr>
            <w:tcW w:w="72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29</w:t>
            </w:r>
          </w:p>
        </w:tc>
        <w:tc>
          <w:tcPr>
            <w:tcW w:w="108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w:t>
            </w:r>
          </w:p>
        </w:tc>
      </w:tr>
      <w:tr w:rsidR="00AC40FC" w:rsidRPr="00863A99" w:rsidTr="00581946">
        <w:trPr>
          <w:trHeight w:val="300"/>
        </w:trPr>
        <w:tc>
          <w:tcPr>
            <w:tcW w:w="661" w:type="dxa"/>
            <w:tcBorders>
              <w:top w:val="nil"/>
              <w:left w:val="single" w:sz="8" w:space="0" w:color="auto"/>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0455</w:t>
            </w:r>
          </w:p>
        </w:tc>
        <w:tc>
          <w:tcPr>
            <w:tcW w:w="4394"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left"/>
              <w:rPr>
                <w:rFonts w:cs="Arial"/>
                <w:sz w:val="20"/>
                <w:szCs w:val="20"/>
              </w:rPr>
            </w:pPr>
            <w:r w:rsidRPr="00863A99">
              <w:rPr>
                <w:rFonts w:cs="Arial"/>
                <w:color w:val="000000"/>
                <w:sz w:val="20"/>
                <w:szCs w:val="20"/>
              </w:rPr>
              <w:t>Central Region Admin &amp; Support</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13</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14</w:t>
            </w:r>
          </w:p>
        </w:tc>
        <w:tc>
          <w:tcPr>
            <w:tcW w:w="1080" w:type="dxa"/>
            <w:tcBorders>
              <w:top w:val="nil"/>
              <w:left w:val="nil"/>
              <w:bottom w:val="single" w:sz="4" w:space="0" w:color="auto"/>
              <w:right w:val="single" w:sz="8" w:space="0" w:color="auto"/>
            </w:tcBorders>
            <w:shd w:val="clear" w:color="auto" w:fill="auto"/>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w:t>
            </w:r>
          </w:p>
        </w:tc>
        <w:tc>
          <w:tcPr>
            <w:tcW w:w="72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13</w:t>
            </w:r>
          </w:p>
        </w:tc>
        <w:tc>
          <w:tcPr>
            <w:tcW w:w="108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w:t>
            </w:r>
          </w:p>
        </w:tc>
      </w:tr>
      <w:tr w:rsidR="00AC40FC" w:rsidRPr="00863A99" w:rsidTr="00581946">
        <w:trPr>
          <w:trHeight w:val="300"/>
        </w:trPr>
        <w:tc>
          <w:tcPr>
            <w:tcW w:w="661" w:type="dxa"/>
            <w:tcBorders>
              <w:top w:val="nil"/>
              <w:left w:val="single" w:sz="8" w:space="0" w:color="auto"/>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0458</w:t>
            </w:r>
          </w:p>
        </w:tc>
        <w:tc>
          <w:tcPr>
            <w:tcW w:w="4394"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left"/>
              <w:rPr>
                <w:rFonts w:cs="Arial"/>
                <w:sz w:val="20"/>
                <w:szCs w:val="20"/>
              </w:rPr>
            </w:pPr>
            <w:r w:rsidRPr="00863A99">
              <w:rPr>
                <w:rFonts w:cs="Arial"/>
                <w:color w:val="000000"/>
                <w:sz w:val="20"/>
                <w:szCs w:val="20"/>
              </w:rPr>
              <w:t>Central Region T&amp;D</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64</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64</w:t>
            </w:r>
          </w:p>
        </w:tc>
        <w:tc>
          <w:tcPr>
            <w:tcW w:w="1080" w:type="dxa"/>
            <w:tcBorders>
              <w:top w:val="nil"/>
              <w:left w:val="nil"/>
              <w:bottom w:val="single" w:sz="4" w:space="0" w:color="auto"/>
              <w:right w:val="single" w:sz="8" w:space="0" w:color="auto"/>
            </w:tcBorders>
            <w:shd w:val="clear" w:color="auto" w:fill="auto"/>
            <w:vAlign w:val="center"/>
          </w:tcPr>
          <w:p w:rsidR="00AC40FC" w:rsidRPr="00863A99" w:rsidRDefault="00AC40FC" w:rsidP="00581946">
            <w:pPr>
              <w:spacing w:after="0"/>
              <w:jc w:val="center"/>
              <w:rPr>
                <w:rFonts w:cs="Arial"/>
                <w:color w:val="000000"/>
                <w:sz w:val="20"/>
                <w:szCs w:val="20"/>
              </w:rPr>
            </w:pPr>
            <w:r>
              <w:rPr>
                <w:rFonts w:cs="Arial"/>
                <w:color w:val="000000"/>
                <w:sz w:val="20"/>
                <w:szCs w:val="20"/>
              </w:rPr>
              <w:t>0</w:t>
            </w:r>
          </w:p>
        </w:tc>
        <w:tc>
          <w:tcPr>
            <w:tcW w:w="72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64</w:t>
            </w:r>
          </w:p>
        </w:tc>
        <w:tc>
          <w:tcPr>
            <w:tcW w:w="108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w:t>
            </w:r>
          </w:p>
        </w:tc>
      </w:tr>
      <w:tr w:rsidR="00AC40FC" w:rsidRPr="00863A99" w:rsidTr="00581946">
        <w:trPr>
          <w:trHeight w:val="300"/>
        </w:trPr>
        <w:tc>
          <w:tcPr>
            <w:tcW w:w="661" w:type="dxa"/>
            <w:tcBorders>
              <w:top w:val="nil"/>
              <w:left w:val="single" w:sz="8" w:space="0" w:color="auto"/>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0459</w:t>
            </w:r>
          </w:p>
        </w:tc>
        <w:tc>
          <w:tcPr>
            <w:tcW w:w="4394"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left"/>
              <w:rPr>
                <w:rFonts w:cs="Arial"/>
                <w:sz w:val="20"/>
                <w:szCs w:val="20"/>
              </w:rPr>
            </w:pPr>
            <w:r w:rsidRPr="00863A99">
              <w:rPr>
                <w:rFonts w:cs="Arial"/>
                <w:color w:val="000000"/>
                <w:sz w:val="20"/>
                <w:szCs w:val="20"/>
              </w:rPr>
              <w:t>Central Region M&amp;E</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29</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29</w:t>
            </w:r>
          </w:p>
        </w:tc>
        <w:tc>
          <w:tcPr>
            <w:tcW w:w="1080" w:type="dxa"/>
            <w:tcBorders>
              <w:top w:val="nil"/>
              <w:left w:val="nil"/>
              <w:bottom w:val="single" w:sz="4" w:space="0" w:color="auto"/>
              <w:right w:val="single" w:sz="8" w:space="0" w:color="auto"/>
            </w:tcBorders>
            <w:shd w:val="clear" w:color="auto" w:fill="auto"/>
            <w:vAlign w:val="center"/>
          </w:tcPr>
          <w:p w:rsidR="00AC40FC" w:rsidRPr="00863A99" w:rsidDel="00093545" w:rsidRDefault="00AC40FC" w:rsidP="00581946">
            <w:pPr>
              <w:spacing w:after="0"/>
              <w:jc w:val="center"/>
              <w:rPr>
                <w:rFonts w:cs="Arial"/>
                <w:color w:val="000000"/>
                <w:sz w:val="20"/>
                <w:szCs w:val="20"/>
              </w:rPr>
            </w:pPr>
            <w:r w:rsidRPr="00863A99">
              <w:rPr>
                <w:rFonts w:cs="Arial"/>
                <w:color w:val="000000"/>
                <w:sz w:val="20"/>
                <w:szCs w:val="20"/>
              </w:rPr>
              <w:t>0</w:t>
            </w:r>
          </w:p>
        </w:tc>
        <w:tc>
          <w:tcPr>
            <w:tcW w:w="72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30</w:t>
            </w:r>
          </w:p>
        </w:tc>
        <w:tc>
          <w:tcPr>
            <w:tcW w:w="108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w:t>
            </w:r>
          </w:p>
        </w:tc>
      </w:tr>
      <w:tr w:rsidR="00AC40FC" w:rsidRPr="00863A99" w:rsidTr="00581946">
        <w:trPr>
          <w:trHeight w:val="300"/>
        </w:trPr>
        <w:tc>
          <w:tcPr>
            <w:tcW w:w="661" w:type="dxa"/>
            <w:tcBorders>
              <w:top w:val="nil"/>
              <w:left w:val="single" w:sz="8" w:space="0" w:color="auto"/>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0466</w:t>
            </w:r>
          </w:p>
        </w:tc>
        <w:tc>
          <w:tcPr>
            <w:tcW w:w="4394"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left"/>
              <w:rPr>
                <w:rFonts w:cs="Arial"/>
                <w:sz w:val="20"/>
                <w:szCs w:val="20"/>
              </w:rPr>
            </w:pPr>
            <w:r w:rsidRPr="00863A99">
              <w:rPr>
                <w:rFonts w:cs="Arial"/>
                <w:color w:val="000000"/>
                <w:sz w:val="20"/>
                <w:szCs w:val="20"/>
              </w:rPr>
              <w:t>Central Region Design</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18</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18</w:t>
            </w:r>
          </w:p>
        </w:tc>
        <w:tc>
          <w:tcPr>
            <w:tcW w:w="1080" w:type="dxa"/>
            <w:tcBorders>
              <w:top w:val="nil"/>
              <w:left w:val="nil"/>
              <w:bottom w:val="single" w:sz="4" w:space="0" w:color="auto"/>
              <w:right w:val="single" w:sz="8" w:space="0" w:color="auto"/>
            </w:tcBorders>
            <w:shd w:val="clear" w:color="auto" w:fill="auto"/>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w:t>
            </w:r>
          </w:p>
        </w:tc>
        <w:tc>
          <w:tcPr>
            <w:tcW w:w="72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Pr>
                <w:rFonts w:cs="Arial"/>
                <w:color w:val="000000"/>
                <w:sz w:val="20"/>
                <w:szCs w:val="20"/>
              </w:rPr>
              <w:t>19</w:t>
            </w:r>
          </w:p>
        </w:tc>
        <w:tc>
          <w:tcPr>
            <w:tcW w:w="108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Pr>
                <w:rFonts w:cs="Arial"/>
                <w:color w:val="000000"/>
                <w:sz w:val="20"/>
                <w:szCs w:val="20"/>
              </w:rPr>
              <w:t>+1</w:t>
            </w:r>
          </w:p>
        </w:tc>
      </w:tr>
      <w:tr w:rsidR="00AC40FC" w:rsidRPr="00863A99" w:rsidTr="00581946">
        <w:trPr>
          <w:trHeight w:val="315"/>
        </w:trPr>
        <w:tc>
          <w:tcPr>
            <w:tcW w:w="661" w:type="dxa"/>
            <w:tcBorders>
              <w:top w:val="nil"/>
              <w:left w:val="single" w:sz="8" w:space="0" w:color="auto"/>
              <w:bottom w:val="single" w:sz="8" w:space="0" w:color="auto"/>
              <w:right w:val="single" w:sz="4" w:space="0" w:color="auto"/>
            </w:tcBorders>
            <w:shd w:val="clear" w:color="auto" w:fill="auto"/>
            <w:noWrap/>
            <w:vAlign w:val="center"/>
            <w:hideMark/>
          </w:tcPr>
          <w:p w:rsidR="00AC40FC" w:rsidRPr="00863A99" w:rsidRDefault="00AC40FC" w:rsidP="00581946">
            <w:pPr>
              <w:spacing w:after="0"/>
              <w:jc w:val="left"/>
              <w:rPr>
                <w:rFonts w:ascii="Calibri" w:hAnsi="Calibri"/>
                <w:color w:val="000000"/>
                <w:sz w:val="20"/>
                <w:szCs w:val="20"/>
              </w:rPr>
            </w:pPr>
          </w:p>
        </w:tc>
        <w:tc>
          <w:tcPr>
            <w:tcW w:w="4394" w:type="dxa"/>
            <w:tcBorders>
              <w:top w:val="nil"/>
              <w:left w:val="nil"/>
              <w:bottom w:val="single" w:sz="8" w:space="0" w:color="auto"/>
              <w:right w:val="single" w:sz="4" w:space="0" w:color="auto"/>
            </w:tcBorders>
            <w:shd w:val="clear" w:color="auto" w:fill="auto"/>
            <w:noWrap/>
            <w:vAlign w:val="center"/>
            <w:hideMark/>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Subtotal</w:t>
            </w:r>
          </w:p>
        </w:tc>
        <w:tc>
          <w:tcPr>
            <w:tcW w:w="720" w:type="dxa"/>
            <w:tcBorders>
              <w:top w:val="nil"/>
              <w:left w:val="nil"/>
              <w:bottom w:val="single" w:sz="8" w:space="0" w:color="auto"/>
              <w:right w:val="single" w:sz="4" w:space="0" w:color="auto"/>
            </w:tcBorders>
            <w:shd w:val="clear" w:color="auto" w:fill="auto"/>
            <w:noWrap/>
            <w:vAlign w:val="center"/>
          </w:tcPr>
          <w:p w:rsidR="00AC40FC" w:rsidRPr="00863A99" w:rsidRDefault="00AC40FC" w:rsidP="00581946">
            <w:pPr>
              <w:spacing w:after="0"/>
              <w:jc w:val="center"/>
              <w:rPr>
                <w:rFonts w:cs="Arial"/>
                <w:sz w:val="20"/>
                <w:szCs w:val="20"/>
              </w:rPr>
            </w:pPr>
            <w:r w:rsidRPr="00863A99">
              <w:rPr>
                <w:rFonts w:cs="Arial"/>
                <w:sz w:val="20"/>
                <w:szCs w:val="20"/>
              </w:rPr>
              <w:t>261</w:t>
            </w:r>
          </w:p>
        </w:tc>
        <w:tc>
          <w:tcPr>
            <w:tcW w:w="720" w:type="dxa"/>
            <w:tcBorders>
              <w:top w:val="nil"/>
              <w:left w:val="nil"/>
              <w:bottom w:val="single" w:sz="8"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261</w:t>
            </w:r>
          </w:p>
        </w:tc>
        <w:tc>
          <w:tcPr>
            <w:tcW w:w="1080" w:type="dxa"/>
            <w:tcBorders>
              <w:top w:val="nil"/>
              <w:left w:val="nil"/>
              <w:bottom w:val="single" w:sz="8" w:space="0" w:color="auto"/>
              <w:right w:val="single" w:sz="8" w:space="0" w:color="auto"/>
            </w:tcBorders>
            <w:shd w:val="clear" w:color="auto" w:fill="auto"/>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w:t>
            </w:r>
          </w:p>
        </w:tc>
        <w:tc>
          <w:tcPr>
            <w:tcW w:w="720" w:type="dxa"/>
            <w:tcBorders>
              <w:top w:val="nil"/>
              <w:left w:val="nil"/>
              <w:bottom w:val="single" w:sz="8"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26</w:t>
            </w:r>
            <w:r>
              <w:rPr>
                <w:rFonts w:cs="Arial"/>
                <w:color w:val="000000"/>
                <w:sz w:val="20"/>
                <w:szCs w:val="20"/>
              </w:rPr>
              <w:t>3</w:t>
            </w:r>
          </w:p>
        </w:tc>
        <w:tc>
          <w:tcPr>
            <w:tcW w:w="1080" w:type="dxa"/>
            <w:tcBorders>
              <w:top w:val="nil"/>
              <w:left w:val="nil"/>
              <w:bottom w:val="single" w:sz="8"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w:t>
            </w:r>
            <w:r>
              <w:rPr>
                <w:rFonts w:cs="Arial"/>
                <w:color w:val="000000"/>
                <w:sz w:val="20"/>
                <w:szCs w:val="20"/>
              </w:rPr>
              <w:t>2</w:t>
            </w:r>
          </w:p>
        </w:tc>
      </w:tr>
      <w:tr w:rsidR="00AC40FC" w:rsidRPr="00863A99" w:rsidTr="00581946">
        <w:trPr>
          <w:trHeight w:val="300"/>
        </w:trPr>
        <w:tc>
          <w:tcPr>
            <w:tcW w:w="7575" w:type="dxa"/>
            <w:gridSpan w:val="5"/>
            <w:tcBorders>
              <w:top w:val="single" w:sz="8" w:space="0" w:color="auto"/>
              <w:left w:val="single" w:sz="8" w:space="0" w:color="auto"/>
              <w:bottom w:val="single" w:sz="4" w:space="0" w:color="auto"/>
              <w:right w:val="single" w:sz="8" w:space="0" w:color="auto"/>
            </w:tcBorders>
            <w:shd w:val="clear" w:color="auto" w:fill="auto"/>
            <w:vAlign w:val="center"/>
            <w:hideMark/>
          </w:tcPr>
          <w:p w:rsidR="00AC40FC" w:rsidRPr="00863A99" w:rsidRDefault="00AC40FC" w:rsidP="00581946">
            <w:pPr>
              <w:spacing w:after="0"/>
              <w:jc w:val="left"/>
              <w:rPr>
                <w:rFonts w:cs="Arial"/>
                <w:b/>
                <w:color w:val="000000"/>
                <w:sz w:val="20"/>
                <w:szCs w:val="20"/>
              </w:rPr>
            </w:pPr>
            <w:r w:rsidRPr="00863A99">
              <w:rPr>
                <w:b/>
                <w:sz w:val="20"/>
                <w:szCs w:val="20"/>
              </w:rPr>
              <w:t>Harrisburg/Lancaster Region Operations</w:t>
            </w:r>
          </w:p>
        </w:tc>
        <w:tc>
          <w:tcPr>
            <w:tcW w:w="720" w:type="dxa"/>
            <w:tcBorders>
              <w:top w:val="single" w:sz="8" w:space="0" w:color="auto"/>
              <w:left w:val="single" w:sz="8" w:space="0" w:color="auto"/>
              <w:bottom w:val="single" w:sz="4" w:space="0" w:color="auto"/>
              <w:right w:val="single" w:sz="8" w:space="0" w:color="auto"/>
            </w:tcBorders>
            <w:vAlign w:val="center"/>
          </w:tcPr>
          <w:p w:rsidR="00AC40FC" w:rsidRPr="00863A99" w:rsidRDefault="00AC40FC" w:rsidP="00581946">
            <w:pPr>
              <w:spacing w:after="0"/>
              <w:jc w:val="center"/>
              <w:rPr>
                <w:sz w:val="20"/>
                <w:szCs w:val="20"/>
              </w:rPr>
            </w:pPr>
          </w:p>
        </w:tc>
        <w:tc>
          <w:tcPr>
            <w:tcW w:w="1080" w:type="dxa"/>
            <w:tcBorders>
              <w:top w:val="single" w:sz="8" w:space="0" w:color="auto"/>
              <w:left w:val="single" w:sz="8" w:space="0" w:color="auto"/>
              <w:bottom w:val="single" w:sz="4" w:space="0" w:color="auto"/>
              <w:right w:val="single" w:sz="8" w:space="0" w:color="auto"/>
            </w:tcBorders>
            <w:vAlign w:val="center"/>
          </w:tcPr>
          <w:p w:rsidR="00AC40FC" w:rsidRPr="00863A99" w:rsidRDefault="00AC40FC" w:rsidP="00581946">
            <w:pPr>
              <w:spacing w:after="0"/>
              <w:jc w:val="center"/>
              <w:rPr>
                <w:sz w:val="20"/>
                <w:szCs w:val="20"/>
              </w:rPr>
            </w:pPr>
          </w:p>
        </w:tc>
      </w:tr>
      <w:tr w:rsidR="00AC40FC" w:rsidRPr="00863A99" w:rsidTr="00581946">
        <w:trPr>
          <w:trHeight w:val="300"/>
        </w:trPr>
        <w:tc>
          <w:tcPr>
            <w:tcW w:w="661" w:type="dxa"/>
            <w:tcBorders>
              <w:top w:val="nil"/>
              <w:left w:val="single" w:sz="8" w:space="0" w:color="auto"/>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0488</w:t>
            </w:r>
          </w:p>
        </w:tc>
        <w:tc>
          <w:tcPr>
            <w:tcW w:w="4394"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left"/>
              <w:rPr>
                <w:rFonts w:cs="Arial"/>
                <w:color w:val="000000"/>
                <w:sz w:val="20"/>
                <w:szCs w:val="20"/>
              </w:rPr>
            </w:pPr>
            <w:r w:rsidRPr="00863A99">
              <w:rPr>
                <w:rFonts w:cs="Arial"/>
                <w:bCs/>
                <w:color w:val="000000"/>
                <w:sz w:val="20"/>
                <w:szCs w:val="20"/>
              </w:rPr>
              <w:t>Harrisburg/Lancaster Region Operations</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sz w:val="20"/>
                <w:szCs w:val="20"/>
              </w:rPr>
            </w:pPr>
            <w:r w:rsidRPr="00863A99">
              <w:rPr>
                <w:rFonts w:cs="Arial"/>
                <w:color w:val="000000"/>
                <w:sz w:val="20"/>
                <w:szCs w:val="20"/>
              </w:rPr>
              <w:t>9</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7</w:t>
            </w:r>
          </w:p>
        </w:tc>
        <w:tc>
          <w:tcPr>
            <w:tcW w:w="1080" w:type="dxa"/>
            <w:tcBorders>
              <w:top w:val="nil"/>
              <w:left w:val="nil"/>
              <w:bottom w:val="single" w:sz="4" w:space="0" w:color="auto"/>
              <w:right w:val="single" w:sz="8" w:space="0" w:color="auto"/>
            </w:tcBorders>
            <w:shd w:val="clear" w:color="auto" w:fill="auto"/>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-2</w:t>
            </w:r>
          </w:p>
        </w:tc>
        <w:tc>
          <w:tcPr>
            <w:tcW w:w="72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7</w:t>
            </w:r>
          </w:p>
        </w:tc>
        <w:tc>
          <w:tcPr>
            <w:tcW w:w="108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w:t>
            </w:r>
          </w:p>
        </w:tc>
      </w:tr>
      <w:tr w:rsidR="00AC40FC" w:rsidRPr="00863A99" w:rsidTr="00581946">
        <w:trPr>
          <w:trHeight w:val="300"/>
        </w:trPr>
        <w:tc>
          <w:tcPr>
            <w:tcW w:w="661" w:type="dxa"/>
            <w:tcBorders>
              <w:top w:val="nil"/>
              <w:left w:val="single" w:sz="8" w:space="0" w:color="auto"/>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0410</w:t>
            </w:r>
          </w:p>
        </w:tc>
        <w:tc>
          <w:tcPr>
            <w:tcW w:w="4394"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left"/>
              <w:rPr>
                <w:rFonts w:cs="Arial"/>
                <w:color w:val="000000"/>
                <w:sz w:val="20"/>
                <w:szCs w:val="20"/>
              </w:rPr>
            </w:pPr>
            <w:r w:rsidRPr="00863A99">
              <w:rPr>
                <w:rFonts w:cs="Arial"/>
                <w:color w:val="000000"/>
                <w:sz w:val="20"/>
                <w:szCs w:val="20"/>
              </w:rPr>
              <w:t>Lancaster Region Admin &amp; Support</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sz w:val="20"/>
                <w:szCs w:val="20"/>
              </w:rPr>
            </w:pPr>
            <w:r w:rsidRPr="00863A99">
              <w:rPr>
                <w:rFonts w:cs="Arial"/>
                <w:color w:val="000000"/>
                <w:sz w:val="20"/>
                <w:szCs w:val="20"/>
              </w:rPr>
              <w:t>16</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17</w:t>
            </w:r>
          </w:p>
        </w:tc>
        <w:tc>
          <w:tcPr>
            <w:tcW w:w="1080" w:type="dxa"/>
            <w:tcBorders>
              <w:top w:val="nil"/>
              <w:left w:val="nil"/>
              <w:bottom w:val="single" w:sz="4" w:space="0" w:color="auto"/>
              <w:right w:val="single" w:sz="8" w:space="0" w:color="auto"/>
            </w:tcBorders>
            <w:shd w:val="clear" w:color="auto" w:fill="auto"/>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w:t>
            </w:r>
          </w:p>
        </w:tc>
        <w:tc>
          <w:tcPr>
            <w:tcW w:w="72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20</w:t>
            </w:r>
          </w:p>
        </w:tc>
        <w:tc>
          <w:tcPr>
            <w:tcW w:w="108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+3</w:t>
            </w:r>
          </w:p>
        </w:tc>
      </w:tr>
      <w:tr w:rsidR="00AC40FC" w:rsidRPr="00863A99" w:rsidTr="00581946">
        <w:trPr>
          <w:trHeight w:val="300"/>
        </w:trPr>
        <w:tc>
          <w:tcPr>
            <w:tcW w:w="661" w:type="dxa"/>
            <w:tcBorders>
              <w:top w:val="nil"/>
              <w:left w:val="single" w:sz="8" w:space="0" w:color="auto"/>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0411</w:t>
            </w:r>
          </w:p>
        </w:tc>
        <w:tc>
          <w:tcPr>
            <w:tcW w:w="4394"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left"/>
              <w:rPr>
                <w:rFonts w:cs="Arial"/>
                <w:color w:val="000000"/>
                <w:sz w:val="20"/>
                <w:szCs w:val="20"/>
              </w:rPr>
            </w:pPr>
            <w:r w:rsidRPr="00863A99">
              <w:rPr>
                <w:rFonts w:cs="Arial"/>
                <w:color w:val="000000"/>
                <w:sz w:val="20"/>
                <w:szCs w:val="20"/>
              </w:rPr>
              <w:t>Lancaster Region Design</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sz w:val="20"/>
                <w:szCs w:val="20"/>
              </w:rPr>
            </w:pPr>
            <w:r w:rsidRPr="00863A99">
              <w:rPr>
                <w:rFonts w:cs="Arial"/>
                <w:color w:val="000000"/>
                <w:sz w:val="20"/>
                <w:szCs w:val="20"/>
              </w:rPr>
              <w:t>19</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19</w:t>
            </w:r>
          </w:p>
        </w:tc>
        <w:tc>
          <w:tcPr>
            <w:tcW w:w="1080" w:type="dxa"/>
            <w:tcBorders>
              <w:top w:val="nil"/>
              <w:left w:val="nil"/>
              <w:bottom w:val="single" w:sz="4" w:space="0" w:color="auto"/>
              <w:right w:val="single" w:sz="8" w:space="0" w:color="auto"/>
            </w:tcBorders>
            <w:shd w:val="clear" w:color="auto" w:fill="auto"/>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w:t>
            </w:r>
          </w:p>
        </w:tc>
        <w:tc>
          <w:tcPr>
            <w:tcW w:w="72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20</w:t>
            </w:r>
          </w:p>
        </w:tc>
        <w:tc>
          <w:tcPr>
            <w:tcW w:w="108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w:t>
            </w:r>
          </w:p>
        </w:tc>
      </w:tr>
      <w:tr w:rsidR="00AC40FC" w:rsidRPr="00863A99" w:rsidTr="00581946">
        <w:trPr>
          <w:trHeight w:val="300"/>
        </w:trPr>
        <w:tc>
          <w:tcPr>
            <w:tcW w:w="661" w:type="dxa"/>
            <w:tcBorders>
              <w:top w:val="nil"/>
              <w:left w:val="single" w:sz="8" w:space="0" w:color="auto"/>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0413</w:t>
            </w:r>
          </w:p>
        </w:tc>
        <w:tc>
          <w:tcPr>
            <w:tcW w:w="4394"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left"/>
              <w:rPr>
                <w:rFonts w:cs="Arial"/>
                <w:color w:val="000000"/>
                <w:sz w:val="20"/>
                <w:szCs w:val="20"/>
              </w:rPr>
            </w:pPr>
            <w:r w:rsidRPr="00863A99">
              <w:rPr>
                <w:rFonts w:cs="Arial"/>
                <w:color w:val="000000"/>
                <w:sz w:val="20"/>
                <w:szCs w:val="20"/>
              </w:rPr>
              <w:t>Lancaster Region T&amp;D</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sz w:val="20"/>
                <w:szCs w:val="20"/>
              </w:rPr>
            </w:pPr>
            <w:r w:rsidRPr="00863A99">
              <w:rPr>
                <w:rFonts w:cs="Arial"/>
                <w:color w:val="000000"/>
                <w:sz w:val="20"/>
                <w:szCs w:val="20"/>
              </w:rPr>
              <w:t>77</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75</w:t>
            </w:r>
          </w:p>
        </w:tc>
        <w:tc>
          <w:tcPr>
            <w:tcW w:w="1080" w:type="dxa"/>
            <w:tcBorders>
              <w:top w:val="nil"/>
              <w:left w:val="nil"/>
              <w:bottom w:val="single" w:sz="4" w:space="0" w:color="auto"/>
              <w:right w:val="single" w:sz="8" w:space="0" w:color="auto"/>
            </w:tcBorders>
            <w:shd w:val="clear" w:color="auto" w:fill="auto"/>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-2</w:t>
            </w:r>
          </w:p>
        </w:tc>
        <w:tc>
          <w:tcPr>
            <w:tcW w:w="72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75</w:t>
            </w:r>
          </w:p>
        </w:tc>
        <w:tc>
          <w:tcPr>
            <w:tcW w:w="108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w:t>
            </w:r>
          </w:p>
        </w:tc>
      </w:tr>
      <w:tr w:rsidR="00AC40FC" w:rsidRPr="00863A99" w:rsidTr="00581946">
        <w:trPr>
          <w:trHeight w:val="300"/>
        </w:trPr>
        <w:tc>
          <w:tcPr>
            <w:tcW w:w="661" w:type="dxa"/>
            <w:tcBorders>
              <w:top w:val="nil"/>
              <w:left w:val="single" w:sz="8" w:space="0" w:color="auto"/>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0414</w:t>
            </w:r>
          </w:p>
        </w:tc>
        <w:tc>
          <w:tcPr>
            <w:tcW w:w="4394"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left"/>
              <w:rPr>
                <w:rFonts w:cs="Arial"/>
                <w:color w:val="000000"/>
                <w:sz w:val="20"/>
                <w:szCs w:val="20"/>
              </w:rPr>
            </w:pPr>
            <w:r w:rsidRPr="00863A99">
              <w:rPr>
                <w:rFonts w:cs="Arial"/>
                <w:color w:val="000000"/>
                <w:sz w:val="20"/>
                <w:szCs w:val="20"/>
              </w:rPr>
              <w:t>Lancaster Region M&amp;E</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45</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45</w:t>
            </w:r>
          </w:p>
        </w:tc>
        <w:tc>
          <w:tcPr>
            <w:tcW w:w="1080" w:type="dxa"/>
            <w:tcBorders>
              <w:top w:val="nil"/>
              <w:left w:val="nil"/>
              <w:bottom w:val="single" w:sz="4" w:space="0" w:color="auto"/>
              <w:right w:val="single" w:sz="8" w:space="0" w:color="auto"/>
            </w:tcBorders>
            <w:shd w:val="clear" w:color="auto" w:fill="auto"/>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w:t>
            </w:r>
          </w:p>
        </w:tc>
        <w:tc>
          <w:tcPr>
            <w:tcW w:w="72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44</w:t>
            </w:r>
          </w:p>
        </w:tc>
        <w:tc>
          <w:tcPr>
            <w:tcW w:w="108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Pr>
                <w:rFonts w:cs="Arial"/>
                <w:color w:val="000000"/>
                <w:sz w:val="20"/>
                <w:szCs w:val="20"/>
              </w:rPr>
              <w:t>-</w:t>
            </w:r>
            <w:r w:rsidRPr="00863A99">
              <w:rPr>
                <w:rFonts w:cs="Arial"/>
                <w:color w:val="000000"/>
                <w:sz w:val="20"/>
                <w:szCs w:val="20"/>
              </w:rPr>
              <w:t>1</w:t>
            </w:r>
          </w:p>
        </w:tc>
      </w:tr>
      <w:tr w:rsidR="00AC40FC" w:rsidRPr="00863A99" w:rsidTr="00581946">
        <w:trPr>
          <w:trHeight w:val="300"/>
        </w:trPr>
        <w:tc>
          <w:tcPr>
            <w:tcW w:w="661" w:type="dxa"/>
            <w:tcBorders>
              <w:top w:val="nil"/>
              <w:left w:val="single" w:sz="8" w:space="0" w:color="auto"/>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0417</w:t>
            </w:r>
          </w:p>
        </w:tc>
        <w:tc>
          <w:tcPr>
            <w:tcW w:w="4394"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left"/>
              <w:rPr>
                <w:rFonts w:cs="Arial"/>
                <w:color w:val="000000"/>
                <w:sz w:val="20"/>
                <w:szCs w:val="20"/>
              </w:rPr>
            </w:pPr>
            <w:r w:rsidRPr="00863A99">
              <w:rPr>
                <w:rFonts w:cs="Arial"/>
                <w:color w:val="000000"/>
                <w:sz w:val="20"/>
                <w:szCs w:val="20"/>
              </w:rPr>
              <w:t>Lancaster Metering</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Pr>
                <w:rFonts w:cs="Arial"/>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w:t>
            </w:r>
          </w:p>
        </w:tc>
        <w:tc>
          <w:tcPr>
            <w:tcW w:w="1080" w:type="dxa"/>
            <w:tcBorders>
              <w:top w:val="nil"/>
              <w:left w:val="nil"/>
              <w:bottom w:val="single" w:sz="4" w:space="0" w:color="auto"/>
              <w:right w:val="single" w:sz="8" w:space="0" w:color="auto"/>
            </w:tcBorders>
            <w:shd w:val="clear" w:color="auto" w:fill="auto"/>
            <w:vAlign w:val="center"/>
          </w:tcPr>
          <w:p w:rsidR="00AC40FC" w:rsidRPr="00863A99" w:rsidRDefault="00AC40FC" w:rsidP="00581946">
            <w:pPr>
              <w:spacing w:after="0"/>
              <w:jc w:val="center"/>
              <w:rPr>
                <w:rFonts w:cs="Arial"/>
                <w:color w:val="000000"/>
                <w:sz w:val="20"/>
                <w:szCs w:val="20"/>
              </w:rPr>
            </w:pPr>
            <w:r>
              <w:rPr>
                <w:rFonts w:cs="Arial"/>
                <w:color w:val="000000"/>
                <w:sz w:val="20"/>
                <w:szCs w:val="20"/>
              </w:rPr>
              <w:t>0</w:t>
            </w:r>
          </w:p>
        </w:tc>
        <w:tc>
          <w:tcPr>
            <w:tcW w:w="72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w:t>
            </w:r>
          </w:p>
        </w:tc>
        <w:tc>
          <w:tcPr>
            <w:tcW w:w="108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w:t>
            </w:r>
          </w:p>
        </w:tc>
      </w:tr>
      <w:tr w:rsidR="00AC40FC" w:rsidRPr="00863A99" w:rsidTr="00581946">
        <w:trPr>
          <w:trHeight w:val="300"/>
        </w:trPr>
        <w:tc>
          <w:tcPr>
            <w:tcW w:w="661" w:type="dxa"/>
            <w:tcBorders>
              <w:top w:val="nil"/>
              <w:left w:val="single" w:sz="8" w:space="0" w:color="auto"/>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0426</w:t>
            </w:r>
          </w:p>
        </w:tc>
        <w:tc>
          <w:tcPr>
            <w:tcW w:w="4394"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left"/>
              <w:rPr>
                <w:rFonts w:cs="Arial"/>
                <w:color w:val="000000"/>
                <w:sz w:val="20"/>
                <w:szCs w:val="20"/>
              </w:rPr>
            </w:pPr>
            <w:r w:rsidRPr="00863A99">
              <w:rPr>
                <w:rFonts w:cs="Arial"/>
                <w:color w:val="000000"/>
                <w:sz w:val="20"/>
                <w:szCs w:val="20"/>
              </w:rPr>
              <w:t>Harrisburg Region Design</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16</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16</w:t>
            </w:r>
          </w:p>
        </w:tc>
        <w:tc>
          <w:tcPr>
            <w:tcW w:w="1080" w:type="dxa"/>
            <w:tcBorders>
              <w:top w:val="nil"/>
              <w:left w:val="nil"/>
              <w:bottom w:val="single" w:sz="4" w:space="0" w:color="auto"/>
              <w:right w:val="single" w:sz="8" w:space="0" w:color="auto"/>
            </w:tcBorders>
            <w:shd w:val="clear" w:color="auto" w:fill="auto"/>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w:t>
            </w:r>
          </w:p>
        </w:tc>
        <w:tc>
          <w:tcPr>
            <w:tcW w:w="72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16</w:t>
            </w:r>
          </w:p>
        </w:tc>
        <w:tc>
          <w:tcPr>
            <w:tcW w:w="108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w:t>
            </w:r>
          </w:p>
        </w:tc>
      </w:tr>
      <w:tr w:rsidR="00AC40FC" w:rsidRPr="00863A99" w:rsidTr="00581946">
        <w:trPr>
          <w:trHeight w:val="300"/>
        </w:trPr>
        <w:tc>
          <w:tcPr>
            <w:tcW w:w="661" w:type="dxa"/>
            <w:tcBorders>
              <w:top w:val="nil"/>
              <w:left w:val="single" w:sz="8" w:space="0" w:color="auto"/>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0428</w:t>
            </w:r>
          </w:p>
        </w:tc>
        <w:tc>
          <w:tcPr>
            <w:tcW w:w="4394"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left"/>
              <w:rPr>
                <w:rFonts w:cs="Arial"/>
                <w:color w:val="000000"/>
                <w:sz w:val="20"/>
                <w:szCs w:val="20"/>
              </w:rPr>
            </w:pPr>
            <w:r w:rsidRPr="00863A99">
              <w:rPr>
                <w:rFonts w:cs="Arial"/>
                <w:color w:val="000000"/>
                <w:sz w:val="20"/>
                <w:szCs w:val="20"/>
              </w:rPr>
              <w:t>Harrisburg Region T&amp;D</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74</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Pr>
                <w:rFonts w:cs="Arial"/>
                <w:color w:val="000000"/>
                <w:sz w:val="20"/>
                <w:szCs w:val="20"/>
              </w:rPr>
              <w:t>75</w:t>
            </w:r>
          </w:p>
        </w:tc>
        <w:tc>
          <w:tcPr>
            <w:tcW w:w="1080" w:type="dxa"/>
            <w:tcBorders>
              <w:top w:val="nil"/>
              <w:left w:val="nil"/>
              <w:bottom w:val="single" w:sz="4" w:space="0" w:color="auto"/>
              <w:right w:val="single" w:sz="8" w:space="0" w:color="auto"/>
            </w:tcBorders>
            <w:shd w:val="clear" w:color="auto" w:fill="auto"/>
            <w:vAlign w:val="center"/>
          </w:tcPr>
          <w:p w:rsidR="00AC40FC" w:rsidRPr="00863A99" w:rsidRDefault="00AC40FC" w:rsidP="00581946">
            <w:pPr>
              <w:spacing w:after="0"/>
              <w:jc w:val="center"/>
              <w:rPr>
                <w:rFonts w:cs="Arial"/>
                <w:color w:val="000000"/>
                <w:sz w:val="20"/>
                <w:szCs w:val="20"/>
              </w:rPr>
            </w:pPr>
            <w:r>
              <w:rPr>
                <w:rFonts w:cs="Arial"/>
                <w:color w:val="000000"/>
                <w:sz w:val="20"/>
                <w:szCs w:val="20"/>
              </w:rPr>
              <w:t>+1</w:t>
            </w:r>
          </w:p>
        </w:tc>
        <w:tc>
          <w:tcPr>
            <w:tcW w:w="72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Pr>
                <w:rFonts w:cs="Arial"/>
                <w:color w:val="000000"/>
                <w:sz w:val="20"/>
                <w:szCs w:val="20"/>
              </w:rPr>
              <w:t>75</w:t>
            </w:r>
          </w:p>
        </w:tc>
        <w:tc>
          <w:tcPr>
            <w:tcW w:w="108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Pr>
                <w:rFonts w:cs="Arial"/>
                <w:color w:val="000000"/>
                <w:sz w:val="20"/>
                <w:szCs w:val="20"/>
              </w:rPr>
              <w:t>0</w:t>
            </w:r>
          </w:p>
        </w:tc>
      </w:tr>
      <w:tr w:rsidR="00AC40FC" w:rsidRPr="00863A99" w:rsidTr="00581946">
        <w:trPr>
          <w:trHeight w:val="300"/>
        </w:trPr>
        <w:tc>
          <w:tcPr>
            <w:tcW w:w="661" w:type="dxa"/>
            <w:tcBorders>
              <w:top w:val="nil"/>
              <w:left w:val="single" w:sz="8" w:space="0" w:color="auto"/>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0429</w:t>
            </w:r>
          </w:p>
        </w:tc>
        <w:tc>
          <w:tcPr>
            <w:tcW w:w="4394"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left"/>
              <w:rPr>
                <w:rFonts w:cs="Arial"/>
                <w:sz w:val="20"/>
                <w:szCs w:val="20"/>
              </w:rPr>
            </w:pPr>
            <w:r w:rsidRPr="00863A99">
              <w:rPr>
                <w:rFonts w:cs="Arial"/>
                <w:color w:val="000000"/>
                <w:sz w:val="20"/>
                <w:szCs w:val="20"/>
              </w:rPr>
              <w:t>Harrisburg Region M&amp;E</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51</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52</w:t>
            </w:r>
          </w:p>
        </w:tc>
        <w:tc>
          <w:tcPr>
            <w:tcW w:w="1080" w:type="dxa"/>
            <w:tcBorders>
              <w:top w:val="nil"/>
              <w:left w:val="nil"/>
              <w:bottom w:val="single" w:sz="4" w:space="0" w:color="auto"/>
              <w:right w:val="single" w:sz="8" w:space="0" w:color="auto"/>
            </w:tcBorders>
            <w:shd w:val="clear" w:color="auto" w:fill="auto"/>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w:t>
            </w:r>
          </w:p>
        </w:tc>
        <w:tc>
          <w:tcPr>
            <w:tcW w:w="72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50</w:t>
            </w:r>
          </w:p>
        </w:tc>
        <w:tc>
          <w:tcPr>
            <w:tcW w:w="108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-2</w:t>
            </w:r>
          </w:p>
        </w:tc>
      </w:tr>
      <w:tr w:rsidR="00AC40FC" w:rsidRPr="00863A99" w:rsidTr="00581946">
        <w:trPr>
          <w:trHeight w:val="315"/>
        </w:trPr>
        <w:tc>
          <w:tcPr>
            <w:tcW w:w="661" w:type="dxa"/>
            <w:tcBorders>
              <w:top w:val="single" w:sz="4" w:space="0" w:color="auto"/>
              <w:left w:val="single" w:sz="8" w:space="0" w:color="auto"/>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ascii="Calibri" w:hAnsi="Calibri"/>
                <w:color w:val="000000"/>
                <w:sz w:val="20"/>
                <w:szCs w:val="20"/>
              </w:rPr>
            </w:pPr>
            <w:r w:rsidRPr="00863A99">
              <w:rPr>
                <w:rFonts w:cs="Arial"/>
                <w:color w:val="000000"/>
                <w:sz w:val="20"/>
                <w:szCs w:val="20"/>
              </w:rPr>
              <w:t>0430</w:t>
            </w:r>
          </w:p>
        </w:tc>
        <w:tc>
          <w:tcPr>
            <w:tcW w:w="4394" w:type="dxa"/>
            <w:tcBorders>
              <w:top w:val="single" w:sz="4" w:space="0" w:color="auto"/>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left"/>
              <w:rPr>
                <w:rFonts w:cs="Arial"/>
                <w:color w:val="000000"/>
                <w:sz w:val="20"/>
                <w:szCs w:val="20"/>
              </w:rPr>
            </w:pPr>
            <w:r w:rsidRPr="00863A99">
              <w:rPr>
                <w:rFonts w:cs="Arial"/>
                <w:color w:val="000000"/>
                <w:sz w:val="20"/>
                <w:szCs w:val="20"/>
              </w:rPr>
              <w:t>Harrisburg Region Admin &amp; Support</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20</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20</w:t>
            </w:r>
          </w:p>
        </w:tc>
        <w:tc>
          <w:tcPr>
            <w:tcW w:w="1080" w:type="dxa"/>
            <w:tcBorders>
              <w:top w:val="single" w:sz="4" w:space="0" w:color="auto"/>
              <w:left w:val="nil"/>
              <w:bottom w:val="single" w:sz="4" w:space="0" w:color="auto"/>
              <w:right w:val="single" w:sz="8" w:space="0" w:color="auto"/>
            </w:tcBorders>
            <w:shd w:val="clear" w:color="auto" w:fill="auto"/>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w:t>
            </w:r>
          </w:p>
        </w:tc>
        <w:tc>
          <w:tcPr>
            <w:tcW w:w="720" w:type="dxa"/>
            <w:tcBorders>
              <w:top w:val="single" w:sz="4" w:space="0" w:color="auto"/>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20</w:t>
            </w:r>
          </w:p>
        </w:tc>
        <w:tc>
          <w:tcPr>
            <w:tcW w:w="1080" w:type="dxa"/>
            <w:tcBorders>
              <w:top w:val="single" w:sz="4" w:space="0" w:color="auto"/>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w:t>
            </w:r>
          </w:p>
        </w:tc>
      </w:tr>
      <w:tr w:rsidR="00AC40FC" w:rsidRPr="00863A99" w:rsidTr="00581946">
        <w:trPr>
          <w:trHeight w:val="315"/>
        </w:trPr>
        <w:tc>
          <w:tcPr>
            <w:tcW w:w="661"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AC40FC" w:rsidRPr="00863A99" w:rsidRDefault="00AC40FC" w:rsidP="00581946">
            <w:pPr>
              <w:spacing w:after="0"/>
              <w:jc w:val="left"/>
              <w:rPr>
                <w:rFonts w:ascii="Calibri" w:hAnsi="Calibri"/>
                <w:color w:val="000000"/>
                <w:sz w:val="20"/>
                <w:szCs w:val="20"/>
              </w:rPr>
            </w:pPr>
          </w:p>
        </w:tc>
        <w:tc>
          <w:tcPr>
            <w:tcW w:w="4394" w:type="dxa"/>
            <w:tcBorders>
              <w:top w:val="single" w:sz="4" w:space="0" w:color="auto"/>
              <w:left w:val="nil"/>
              <w:bottom w:val="single" w:sz="8" w:space="0" w:color="auto"/>
              <w:right w:val="single" w:sz="4" w:space="0" w:color="auto"/>
            </w:tcBorders>
            <w:shd w:val="clear" w:color="auto" w:fill="auto"/>
            <w:noWrap/>
            <w:vAlign w:val="center"/>
            <w:hideMark/>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Subtotal</w:t>
            </w:r>
          </w:p>
        </w:tc>
        <w:tc>
          <w:tcPr>
            <w:tcW w:w="720" w:type="dxa"/>
            <w:tcBorders>
              <w:top w:val="single" w:sz="4" w:space="0" w:color="auto"/>
              <w:left w:val="nil"/>
              <w:bottom w:val="single" w:sz="8" w:space="0" w:color="auto"/>
              <w:right w:val="single" w:sz="4" w:space="0" w:color="auto"/>
            </w:tcBorders>
            <w:shd w:val="clear" w:color="auto" w:fill="auto"/>
            <w:noWrap/>
            <w:vAlign w:val="center"/>
          </w:tcPr>
          <w:p w:rsidR="00AC40FC" w:rsidRPr="00863A99" w:rsidRDefault="00AC40FC" w:rsidP="00581946">
            <w:pPr>
              <w:spacing w:after="0"/>
              <w:jc w:val="center"/>
              <w:rPr>
                <w:rFonts w:cs="Arial"/>
                <w:sz w:val="20"/>
                <w:szCs w:val="20"/>
              </w:rPr>
            </w:pPr>
            <w:r>
              <w:rPr>
                <w:rFonts w:cs="Arial"/>
                <w:sz w:val="20"/>
                <w:szCs w:val="20"/>
              </w:rPr>
              <w:t>327</w:t>
            </w:r>
          </w:p>
        </w:tc>
        <w:tc>
          <w:tcPr>
            <w:tcW w:w="720" w:type="dxa"/>
            <w:tcBorders>
              <w:top w:val="single" w:sz="4" w:space="0" w:color="auto"/>
              <w:left w:val="nil"/>
              <w:bottom w:val="single" w:sz="8"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Pr>
                <w:rFonts w:cs="Arial"/>
                <w:color w:val="000000"/>
                <w:sz w:val="20"/>
                <w:szCs w:val="20"/>
              </w:rPr>
              <w:t>326</w:t>
            </w:r>
          </w:p>
        </w:tc>
        <w:tc>
          <w:tcPr>
            <w:tcW w:w="1080" w:type="dxa"/>
            <w:tcBorders>
              <w:top w:val="single" w:sz="4" w:space="0" w:color="auto"/>
              <w:left w:val="nil"/>
              <w:bottom w:val="single" w:sz="8" w:space="0" w:color="auto"/>
              <w:right w:val="single" w:sz="8" w:space="0" w:color="auto"/>
            </w:tcBorders>
            <w:shd w:val="clear" w:color="auto" w:fill="auto"/>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w:t>
            </w:r>
          </w:p>
        </w:tc>
        <w:tc>
          <w:tcPr>
            <w:tcW w:w="720" w:type="dxa"/>
            <w:tcBorders>
              <w:top w:val="single" w:sz="4" w:space="0" w:color="auto"/>
              <w:left w:val="nil"/>
              <w:bottom w:val="single" w:sz="8"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Pr>
                <w:rFonts w:cs="Arial"/>
                <w:color w:val="000000"/>
                <w:sz w:val="20"/>
                <w:szCs w:val="20"/>
              </w:rPr>
              <w:t>327</w:t>
            </w:r>
          </w:p>
        </w:tc>
        <w:tc>
          <w:tcPr>
            <w:tcW w:w="1080" w:type="dxa"/>
            <w:tcBorders>
              <w:top w:val="single" w:sz="4" w:space="0" w:color="auto"/>
              <w:left w:val="nil"/>
              <w:bottom w:val="single" w:sz="8"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Pr>
                <w:rFonts w:cs="Arial"/>
                <w:color w:val="000000"/>
                <w:sz w:val="20"/>
                <w:szCs w:val="20"/>
              </w:rPr>
              <w:t>+1</w:t>
            </w:r>
          </w:p>
        </w:tc>
      </w:tr>
      <w:tr w:rsidR="00AC40FC" w:rsidRPr="00863A99" w:rsidTr="00581946">
        <w:trPr>
          <w:trHeight w:val="300"/>
        </w:trPr>
        <w:tc>
          <w:tcPr>
            <w:tcW w:w="7575" w:type="dxa"/>
            <w:gridSpan w:val="5"/>
            <w:tcBorders>
              <w:top w:val="single" w:sz="8" w:space="0" w:color="auto"/>
              <w:left w:val="single" w:sz="8" w:space="0" w:color="auto"/>
              <w:bottom w:val="single" w:sz="4" w:space="0" w:color="auto"/>
              <w:right w:val="single" w:sz="8" w:space="0" w:color="auto"/>
            </w:tcBorders>
            <w:shd w:val="clear" w:color="auto" w:fill="auto"/>
            <w:vAlign w:val="center"/>
            <w:hideMark/>
          </w:tcPr>
          <w:p w:rsidR="00AC40FC" w:rsidRPr="00863A99" w:rsidRDefault="00AC40FC" w:rsidP="00581946">
            <w:pPr>
              <w:spacing w:after="0"/>
              <w:jc w:val="left"/>
              <w:rPr>
                <w:rFonts w:cs="Arial"/>
                <w:b/>
                <w:color w:val="000000"/>
                <w:sz w:val="20"/>
                <w:szCs w:val="20"/>
              </w:rPr>
            </w:pPr>
            <w:r w:rsidRPr="00863A99">
              <w:rPr>
                <w:b/>
                <w:sz w:val="20"/>
                <w:szCs w:val="20"/>
              </w:rPr>
              <w:t>Transportation Services</w:t>
            </w:r>
          </w:p>
        </w:tc>
        <w:tc>
          <w:tcPr>
            <w:tcW w:w="720" w:type="dxa"/>
            <w:tcBorders>
              <w:top w:val="single" w:sz="8" w:space="0" w:color="auto"/>
              <w:left w:val="single" w:sz="8" w:space="0" w:color="auto"/>
              <w:bottom w:val="single" w:sz="4" w:space="0" w:color="auto"/>
              <w:right w:val="single" w:sz="8" w:space="0" w:color="auto"/>
            </w:tcBorders>
            <w:vAlign w:val="center"/>
          </w:tcPr>
          <w:p w:rsidR="00AC40FC" w:rsidRPr="00863A99" w:rsidRDefault="00AC40FC" w:rsidP="00581946">
            <w:pPr>
              <w:spacing w:after="0"/>
              <w:jc w:val="center"/>
              <w:rPr>
                <w:sz w:val="20"/>
                <w:szCs w:val="20"/>
              </w:rPr>
            </w:pPr>
          </w:p>
        </w:tc>
        <w:tc>
          <w:tcPr>
            <w:tcW w:w="1080" w:type="dxa"/>
            <w:tcBorders>
              <w:top w:val="single" w:sz="8" w:space="0" w:color="auto"/>
              <w:left w:val="single" w:sz="8" w:space="0" w:color="auto"/>
              <w:bottom w:val="single" w:sz="4" w:space="0" w:color="auto"/>
              <w:right w:val="single" w:sz="8" w:space="0" w:color="auto"/>
            </w:tcBorders>
            <w:vAlign w:val="center"/>
          </w:tcPr>
          <w:p w:rsidR="00AC40FC" w:rsidRPr="00863A99" w:rsidRDefault="00AC40FC" w:rsidP="00581946">
            <w:pPr>
              <w:spacing w:after="0"/>
              <w:jc w:val="center"/>
              <w:rPr>
                <w:sz w:val="20"/>
                <w:szCs w:val="20"/>
              </w:rPr>
            </w:pPr>
          </w:p>
        </w:tc>
      </w:tr>
      <w:tr w:rsidR="00AC40FC" w:rsidRPr="00863A99" w:rsidTr="00581946">
        <w:trPr>
          <w:trHeight w:val="300"/>
        </w:trPr>
        <w:tc>
          <w:tcPr>
            <w:tcW w:w="661" w:type="dxa"/>
            <w:tcBorders>
              <w:top w:val="nil"/>
              <w:left w:val="single" w:sz="8" w:space="0" w:color="auto"/>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0590</w:t>
            </w:r>
          </w:p>
        </w:tc>
        <w:tc>
          <w:tcPr>
            <w:tcW w:w="4394"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left"/>
              <w:rPr>
                <w:rFonts w:cs="Arial"/>
                <w:color w:val="000000"/>
                <w:sz w:val="20"/>
                <w:szCs w:val="20"/>
              </w:rPr>
            </w:pPr>
            <w:r w:rsidRPr="00863A99">
              <w:rPr>
                <w:rFonts w:cs="Arial"/>
                <w:bCs/>
                <w:color w:val="000000"/>
                <w:sz w:val="20"/>
                <w:szCs w:val="20"/>
              </w:rPr>
              <w:t>Transportation Services</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sz w:val="20"/>
                <w:szCs w:val="20"/>
              </w:rPr>
            </w:pPr>
            <w:r w:rsidRPr="00863A99">
              <w:rPr>
                <w:rFonts w:cs="Arial"/>
                <w:color w:val="000000"/>
                <w:sz w:val="20"/>
                <w:szCs w:val="20"/>
              </w:rPr>
              <w:t>3</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3</w:t>
            </w:r>
          </w:p>
        </w:tc>
        <w:tc>
          <w:tcPr>
            <w:tcW w:w="1080" w:type="dxa"/>
            <w:tcBorders>
              <w:top w:val="nil"/>
              <w:left w:val="nil"/>
              <w:bottom w:val="single" w:sz="4" w:space="0" w:color="auto"/>
              <w:right w:val="single" w:sz="8" w:space="0" w:color="auto"/>
            </w:tcBorders>
            <w:shd w:val="clear" w:color="auto" w:fill="auto"/>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w:t>
            </w:r>
          </w:p>
        </w:tc>
        <w:tc>
          <w:tcPr>
            <w:tcW w:w="72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3</w:t>
            </w:r>
          </w:p>
        </w:tc>
        <w:tc>
          <w:tcPr>
            <w:tcW w:w="108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w:t>
            </w:r>
          </w:p>
        </w:tc>
      </w:tr>
      <w:tr w:rsidR="00AC40FC" w:rsidRPr="00863A99" w:rsidTr="00581946">
        <w:trPr>
          <w:trHeight w:val="300"/>
        </w:trPr>
        <w:tc>
          <w:tcPr>
            <w:tcW w:w="661" w:type="dxa"/>
            <w:tcBorders>
              <w:top w:val="nil"/>
              <w:left w:val="single" w:sz="8" w:space="0" w:color="auto"/>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0591</w:t>
            </w:r>
          </w:p>
        </w:tc>
        <w:tc>
          <w:tcPr>
            <w:tcW w:w="4394"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left"/>
              <w:rPr>
                <w:rFonts w:cs="Arial"/>
                <w:color w:val="000000"/>
                <w:sz w:val="20"/>
                <w:szCs w:val="20"/>
              </w:rPr>
            </w:pPr>
            <w:r w:rsidRPr="00863A99">
              <w:rPr>
                <w:rFonts w:cs="Arial"/>
                <w:color w:val="000000"/>
                <w:sz w:val="20"/>
                <w:szCs w:val="20"/>
              </w:rPr>
              <w:t>Transportation - Lehigh Region</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sz w:val="20"/>
                <w:szCs w:val="20"/>
              </w:rPr>
            </w:pPr>
            <w:r w:rsidRPr="00863A99">
              <w:rPr>
                <w:rFonts w:cs="Arial"/>
                <w:color w:val="000000"/>
                <w:sz w:val="20"/>
                <w:szCs w:val="20"/>
              </w:rPr>
              <w:t>14</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12</w:t>
            </w:r>
          </w:p>
        </w:tc>
        <w:tc>
          <w:tcPr>
            <w:tcW w:w="1080" w:type="dxa"/>
            <w:tcBorders>
              <w:top w:val="nil"/>
              <w:left w:val="nil"/>
              <w:bottom w:val="single" w:sz="4" w:space="0" w:color="auto"/>
              <w:right w:val="single" w:sz="8" w:space="0" w:color="auto"/>
            </w:tcBorders>
            <w:shd w:val="clear" w:color="auto" w:fill="auto"/>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-2</w:t>
            </w:r>
          </w:p>
        </w:tc>
        <w:tc>
          <w:tcPr>
            <w:tcW w:w="72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9</w:t>
            </w:r>
          </w:p>
        </w:tc>
        <w:tc>
          <w:tcPr>
            <w:tcW w:w="108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-3</w:t>
            </w:r>
          </w:p>
        </w:tc>
      </w:tr>
      <w:tr w:rsidR="00AC40FC" w:rsidRPr="00863A99" w:rsidTr="00581946">
        <w:trPr>
          <w:trHeight w:val="300"/>
        </w:trPr>
        <w:tc>
          <w:tcPr>
            <w:tcW w:w="661" w:type="dxa"/>
            <w:tcBorders>
              <w:top w:val="nil"/>
              <w:left w:val="single" w:sz="8" w:space="0" w:color="auto"/>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0592</w:t>
            </w:r>
          </w:p>
        </w:tc>
        <w:tc>
          <w:tcPr>
            <w:tcW w:w="4394"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left"/>
              <w:rPr>
                <w:rFonts w:cs="Arial"/>
                <w:color w:val="000000"/>
                <w:sz w:val="20"/>
                <w:szCs w:val="20"/>
              </w:rPr>
            </w:pPr>
            <w:r w:rsidRPr="00863A99">
              <w:rPr>
                <w:rFonts w:cs="Arial"/>
                <w:color w:val="000000"/>
                <w:sz w:val="20"/>
                <w:szCs w:val="20"/>
              </w:rPr>
              <w:t>Transportation - Hazleton Region</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sz w:val="20"/>
                <w:szCs w:val="20"/>
              </w:rPr>
            </w:pPr>
            <w:r w:rsidRPr="00863A99">
              <w:rPr>
                <w:rFonts w:cs="Arial"/>
                <w:color w:val="000000"/>
                <w:sz w:val="20"/>
                <w:szCs w:val="20"/>
              </w:rPr>
              <w:t>9</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8</w:t>
            </w:r>
          </w:p>
        </w:tc>
        <w:tc>
          <w:tcPr>
            <w:tcW w:w="1080" w:type="dxa"/>
            <w:tcBorders>
              <w:top w:val="nil"/>
              <w:left w:val="nil"/>
              <w:bottom w:val="single" w:sz="4" w:space="0" w:color="auto"/>
              <w:right w:val="single" w:sz="8" w:space="0" w:color="auto"/>
            </w:tcBorders>
            <w:shd w:val="clear" w:color="auto" w:fill="auto"/>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w:t>
            </w:r>
          </w:p>
        </w:tc>
        <w:tc>
          <w:tcPr>
            <w:tcW w:w="72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6</w:t>
            </w:r>
          </w:p>
        </w:tc>
        <w:tc>
          <w:tcPr>
            <w:tcW w:w="108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-2</w:t>
            </w:r>
          </w:p>
        </w:tc>
      </w:tr>
      <w:tr w:rsidR="00AC40FC" w:rsidRPr="00863A99" w:rsidTr="00581946">
        <w:trPr>
          <w:trHeight w:val="300"/>
        </w:trPr>
        <w:tc>
          <w:tcPr>
            <w:tcW w:w="661" w:type="dxa"/>
            <w:tcBorders>
              <w:top w:val="nil"/>
              <w:left w:val="single" w:sz="8" w:space="0" w:color="auto"/>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0593</w:t>
            </w:r>
          </w:p>
        </w:tc>
        <w:tc>
          <w:tcPr>
            <w:tcW w:w="4394"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left"/>
              <w:rPr>
                <w:rFonts w:cs="Arial"/>
                <w:color w:val="000000"/>
                <w:sz w:val="20"/>
                <w:szCs w:val="20"/>
              </w:rPr>
            </w:pPr>
            <w:r w:rsidRPr="00863A99">
              <w:rPr>
                <w:rFonts w:cs="Arial"/>
                <w:color w:val="000000"/>
                <w:sz w:val="20"/>
                <w:szCs w:val="20"/>
              </w:rPr>
              <w:t>Transportation - Scranton Region</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sz w:val="20"/>
                <w:szCs w:val="20"/>
              </w:rPr>
            </w:pPr>
            <w:r w:rsidRPr="00863A99">
              <w:rPr>
                <w:rFonts w:cs="Arial"/>
                <w:color w:val="000000"/>
                <w:sz w:val="20"/>
                <w:szCs w:val="20"/>
              </w:rPr>
              <w:t>11</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11</w:t>
            </w:r>
          </w:p>
        </w:tc>
        <w:tc>
          <w:tcPr>
            <w:tcW w:w="1080" w:type="dxa"/>
            <w:tcBorders>
              <w:top w:val="nil"/>
              <w:left w:val="nil"/>
              <w:bottom w:val="single" w:sz="4" w:space="0" w:color="auto"/>
              <w:right w:val="single" w:sz="8" w:space="0" w:color="auto"/>
            </w:tcBorders>
            <w:shd w:val="clear" w:color="auto" w:fill="auto"/>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w:t>
            </w:r>
          </w:p>
        </w:tc>
        <w:tc>
          <w:tcPr>
            <w:tcW w:w="72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9</w:t>
            </w:r>
          </w:p>
        </w:tc>
        <w:tc>
          <w:tcPr>
            <w:tcW w:w="108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-2</w:t>
            </w:r>
          </w:p>
        </w:tc>
      </w:tr>
      <w:tr w:rsidR="00AC40FC" w:rsidRPr="00863A99" w:rsidTr="00581946">
        <w:trPr>
          <w:trHeight w:val="300"/>
        </w:trPr>
        <w:tc>
          <w:tcPr>
            <w:tcW w:w="661" w:type="dxa"/>
            <w:tcBorders>
              <w:top w:val="nil"/>
              <w:left w:val="single" w:sz="8" w:space="0" w:color="auto"/>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0594</w:t>
            </w:r>
          </w:p>
        </w:tc>
        <w:tc>
          <w:tcPr>
            <w:tcW w:w="4394"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left"/>
              <w:rPr>
                <w:rFonts w:cs="Arial"/>
                <w:sz w:val="20"/>
                <w:szCs w:val="20"/>
              </w:rPr>
            </w:pPr>
            <w:r w:rsidRPr="00863A99">
              <w:rPr>
                <w:rFonts w:cs="Arial"/>
                <w:color w:val="000000"/>
                <w:sz w:val="20"/>
                <w:szCs w:val="20"/>
              </w:rPr>
              <w:t>Transportation - Susquehanna Region</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12</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9</w:t>
            </w:r>
          </w:p>
        </w:tc>
        <w:tc>
          <w:tcPr>
            <w:tcW w:w="1080" w:type="dxa"/>
            <w:tcBorders>
              <w:top w:val="nil"/>
              <w:left w:val="nil"/>
              <w:bottom w:val="single" w:sz="4" w:space="0" w:color="auto"/>
              <w:right w:val="single" w:sz="8" w:space="0" w:color="auto"/>
            </w:tcBorders>
            <w:shd w:val="clear" w:color="auto" w:fill="auto"/>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-3</w:t>
            </w:r>
          </w:p>
        </w:tc>
        <w:tc>
          <w:tcPr>
            <w:tcW w:w="72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8</w:t>
            </w:r>
          </w:p>
        </w:tc>
        <w:tc>
          <w:tcPr>
            <w:tcW w:w="108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w:t>
            </w:r>
          </w:p>
        </w:tc>
      </w:tr>
      <w:tr w:rsidR="00AC40FC" w:rsidRPr="00863A99" w:rsidTr="00581946">
        <w:trPr>
          <w:trHeight w:val="300"/>
        </w:trPr>
        <w:tc>
          <w:tcPr>
            <w:tcW w:w="661" w:type="dxa"/>
            <w:tcBorders>
              <w:top w:val="nil"/>
              <w:left w:val="single" w:sz="8" w:space="0" w:color="auto"/>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0595</w:t>
            </w:r>
          </w:p>
        </w:tc>
        <w:tc>
          <w:tcPr>
            <w:tcW w:w="4394"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left"/>
              <w:rPr>
                <w:rFonts w:cs="Arial"/>
                <w:color w:val="000000"/>
                <w:sz w:val="20"/>
                <w:szCs w:val="20"/>
              </w:rPr>
            </w:pPr>
            <w:r w:rsidRPr="00863A99">
              <w:rPr>
                <w:rFonts w:cs="Arial"/>
                <w:color w:val="000000"/>
                <w:sz w:val="20"/>
                <w:szCs w:val="20"/>
              </w:rPr>
              <w:t>Transportation - Harrisburg Region</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11</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7</w:t>
            </w:r>
          </w:p>
        </w:tc>
        <w:tc>
          <w:tcPr>
            <w:tcW w:w="1080" w:type="dxa"/>
            <w:tcBorders>
              <w:top w:val="nil"/>
              <w:left w:val="nil"/>
              <w:bottom w:val="single" w:sz="4" w:space="0" w:color="auto"/>
              <w:right w:val="single" w:sz="8" w:space="0" w:color="auto"/>
            </w:tcBorders>
            <w:shd w:val="clear" w:color="auto" w:fill="auto"/>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-4</w:t>
            </w:r>
          </w:p>
        </w:tc>
        <w:tc>
          <w:tcPr>
            <w:tcW w:w="72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6</w:t>
            </w:r>
          </w:p>
        </w:tc>
        <w:tc>
          <w:tcPr>
            <w:tcW w:w="108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w:t>
            </w:r>
          </w:p>
        </w:tc>
      </w:tr>
      <w:tr w:rsidR="00AC40FC" w:rsidRPr="00863A99" w:rsidTr="00581946">
        <w:trPr>
          <w:trHeight w:val="300"/>
        </w:trPr>
        <w:tc>
          <w:tcPr>
            <w:tcW w:w="661" w:type="dxa"/>
            <w:tcBorders>
              <w:top w:val="nil"/>
              <w:left w:val="single" w:sz="8" w:space="0" w:color="auto"/>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0596</w:t>
            </w:r>
          </w:p>
        </w:tc>
        <w:tc>
          <w:tcPr>
            <w:tcW w:w="4394"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left"/>
              <w:rPr>
                <w:rFonts w:cs="Arial"/>
                <w:color w:val="000000"/>
                <w:sz w:val="20"/>
                <w:szCs w:val="20"/>
              </w:rPr>
            </w:pPr>
            <w:r w:rsidRPr="00863A99">
              <w:rPr>
                <w:rFonts w:cs="Arial"/>
                <w:color w:val="000000"/>
                <w:sz w:val="20"/>
                <w:szCs w:val="20"/>
              </w:rPr>
              <w:t>Transportation - Lancaster Region</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10</w:t>
            </w:r>
          </w:p>
        </w:tc>
        <w:tc>
          <w:tcPr>
            <w:tcW w:w="720" w:type="dxa"/>
            <w:tcBorders>
              <w:top w:val="nil"/>
              <w:left w:val="nil"/>
              <w:bottom w:val="single" w:sz="4"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8</w:t>
            </w:r>
          </w:p>
        </w:tc>
        <w:tc>
          <w:tcPr>
            <w:tcW w:w="1080" w:type="dxa"/>
            <w:tcBorders>
              <w:top w:val="nil"/>
              <w:left w:val="nil"/>
              <w:bottom w:val="single" w:sz="4" w:space="0" w:color="auto"/>
              <w:right w:val="single" w:sz="8" w:space="0" w:color="auto"/>
            </w:tcBorders>
            <w:shd w:val="clear" w:color="auto" w:fill="auto"/>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-2</w:t>
            </w:r>
          </w:p>
        </w:tc>
        <w:tc>
          <w:tcPr>
            <w:tcW w:w="72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7</w:t>
            </w:r>
          </w:p>
        </w:tc>
        <w:tc>
          <w:tcPr>
            <w:tcW w:w="1080" w:type="dxa"/>
            <w:tcBorders>
              <w:top w:val="nil"/>
              <w:left w:val="nil"/>
              <w:bottom w:val="single" w:sz="4"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w:t>
            </w:r>
          </w:p>
        </w:tc>
      </w:tr>
      <w:tr w:rsidR="00AC40FC" w:rsidRPr="00863A99" w:rsidTr="00581946">
        <w:trPr>
          <w:trHeight w:val="315"/>
        </w:trPr>
        <w:tc>
          <w:tcPr>
            <w:tcW w:w="661" w:type="dxa"/>
            <w:tcBorders>
              <w:top w:val="nil"/>
              <w:left w:val="single" w:sz="8" w:space="0" w:color="auto"/>
              <w:bottom w:val="single" w:sz="8" w:space="0" w:color="auto"/>
              <w:right w:val="single" w:sz="4" w:space="0" w:color="auto"/>
            </w:tcBorders>
            <w:shd w:val="clear" w:color="auto" w:fill="auto"/>
            <w:noWrap/>
            <w:vAlign w:val="center"/>
            <w:hideMark/>
          </w:tcPr>
          <w:p w:rsidR="00AC40FC" w:rsidRPr="00863A99" w:rsidRDefault="00AC40FC" w:rsidP="00581946">
            <w:pPr>
              <w:spacing w:after="0"/>
              <w:jc w:val="left"/>
              <w:rPr>
                <w:rFonts w:ascii="Calibri" w:hAnsi="Calibri"/>
                <w:color w:val="000000"/>
                <w:sz w:val="20"/>
                <w:szCs w:val="20"/>
              </w:rPr>
            </w:pPr>
          </w:p>
        </w:tc>
        <w:tc>
          <w:tcPr>
            <w:tcW w:w="4394" w:type="dxa"/>
            <w:tcBorders>
              <w:top w:val="nil"/>
              <w:left w:val="nil"/>
              <w:bottom w:val="single" w:sz="8" w:space="0" w:color="auto"/>
              <w:right w:val="single" w:sz="4" w:space="0" w:color="auto"/>
            </w:tcBorders>
            <w:shd w:val="clear" w:color="auto" w:fill="auto"/>
            <w:noWrap/>
            <w:vAlign w:val="center"/>
            <w:hideMark/>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Subtotal</w:t>
            </w:r>
          </w:p>
        </w:tc>
        <w:tc>
          <w:tcPr>
            <w:tcW w:w="720" w:type="dxa"/>
            <w:tcBorders>
              <w:top w:val="nil"/>
              <w:left w:val="nil"/>
              <w:bottom w:val="single" w:sz="8"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70</w:t>
            </w:r>
          </w:p>
        </w:tc>
        <w:tc>
          <w:tcPr>
            <w:tcW w:w="720" w:type="dxa"/>
            <w:tcBorders>
              <w:top w:val="nil"/>
              <w:left w:val="nil"/>
              <w:bottom w:val="single" w:sz="8" w:space="0" w:color="auto"/>
              <w:right w:val="single" w:sz="4" w:space="0" w:color="auto"/>
            </w:tcBorders>
            <w:shd w:val="clear" w:color="auto" w:fill="auto"/>
            <w:noWrap/>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58</w:t>
            </w:r>
          </w:p>
        </w:tc>
        <w:tc>
          <w:tcPr>
            <w:tcW w:w="1080" w:type="dxa"/>
            <w:tcBorders>
              <w:top w:val="nil"/>
              <w:left w:val="nil"/>
              <w:bottom w:val="single" w:sz="8" w:space="0" w:color="auto"/>
              <w:right w:val="single" w:sz="8" w:space="0" w:color="auto"/>
            </w:tcBorders>
            <w:shd w:val="clear" w:color="auto" w:fill="auto"/>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-12</w:t>
            </w:r>
          </w:p>
        </w:tc>
        <w:tc>
          <w:tcPr>
            <w:tcW w:w="720" w:type="dxa"/>
            <w:tcBorders>
              <w:top w:val="nil"/>
              <w:left w:val="nil"/>
              <w:bottom w:val="single" w:sz="8"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48</w:t>
            </w:r>
          </w:p>
        </w:tc>
        <w:tc>
          <w:tcPr>
            <w:tcW w:w="1080" w:type="dxa"/>
            <w:tcBorders>
              <w:top w:val="nil"/>
              <w:left w:val="nil"/>
              <w:bottom w:val="single" w:sz="8" w:space="0" w:color="auto"/>
              <w:right w:val="single" w:sz="8" w:space="0" w:color="auto"/>
            </w:tcBorders>
            <w:vAlign w:val="center"/>
          </w:tcPr>
          <w:p w:rsidR="00AC40FC" w:rsidRPr="00863A99" w:rsidRDefault="00AC40FC" w:rsidP="00581946">
            <w:pPr>
              <w:spacing w:after="0"/>
              <w:jc w:val="center"/>
              <w:rPr>
                <w:rFonts w:cs="Arial"/>
                <w:color w:val="000000"/>
                <w:sz w:val="20"/>
                <w:szCs w:val="20"/>
              </w:rPr>
            </w:pPr>
            <w:r w:rsidRPr="00863A99">
              <w:rPr>
                <w:rFonts w:cs="Arial"/>
                <w:color w:val="000000"/>
                <w:sz w:val="20"/>
                <w:szCs w:val="20"/>
              </w:rPr>
              <w:t>-10</w:t>
            </w:r>
          </w:p>
        </w:tc>
      </w:tr>
      <w:tr w:rsidR="00AC40FC" w:rsidRPr="00863A99" w:rsidTr="00581946">
        <w:trPr>
          <w:trHeight w:val="330"/>
        </w:trPr>
        <w:tc>
          <w:tcPr>
            <w:tcW w:w="661"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C40FC" w:rsidRPr="00863A99" w:rsidRDefault="00AC40FC" w:rsidP="00581946">
            <w:pPr>
              <w:spacing w:after="0"/>
              <w:jc w:val="left"/>
              <w:rPr>
                <w:rFonts w:ascii="Calibri" w:hAnsi="Calibri"/>
                <w:color w:val="000000"/>
                <w:sz w:val="20"/>
                <w:szCs w:val="20"/>
              </w:rPr>
            </w:pPr>
          </w:p>
        </w:tc>
        <w:tc>
          <w:tcPr>
            <w:tcW w:w="4394" w:type="dxa"/>
            <w:tcBorders>
              <w:top w:val="single" w:sz="8" w:space="0" w:color="auto"/>
              <w:left w:val="nil"/>
              <w:bottom w:val="single" w:sz="8" w:space="0" w:color="auto"/>
              <w:right w:val="single" w:sz="4" w:space="0" w:color="auto"/>
            </w:tcBorders>
            <w:shd w:val="clear" w:color="auto" w:fill="auto"/>
            <w:vAlign w:val="center"/>
            <w:hideMark/>
          </w:tcPr>
          <w:p w:rsidR="00AC40FC" w:rsidRPr="00863A99" w:rsidRDefault="00AC40FC" w:rsidP="00581946">
            <w:pPr>
              <w:spacing w:after="0"/>
              <w:jc w:val="center"/>
              <w:rPr>
                <w:rFonts w:cs="Arial"/>
                <w:b/>
                <w:bCs/>
                <w:color w:val="000000"/>
                <w:sz w:val="20"/>
                <w:szCs w:val="20"/>
              </w:rPr>
            </w:pPr>
            <w:r w:rsidRPr="00863A99">
              <w:rPr>
                <w:rFonts w:cs="Arial"/>
                <w:b/>
                <w:bCs/>
                <w:color w:val="000000"/>
                <w:sz w:val="20"/>
                <w:szCs w:val="20"/>
              </w:rPr>
              <w:t>Totals</w:t>
            </w:r>
          </w:p>
        </w:tc>
        <w:tc>
          <w:tcPr>
            <w:tcW w:w="720" w:type="dxa"/>
            <w:tcBorders>
              <w:top w:val="single" w:sz="8" w:space="0" w:color="auto"/>
              <w:left w:val="nil"/>
              <w:bottom w:val="single" w:sz="8" w:space="0" w:color="auto"/>
              <w:right w:val="single" w:sz="4" w:space="0" w:color="auto"/>
            </w:tcBorders>
            <w:shd w:val="clear" w:color="auto" w:fill="auto"/>
            <w:vAlign w:val="center"/>
          </w:tcPr>
          <w:p w:rsidR="00AC40FC" w:rsidRPr="00863A99" w:rsidRDefault="00AC40FC" w:rsidP="00581946">
            <w:pPr>
              <w:spacing w:after="0"/>
              <w:jc w:val="center"/>
              <w:rPr>
                <w:rFonts w:cs="Arial"/>
                <w:b/>
                <w:sz w:val="20"/>
                <w:szCs w:val="20"/>
              </w:rPr>
            </w:pPr>
            <w:r w:rsidRPr="00863A99">
              <w:rPr>
                <w:rFonts w:cs="Arial"/>
                <w:b/>
                <w:sz w:val="20"/>
                <w:szCs w:val="20"/>
              </w:rPr>
              <w:t>1,306</w:t>
            </w:r>
          </w:p>
        </w:tc>
        <w:tc>
          <w:tcPr>
            <w:tcW w:w="720" w:type="dxa"/>
            <w:tcBorders>
              <w:top w:val="single" w:sz="8" w:space="0" w:color="auto"/>
              <w:left w:val="nil"/>
              <w:bottom w:val="single" w:sz="8" w:space="0" w:color="auto"/>
              <w:right w:val="single" w:sz="4" w:space="0" w:color="auto"/>
            </w:tcBorders>
            <w:shd w:val="clear" w:color="auto" w:fill="auto"/>
            <w:vAlign w:val="center"/>
          </w:tcPr>
          <w:p w:rsidR="00AC40FC" w:rsidRPr="00863A99" w:rsidRDefault="00AC40FC" w:rsidP="00581946">
            <w:pPr>
              <w:spacing w:after="0"/>
              <w:jc w:val="center"/>
              <w:rPr>
                <w:rFonts w:cs="Arial"/>
                <w:b/>
                <w:sz w:val="20"/>
                <w:szCs w:val="20"/>
              </w:rPr>
            </w:pPr>
            <w:r>
              <w:rPr>
                <w:rFonts w:cs="Arial"/>
                <w:b/>
                <w:sz w:val="20"/>
                <w:szCs w:val="20"/>
              </w:rPr>
              <w:t>1294</w:t>
            </w:r>
          </w:p>
        </w:tc>
        <w:tc>
          <w:tcPr>
            <w:tcW w:w="1080" w:type="dxa"/>
            <w:tcBorders>
              <w:top w:val="single" w:sz="8" w:space="0" w:color="auto"/>
              <w:left w:val="nil"/>
              <w:bottom w:val="single" w:sz="8" w:space="0" w:color="auto"/>
              <w:right w:val="single" w:sz="8" w:space="0" w:color="auto"/>
            </w:tcBorders>
            <w:shd w:val="clear" w:color="auto" w:fill="auto"/>
            <w:vAlign w:val="center"/>
          </w:tcPr>
          <w:p w:rsidR="00AC40FC" w:rsidRPr="00863A99" w:rsidRDefault="00AC40FC" w:rsidP="00581946">
            <w:pPr>
              <w:spacing w:after="0"/>
              <w:jc w:val="center"/>
              <w:rPr>
                <w:rFonts w:cs="Arial"/>
                <w:b/>
                <w:sz w:val="20"/>
                <w:szCs w:val="20"/>
              </w:rPr>
            </w:pPr>
            <w:r>
              <w:rPr>
                <w:rFonts w:cs="Arial"/>
                <w:b/>
                <w:sz w:val="20"/>
                <w:szCs w:val="20"/>
              </w:rPr>
              <w:t>-12</w:t>
            </w:r>
          </w:p>
        </w:tc>
        <w:tc>
          <w:tcPr>
            <w:tcW w:w="720" w:type="dxa"/>
            <w:tcBorders>
              <w:top w:val="single" w:sz="8" w:space="0" w:color="auto"/>
              <w:left w:val="nil"/>
              <w:bottom w:val="single" w:sz="8" w:space="0" w:color="auto"/>
              <w:right w:val="single" w:sz="8" w:space="0" w:color="auto"/>
            </w:tcBorders>
            <w:vAlign w:val="center"/>
          </w:tcPr>
          <w:p w:rsidR="00AC40FC" w:rsidRPr="00863A99" w:rsidRDefault="00AC40FC" w:rsidP="00581946">
            <w:pPr>
              <w:spacing w:after="0"/>
              <w:jc w:val="center"/>
              <w:rPr>
                <w:rFonts w:cs="Arial"/>
                <w:b/>
                <w:sz w:val="20"/>
                <w:szCs w:val="20"/>
              </w:rPr>
            </w:pPr>
            <w:r>
              <w:rPr>
                <w:rFonts w:cs="Arial"/>
                <w:b/>
                <w:sz w:val="20"/>
                <w:szCs w:val="20"/>
              </w:rPr>
              <w:t>1268</w:t>
            </w:r>
          </w:p>
        </w:tc>
        <w:tc>
          <w:tcPr>
            <w:tcW w:w="1080" w:type="dxa"/>
            <w:tcBorders>
              <w:top w:val="single" w:sz="8" w:space="0" w:color="auto"/>
              <w:left w:val="nil"/>
              <w:bottom w:val="single" w:sz="8" w:space="0" w:color="auto"/>
              <w:right w:val="single" w:sz="8" w:space="0" w:color="auto"/>
            </w:tcBorders>
            <w:vAlign w:val="center"/>
          </w:tcPr>
          <w:p w:rsidR="00AC40FC" w:rsidRPr="00863A99" w:rsidRDefault="00AC40FC" w:rsidP="00581946">
            <w:pPr>
              <w:spacing w:after="0"/>
              <w:jc w:val="center"/>
              <w:rPr>
                <w:rFonts w:cs="Arial"/>
                <w:b/>
                <w:sz w:val="20"/>
                <w:szCs w:val="20"/>
              </w:rPr>
            </w:pPr>
            <w:r>
              <w:rPr>
                <w:rFonts w:cs="Arial"/>
                <w:b/>
                <w:sz w:val="20"/>
                <w:szCs w:val="20"/>
              </w:rPr>
              <w:t>-26</w:t>
            </w:r>
          </w:p>
        </w:tc>
      </w:tr>
      <w:tr w:rsidR="00AC40FC" w:rsidRPr="00863A99" w:rsidTr="00581946">
        <w:trPr>
          <w:trHeight w:val="330"/>
        </w:trPr>
        <w:tc>
          <w:tcPr>
            <w:tcW w:w="9375" w:type="dxa"/>
            <w:gridSpan w:val="7"/>
            <w:tcBorders>
              <w:top w:val="single" w:sz="8" w:space="0" w:color="auto"/>
              <w:left w:val="single" w:sz="8" w:space="0" w:color="auto"/>
              <w:bottom w:val="single" w:sz="4" w:space="0" w:color="auto"/>
              <w:right w:val="single" w:sz="8" w:space="0" w:color="auto"/>
            </w:tcBorders>
            <w:shd w:val="clear" w:color="auto" w:fill="auto"/>
            <w:vAlign w:val="center"/>
          </w:tcPr>
          <w:p w:rsidR="00AC40FC" w:rsidRPr="00863A99" w:rsidRDefault="00AC40FC" w:rsidP="00581946">
            <w:pPr>
              <w:spacing w:after="0"/>
            </w:pPr>
            <w:r>
              <w:t>Source: DN 18-025</w:t>
            </w:r>
          </w:p>
        </w:tc>
      </w:tr>
    </w:tbl>
    <w:p w:rsidR="00AC40FC" w:rsidRDefault="00AC40FC" w:rsidP="00581946">
      <w:pPr>
        <w:pStyle w:val="Normal-aftertable"/>
      </w:pPr>
      <w:r>
        <w:rPr>
          <w:rFonts w:cs="Arial"/>
          <w:szCs w:val="24"/>
        </w:rPr>
        <w:lastRenderedPageBreak/>
        <w:t xml:space="preserve">The number of Distribution Operations staff decreased in 2015 by twelve positions from 1,306 to 1,294.  It is projected to decrease by 26 more positions to 1,268 in 2016.  </w:t>
      </w:r>
      <w:r>
        <w:t xml:space="preserve">The significant changes planned for 2016 are reductions in the System Facility Center, Respond to Customer, and Transportation Services staffing.  As more systems and processes are automated, Distribution Operations also projects a reduced need for records specialists and stenographers in the Respond to Customer department and other areas in </w:t>
      </w:r>
      <w:r>
        <w:rPr>
          <w:rFonts w:cs="Arial"/>
          <w:szCs w:val="24"/>
        </w:rPr>
        <w:t>Distribution Operations</w:t>
      </w:r>
      <w:r>
        <w:t>.</w:t>
      </w:r>
    </w:p>
    <w:p w:rsidR="00AC40FC" w:rsidRDefault="00AC40FC" w:rsidP="00581946">
      <w:r>
        <w:t>The 2015 staffing level for Distribution Operations does not include the 44 materials handlers who are listed under Supply Chain but are deployed to Distribution Operations work centers.  Daily supervision of the materials handlers was transferred from Supply Chain to the three Region Operations groups in 2015 to enable more direct oversight of these employees located at 27 service centers across the service area.  Supply Chain provides direction to the materials handlers on inventory control and inventory management procedures.  The headcount remains in Supply Chain to maintain a complete view of staff responsible for materials management.</w:t>
      </w:r>
    </w:p>
    <w:p w:rsidR="00AC40FC" w:rsidRDefault="00AC40FC" w:rsidP="00581946">
      <w:r>
        <w:t>Details by organizational elements are discussed below.</w:t>
      </w:r>
    </w:p>
    <w:p w:rsidR="00AC40FC" w:rsidRDefault="00AC40FC" w:rsidP="00581946">
      <w:r w:rsidRPr="008535C2">
        <w:rPr>
          <w:b/>
        </w:rPr>
        <w:t>Vegetation Management.</w:t>
      </w:r>
      <w:r w:rsidRPr="008535C2">
        <w:t xml:space="preserve">  </w:t>
      </w:r>
      <w:r>
        <w:t xml:space="preserve">The staffing plan is based on the transmission and distribution trim cycles.  The new trim cycle is not yet fully implemented for the distribution system. </w:t>
      </w:r>
      <w:r w:rsidRPr="002C3EF4">
        <w:rPr>
          <w:rFonts w:cs="Arial"/>
          <w:szCs w:val="24"/>
        </w:rPr>
        <w:t xml:space="preserve"> </w:t>
      </w:r>
      <w:r>
        <w:rPr>
          <w:rFonts w:cs="Arial"/>
          <w:szCs w:val="24"/>
        </w:rPr>
        <w:t>Vegetation Management projects a staff of 15 supporting the annual transmission and distribution trim program in 2020, a reduction of three positions from the current level.</w:t>
      </w:r>
    </w:p>
    <w:p w:rsidR="00AC40FC" w:rsidRDefault="00AC40FC" w:rsidP="00581946">
      <w:r>
        <w:t xml:space="preserve">Vegetation Management </w:t>
      </w:r>
      <w:r w:rsidRPr="008535C2">
        <w:t xml:space="preserve">is replacing </w:t>
      </w:r>
      <w:r>
        <w:t>ten</w:t>
      </w:r>
      <w:r w:rsidRPr="008535C2">
        <w:t xml:space="preserve"> Line Clearance Inspector (LCI) employee positions with contractors as </w:t>
      </w:r>
      <w:r>
        <w:t>vacancies occur</w:t>
      </w:r>
      <w:r w:rsidRPr="008535C2">
        <w:t xml:space="preserve">.  </w:t>
      </w:r>
      <w:r>
        <w:t>The staffing projection shows seven LCI employees</w:t>
      </w:r>
      <w:r w:rsidRPr="009F772F">
        <w:t xml:space="preserve"> </w:t>
      </w:r>
      <w:r>
        <w:t xml:space="preserve">in 2020.  </w:t>
      </w:r>
      <w:r w:rsidRPr="008535C2">
        <w:t>LCI employees cost approximately $120</w:t>
      </w:r>
      <w:r>
        <w:t>,000</w:t>
      </w:r>
      <w:r w:rsidRPr="008535C2">
        <w:t xml:space="preserve"> to $135</w:t>
      </w:r>
      <w:r>
        <w:t>,000</w:t>
      </w:r>
      <w:r w:rsidRPr="008535C2">
        <w:t xml:space="preserve"> per year while LCI contractors cost approximately $95</w:t>
      </w:r>
      <w:r>
        <w:t>,000</w:t>
      </w:r>
      <w:r w:rsidRPr="008535C2">
        <w:t xml:space="preserve"> to $110</w:t>
      </w:r>
      <w:r>
        <w:t>,000</w:t>
      </w:r>
      <w:r w:rsidRPr="008535C2">
        <w:t xml:space="preserve"> per year for a savings of at least $10</w:t>
      </w:r>
      <w:r>
        <w:t>,000</w:t>
      </w:r>
      <w:r w:rsidRPr="008535C2">
        <w:t xml:space="preserve"> per position per year.  The LCIs are supervised by PPL EU Forester employees.</w:t>
      </w:r>
    </w:p>
    <w:p w:rsidR="00AC40FC" w:rsidRDefault="00AC40FC" w:rsidP="00581946">
      <w:r w:rsidRPr="00B32A5B">
        <w:rPr>
          <w:b/>
        </w:rPr>
        <w:t>Distribution</w:t>
      </w:r>
      <w:r w:rsidRPr="00B32A5B">
        <w:rPr>
          <w:rFonts w:cs="Arial"/>
          <w:b/>
          <w:szCs w:val="24"/>
        </w:rPr>
        <w:t xml:space="preserve"> Asset Management.</w:t>
      </w:r>
      <w:r>
        <w:rPr>
          <w:rFonts w:cs="Arial"/>
          <w:szCs w:val="24"/>
        </w:rPr>
        <w:t xml:space="preserve">  </w:t>
      </w:r>
      <w:r w:rsidRPr="001307E3">
        <w:t>In the fourth quarter of 2015, the Distribution Operations business analysts were consolidated under the Work and Resource Planning group in Asset Management.</w:t>
      </w:r>
    </w:p>
    <w:p w:rsidR="00AC40FC" w:rsidRDefault="00AC40FC" w:rsidP="00581946">
      <w:pPr>
        <w:rPr>
          <w:rFonts w:cs="Arial"/>
          <w:szCs w:val="24"/>
        </w:rPr>
      </w:pPr>
      <w:r w:rsidRPr="001307E3">
        <w:rPr>
          <w:rFonts w:cs="Arial"/>
          <w:szCs w:val="24"/>
        </w:rPr>
        <w:t>The Supervisor of Project Controls Specialist position was eliminated in mid-2015.  The Project Controls Specialists now report directly to the Distrib</w:t>
      </w:r>
      <w:r w:rsidRPr="00EF0A7C">
        <w:rPr>
          <w:rFonts w:cs="Arial"/>
          <w:szCs w:val="24"/>
        </w:rPr>
        <w:t>ution Asse</w:t>
      </w:r>
      <w:r>
        <w:rPr>
          <w:rFonts w:cs="Arial"/>
          <w:szCs w:val="24"/>
        </w:rPr>
        <w:t xml:space="preserve">t Management </w:t>
      </w:r>
      <w:r w:rsidRPr="001307E3">
        <w:rPr>
          <w:rFonts w:cs="Arial"/>
          <w:szCs w:val="24"/>
        </w:rPr>
        <w:t>Director</w:t>
      </w:r>
      <w:r w:rsidRPr="00EF0A7C">
        <w:rPr>
          <w:rFonts w:cs="Arial"/>
          <w:szCs w:val="24"/>
        </w:rPr>
        <w:t xml:space="preserve">.  </w:t>
      </w:r>
      <w:r>
        <w:rPr>
          <w:rFonts w:cs="Arial"/>
          <w:szCs w:val="24"/>
        </w:rPr>
        <w:t xml:space="preserve">Eight positions were added to the Portfolio Management group to support </w:t>
      </w:r>
      <w:r w:rsidRPr="00752F6E">
        <w:rPr>
          <w:rFonts w:cs="Arial"/>
          <w:szCs w:val="24"/>
        </w:rPr>
        <w:t>ongoing implementation of the distribution planned maintenance work.</w:t>
      </w:r>
    </w:p>
    <w:p w:rsidR="00AC40FC" w:rsidRDefault="00AC40FC" w:rsidP="00581946">
      <w:pPr>
        <w:rPr>
          <w:rFonts w:cs="Arial"/>
          <w:szCs w:val="24"/>
        </w:rPr>
      </w:pPr>
      <w:r>
        <w:rPr>
          <w:rFonts w:cs="Arial"/>
          <w:szCs w:val="24"/>
        </w:rPr>
        <w:t>Five staff will be reduced in 2016 due to process improvements.  As fewer funds are available for distribution projects in future years, the group will spend more time on project prioritization and improving overall project and portfolio management.</w:t>
      </w:r>
    </w:p>
    <w:p w:rsidR="00AC40FC" w:rsidRDefault="00AC40FC" w:rsidP="00581946">
      <w:pPr>
        <w:rPr>
          <w:rFonts w:cs="Arial"/>
          <w:szCs w:val="24"/>
        </w:rPr>
      </w:pPr>
      <w:r>
        <w:rPr>
          <w:rFonts w:cs="Arial"/>
          <w:szCs w:val="24"/>
        </w:rPr>
        <w:t>The group has prepared a staffing realignment project plan to implement the results of the December 2015 staffing study for Distribution Operations.  Progress towards this plan is reviewed monthly.</w:t>
      </w:r>
    </w:p>
    <w:p w:rsidR="00AC40FC" w:rsidRDefault="00AC40FC" w:rsidP="00581946">
      <w:pPr>
        <w:rPr>
          <w:rFonts w:cs="Arial"/>
          <w:szCs w:val="24"/>
        </w:rPr>
      </w:pPr>
      <w:r w:rsidRPr="00B32A5B">
        <w:rPr>
          <w:b/>
        </w:rPr>
        <w:t>Distribution</w:t>
      </w:r>
      <w:r w:rsidRPr="00B32A5B">
        <w:rPr>
          <w:rFonts w:cs="Arial"/>
          <w:b/>
          <w:szCs w:val="24"/>
        </w:rPr>
        <w:t xml:space="preserve"> </w:t>
      </w:r>
      <w:r>
        <w:rPr>
          <w:rFonts w:cs="Arial"/>
          <w:b/>
          <w:szCs w:val="24"/>
        </w:rPr>
        <w:t>Engineering</w:t>
      </w:r>
      <w:r w:rsidRPr="00B32A5B">
        <w:rPr>
          <w:rFonts w:cs="Arial"/>
          <w:b/>
          <w:szCs w:val="24"/>
        </w:rPr>
        <w:t>.</w:t>
      </w:r>
      <w:r>
        <w:rPr>
          <w:rFonts w:cs="Arial"/>
          <w:szCs w:val="24"/>
        </w:rPr>
        <w:t xml:space="preserve">  </w:t>
      </w:r>
      <w:r>
        <w:t xml:space="preserve">The Smart Grid Manager position was eliminated in 2015.  </w:t>
      </w:r>
      <w:r>
        <w:rPr>
          <w:rFonts w:cs="Arial"/>
          <w:szCs w:val="24"/>
        </w:rPr>
        <w:t>One engineer and two technicians from the Relay Test group were moved to Talen in 2015.  The Distribution Protection and Control Engineering subgroup</w:t>
      </w:r>
      <w:r w:rsidRPr="00BC5E53">
        <w:rPr>
          <w:rFonts w:cs="Arial"/>
          <w:szCs w:val="24"/>
        </w:rPr>
        <w:t xml:space="preserve">, </w:t>
      </w:r>
      <w:r>
        <w:rPr>
          <w:rFonts w:cs="Arial"/>
          <w:szCs w:val="24"/>
        </w:rPr>
        <w:t xml:space="preserve">consisting of five </w:t>
      </w:r>
      <w:r>
        <w:rPr>
          <w:rFonts w:cs="Arial"/>
          <w:szCs w:val="24"/>
        </w:rPr>
        <w:lastRenderedPageBreak/>
        <w:t xml:space="preserve">technicians </w:t>
      </w:r>
      <w:r w:rsidRPr="00BC5E53">
        <w:rPr>
          <w:rFonts w:cs="Arial"/>
          <w:szCs w:val="24"/>
        </w:rPr>
        <w:t xml:space="preserve">formerly within the Transmission Engineering </w:t>
      </w:r>
      <w:r>
        <w:rPr>
          <w:rFonts w:cs="Arial"/>
          <w:szCs w:val="24"/>
        </w:rPr>
        <w:t>Protection and Controls group, was merged into the Distribution Design and Standards group in 2015.</w:t>
      </w:r>
    </w:p>
    <w:p w:rsidR="00AC40FC" w:rsidRDefault="00AC40FC" w:rsidP="00581946">
      <w:pPr>
        <w:rPr>
          <w:rFonts w:cs="Arial"/>
          <w:szCs w:val="24"/>
        </w:rPr>
      </w:pPr>
      <w:r>
        <w:rPr>
          <w:rFonts w:cs="Arial"/>
          <w:szCs w:val="24"/>
        </w:rPr>
        <w:t>The Distribution Engineering System Shops group workload is maintenance driven.  Doble testing, oil-filling transformers, performing NERC PRC-005 periodic battery testing, and troubleshooting distribution automation schemes are some of the larger responsibilities.  The group also commissions new transformers.  No staffing changes are currently planned.</w:t>
      </w:r>
    </w:p>
    <w:p w:rsidR="00AC40FC" w:rsidRDefault="00AC40FC" w:rsidP="00581946">
      <w:pPr>
        <w:rPr>
          <w:rFonts w:cs="Arial"/>
          <w:szCs w:val="24"/>
        </w:rPr>
      </w:pPr>
      <w:r>
        <w:rPr>
          <w:rFonts w:cs="Arial"/>
          <w:szCs w:val="24"/>
        </w:rPr>
        <w:t>Staffing reductions are the result of not filling several vacancies, eliminating a Steno position, and transferring the Training Specialist – System Shops functions to Technical Training and Development.</w:t>
      </w:r>
    </w:p>
    <w:p w:rsidR="00AC40FC" w:rsidRDefault="00AC40FC" w:rsidP="00581946">
      <w:pPr>
        <w:rPr>
          <w:rFonts w:cs="Arial"/>
          <w:szCs w:val="24"/>
        </w:rPr>
      </w:pPr>
      <w:r>
        <w:rPr>
          <w:rFonts w:cs="Arial"/>
          <w:szCs w:val="24"/>
        </w:rPr>
        <w:t xml:space="preserve">The Distribution Engineering Relay Test groups have minimal turnover and the workload is steady based on the current testing and maintenance cycle.  The current distribution relaying is mostly electro-mechanical which requires more frequent </w:t>
      </w:r>
      <w:r w:rsidRPr="0009540F">
        <w:rPr>
          <w:rFonts w:cs="Arial"/>
          <w:szCs w:val="24"/>
        </w:rPr>
        <w:t xml:space="preserve">maintenance. </w:t>
      </w:r>
      <w:r>
        <w:rPr>
          <w:rFonts w:cs="Arial"/>
          <w:szCs w:val="24"/>
        </w:rPr>
        <w:t xml:space="preserve"> As a result,</w:t>
      </w:r>
      <w:r w:rsidRPr="0009540F">
        <w:rPr>
          <w:rFonts w:cs="Arial"/>
          <w:szCs w:val="24"/>
        </w:rPr>
        <w:t xml:space="preserve"> </w:t>
      </w:r>
      <w:r>
        <w:rPr>
          <w:rFonts w:cs="Arial"/>
          <w:szCs w:val="24"/>
        </w:rPr>
        <w:t>n</w:t>
      </w:r>
      <w:r w:rsidRPr="0009540F">
        <w:rPr>
          <w:rFonts w:cs="Arial"/>
          <w:szCs w:val="24"/>
        </w:rPr>
        <w:t>o staffing changes are currently planned</w:t>
      </w:r>
      <w:r>
        <w:rPr>
          <w:rFonts w:cs="Arial"/>
          <w:szCs w:val="24"/>
        </w:rPr>
        <w:t xml:space="preserve"> in Relay Test although th</w:t>
      </w:r>
      <w:r w:rsidRPr="0009540F">
        <w:rPr>
          <w:rFonts w:cs="Arial"/>
          <w:szCs w:val="24"/>
        </w:rPr>
        <w:t>e continued need for in-house staff is reviewed</w:t>
      </w:r>
      <w:r w:rsidR="00E32117">
        <w:rPr>
          <w:rFonts w:cs="Arial"/>
          <w:szCs w:val="24"/>
        </w:rPr>
        <w:t xml:space="preserve"> as attrition occurs</w:t>
      </w:r>
      <w:r w:rsidRPr="0009540F">
        <w:rPr>
          <w:rFonts w:cs="Arial"/>
          <w:szCs w:val="24"/>
        </w:rPr>
        <w:t xml:space="preserve">.  Contractors are used to commission new relaying systems.  </w:t>
      </w:r>
    </w:p>
    <w:p w:rsidR="00AC40FC" w:rsidRDefault="00AC40FC" w:rsidP="00581946">
      <w:pPr>
        <w:rPr>
          <w:rFonts w:cs="Arial"/>
          <w:szCs w:val="24"/>
        </w:rPr>
      </w:pPr>
      <w:r>
        <w:rPr>
          <w:rFonts w:cs="Arial"/>
          <w:szCs w:val="24"/>
        </w:rPr>
        <w:t>The Distribution Engineering Distribution Design and Standards group workload is steady in standards development and large project design work.</w:t>
      </w:r>
    </w:p>
    <w:p w:rsidR="00AC40FC" w:rsidRDefault="00AC40FC" w:rsidP="00581946">
      <w:pPr>
        <w:rPr>
          <w:rFonts w:cs="Arial"/>
          <w:szCs w:val="24"/>
        </w:rPr>
      </w:pPr>
      <w:r w:rsidRPr="004E66D7">
        <w:t xml:space="preserve">Both </w:t>
      </w:r>
      <w:r>
        <w:t>T&amp;S and Distribution Operations</w:t>
      </w:r>
      <w:r w:rsidRPr="004E66D7">
        <w:t xml:space="preserve"> support an annual engineering intern program for college level students to work at PPL</w:t>
      </w:r>
      <w:r>
        <w:t xml:space="preserve"> EU</w:t>
      </w:r>
      <w:r w:rsidRPr="004E66D7">
        <w:t xml:space="preserve"> to gain practical experience and learn about careers at PPL</w:t>
      </w:r>
      <w:r>
        <w:t xml:space="preserve"> EU</w:t>
      </w:r>
      <w:r w:rsidRPr="004E66D7">
        <w:t>.  Approximately 16 to 20 interns will be hired in 2016.</w:t>
      </w:r>
      <w:r>
        <w:t xml:space="preserve">  The program allows PPL EU to evaluate the interns’ qualifications for potential future employment.</w:t>
      </w:r>
    </w:p>
    <w:p w:rsidR="00AC40FC" w:rsidRDefault="00AC40FC" w:rsidP="00581946">
      <w:pPr>
        <w:rPr>
          <w:rFonts w:cs="Arial"/>
          <w:szCs w:val="24"/>
        </w:rPr>
      </w:pPr>
      <w:r w:rsidRPr="00644377">
        <w:rPr>
          <w:b/>
        </w:rPr>
        <w:t xml:space="preserve">Project </w:t>
      </w:r>
      <w:r>
        <w:rPr>
          <w:b/>
        </w:rPr>
        <w:t>and</w:t>
      </w:r>
      <w:r w:rsidRPr="00644377">
        <w:rPr>
          <w:b/>
        </w:rPr>
        <w:t xml:space="preserve"> Construction Management</w:t>
      </w:r>
      <w:r w:rsidRPr="00B32A5B">
        <w:rPr>
          <w:rFonts w:cs="Arial"/>
          <w:b/>
          <w:szCs w:val="24"/>
        </w:rPr>
        <w:t>.</w:t>
      </w:r>
      <w:r w:rsidRPr="00571B85">
        <w:rPr>
          <w:rFonts w:cs="Arial"/>
          <w:szCs w:val="24"/>
        </w:rPr>
        <w:t xml:space="preserve">  </w:t>
      </w:r>
      <w:r>
        <w:rPr>
          <w:rFonts w:cs="Arial"/>
          <w:szCs w:val="24"/>
        </w:rPr>
        <w:t>The Contract Management group with four employees in 2014 was moved to Supply Chain in early 2015.</w:t>
      </w:r>
    </w:p>
    <w:p w:rsidR="00AC40FC" w:rsidRDefault="00AC40FC" w:rsidP="00581946">
      <w:r>
        <w:t>The Distribution Operations capital projects budget will be reduced by about $100 million next year so PPL EU is increasing its flexibility to move crews internally to complete work.  As a result, the Project and Construction Management group functions were repositioned in early 2016.  The Pole Attachment, Streetlights, and PennDOT functions have been moved to Distribution Asset Management and Construction Management and Project Management functions have been combined into a new functional group that supports all Vegetation Management and Project Management functions as part of the repositioning.</w:t>
      </w:r>
    </w:p>
    <w:p w:rsidR="00AC40FC" w:rsidRDefault="00AC40FC" w:rsidP="00581946">
      <w:r>
        <w:t>No additional changes are planned in Project and Construction Management staffing in 2016.  However, any vacancies that occur in the Construction Manager positions may be not filled immediately.  Distribution Operations has a goal in 2016 to improve the overall efficiency of the field force.  This initiative should reduce the number of contract crews supplementing in-house crews and result in a need for fewer construction managers.</w:t>
      </w:r>
    </w:p>
    <w:p w:rsidR="00AC40FC" w:rsidRDefault="00AC40FC" w:rsidP="00581946">
      <w:pPr>
        <w:rPr>
          <w:rFonts w:cs="Arial"/>
          <w:szCs w:val="24"/>
        </w:rPr>
      </w:pPr>
      <w:r>
        <w:t xml:space="preserve">The workload in the damage prevention, street lighting, attachments, regional projects, and Pennsylvania Department of Transportation related work areas are fairly steady year to year.  However, </w:t>
      </w:r>
      <w:r w:rsidRPr="00DF7A21">
        <w:t xml:space="preserve">large distribution capital jobs are more variable.  </w:t>
      </w:r>
      <w:r w:rsidRPr="00AF7C1A">
        <w:t xml:space="preserve">The overall distribution capital budget is expected to decrease over the next five years resulting in </w:t>
      </w:r>
      <w:r w:rsidRPr="00AF7C1A">
        <w:lastRenderedPageBreak/>
        <w:t xml:space="preserve">the need for fewer </w:t>
      </w:r>
      <w:r>
        <w:t>p</w:t>
      </w:r>
      <w:r w:rsidRPr="00AF7C1A">
        <w:t xml:space="preserve">roject </w:t>
      </w:r>
      <w:r>
        <w:t>m</w:t>
      </w:r>
      <w:r w:rsidRPr="00AF7C1A">
        <w:t>anagers.</w:t>
      </w:r>
      <w:r w:rsidRPr="00DF7A21">
        <w:t xml:space="preserve">  Project and Construction Management typically is responsible for</w:t>
      </w:r>
      <w:r>
        <w:t xml:space="preserve"> about 25% of the distribution capital spending.</w:t>
      </w:r>
    </w:p>
    <w:p w:rsidR="00AC40FC" w:rsidRDefault="00AC40FC" w:rsidP="00581946">
      <w:r>
        <w:rPr>
          <w:b/>
        </w:rPr>
        <w:t>Respond t</w:t>
      </w:r>
      <w:r w:rsidRPr="00AF7C1A">
        <w:rPr>
          <w:b/>
        </w:rPr>
        <w:t>o Customer.</w:t>
      </w:r>
      <w:r w:rsidRPr="00DF7A21">
        <w:t xml:space="preserve">  </w:t>
      </w:r>
      <w:r>
        <w:t xml:space="preserve">The 2016 two-year staffing plan included a reduction of 13 positions in 2016, and calls for reducing an additional seven positions in 2017. </w:t>
      </w:r>
      <w:r w:rsidRPr="00DA37E7">
        <w:t xml:space="preserve"> </w:t>
      </w:r>
      <w:r>
        <w:t>The 2016 staffing plan changes consist of reductions in system operators, records staff, and support personnel.</w:t>
      </w:r>
    </w:p>
    <w:p w:rsidR="00AC40FC" w:rsidRDefault="00AC40FC" w:rsidP="00581946">
      <w:r w:rsidRPr="00BB75F2">
        <w:t>Implementation of the Distribution Management System (DMS)</w:t>
      </w:r>
      <w:r>
        <w:t>,</w:t>
      </w:r>
      <w:r w:rsidRPr="00BB75F2">
        <w:t xml:space="preserve"> and increased distribution automation allow</w:t>
      </w:r>
      <w:r w:rsidRPr="00843768">
        <w:t xml:space="preserve"> for </w:t>
      </w:r>
      <w:r w:rsidRPr="00BB75F2">
        <w:t>the reduction of one System Operator per team, or seven positions total</w:t>
      </w:r>
      <w:r>
        <w:t>, by yearend 2016</w:t>
      </w:r>
      <w:r w:rsidRPr="00BB75F2">
        <w:t>.</w:t>
      </w:r>
      <w:r>
        <w:t xml:space="preserve">  The group is transitioning to data analysis and data mining to support Operations.</w:t>
      </w:r>
      <w:r w:rsidRPr="00D01DC9">
        <w:t xml:space="preserve"> </w:t>
      </w:r>
      <w:r>
        <w:t xml:space="preserve"> The plan is to reduce the Operations support group by two positions by yearend 2016.</w:t>
      </w:r>
    </w:p>
    <w:p w:rsidR="00AC40FC" w:rsidRDefault="00AC40FC" w:rsidP="00581946">
      <w:pPr>
        <w:rPr>
          <w:rFonts w:cs="Arial"/>
          <w:b/>
          <w:szCs w:val="24"/>
        </w:rPr>
      </w:pPr>
      <w:r>
        <w:t xml:space="preserve">Operations general preference is to utilize PPL EU staff for its functions, however contractors are also considered. </w:t>
      </w:r>
      <w:r w:rsidRPr="00AE5532">
        <w:rPr>
          <w:rStyle w:val="FootnoteReference"/>
          <w:rFonts w:cs="Arial"/>
          <w:szCs w:val="24"/>
        </w:rPr>
        <w:t xml:space="preserve"> </w:t>
      </w:r>
      <w:r>
        <w:t xml:space="preserve">The primary considerations for determining the most effective long term staffing mix are based on the impacts on effective operation of the system, reliability, and cost.  </w:t>
      </w:r>
      <w:r w:rsidRPr="00AE5532">
        <w:rPr>
          <w:rStyle w:val="FootnoteReference"/>
          <w:rFonts w:cs="Arial"/>
          <w:szCs w:val="24"/>
        </w:rPr>
        <w:t xml:space="preserve"> </w:t>
      </w:r>
      <w:r>
        <w:t>Contracting is also used when the union is not amenable to supporting a new role, such as the second shift line crews.</w:t>
      </w:r>
    </w:p>
    <w:p w:rsidR="00AC40FC" w:rsidRDefault="00AC40FC" w:rsidP="00581946">
      <w:r w:rsidRPr="00303869">
        <w:rPr>
          <w:b/>
        </w:rPr>
        <w:t>Region Operations.</w:t>
      </w:r>
      <w:r w:rsidRPr="00A5318F">
        <w:t xml:space="preserve">  </w:t>
      </w:r>
      <w:r>
        <w:rPr>
          <w:rFonts w:cs="Arial"/>
          <w:szCs w:val="24"/>
        </w:rPr>
        <w:t xml:space="preserve">There are no current plans for structural changes to </w:t>
      </w:r>
      <w:r>
        <w:t xml:space="preserve">the three Region Operations groups.  </w:t>
      </w:r>
      <w:r>
        <w:rPr>
          <w:rFonts w:cs="Arial"/>
          <w:szCs w:val="24"/>
        </w:rPr>
        <w:t xml:space="preserve">The staffing of the three Region Operations </w:t>
      </w:r>
      <w:r>
        <w:t>groups has been relatively stable.  Contractors are used for seasonal peak workloads and shorter term surges in capital work.</w:t>
      </w:r>
    </w:p>
    <w:p w:rsidR="00AC40FC" w:rsidRDefault="00AC40FC" w:rsidP="00581946">
      <w:r>
        <w:t>The Region Operations groups are reducing the employee mechanics that historically have performed civil work such as excavating, concrete foundations, and substation structure installation.  This type of work is considered non-core and will be contracted in the future.</w:t>
      </w:r>
    </w:p>
    <w:p w:rsidR="00AC40FC" w:rsidRDefault="00AC40FC" w:rsidP="00581946">
      <w:r>
        <w:t>The Regional Operations groups coordinate on a regular basis and will loan resources to another region to support big jobs or short-term increases in workload.  This flexibility to move crews includes planning for staffing needs along with the projected capital spending and efficiencies gained in deployment of the field crews.</w:t>
      </w:r>
    </w:p>
    <w:p w:rsidR="00AC40FC" w:rsidRDefault="00AC40FC" w:rsidP="00581946">
      <w:r>
        <w:t>Distribution capital spending is expected to decline over the next five years which would result in a lesser need for contract crews and potentially a reduced staffing need in the Regional Engineering and Regional Work Management groups.</w:t>
      </w:r>
    </w:p>
    <w:p w:rsidR="00AC40FC" w:rsidRDefault="00AC40FC" w:rsidP="00581946">
      <w:pPr>
        <w:rPr>
          <w:rFonts w:cs="Arial"/>
          <w:szCs w:val="24"/>
        </w:rPr>
      </w:pPr>
      <w:r>
        <w:rPr>
          <w:rFonts w:cs="Arial"/>
          <w:szCs w:val="24"/>
        </w:rPr>
        <w:t>The focus for staff planning is the projected level of planned (program) work and unplanned customer driven work.  Program work includes planned maintenance and small capital work related to the Long Term Infrastructure Improvement Plan.  Customer driven work involves line extensions and service line connections for new customers.  Asset Management provides a capital forecast of program and project work along with information on the worst performing circuits.  This data is used to project staffing needs along with estimates of the emergent and customer work.</w:t>
      </w:r>
    </w:p>
    <w:p w:rsidR="00AC40FC" w:rsidRDefault="00AC40FC" w:rsidP="00581946">
      <w:r>
        <w:t>The workload for the next two years is well defined.  Program work is steady.  Emergent maintenance work projections are based on a five year history.  Project work is projected based on the type of work in the five year capital plan.</w:t>
      </w:r>
    </w:p>
    <w:p w:rsidR="00AC40FC" w:rsidRPr="006D1B9D" w:rsidRDefault="00AC40FC" w:rsidP="00581946">
      <w:pPr>
        <w:rPr>
          <w:rFonts w:cs="Arial"/>
          <w:szCs w:val="24"/>
        </w:rPr>
      </w:pPr>
      <w:r>
        <w:rPr>
          <w:rFonts w:cs="Arial"/>
          <w:szCs w:val="24"/>
        </w:rPr>
        <w:lastRenderedPageBreak/>
        <w:t>An initiative is underway in Distribution Operations to more efficiently utilize the field crews.  The crews are engaged in the discussions and sharing of success stories.  The current focus is on improving job planning and work assignments to crews.</w:t>
      </w:r>
    </w:p>
    <w:p w:rsidR="00AC40FC" w:rsidRPr="006D1B9D" w:rsidRDefault="00AC40FC" w:rsidP="00581946">
      <w:pPr>
        <w:rPr>
          <w:rFonts w:cs="Arial"/>
          <w:szCs w:val="24"/>
        </w:rPr>
      </w:pPr>
      <w:r>
        <w:rPr>
          <w:rFonts w:cs="Arial"/>
          <w:szCs w:val="24"/>
        </w:rPr>
        <w:t>Line worker needs are coordinated among the three regions to develop a consolidated plan for hiring of apprentices for the four year apprenticeship program.  Projections of turnover and workload are used to forecast the desired staffing level.</w:t>
      </w:r>
    </w:p>
    <w:p w:rsidR="00AC40FC" w:rsidRDefault="00AC40FC" w:rsidP="00581946">
      <w:pPr>
        <w:rPr>
          <w:rFonts w:cs="Arial"/>
          <w:szCs w:val="24"/>
        </w:rPr>
      </w:pPr>
      <w:r w:rsidRPr="00A5318F">
        <w:rPr>
          <w:rFonts w:cs="Arial"/>
          <w:szCs w:val="24"/>
        </w:rPr>
        <w:t xml:space="preserve">One </w:t>
      </w:r>
      <w:r>
        <w:rPr>
          <w:rFonts w:cs="Arial"/>
          <w:szCs w:val="24"/>
        </w:rPr>
        <w:t xml:space="preserve">potential </w:t>
      </w:r>
      <w:r w:rsidRPr="00A5318F">
        <w:rPr>
          <w:rFonts w:cs="Arial"/>
          <w:szCs w:val="24"/>
        </w:rPr>
        <w:t xml:space="preserve">change </w:t>
      </w:r>
      <w:r>
        <w:rPr>
          <w:rFonts w:cs="Arial"/>
          <w:szCs w:val="24"/>
        </w:rPr>
        <w:t xml:space="preserve">currently </w:t>
      </w:r>
      <w:r w:rsidRPr="00A5318F">
        <w:rPr>
          <w:rFonts w:cs="Arial"/>
          <w:szCs w:val="24"/>
        </w:rPr>
        <w:t>under review is to reduce the number of Field Managers from three to two in each of the three Region Operations groups.</w:t>
      </w:r>
    </w:p>
    <w:p w:rsidR="00AC40FC" w:rsidRDefault="00AC40FC" w:rsidP="00581946">
      <w:pPr>
        <w:rPr>
          <w:rFonts w:cs="Arial"/>
          <w:szCs w:val="24"/>
        </w:rPr>
      </w:pPr>
      <w:r>
        <w:rPr>
          <w:rFonts w:cs="Arial"/>
          <w:szCs w:val="24"/>
        </w:rPr>
        <w:t xml:space="preserve">There is an increase in the number of retirements expected in the </w:t>
      </w:r>
      <w:r>
        <w:t>Harrisburg/Lancaster</w:t>
      </w:r>
      <w:r>
        <w:rPr>
          <w:rFonts w:cs="Arial"/>
          <w:szCs w:val="24"/>
        </w:rPr>
        <w:t xml:space="preserve"> Region in the next five years which is factored into the five year staffing plan.</w:t>
      </w:r>
    </w:p>
    <w:p w:rsidR="00AC40FC" w:rsidRDefault="00AC40FC" w:rsidP="00581946">
      <w:r w:rsidRPr="00644377">
        <w:rPr>
          <w:rFonts w:cs="Arial"/>
          <w:b/>
          <w:szCs w:val="24"/>
        </w:rPr>
        <w:t>Transportation Services</w:t>
      </w:r>
      <w:r w:rsidRPr="00B32A5B">
        <w:rPr>
          <w:rFonts w:cs="Arial"/>
          <w:b/>
          <w:szCs w:val="24"/>
        </w:rPr>
        <w:t>.</w:t>
      </w:r>
      <w:r>
        <w:rPr>
          <w:rFonts w:cs="Arial"/>
          <w:szCs w:val="24"/>
        </w:rPr>
        <w:t xml:space="preserve">  </w:t>
      </w:r>
      <w:r>
        <w:t>Six mechanics moved to Talen in 2015 and an additional four mechanics and two management personnel were not replaced when the positions were vacated in 2015.</w:t>
      </w:r>
    </w:p>
    <w:p w:rsidR="00AC40FC" w:rsidRDefault="00AC40FC" w:rsidP="00581946">
      <w:pPr>
        <w:rPr>
          <w:rFonts w:cs="Arial"/>
          <w:szCs w:val="24"/>
        </w:rPr>
      </w:pPr>
      <w:r>
        <w:rPr>
          <w:rFonts w:cs="Arial"/>
          <w:szCs w:val="24"/>
        </w:rPr>
        <w:t>T</w:t>
      </w:r>
      <w:r w:rsidRPr="006123E4">
        <w:rPr>
          <w:rFonts w:cs="Arial"/>
          <w:szCs w:val="24"/>
        </w:rPr>
        <w:t>here are four contract mechanics providing service at one garage location.  The contract company provides full support to these mechanics including parts.  Vendors are also used at all of the garages for routine maintenance and specialized services such as minor preventative maintenance, body work, painting, and transmission and engine rebuilds.</w:t>
      </w:r>
    </w:p>
    <w:p w:rsidR="00AC40FC" w:rsidRDefault="00AC40FC" w:rsidP="00581946">
      <w:pPr>
        <w:rPr>
          <w:rFonts w:cs="Arial"/>
          <w:szCs w:val="24"/>
        </w:rPr>
      </w:pPr>
      <w:r>
        <w:rPr>
          <w:rFonts w:cs="Arial"/>
          <w:szCs w:val="24"/>
        </w:rPr>
        <w:t>The transportation garage staff has sufficient capacity to absorb future work increases.  The preference is to contract out an entire garage location.  With current staffing levels, mechanic vacancies are not being filled and transfers have been used to balance staff with workload where necessary.</w:t>
      </w:r>
    </w:p>
    <w:p w:rsidR="00AC40FC" w:rsidRDefault="00AC40FC" w:rsidP="00581946">
      <w:pPr>
        <w:rPr>
          <w:rFonts w:cs="Arial"/>
          <w:szCs w:val="24"/>
        </w:rPr>
      </w:pPr>
      <w:r>
        <w:rPr>
          <w:rFonts w:cs="Arial"/>
          <w:szCs w:val="24"/>
        </w:rPr>
        <w:t>The fleet size is expected to reduce.  There are a number of transmission line tensioner trucks and other transmission specific vehicles that are low use and may be disposed of in the near future.</w:t>
      </w:r>
    </w:p>
    <w:p w:rsidR="00AC40FC" w:rsidRPr="00492242" w:rsidRDefault="00AC40FC" w:rsidP="00581946">
      <w:pPr>
        <w:rPr>
          <w:rFonts w:cs="Arial"/>
          <w:szCs w:val="24"/>
        </w:rPr>
      </w:pPr>
      <w:r>
        <w:rPr>
          <w:rFonts w:cs="Arial"/>
          <w:szCs w:val="24"/>
        </w:rPr>
        <w:t>Transportation Services estimates it will need in the neighborhood of 40 to 45 mechanics and parts handlers to take care of PPL EU’s fleet with a core PPL EU team of five to six managing the contract and overseeing the contract work.</w:t>
      </w:r>
    </w:p>
    <w:p w:rsidR="00AC40FC" w:rsidRDefault="00AC40FC" w:rsidP="00581946">
      <w:pPr>
        <w:rPr>
          <w:rFonts w:cs="Arial"/>
          <w:szCs w:val="24"/>
        </w:rPr>
      </w:pPr>
      <w:r>
        <w:t>By 2020, Transportation Services projects a total in-house staff of 26 supporting the contract garage operations.</w:t>
      </w:r>
    </w:p>
    <w:p w:rsidR="00AC40FC" w:rsidRDefault="00AC40FC" w:rsidP="00581946">
      <w:pPr>
        <w:tabs>
          <w:tab w:val="left" w:pos="3870"/>
        </w:tabs>
        <w:rPr>
          <w:rFonts w:cs="Arial"/>
          <w:szCs w:val="24"/>
        </w:rPr>
      </w:pPr>
      <w:r w:rsidRPr="002A37C6">
        <w:rPr>
          <w:rFonts w:cs="Arial"/>
          <w:b/>
          <w:szCs w:val="24"/>
        </w:rPr>
        <w:t>Technical Development and Improvement.</w:t>
      </w:r>
      <w:r w:rsidRPr="002A37C6">
        <w:rPr>
          <w:rFonts w:cs="Arial"/>
          <w:szCs w:val="24"/>
        </w:rPr>
        <w:t xml:space="preserve"> </w:t>
      </w:r>
      <w:r>
        <w:rPr>
          <w:rFonts w:cs="Arial"/>
          <w:szCs w:val="24"/>
        </w:rPr>
        <w:t>The TDI staffing by SRC number and title from the end of 2014 to the end of 2015 is shown on the following table</w:t>
      </w:r>
      <w:r w:rsidRPr="00A32A3F">
        <w:rPr>
          <w:rFonts w:cs="Arial"/>
          <w:szCs w:val="24"/>
        </w:rPr>
        <w:t>.</w:t>
      </w:r>
    </w:p>
    <w:p w:rsidR="00AC40FC" w:rsidRDefault="00AC40FC" w:rsidP="00B306CB">
      <w:pPr>
        <w:pStyle w:val="Caption"/>
      </w:pPr>
      <w:bookmarkStart w:id="364" w:name="_Toc462648493"/>
      <w:bookmarkStart w:id="365" w:name="_Toc464553115"/>
      <w:r>
        <w:t xml:space="preserve">Exhibit </w:t>
      </w:r>
      <w:fldSimple w:instr=" STYLEREF 1 \s ">
        <w:r w:rsidR="00A24205">
          <w:rPr>
            <w:noProof/>
          </w:rPr>
          <w:t>XV</w:t>
        </w:r>
      </w:fldSimple>
      <w:r w:rsidR="00264A1B">
        <w:noBreakHyphen/>
      </w:r>
      <w:fldSimple w:instr=" SEQ Exhibit \* ARABIC \s 1 ">
        <w:r w:rsidR="00A24205">
          <w:rPr>
            <w:noProof/>
          </w:rPr>
          <w:t>7</w:t>
        </w:r>
      </w:fldSimple>
      <w:r>
        <w:br/>
      </w:r>
      <w:r w:rsidRPr="000A5AD3">
        <w:t xml:space="preserve">PPL EU </w:t>
      </w:r>
      <w:r w:rsidRPr="008D61EE">
        <w:rPr>
          <w:rFonts w:cs="Arial"/>
          <w:szCs w:val="24"/>
        </w:rPr>
        <w:t>Technical Development and Improvement</w:t>
      </w:r>
      <w:r w:rsidRPr="000A5AD3">
        <w:t xml:space="preserve"> Staffing Changes 2014–</w:t>
      </w:r>
      <w:r w:rsidRPr="00F17825">
        <w:t>2015</w:t>
      </w:r>
      <w:bookmarkEnd w:id="364"/>
      <w:bookmarkEnd w:id="3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3754"/>
        <w:gridCol w:w="809"/>
        <w:gridCol w:w="800"/>
        <w:gridCol w:w="1097"/>
      </w:tblGrid>
      <w:tr w:rsidR="00AC40FC" w:rsidRPr="00F17825" w:rsidTr="00581946">
        <w:trPr>
          <w:cantSplit/>
          <w:trHeight w:val="300"/>
          <w:tblHeader/>
          <w:jc w:val="center"/>
        </w:trPr>
        <w:tc>
          <w:tcPr>
            <w:tcW w:w="960" w:type="dxa"/>
            <w:shd w:val="clear" w:color="auto" w:fill="A5CD7E"/>
            <w:noWrap/>
            <w:vAlign w:val="center"/>
            <w:hideMark/>
          </w:tcPr>
          <w:p w:rsidR="00AC40FC" w:rsidRPr="00F17825" w:rsidRDefault="00AC40FC" w:rsidP="00D6083E">
            <w:pPr>
              <w:spacing w:before="120"/>
              <w:jc w:val="center"/>
              <w:rPr>
                <w:rFonts w:cs="Arial"/>
                <w:b/>
                <w:bCs/>
                <w:szCs w:val="24"/>
              </w:rPr>
            </w:pPr>
            <w:r>
              <w:rPr>
                <w:rFonts w:cs="Arial"/>
                <w:b/>
                <w:bCs/>
                <w:szCs w:val="24"/>
              </w:rPr>
              <w:t>S</w:t>
            </w:r>
            <w:r w:rsidRPr="00F17825">
              <w:rPr>
                <w:rFonts w:cs="Arial"/>
                <w:b/>
                <w:bCs/>
                <w:szCs w:val="24"/>
              </w:rPr>
              <w:t>RC</w:t>
            </w:r>
          </w:p>
        </w:tc>
        <w:tc>
          <w:tcPr>
            <w:tcW w:w="3754" w:type="dxa"/>
            <w:shd w:val="clear" w:color="auto" w:fill="A5CD7E"/>
            <w:noWrap/>
            <w:vAlign w:val="center"/>
            <w:hideMark/>
          </w:tcPr>
          <w:p w:rsidR="00AC40FC" w:rsidRPr="00F17825" w:rsidRDefault="00AC40FC" w:rsidP="00D6083E">
            <w:pPr>
              <w:spacing w:before="120"/>
              <w:jc w:val="center"/>
              <w:rPr>
                <w:rFonts w:cs="Arial"/>
                <w:b/>
                <w:bCs/>
                <w:szCs w:val="24"/>
              </w:rPr>
            </w:pPr>
            <w:r>
              <w:rPr>
                <w:rFonts w:cs="Arial"/>
                <w:b/>
                <w:bCs/>
                <w:szCs w:val="24"/>
              </w:rPr>
              <w:t>Organizational Unit</w:t>
            </w:r>
          </w:p>
        </w:tc>
        <w:tc>
          <w:tcPr>
            <w:tcW w:w="809" w:type="dxa"/>
            <w:shd w:val="clear" w:color="auto" w:fill="A5CD7E"/>
            <w:noWrap/>
            <w:vAlign w:val="center"/>
            <w:hideMark/>
          </w:tcPr>
          <w:p w:rsidR="00AC40FC" w:rsidRPr="00F17825" w:rsidRDefault="00AC40FC" w:rsidP="00D6083E">
            <w:pPr>
              <w:spacing w:before="120"/>
              <w:jc w:val="center"/>
              <w:rPr>
                <w:rFonts w:cs="Arial"/>
                <w:b/>
                <w:bCs/>
                <w:szCs w:val="24"/>
              </w:rPr>
            </w:pPr>
            <w:r w:rsidRPr="00F17825">
              <w:rPr>
                <w:rFonts w:cs="Arial"/>
                <w:b/>
                <w:bCs/>
                <w:szCs w:val="24"/>
              </w:rPr>
              <w:t>2014</w:t>
            </w:r>
          </w:p>
        </w:tc>
        <w:tc>
          <w:tcPr>
            <w:tcW w:w="800" w:type="dxa"/>
            <w:shd w:val="clear" w:color="auto" w:fill="A5CD7E"/>
            <w:noWrap/>
            <w:vAlign w:val="center"/>
            <w:hideMark/>
          </w:tcPr>
          <w:p w:rsidR="00AC40FC" w:rsidRPr="00F17825" w:rsidRDefault="00AC40FC" w:rsidP="00D6083E">
            <w:pPr>
              <w:spacing w:before="120"/>
              <w:jc w:val="center"/>
              <w:rPr>
                <w:rFonts w:cs="Arial"/>
                <w:b/>
                <w:bCs/>
                <w:szCs w:val="24"/>
              </w:rPr>
            </w:pPr>
            <w:r w:rsidRPr="00F17825">
              <w:rPr>
                <w:rFonts w:cs="Arial"/>
                <w:b/>
                <w:bCs/>
                <w:szCs w:val="24"/>
              </w:rPr>
              <w:t>2015</w:t>
            </w:r>
          </w:p>
        </w:tc>
        <w:tc>
          <w:tcPr>
            <w:tcW w:w="1097" w:type="dxa"/>
            <w:shd w:val="clear" w:color="auto" w:fill="A5CD7E"/>
            <w:noWrap/>
            <w:vAlign w:val="center"/>
            <w:hideMark/>
          </w:tcPr>
          <w:p w:rsidR="00AC40FC" w:rsidRPr="00F17825" w:rsidRDefault="00AC40FC" w:rsidP="00D6083E">
            <w:pPr>
              <w:spacing w:before="120"/>
              <w:jc w:val="center"/>
              <w:rPr>
                <w:rFonts w:cs="Arial"/>
                <w:b/>
                <w:bCs/>
                <w:szCs w:val="24"/>
              </w:rPr>
            </w:pPr>
            <w:r>
              <w:rPr>
                <w:rFonts w:cs="Arial"/>
                <w:b/>
                <w:bCs/>
                <w:szCs w:val="24"/>
              </w:rPr>
              <w:t>Change</w:t>
            </w:r>
          </w:p>
        </w:tc>
      </w:tr>
      <w:tr w:rsidR="00AC40FC" w:rsidRPr="00F17825" w:rsidTr="00581946">
        <w:trPr>
          <w:trHeight w:val="300"/>
          <w:jc w:val="center"/>
        </w:trPr>
        <w:tc>
          <w:tcPr>
            <w:tcW w:w="960" w:type="dxa"/>
            <w:shd w:val="clear" w:color="auto" w:fill="auto"/>
            <w:noWrap/>
            <w:vAlign w:val="center"/>
          </w:tcPr>
          <w:p w:rsidR="00AC40FC" w:rsidRPr="000A5AD3" w:rsidRDefault="00AC40FC" w:rsidP="00581946">
            <w:pPr>
              <w:spacing w:after="0"/>
              <w:jc w:val="center"/>
              <w:rPr>
                <w:rFonts w:cs="Arial"/>
                <w:szCs w:val="24"/>
              </w:rPr>
            </w:pPr>
            <w:r w:rsidRPr="008D61EE">
              <w:rPr>
                <w:rFonts w:cs="Arial"/>
                <w:color w:val="000000"/>
              </w:rPr>
              <w:t>982</w:t>
            </w:r>
          </w:p>
        </w:tc>
        <w:tc>
          <w:tcPr>
            <w:tcW w:w="3754" w:type="dxa"/>
            <w:shd w:val="clear" w:color="auto" w:fill="auto"/>
            <w:noWrap/>
            <w:vAlign w:val="center"/>
          </w:tcPr>
          <w:p w:rsidR="00AC40FC" w:rsidRPr="008D61EE" w:rsidRDefault="00AC40FC" w:rsidP="00581946">
            <w:pPr>
              <w:spacing w:after="0"/>
              <w:jc w:val="left"/>
              <w:rPr>
                <w:rFonts w:cs="Arial"/>
                <w:sz w:val="28"/>
                <w:szCs w:val="24"/>
              </w:rPr>
            </w:pPr>
            <w:r w:rsidRPr="0002674F">
              <w:rPr>
                <w:rFonts w:cs="Arial"/>
                <w:color w:val="000000"/>
              </w:rPr>
              <w:t>Technical Development</w:t>
            </w:r>
          </w:p>
        </w:tc>
        <w:tc>
          <w:tcPr>
            <w:tcW w:w="809" w:type="dxa"/>
            <w:shd w:val="clear" w:color="auto" w:fill="auto"/>
            <w:noWrap/>
            <w:vAlign w:val="bottom"/>
          </w:tcPr>
          <w:p w:rsidR="00AC40FC" w:rsidRPr="00F17825" w:rsidRDefault="00AC40FC" w:rsidP="00581946">
            <w:pPr>
              <w:spacing w:after="0"/>
              <w:jc w:val="center"/>
              <w:rPr>
                <w:rFonts w:cs="Arial"/>
                <w:szCs w:val="24"/>
              </w:rPr>
            </w:pPr>
            <w:r>
              <w:rPr>
                <w:rFonts w:cs="Arial"/>
                <w:szCs w:val="24"/>
              </w:rPr>
              <w:t>58</w:t>
            </w:r>
          </w:p>
        </w:tc>
        <w:tc>
          <w:tcPr>
            <w:tcW w:w="800" w:type="dxa"/>
            <w:shd w:val="clear" w:color="auto" w:fill="auto"/>
            <w:noWrap/>
            <w:vAlign w:val="bottom"/>
          </w:tcPr>
          <w:p w:rsidR="00AC40FC" w:rsidRPr="000A5AD3" w:rsidRDefault="00AC40FC" w:rsidP="00581946">
            <w:pPr>
              <w:spacing w:after="0"/>
              <w:jc w:val="center"/>
              <w:rPr>
                <w:rFonts w:cs="Arial"/>
                <w:szCs w:val="24"/>
              </w:rPr>
            </w:pPr>
            <w:r w:rsidRPr="008D61EE">
              <w:rPr>
                <w:rFonts w:cs="Arial"/>
                <w:color w:val="000000"/>
              </w:rPr>
              <w:t>50</w:t>
            </w:r>
          </w:p>
        </w:tc>
        <w:tc>
          <w:tcPr>
            <w:tcW w:w="1097" w:type="dxa"/>
            <w:shd w:val="clear" w:color="auto" w:fill="auto"/>
            <w:noWrap/>
            <w:vAlign w:val="bottom"/>
          </w:tcPr>
          <w:p w:rsidR="00AC40FC" w:rsidRPr="00F17825" w:rsidRDefault="00AC40FC" w:rsidP="00581946">
            <w:pPr>
              <w:spacing w:after="0"/>
              <w:jc w:val="center"/>
              <w:rPr>
                <w:rFonts w:cs="Arial"/>
                <w:szCs w:val="24"/>
              </w:rPr>
            </w:pPr>
            <w:r>
              <w:rPr>
                <w:rFonts w:cs="Arial"/>
                <w:szCs w:val="24"/>
              </w:rPr>
              <w:t>-8</w:t>
            </w:r>
          </w:p>
        </w:tc>
      </w:tr>
      <w:tr w:rsidR="00AC40FC" w:rsidRPr="00F17825" w:rsidTr="00581946">
        <w:trPr>
          <w:trHeight w:val="300"/>
          <w:jc w:val="center"/>
        </w:trPr>
        <w:tc>
          <w:tcPr>
            <w:tcW w:w="960" w:type="dxa"/>
            <w:shd w:val="clear" w:color="auto" w:fill="auto"/>
            <w:noWrap/>
            <w:vAlign w:val="center"/>
          </w:tcPr>
          <w:p w:rsidR="00AC40FC" w:rsidRPr="000A5AD3" w:rsidRDefault="00AC40FC" w:rsidP="00581946">
            <w:pPr>
              <w:spacing w:after="0"/>
              <w:jc w:val="center"/>
              <w:rPr>
                <w:rFonts w:cs="Arial"/>
                <w:szCs w:val="24"/>
              </w:rPr>
            </w:pPr>
            <w:r w:rsidRPr="008D61EE">
              <w:rPr>
                <w:rFonts w:cs="Arial"/>
                <w:color w:val="000000"/>
              </w:rPr>
              <w:t>983</w:t>
            </w:r>
          </w:p>
        </w:tc>
        <w:tc>
          <w:tcPr>
            <w:tcW w:w="3754" w:type="dxa"/>
            <w:shd w:val="clear" w:color="auto" w:fill="auto"/>
            <w:noWrap/>
            <w:vAlign w:val="center"/>
          </w:tcPr>
          <w:p w:rsidR="00AC40FC" w:rsidRPr="008D61EE" w:rsidRDefault="00AC40FC" w:rsidP="00581946">
            <w:pPr>
              <w:spacing w:after="0"/>
              <w:jc w:val="left"/>
              <w:rPr>
                <w:rFonts w:cs="Arial"/>
                <w:color w:val="000000"/>
              </w:rPr>
            </w:pPr>
            <w:r w:rsidRPr="008D61EE">
              <w:rPr>
                <w:rFonts w:cs="Arial"/>
                <w:color w:val="000000"/>
              </w:rPr>
              <w:t>Technical Development - EU</w:t>
            </w:r>
          </w:p>
        </w:tc>
        <w:tc>
          <w:tcPr>
            <w:tcW w:w="809" w:type="dxa"/>
            <w:shd w:val="clear" w:color="auto" w:fill="auto"/>
            <w:noWrap/>
            <w:vAlign w:val="bottom"/>
          </w:tcPr>
          <w:p w:rsidR="00AC40FC" w:rsidRPr="00F17825" w:rsidRDefault="00AC40FC" w:rsidP="00581946">
            <w:pPr>
              <w:spacing w:after="0"/>
              <w:jc w:val="center"/>
              <w:rPr>
                <w:rFonts w:cs="Arial"/>
                <w:szCs w:val="24"/>
              </w:rPr>
            </w:pPr>
            <w:r>
              <w:rPr>
                <w:rFonts w:cs="Arial"/>
                <w:szCs w:val="24"/>
              </w:rPr>
              <w:t>0</w:t>
            </w:r>
          </w:p>
        </w:tc>
        <w:tc>
          <w:tcPr>
            <w:tcW w:w="800" w:type="dxa"/>
            <w:shd w:val="clear" w:color="auto" w:fill="auto"/>
            <w:noWrap/>
            <w:vAlign w:val="bottom"/>
          </w:tcPr>
          <w:p w:rsidR="00AC40FC" w:rsidRPr="000A5AD3" w:rsidRDefault="00AC40FC" w:rsidP="00581946">
            <w:pPr>
              <w:spacing w:after="0"/>
              <w:jc w:val="center"/>
              <w:rPr>
                <w:rFonts w:cs="Arial"/>
                <w:szCs w:val="24"/>
              </w:rPr>
            </w:pPr>
            <w:r>
              <w:rPr>
                <w:rFonts w:cs="Arial"/>
                <w:color w:val="000000"/>
              </w:rPr>
              <w:t>2</w:t>
            </w:r>
          </w:p>
        </w:tc>
        <w:tc>
          <w:tcPr>
            <w:tcW w:w="1097" w:type="dxa"/>
            <w:shd w:val="clear" w:color="auto" w:fill="auto"/>
            <w:noWrap/>
            <w:vAlign w:val="bottom"/>
          </w:tcPr>
          <w:p w:rsidR="00AC40FC" w:rsidRPr="00F17825" w:rsidRDefault="00AC40FC" w:rsidP="00581946">
            <w:pPr>
              <w:spacing w:after="0"/>
              <w:jc w:val="center"/>
              <w:rPr>
                <w:rFonts w:cs="Arial"/>
                <w:szCs w:val="24"/>
              </w:rPr>
            </w:pPr>
            <w:r>
              <w:rPr>
                <w:rFonts w:cs="Arial"/>
                <w:szCs w:val="24"/>
              </w:rPr>
              <w:t>+2</w:t>
            </w:r>
          </w:p>
        </w:tc>
      </w:tr>
      <w:tr w:rsidR="00AC40FC" w:rsidRPr="00F17825" w:rsidTr="00581946">
        <w:trPr>
          <w:trHeight w:val="300"/>
          <w:jc w:val="center"/>
        </w:trPr>
        <w:tc>
          <w:tcPr>
            <w:tcW w:w="960" w:type="dxa"/>
            <w:shd w:val="clear" w:color="auto" w:fill="auto"/>
            <w:noWrap/>
            <w:hideMark/>
          </w:tcPr>
          <w:p w:rsidR="00AC40FC" w:rsidRPr="00F17825" w:rsidRDefault="00AC40FC" w:rsidP="00581946">
            <w:pPr>
              <w:spacing w:after="0"/>
              <w:rPr>
                <w:rFonts w:cs="Arial"/>
                <w:szCs w:val="24"/>
              </w:rPr>
            </w:pPr>
          </w:p>
        </w:tc>
        <w:tc>
          <w:tcPr>
            <w:tcW w:w="3754" w:type="dxa"/>
            <w:shd w:val="clear" w:color="auto" w:fill="auto"/>
            <w:noWrap/>
            <w:vAlign w:val="center"/>
            <w:hideMark/>
          </w:tcPr>
          <w:p w:rsidR="00AC40FC" w:rsidRPr="00F17825" w:rsidRDefault="00AC40FC" w:rsidP="00581946">
            <w:pPr>
              <w:spacing w:after="0"/>
              <w:jc w:val="center"/>
              <w:rPr>
                <w:rFonts w:cs="Arial"/>
                <w:b/>
                <w:szCs w:val="24"/>
              </w:rPr>
            </w:pPr>
            <w:r w:rsidRPr="00F17825">
              <w:rPr>
                <w:rFonts w:cs="Arial"/>
                <w:b/>
                <w:szCs w:val="24"/>
              </w:rPr>
              <w:t>T</w:t>
            </w:r>
            <w:r>
              <w:rPr>
                <w:rFonts w:cs="Arial"/>
                <w:b/>
                <w:szCs w:val="24"/>
              </w:rPr>
              <w:t>otals</w:t>
            </w:r>
          </w:p>
        </w:tc>
        <w:tc>
          <w:tcPr>
            <w:tcW w:w="809" w:type="dxa"/>
            <w:shd w:val="clear" w:color="auto" w:fill="auto"/>
            <w:noWrap/>
            <w:vAlign w:val="bottom"/>
          </w:tcPr>
          <w:p w:rsidR="00AC40FC" w:rsidRPr="00F17825" w:rsidRDefault="00AC40FC" w:rsidP="00581946">
            <w:pPr>
              <w:spacing w:after="0"/>
              <w:jc w:val="center"/>
              <w:rPr>
                <w:rFonts w:cs="Arial"/>
                <w:b/>
                <w:szCs w:val="24"/>
              </w:rPr>
            </w:pPr>
            <w:r>
              <w:rPr>
                <w:rFonts w:cs="Arial"/>
                <w:b/>
                <w:szCs w:val="24"/>
              </w:rPr>
              <w:t>58</w:t>
            </w:r>
          </w:p>
        </w:tc>
        <w:tc>
          <w:tcPr>
            <w:tcW w:w="800" w:type="dxa"/>
            <w:shd w:val="clear" w:color="auto" w:fill="auto"/>
            <w:noWrap/>
            <w:vAlign w:val="bottom"/>
          </w:tcPr>
          <w:p w:rsidR="00AC40FC" w:rsidRPr="000A5AD3" w:rsidRDefault="00AC40FC" w:rsidP="00581946">
            <w:pPr>
              <w:spacing w:after="0"/>
              <w:jc w:val="center"/>
              <w:rPr>
                <w:rFonts w:cs="Arial"/>
                <w:b/>
                <w:szCs w:val="24"/>
              </w:rPr>
            </w:pPr>
            <w:r>
              <w:rPr>
                <w:rFonts w:cs="Arial"/>
                <w:b/>
                <w:bCs/>
                <w:color w:val="000000"/>
              </w:rPr>
              <w:t>52</w:t>
            </w:r>
          </w:p>
        </w:tc>
        <w:tc>
          <w:tcPr>
            <w:tcW w:w="1097" w:type="dxa"/>
            <w:shd w:val="clear" w:color="auto" w:fill="auto"/>
            <w:noWrap/>
            <w:vAlign w:val="bottom"/>
          </w:tcPr>
          <w:p w:rsidR="00AC40FC" w:rsidRPr="00F17825" w:rsidRDefault="00AC40FC" w:rsidP="00581946">
            <w:pPr>
              <w:spacing w:after="0"/>
              <w:jc w:val="center"/>
              <w:rPr>
                <w:rFonts w:cs="Arial"/>
                <w:b/>
                <w:szCs w:val="24"/>
              </w:rPr>
            </w:pPr>
            <w:r>
              <w:rPr>
                <w:rFonts w:cs="Arial"/>
                <w:b/>
                <w:szCs w:val="24"/>
              </w:rPr>
              <w:t>-6</w:t>
            </w:r>
          </w:p>
        </w:tc>
      </w:tr>
      <w:tr w:rsidR="00AC40FC" w:rsidRPr="00F17825" w:rsidTr="00581946">
        <w:trPr>
          <w:trHeight w:val="300"/>
          <w:jc w:val="center"/>
        </w:trPr>
        <w:tc>
          <w:tcPr>
            <w:tcW w:w="7420" w:type="dxa"/>
            <w:gridSpan w:val="5"/>
            <w:shd w:val="clear" w:color="auto" w:fill="auto"/>
            <w:noWrap/>
            <w:vAlign w:val="center"/>
          </w:tcPr>
          <w:p w:rsidR="00AC40FC" w:rsidRPr="00F17825" w:rsidRDefault="00AC40FC" w:rsidP="00581946">
            <w:pPr>
              <w:spacing w:after="0"/>
              <w:rPr>
                <w:rFonts w:cs="Arial"/>
                <w:bCs/>
                <w:szCs w:val="24"/>
              </w:rPr>
            </w:pPr>
            <w:r w:rsidRPr="00F17825">
              <w:rPr>
                <w:rFonts w:cs="Arial"/>
                <w:bCs/>
                <w:szCs w:val="24"/>
              </w:rPr>
              <w:t xml:space="preserve">Sources: </w:t>
            </w:r>
            <w:r w:rsidRPr="002A37C6">
              <w:rPr>
                <w:rFonts w:cs="Arial"/>
                <w:bCs/>
                <w:szCs w:val="24"/>
              </w:rPr>
              <w:t>DN 01-071;</w:t>
            </w:r>
            <w:r w:rsidRPr="00F17825">
              <w:rPr>
                <w:rFonts w:cs="Arial"/>
                <w:bCs/>
                <w:szCs w:val="24"/>
              </w:rPr>
              <w:t xml:space="preserve"> </w:t>
            </w:r>
            <w:r>
              <w:rPr>
                <w:rFonts w:cs="Arial"/>
                <w:bCs/>
                <w:szCs w:val="24"/>
              </w:rPr>
              <w:t>DN 18-001-C</w:t>
            </w:r>
          </w:p>
        </w:tc>
      </w:tr>
    </w:tbl>
    <w:p w:rsidR="00AC40FC" w:rsidRDefault="00AC40FC" w:rsidP="00581946">
      <w:pPr>
        <w:pStyle w:val="Normal-aftertable"/>
      </w:pPr>
      <w:r>
        <w:rPr>
          <w:rFonts w:cs="Arial"/>
          <w:szCs w:val="24"/>
        </w:rPr>
        <w:lastRenderedPageBreak/>
        <w:t xml:space="preserve">The number of PPL EU Technical Development and Improvement (TDI) staff decreased in 2015 by approximately 10%, from 58 to 52.  </w:t>
      </w:r>
      <w:r>
        <w:t>In July 2013, the TDI staff was around 71 employees.  The primary drivers of the reductions are the increased use of technology to deliver training, outsourcing training delivery, and improving the effectiveness and efficiency of existing training programs and activities.</w:t>
      </w:r>
    </w:p>
    <w:p w:rsidR="00AC40FC" w:rsidRDefault="00AC40FC" w:rsidP="00581946">
      <w:pPr>
        <w:rPr>
          <w:rFonts w:cs="Arial"/>
          <w:szCs w:val="24"/>
        </w:rPr>
      </w:pPr>
      <w:r>
        <w:rPr>
          <w:rFonts w:cs="Arial"/>
          <w:szCs w:val="24"/>
        </w:rPr>
        <w:t xml:space="preserve">TDI staff is approximately 55 as of March 2016.  The plan is for staff to be at 51 by year end 2016. </w:t>
      </w:r>
      <w:r w:rsidRPr="00A47200">
        <w:rPr>
          <w:rFonts w:cs="Arial"/>
          <w:szCs w:val="24"/>
        </w:rPr>
        <w:t xml:space="preserve"> </w:t>
      </w:r>
      <w:r w:rsidRPr="00A463CD">
        <w:rPr>
          <w:rFonts w:cs="Arial"/>
          <w:szCs w:val="24"/>
        </w:rPr>
        <w:t>Overall staffing for T</w:t>
      </w:r>
      <w:r>
        <w:rPr>
          <w:rFonts w:cs="Arial"/>
          <w:szCs w:val="24"/>
        </w:rPr>
        <w:t>DI</w:t>
      </w:r>
      <w:r w:rsidRPr="00A463CD">
        <w:rPr>
          <w:rFonts w:cs="Arial"/>
          <w:szCs w:val="24"/>
        </w:rPr>
        <w:t xml:space="preserve"> i</w:t>
      </w:r>
      <w:r>
        <w:rPr>
          <w:rFonts w:cs="Arial"/>
          <w:szCs w:val="24"/>
        </w:rPr>
        <w:t>s expected to be relatively stable over the next five years.</w:t>
      </w:r>
    </w:p>
    <w:p w:rsidR="00AC40FC" w:rsidRDefault="00AC40FC" w:rsidP="00581946">
      <w:r>
        <w:t>If necessary, TDI can temporarily upgrade a lineman to a trainer for upswings in hiring.  As of March 2016, one lineman is serving as a temporary trainer and two are planned to serve in this capacity around mid-year.</w:t>
      </w:r>
    </w:p>
    <w:p w:rsidR="00AC40FC" w:rsidRDefault="00AC40FC" w:rsidP="00581946">
      <w:r>
        <w:t>TDI bases staffing needs on the work and hiring plans of the PPL EU departments it supports.</w:t>
      </w:r>
    </w:p>
    <w:p w:rsidR="00AC40FC" w:rsidRPr="00617DC4" w:rsidRDefault="00AC40FC" w:rsidP="00581946">
      <w:pPr>
        <w:pStyle w:val="Heading40"/>
      </w:pPr>
      <w:r w:rsidRPr="00617DC4">
        <w:t xml:space="preserve">Distribution Operations Staff </w:t>
      </w:r>
      <w:r>
        <w:t>Au</w:t>
      </w:r>
      <w:r w:rsidRPr="00617DC4">
        <w:t>gmentation Contractors.</w:t>
      </w:r>
    </w:p>
    <w:p w:rsidR="00AC40FC" w:rsidRDefault="00AC40FC" w:rsidP="00581946">
      <w:pPr>
        <w:rPr>
          <w:rFonts w:cs="Arial"/>
          <w:szCs w:val="24"/>
        </w:rPr>
      </w:pPr>
      <w:r>
        <w:rPr>
          <w:rFonts w:cs="Arial"/>
          <w:szCs w:val="24"/>
        </w:rPr>
        <w:t>Distribution Operations utilizes some staff augmentation contractors in several areas.  The majority of contractors is involved in actual field construction activities and is presented in a later table (</w:t>
      </w:r>
      <w:r w:rsidRPr="00DE34FA">
        <w:rPr>
          <w:rFonts w:cs="Arial"/>
          <w:szCs w:val="24"/>
        </w:rPr>
        <w:t>Distribution Operations Field Contractor FTEs Yearend 2015 Actual and 2016 Projected</w:t>
      </w:r>
      <w:r>
        <w:rPr>
          <w:rFonts w:cs="Arial"/>
          <w:szCs w:val="24"/>
        </w:rPr>
        <w:t xml:space="preserve"> on pages 28-29).  As of March 31, 2016 Distribution Operations reported levels of staff augmentation support as show in the following table.</w:t>
      </w:r>
    </w:p>
    <w:p w:rsidR="00AC40FC" w:rsidRDefault="00AC40FC" w:rsidP="00B306CB">
      <w:pPr>
        <w:pStyle w:val="Caption"/>
      </w:pPr>
      <w:bookmarkStart w:id="366" w:name="_Toc462648494"/>
      <w:bookmarkStart w:id="367" w:name="_Toc464553116"/>
      <w:r>
        <w:t xml:space="preserve">Exhibit </w:t>
      </w:r>
      <w:fldSimple w:instr=" STYLEREF 1 \s ">
        <w:r w:rsidR="00A24205">
          <w:rPr>
            <w:noProof/>
          </w:rPr>
          <w:t>XV</w:t>
        </w:r>
      </w:fldSimple>
      <w:r w:rsidR="00264A1B">
        <w:noBreakHyphen/>
      </w:r>
      <w:fldSimple w:instr=" SEQ Exhibit \* ARABIC \s 1 ">
        <w:r w:rsidR="00A24205">
          <w:rPr>
            <w:noProof/>
          </w:rPr>
          <w:t>8</w:t>
        </w:r>
      </w:fldSimple>
      <w:r>
        <w:br/>
      </w:r>
      <w:r>
        <w:rPr>
          <w:rFonts w:cs="Arial"/>
          <w:szCs w:val="24"/>
        </w:rPr>
        <w:t xml:space="preserve">Distribution Operations </w:t>
      </w:r>
      <w:r w:rsidRPr="00F17825">
        <w:t>Staff</w:t>
      </w:r>
      <w:r>
        <w:t xml:space="preserve"> Augmentation Contractor FTEs as of March 31, 2016</w:t>
      </w:r>
      <w:bookmarkEnd w:id="366"/>
      <w:bookmarkEnd w:id="367"/>
    </w:p>
    <w:tbl>
      <w:tblPr>
        <w:tblW w:w="0" w:type="auto"/>
        <w:jc w:val="center"/>
        <w:tblLook w:val="04A0"/>
      </w:tblPr>
      <w:tblGrid>
        <w:gridCol w:w="750"/>
        <w:gridCol w:w="4312"/>
        <w:gridCol w:w="2483"/>
      </w:tblGrid>
      <w:tr w:rsidR="00AC40FC" w:rsidRPr="00D6083E" w:rsidTr="00581946">
        <w:trPr>
          <w:cantSplit/>
          <w:trHeight w:val="300"/>
          <w:tblHeader/>
          <w:jc w:val="center"/>
        </w:trPr>
        <w:tc>
          <w:tcPr>
            <w:tcW w:w="0" w:type="auto"/>
            <w:tcBorders>
              <w:top w:val="single" w:sz="8" w:space="0" w:color="auto"/>
              <w:left w:val="single" w:sz="8" w:space="0" w:color="auto"/>
              <w:bottom w:val="single" w:sz="8" w:space="0" w:color="auto"/>
              <w:right w:val="single" w:sz="4" w:space="0" w:color="auto"/>
            </w:tcBorders>
            <w:shd w:val="clear" w:color="auto" w:fill="A5CD7E"/>
            <w:vAlign w:val="center"/>
          </w:tcPr>
          <w:p w:rsidR="00AC40FC" w:rsidRPr="00D6083E" w:rsidRDefault="00AC40FC" w:rsidP="00D6083E">
            <w:pPr>
              <w:spacing w:before="120"/>
              <w:jc w:val="center"/>
              <w:rPr>
                <w:rFonts w:cs="Arial"/>
                <w:b/>
                <w:bCs/>
                <w:szCs w:val="24"/>
              </w:rPr>
            </w:pPr>
            <w:r w:rsidRPr="00D6083E">
              <w:rPr>
                <w:rFonts w:cs="Arial"/>
                <w:b/>
                <w:bCs/>
                <w:szCs w:val="24"/>
              </w:rPr>
              <w:t>SRC</w:t>
            </w:r>
          </w:p>
        </w:tc>
        <w:tc>
          <w:tcPr>
            <w:tcW w:w="0" w:type="auto"/>
            <w:tcBorders>
              <w:top w:val="single" w:sz="8" w:space="0" w:color="auto"/>
              <w:left w:val="nil"/>
              <w:bottom w:val="single" w:sz="8" w:space="0" w:color="auto"/>
              <w:right w:val="single" w:sz="4" w:space="0" w:color="auto"/>
            </w:tcBorders>
            <w:shd w:val="clear" w:color="auto" w:fill="A5CD7E"/>
            <w:vAlign w:val="center"/>
          </w:tcPr>
          <w:p w:rsidR="00AC40FC" w:rsidRPr="00D6083E" w:rsidRDefault="00AC40FC" w:rsidP="00D6083E">
            <w:pPr>
              <w:spacing w:before="120"/>
              <w:jc w:val="center"/>
              <w:rPr>
                <w:rFonts w:cs="Arial"/>
                <w:b/>
                <w:bCs/>
                <w:szCs w:val="24"/>
              </w:rPr>
            </w:pPr>
            <w:r w:rsidRPr="00D6083E">
              <w:rPr>
                <w:rFonts w:cs="Arial"/>
                <w:b/>
                <w:bCs/>
                <w:szCs w:val="24"/>
              </w:rPr>
              <w:t>Organizational Unit</w:t>
            </w:r>
          </w:p>
        </w:tc>
        <w:tc>
          <w:tcPr>
            <w:tcW w:w="0" w:type="auto"/>
            <w:tcBorders>
              <w:top w:val="single" w:sz="8" w:space="0" w:color="auto"/>
              <w:left w:val="nil"/>
              <w:bottom w:val="single" w:sz="8" w:space="0" w:color="auto"/>
              <w:right w:val="single" w:sz="8" w:space="0" w:color="auto"/>
            </w:tcBorders>
            <w:shd w:val="clear" w:color="auto" w:fill="A5CD7E"/>
            <w:vAlign w:val="center"/>
          </w:tcPr>
          <w:p w:rsidR="00AC40FC" w:rsidRPr="00D6083E" w:rsidRDefault="00AC40FC" w:rsidP="00D6083E">
            <w:pPr>
              <w:spacing w:before="120"/>
              <w:jc w:val="center"/>
              <w:rPr>
                <w:rFonts w:cs="Arial"/>
                <w:b/>
                <w:bCs/>
                <w:szCs w:val="24"/>
              </w:rPr>
            </w:pPr>
            <w:r w:rsidRPr="00D6083E">
              <w:rPr>
                <w:rFonts w:cs="Arial"/>
                <w:b/>
                <w:bCs/>
                <w:szCs w:val="24"/>
              </w:rPr>
              <w:t xml:space="preserve">Staff </w:t>
            </w:r>
            <w:r w:rsidRPr="00D6083E">
              <w:rPr>
                <w:rFonts w:cs="Arial"/>
                <w:b/>
                <w:bCs/>
                <w:szCs w:val="24"/>
              </w:rPr>
              <w:br/>
              <w:t xml:space="preserve">Augmentation FTEs </w:t>
            </w:r>
          </w:p>
        </w:tc>
      </w:tr>
      <w:tr w:rsidR="00AC40FC" w:rsidRPr="00E33F2E" w:rsidTr="00581946">
        <w:trPr>
          <w:trHeight w:val="300"/>
          <w:jc w:val="center"/>
        </w:trPr>
        <w:tc>
          <w:tcPr>
            <w:tcW w:w="0" w:type="auto"/>
            <w:gridSpan w:val="3"/>
            <w:tcBorders>
              <w:top w:val="single" w:sz="8" w:space="0" w:color="auto"/>
              <w:left w:val="single" w:sz="8" w:space="0" w:color="auto"/>
              <w:bottom w:val="single" w:sz="8" w:space="0" w:color="auto"/>
              <w:right w:val="single" w:sz="8" w:space="0" w:color="auto"/>
            </w:tcBorders>
            <w:shd w:val="clear" w:color="auto" w:fill="auto"/>
            <w:vAlign w:val="center"/>
          </w:tcPr>
          <w:p w:rsidR="00AC40FC" w:rsidRPr="00182BF2" w:rsidRDefault="00AC40FC" w:rsidP="00581946">
            <w:pPr>
              <w:spacing w:after="0"/>
              <w:jc w:val="left"/>
              <w:rPr>
                <w:rFonts w:cs="Arial"/>
                <w:b/>
                <w:color w:val="000000"/>
              </w:rPr>
            </w:pPr>
            <w:r>
              <w:rPr>
                <w:rFonts w:cs="Arial"/>
                <w:b/>
                <w:color w:val="000000"/>
              </w:rPr>
              <w:t>Leadership and Administration</w:t>
            </w:r>
          </w:p>
        </w:tc>
      </w:tr>
      <w:tr w:rsidR="00AC40FC" w:rsidRPr="00E33F2E" w:rsidTr="00581946">
        <w:trPr>
          <w:trHeight w:val="30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AC40FC" w:rsidRPr="009678DA" w:rsidRDefault="00AC40FC" w:rsidP="00581946">
            <w:pPr>
              <w:spacing w:after="0"/>
              <w:jc w:val="center"/>
              <w:rPr>
                <w:rFonts w:cs="Arial"/>
                <w:color w:val="000000"/>
              </w:rPr>
            </w:pPr>
            <w:r>
              <w:rPr>
                <w:rFonts w:cs="Arial"/>
                <w:color w:val="000000"/>
              </w:rPr>
              <w:t>0479</w:t>
            </w:r>
          </w:p>
        </w:tc>
        <w:tc>
          <w:tcPr>
            <w:tcW w:w="0" w:type="auto"/>
            <w:tcBorders>
              <w:top w:val="nil"/>
              <w:left w:val="nil"/>
              <w:bottom w:val="single" w:sz="4" w:space="0" w:color="auto"/>
              <w:right w:val="single" w:sz="4" w:space="0" w:color="auto"/>
            </w:tcBorders>
            <w:shd w:val="clear" w:color="auto" w:fill="auto"/>
            <w:vAlign w:val="center"/>
            <w:hideMark/>
          </w:tcPr>
          <w:p w:rsidR="00AC40FC" w:rsidRPr="009678DA" w:rsidRDefault="00AC40FC" w:rsidP="00581946">
            <w:pPr>
              <w:spacing w:after="0"/>
              <w:jc w:val="left"/>
              <w:rPr>
                <w:rFonts w:cs="Arial"/>
                <w:color w:val="000000"/>
              </w:rPr>
            </w:pPr>
            <w:r>
              <w:t>Vegetation Management</w:t>
            </w:r>
          </w:p>
        </w:tc>
        <w:tc>
          <w:tcPr>
            <w:tcW w:w="0" w:type="auto"/>
            <w:tcBorders>
              <w:top w:val="nil"/>
              <w:left w:val="nil"/>
              <w:bottom w:val="single" w:sz="4" w:space="0" w:color="auto"/>
              <w:right w:val="single" w:sz="8" w:space="0" w:color="auto"/>
            </w:tcBorders>
            <w:shd w:val="clear" w:color="auto" w:fill="auto"/>
            <w:vAlign w:val="center"/>
          </w:tcPr>
          <w:p w:rsidR="00AC40FC" w:rsidRPr="002A37C6" w:rsidRDefault="00AC40FC" w:rsidP="00581946">
            <w:pPr>
              <w:spacing w:after="0"/>
              <w:jc w:val="center"/>
              <w:rPr>
                <w:rFonts w:cs="Arial"/>
                <w:color w:val="000000"/>
              </w:rPr>
            </w:pPr>
            <w:r>
              <w:rPr>
                <w:rFonts w:cs="Arial"/>
                <w:color w:val="000000"/>
              </w:rPr>
              <w:t>3</w:t>
            </w:r>
          </w:p>
        </w:tc>
      </w:tr>
      <w:tr w:rsidR="00AC40FC" w:rsidRPr="00E33F2E" w:rsidTr="00581946">
        <w:trPr>
          <w:trHeight w:val="300"/>
          <w:jc w:val="center"/>
        </w:trPr>
        <w:tc>
          <w:tcPr>
            <w:tcW w:w="0" w:type="auto"/>
            <w:gridSpan w:val="3"/>
            <w:tcBorders>
              <w:top w:val="nil"/>
              <w:left w:val="single" w:sz="8" w:space="0" w:color="auto"/>
              <w:bottom w:val="single" w:sz="4" w:space="0" w:color="auto"/>
              <w:right w:val="single" w:sz="8" w:space="0" w:color="auto"/>
            </w:tcBorders>
            <w:shd w:val="clear" w:color="auto" w:fill="auto"/>
            <w:noWrap/>
            <w:vAlign w:val="center"/>
          </w:tcPr>
          <w:p w:rsidR="00AC40FC" w:rsidRDefault="00AC40FC" w:rsidP="00581946">
            <w:pPr>
              <w:spacing w:after="0"/>
              <w:jc w:val="left"/>
              <w:rPr>
                <w:rFonts w:cs="Arial"/>
                <w:color w:val="000000"/>
              </w:rPr>
            </w:pPr>
            <w:r>
              <w:rPr>
                <w:rFonts w:cs="Arial"/>
                <w:b/>
                <w:bCs/>
                <w:color w:val="000000"/>
              </w:rPr>
              <w:t>Distribution Asset Management</w:t>
            </w:r>
          </w:p>
        </w:tc>
      </w:tr>
      <w:tr w:rsidR="00AC40FC" w:rsidRPr="00E33F2E" w:rsidTr="00581946">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C40FC" w:rsidRPr="00E33F2E" w:rsidRDefault="00AC40FC" w:rsidP="00581946">
            <w:pPr>
              <w:spacing w:after="0"/>
              <w:jc w:val="center"/>
              <w:rPr>
                <w:rFonts w:cs="Arial"/>
                <w:color w:val="000000"/>
                <w:szCs w:val="24"/>
              </w:rPr>
            </w:pPr>
            <w:r>
              <w:rPr>
                <w:rFonts w:cs="Arial"/>
                <w:color w:val="000000"/>
                <w:szCs w:val="24"/>
              </w:rPr>
              <w:t>0402</w:t>
            </w:r>
          </w:p>
        </w:tc>
        <w:tc>
          <w:tcPr>
            <w:tcW w:w="0" w:type="auto"/>
            <w:tcBorders>
              <w:top w:val="nil"/>
              <w:left w:val="nil"/>
              <w:bottom w:val="single" w:sz="4" w:space="0" w:color="auto"/>
              <w:right w:val="single" w:sz="4" w:space="0" w:color="auto"/>
            </w:tcBorders>
            <w:shd w:val="clear" w:color="auto" w:fill="auto"/>
            <w:noWrap/>
            <w:vAlign w:val="center"/>
          </w:tcPr>
          <w:p w:rsidR="00AC40FC" w:rsidRPr="00BB30F7" w:rsidRDefault="00AC40FC" w:rsidP="00581946">
            <w:pPr>
              <w:spacing w:after="0"/>
              <w:jc w:val="left"/>
              <w:rPr>
                <w:rFonts w:cs="Arial"/>
                <w:color w:val="000000"/>
              </w:rPr>
            </w:pPr>
            <w:r w:rsidRPr="003750EE">
              <w:rPr>
                <w:rFonts w:cs="Arial"/>
                <w:bCs/>
                <w:color w:val="000000"/>
              </w:rPr>
              <w:t>Distribution Asset Management</w:t>
            </w:r>
          </w:p>
        </w:tc>
        <w:tc>
          <w:tcPr>
            <w:tcW w:w="0" w:type="auto"/>
            <w:tcBorders>
              <w:top w:val="nil"/>
              <w:left w:val="nil"/>
              <w:bottom w:val="single" w:sz="4" w:space="0" w:color="auto"/>
              <w:right w:val="single" w:sz="8" w:space="0" w:color="auto"/>
            </w:tcBorders>
            <w:shd w:val="clear" w:color="auto" w:fill="auto"/>
            <w:noWrap/>
            <w:vAlign w:val="center"/>
          </w:tcPr>
          <w:p w:rsidR="00AC40FC" w:rsidRPr="00BB30F7" w:rsidRDefault="00AC40FC" w:rsidP="00581946">
            <w:pPr>
              <w:spacing w:after="0"/>
              <w:jc w:val="center"/>
              <w:rPr>
                <w:rFonts w:cs="Arial"/>
                <w:color w:val="000000"/>
              </w:rPr>
            </w:pPr>
            <w:r>
              <w:rPr>
                <w:rFonts w:cs="Arial"/>
                <w:color w:val="000000"/>
              </w:rPr>
              <w:t>5</w:t>
            </w:r>
          </w:p>
        </w:tc>
      </w:tr>
      <w:tr w:rsidR="00AC40FC" w:rsidRPr="00E33F2E" w:rsidTr="00581946">
        <w:trPr>
          <w:trHeight w:val="300"/>
          <w:jc w:val="center"/>
        </w:trPr>
        <w:tc>
          <w:tcPr>
            <w:tcW w:w="0" w:type="auto"/>
            <w:gridSpan w:val="3"/>
            <w:tcBorders>
              <w:top w:val="nil"/>
              <w:left w:val="single" w:sz="8" w:space="0" w:color="auto"/>
              <w:bottom w:val="single" w:sz="4" w:space="0" w:color="auto"/>
              <w:right w:val="single" w:sz="8" w:space="0" w:color="auto"/>
            </w:tcBorders>
            <w:shd w:val="clear" w:color="auto" w:fill="auto"/>
            <w:noWrap/>
            <w:vAlign w:val="center"/>
          </w:tcPr>
          <w:p w:rsidR="00AC40FC" w:rsidRPr="002A1C89" w:rsidRDefault="00AC40FC" w:rsidP="00581946">
            <w:pPr>
              <w:spacing w:after="0"/>
              <w:jc w:val="left"/>
              <w:rPr>
                <w:rFonts w:cs="Arial"/>
                <w:b/>
                <w:color w:val="000000"/>
                <w:szCs w:val="24"/>
              </w:rPr>
            </w:pPr>
            <w:r w:rsidRPr="002A1C89">
              <w:rPr>
                <w:rFonts w:cs="Arial"/>
                <w:b/>
                <w:color w:val="000000"/>
                <w:szCs w:val="24"/>
              </w:rPr>
              <w:t>Distribution Engineering</w:t>
            </w:r>
          </w:p>
        </w:tc>
      </w:tr>
      <w:tr w:rsidR="00AC40FC" w:rsidRPr="00E33F2E" w:rsidTr="00581946">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rsidR="00AC40FC" w:rsidRPr="00E33F2E" w:rsidRDefault="00AC40FC" w:rsidP="00581946">
            <w:pPr>
              <w:spacing w:after="0"/>
              <w:jc w:val="center"/>
              <w:rPr>
                <w:rFonts w:cs="Arial"/>
                <w:color w:val="000000"/>
                <w:szCs w:val="24"/>
              </w:rPr>
            </w:pPr>
            <w:r>
              <w:rPr>
                <w:rFonts w:cs="Arial"/>
                <w:color w:val="000000"/>
              </w:rPr>
              <w:t>0665</w:t>
            </w:r>
          </w:p>
        </w:tc>
        <w:tc>
          <w:tcPr>
            <w:tcW w:w="0" w:type="auto"/>
            <w:tcBorders>
              <w:top w:val="nil"/>
              <w:left w:val="nil"/>
              <w:bottom w:val="single" w:sz="4" w:space="0" w:color="auto"/>
              <w:right w:val="single" w:sz="4" w:space="0" w:color="auto"/>
            </w:tcBorders>
            <w:shd w:val="clear" w:color="auto" w:fill="auto"/>
            <w:noWrap/>
            <w:vAlign w:val="center"/>
          </w:tcPr>
          <w:p w:rsidR="00AC40FC" w:rsidRPr="00AD57A0" w:rsidRDefault="00AC40FC" w:rsidP="00581946">
            <w:pPr>
              <w:spacing w:after="0"/>
              <w:jc w:val="left"/>
              <w:rPr>
                <w:rFonts w:cs="Arial"/>
                <w:color w:val="000000"/>
                <w:szCs w:val="24"/>
              </w:rPr>
            </w:pPr>
            <w:r w:rsidRPr="00AD57A0">
              <w:rPr>
                <w:rFonts w:cs="Arial"/>
                <w:color w:val="000000"/>
                <w:szCs w:val="24"/>
              </w:rPr>
              <w:t>Relay Test</w:t>
            </w:r>
          </w:p>
        </w:tc>
        <w:tc>
          <w:tcPr>
            <w:tcW w:w="0" w:type="auto"/>
            <w:tcBorders>
              <w:top w:val="nil"/>
              <w:left w:val="nil"/>
              <w:bottom w:val="single" w:sz="4" w:space="0" w:color="auto"/>
              <w:right w:val="single" w:sz="8" w:space="0" w:color="auto"/>
            </w:tcBorders>
            <w:shd w:val="clear" w:color="auto" w:fill="auto"/>
            <w:noWrap/>
            <w:vAlign w:val="center"/>
          </w:tcPr>
          <w:p w:rsidR="00AC40FC" w:rsidRPr="00AD57A0" w:rsidRDefault="00AC40FC" w:rsidP="00581946">
            <w:pPr>
              <w:spacing w:after="0"/>
              <w:jc w:val="center"/>
              <w:rPr>
                <w:rFonts w:cs="Arial"/>
                <w:color w:val="000000"/>
                <w:szCs w:val="24"/>
              </w:rPr>
            </w:pPr>
            <w:r>
              <w:rPr>
                <w:rFonts w:cs="Arial"/>
                <w:color w:val="000000"/>
                <w:szCs w:val="24"/>
              </w:rPr>
              <w:t>5</w:t>
            </w:r>
          </w:p>
        </w:tc>
      </w:tr>
      <w:tr w:rsidR="00AC40FC" w:rsidRPr="00E33F2E" w:rsidTr="00581946">
        <w:trPr>
          <w:trHeight w:val="315"/>
          <w:jc w:val="center"/>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AC40FC" w:rsidRPr="00E33F2E" w:rsidRDefault="00AC40FC" w:rsidP="00581946">
            <w:pPr>
              <w:spacing w:after="0"/>
              <w:jc w:val="center"/>
              <w:rPr>
                <w:rFonts w:cs="Arial"/>
                <w:color w:val="000000"/>
                <w:szCs w:val="24"/>
              </w:rPr>
            </w:pPr>
            <w:r>
              <w:rPr>
                <w:rFonts w:cs="Arial"/>
                <w:color w:val="000000"/>
              </w:rPr>
              <w:t>0888</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C40FC" w:rsidRPr="00AD57A0" w:rsidRDefault="00AC40FC" w:rsidP="00581946">
            <w:pPr>
              <w:spacing w:after="0"/>
              <w:jc w:val="left"/>
              <w:rPr>
                <w:rFonts w:cs="Arial"/>
                <w:color w:val="000000"/>
                <w:szCs w:val="24"/>
              </w:rPr>
            </w:pPr>
            <w:r w:rsidRPr="00AD57A0">
              <w:rPr>
                <w:rFonts w:cs="Arial"/>
                <w:color w:val="000000"/>
                <w:szCs w:val="24"/>
              </w:rPr>
              <w:t xml:space="preserve">Distribution Design </w:t>
            </w:r>
            <w:r>
              <w:rPr>
                <w:rFonts w:cs="Arial"/>
                <w:color w:val="000000"/>
                <w:szCs w:val="24"/>
              </w:rPr>
              <w:t>and</w:t>
            </w:r>
            <w:r w:rsidRPr="00AD57A0">
              <w:rPr>
                <w:rFonts w:cs="Arial"/>
                <w:color w:val="000000"/>
                <w:szCs w:val="24"/>
              </w:rPr>
              <w:t xml:space="preserve"> Standards</w:t>
            </w:r>
          </w:p>
        </w:tc>
        <w:tc>
          <w:tcPr>
            <w:tcW w:w="0" w:type="auto"/>
            <w:tcBorders>
              <w:top w:val="single" w:sz="4" w:space="0" w:color="auto"/>
              <w:left w:val="nil"/>
              <w:bottom w:val="single" w:sz="4" w:space="0" w:color="auto"/>
              <w:right w:val="single" w:sz="8" w:space="0" w:color="auto"/>
            </w:tcBorders>
            <w:shd w:val="clear" w:color="auto" w:fill="auto"/>
            <w:noWrap/>
            <w:vAlign w:val="center"/>
          </w:tcPr>
          <w:p w:rsidR="00AC40FC" w:rsidRPr="00AD57A0" w:rsidRDefault="00AC40FC" w:rsidP="00581946">
            <w:pPr>
              <w:spacing w:after="0"/>
              <w:jc w:val="center"/>
              <w:rPr>
                <w:rFonts w:cs="Arial"/>
                <w:color w:val="000000"/>
                <w:szCs w:val="24"/>
              </w:rPr>
            </w:pPr>
            <w:r>
              <w:rPr>
                <w:rFonts w:cs="Arial"/>
                <w:color w:val="000000"/>
                <w:szCs w:val="24"/>
              </w:rPr>
              <w:t>1</w:t>
            </w:r>
          </w:p>
        </w:tc>
      </w:tr>
      <w:tr w:rsidR="00AC40FC" w:rsidRPr="00E33F2E" w:rsidTr="00581946">
        <w:trPr>
          <w:trHeight w:val="300"/>
          <w:jc w:val="center"/>
        </w:trPr>
        <w:tc>
          <w:tcPr>
            <w:tcW w:w="0" w:type="auto"/>
            <w:gridSpan w:val="3"/>
            <w:tcBorders>
              <w:top w:val="nil"/>
              <w:left w:val="single" w:sz="8" w:space="0" w:color="auto"/>
              <w:bottom w:val="single" w:sz="4" w:space="0" w:color="auto"/>
              <w:right w:val="single" w:sz="8" w:space="0" w:color="auto"/>
            </w:tcBorders>
            <w:shd w:val="clear" w:color="auto" w:fill="auto"/>
            <w:noWrap/>
            <w:vAlign w:val="center"/>
          </w:tcPr>
          <w:p w:rsidR="00AC40FC" w:rsidRPr="002A1C89" w:rsidRDefault="00AC40FC" w:rsidP="00581946">
            <w:pPr>
              <w:spacing w:after="0"/>
              <w:jc w:val="left"/>
              <w:rPr>
                <w:rFonts w:cs="Arial"/>
                <w:b/>
                <w:color w:val="000000"/>
                <w:szCs w:val="24"/>
              </w:rPr>
            </w:pPr>
            <w:r>
              <w:rPr>
                <w:rFonts w:cs="Arial"/>
                <w:b/>
                <w:color w:val="000000"/>
                <w:szCs w:val="24"/>
              </w:rPr>
              <w:t>Project and Construction Management</w:t>
            </w:r>
          </w:p>
        </w:tc>
      </w:tr>
      <w:tr w:rsidR="00AC40FC" w:rsidRPr="00E33F2E" w:rsidTr="00581946">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rsidR="00AC40FC" w:rsidRPr="00E33F2E" w:rsidRDefault="00AC40FC" w:rsidP="00581946">
            <w:pPr>
              <w:spacing w:after="0"/>
              <w:jc w:val="center"/>
              <w:rPr>
                <w:rFonts w:cs="Arial"/>
                <w:color w:val="000000"/>
                <w:szCs w:val="24"/>
              </w:rPr>
            </w:pPr>
            <w:r>
              <w:rPr>
                <w:rFonts w:cs="Arial"/>
                <w:color w:val="000000"/>
              </w:rPr>
              <w:t>0475</w:t>
            </w:r>
          </w:p>
        </w:tc>
        <w:tc>
          <w:tcPr>
            <w:tcW w:w="0" w:type="auto"/>
            <w:tcBorders>
              <w:top w:val="nil"/>
              <w:left w:val="nil"/>
              <w:bottom w:val="single" w:sz="4" w:space="0" w:color="auto"/>
              <w:right w:val="single" w:sz="4" w:space="0" w:color="auto"/>
            </w:tcBorders>
            <w:shd w:val="clear" w:color="auto" w:fill="auto"/>
            <w:noWrap/>
            <w:vAlign w:val="center"/>
          </w:tcPr>
          <w:p w:rsidR="00AC40FC" w:rsidRPr="00BB30F7" w:rsidRDefault="00AC40FC" w:rsidP="00581946">
            <w:pPr>
              <w:spacing w:after="0"/>
              <w:jc w:val="left"/>
              <w:rPr>
                <w:rFonts w:cs="Arial"/>
                <w:color w:val="000000"/>
                <w:szCs w:val="24"/>
              </w:rPr>
            </w:pPr>
            <w:r w:rsidRPr="003750EE">
              <w:rPr>
                <w:rFonts w:cs="Arial"/>
                <w:bCs/>
                <w:color w:val="000000"/>
                <w:szCs w:val="24"/>
              </w:rPr>
              <w:t xml:space="preserve">Project </w:t>
            </w:r>
            <w:r>
              <w:rPr>
                <w:rFonts w:cs="Arial"/>
                <w:bCs/>
                <w:color w:val="000000"/>
                <w:szCs w:val="24"/>
              </w:rPr>
              <w:t>and</w:t>
            </w:r>
            <w:r w:rsidRPr="003750EE">
              <w:rPr>
                <w:rFonts w:cs="Arial"/>
                <w:bCs/>
                <w:color w:val="000000"/>
                <w:szCs w:val="24"/>
              </w:rPr>
              <w:t xml:space="preserve"> Construction Management</w:t>
            </w:r>
          </w:p>
        </w:tc>
        <w:tc>
          <w:tcPr>
            <w:tcW w:w="0" w:type="auto"/>
            <w:tcBorders>
              <w:top w:val="nil"/>
              <w:left w:val="nil"/>
              <w:bottom w:val="single" w:sz="4" w:space="0" w:color="auto"/>
              <w:right w:val="single" w:sz="8" w:space="0" w:color="auto"/>
            </w:tcBorders>
            <w:shd w:val="clear" w:color="auto" w:fill="auto"/>
            <w:noWrap/>
            <w:vAlign w:val="center"/>
          </w:tcPr>
          <w:p w:rsidR="00AC40FC" w:rsidRPr="00BB30F7" w:rsidRDefault="00AC40FC" w:rsidP="00581946">
            <w:pPr>
              <w:spacing w:after="0"/>
              <w:jc w:val="center"/>
              <w:rPr>
                <w:rFonts w:cs="Arial"/>
                <w:color w:val="000000"/>
                <w:szCs w:val="24"/>
              </w:rPr>
            </w:pPr>
            <w:r>
              <w:rPr>
                <w:rFonts w:cs="Arial"/>
                <w:color w:val="000000"/>
                <w:szCs w:val="24"/>
              </w:rPr>
              <w:t>9</w:t>
            </w:r>
          </w:p>
        </w:tc>
      </w:tr>
      <w:tr w:rsidR="00AC40FC" w:rsidRPr="00E33F2E" w:rsidTr="00581946">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rsidR="00AC40FC" w:rsidRPr="00E33F2E" w:rsidRDefault="00AC40FC" w:rsidP="00581946">
            <w:pPr>
              <w:spacing w:after="0"/>
              <w:jc w:val="center"/>
              <w:rPr>
                <w:rFonts w:cs="Arial"/>
                <w:color w:val="000000"/>
                <w:szCs w:val="24"/>
              </w:rPr>
            </w:pPr>
            <w:r>
              <w:rPr>
                <w:rFonts w:cs="Arial"/>
                <w:color w:val="000000"/>
              </w:rPr>
              <w:t>0478</w:t>
            </w:r>
          </w:p>
        </w:tc>
        <w:tc>
          <w:tcPr>
            <w:tcW w:w="0" w:type="auto"/>
            <w:tcBorders>
              <w:top w:val="nil"/>
              <w:left w:val="nil"/>
              <w:bottom w:val="single" w:sz="4" w:space="0" w:color="auto"/>
              <w:right w:val="single" w:sz="4" w:space="0" w:color="auto"/>
            </w:tcBorders>
            <w:shd w:val="clear" w:color="auto" w:fill="auto"/>
            <w:noWrap/>
            <w:vAlign w:val="center"/>
          </w:tcPr>
          <w:p w:rsidR="00AC40FC" w:rsidRPr="00BB30F7" w:rsidRDefault="00AC40FC" w:rsidP="00581946">
            <w:pPr>
              <w:spacing w:after="0"/>
              <w:jc w:val="left"/>
              <w:rPr>
                <w:rFonts w:cs="Arial"/>
                <w:color w:val="000000"/>
                <w:szCs w:val="24"/>
              </w:rPr>
            </w:pPr>
            <w:r w:rsidRPr="003750EE">
              <w:rPr>
                <w:rFonts w:cs="Arial"/>
                <w:color w:val="000000"/>
                <w:szCs w:val="24"/>
              </w:rPr>
              <w:t>Attachments &amp; Telecomm Business</w:t>
            </w:r>
          </w:p>
        </w:tc>
        <w:tc>
          <w:tcPr>
            <w:tcW w:w="0" w:type="auto"/>
            <w:tcBorders>
              <w:top w:val="nil"/>
              <w:left w:val="nil"/>
              <w:bottom w:val="single" w:sz="4" w:space="0" w:color="auto"/>
              <w:right w:val="single" w:sz="8" w:space="0" w:color="auto"/>
            </w:tcBorders>
            <w:shd w:val="clear" w:color="auto" w:fill="auto"/>
            <w:noWrap/>
            <w:vAlign w:val="center"/>
          </w:tcPr>
          <w:p w:rsidR="00AC40FC" w:rsidRPr="00BB30F7" w:rsidRDefault="00AC40FC" w:rsidP="00581946">
            <w:pPr>
              <w:spacing w:after="0"/>
              <w:jc w:val="center"/>
              <w:rPr>
                <w:rFonts w:cs="Arial"/>
                <w:color w:val="000000"/>
                <w:szCs w:val="24"/>
              </w:rPr>
            </w:pPr>
            <w:r>
              <w:rPr>
                <w:rFonts w:cs="Arial"/>
                <w:color w:val="000000"/>
                <w:szCs w:val="24"/>
              </w:rPr>
              <w:t>1</w:t>
            </w:r>
          </w:p>
        </w:tc>
      </w:tr>
      <w:tr w:rsidR="00AC40FC" w:rsidRPr="00E33F2E" w:rsidTr="00581946">
        <w:trPr>
          <w:trHeight w:val="300"/>
          <w:jc w:val="center"/>
        </w:trPr>
        <w:tc>
          <w:tcPr>
            <w:tcW w:w="0" w:type="auto"/>
            <w:gridSpan w:val="3"/>
            <w:tcBorders>
              <w:top w:val="nil"/>
              <w:left w:val="single" w:sz="8" w:space="0" w:color="auto"/>
              <w:bottom w:val="single" w:sz="4" w:space="0" w:color="auto"/>
              <w:right w:val="single" w:sz="8" w:space="0" w:color="auto"/>
            </w:tcBorders>
            <w:shd w:val="clear" w:color="auto" w:fill="auto"/>
            <w:noWrap/>
            <w:vAlign w:val="center"/>
          </w:tcPr>
          <w:p w:rsidR="00AC40FC" w:rsidRPr="002A1C89" w:rsidRDefault="00AC40FC" w:rsidP="00581946">
            <w:pPr>
              <w:spacing w:after="0"/>
              <w:jc w:val="left"/>
              <w:rPr>
                <w:rFonts w:cs="Arial"/>
                <w:b/>
                <w:color w:val="000000"/>
                <w:szCs w:val="24"/>
              </w:rPr>
            </w:pPr>
            <w:r>
              <w:rPr>
                <w:rFonts w:cs="Arial"/>
                <w:b/>
                <w:color w:val="000000"/>
                <w:szCs w:val="24"/>
              </w:rPr>
              <w:t>Respond to Customer</w:t>
            </w:r>
          </w:p>
        </w:tc>
      </w:tr>
      <w:tr w:rsidR="00AC40FC" w:rsidRPr="00E33F2E" w:rsidTr="00581946">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rsidR="00AC40FC" w:rsidRPr="00E33F2E" w:rsidRDefault="00AC40FC" w:rsidP="00581946">
            <w:pPr>
              <w:spacing w:after="0"/>
              <w:jc w:val="center"/>
              <w:rPr>
                <w:rFonts w:cs="Arial"/>
                <w:color w:val="000000"/>
                <w:szCs w:val="24"/>
              </w:rPr>
            </w:pPr>
            <w:r>
              <w:rPr>
                <w:rFonts w:cs="Arial"/>
                <w:color w:val="000000"/>
              </w:rPr>
              <w:t>0481</w:t>
            </w:r>
          </w:p>
        </w:tc>
        <w:tc>
          <w:tcPr>
            <w:tcW w:w="0" w:type="auto"/>
            <w:tcBorders>
              <w:top w:val="nil"/>
              <w:left w:val="nil"/>
              <w:bottom w:val="single" w:sz="4" w:space="0" w:color="auto"/>
              <w:right w:val="single" w:sz="4" w:space="0" w:color="auto"/>
            </w:tcBorders>
            <w:shd w:val="clear" w:color="auto" w:fill="auto"/>
            <w:noWrap/>
            <w:vAlign w:val="center"/>
          </w:tcPr>
          <w:p w:rsidR="00AC40FC" w:rsidRPr="00BB30F7" w:rsidRDefault="00AC40FC" w:rsidP="00581946">
            <w:pPr>
              <w:spacing w:after="0"/>
              <w:jc w:val="left"/>
              <w:rPr>
                <w:rFonts w:cs="Arial"/>
                <w:color w:val="000000"/>
                <w:szCs w:val="24"/>
              </w:rPr>
            </w:pPr>
            <w:r w:rsidRPr="003750EE">
              <w:rPr>
                <w:rFonts w:cs="Arial"/>
                <w:bCs/>
                <w:color w:val="000000"/>
                <w:szCs w:val="24"/>
              </w:rPr>
              <w:t>Respond To Customer</w:t>
            </w:r>
          </w:p>
        </w:tc>
        <w:tc>
          <w:tcPr>
            <w:tcW w:w="0" w:type="auto"/>
            <w:tcBorders>
              <w:top w:val="nil"/>
              <w:left w:val="nil"/>
              <w:bottom w:val="single" w:sz="4" w:space="0" w:color="auto"/>
              <w:right w:val="single" w:sz="8" w:space="0" w:color="auto"/>
            </w:tcBorders>
            <w:shd w:val="clear" w:color="auto" w:fill="auto"/>
            <w:noWrap/>
            <w:vAlign w:val="center"/>
          </w:tcPr>
          <w:p w:rsidR="00AC40FC" w:rsidRPr="00BB30F7" w:rsidRDefault="00AC40FC" w:rsidP="00581946">
            <w:pPr>
              <w:spacing w:after="0"/>
              <w:jc w:val="center"/>
              <w:rPr>
                <w:rFonts w:cs="Arial"/>
                <w:color w:val="000000"/>
                <w:szCs w:val="24"/>
              </w:rPr>
            </w:pPr>
            <w:r>
              <w:rPr>
                <w:rFonts w:cs="Arial"/>
                <w:color w:val="000000"/>
                <w:szCs w:val="24"/>
              </w:rPr>
              <w:t>2</w:t>
            </w:r>
          </w:p>
        </w:tc>
      </w:tr>
      <w:tr w:rsidR="00AC40FC" w:rsidRPr="00E33F2E" w:rsidTr="00581946">
        <w:trPr>
          <w:trHeight w:val="300"/>
          <w:jc w:val="center"/>
        </w:trPr>
        <w:tc>
          <w:tcPr>
            <w:tcW w:w="0" w:type="auto"/>
            <w:gridSpan w:val="3"/>
            <w:tcBorders>
              <w:top w:val="nil"/>
              <w:left w:val="single" w:sz="8" w:space="0" w:color="auto"/>
              <w:bottom w:val="single" w:sz="4" w:space="0" w:color="auto"/>
              <w:right w:val="single" w:sz="8" w:space="0" w:color="auto"/>
            </w:tcBorders>
            <w:shd w:val="clear" w:color="auto" w:fill="auto"/>
            <w:noWrap/>
            <w:vAlign w:val="center"/>
          </w:tcPr>
          <w:p w:rsidR="00AC40FC" w:rsidRPr="002A1C89" w:rsidRDefault="00AC40FC" w:rsidP="00581946">
            <w:pPr>
              <w:spacing w:after="0"/>
              <w:jc w:val="left"/>
              <w:rPr>
                <w:rFonts w:cs="Arial"/>
                <w:b/>
                <w:color w:val="000000"/>
                <w:szCs w:val="24"/>
              </w:rPr>
            </w:pPr>
            <w:r w:rsidRPr="002A1C89">
              <w:rPr>
                <w:rFonts w:cs="Arial"/>
                <w:b/>
                <w:bCs/>
                <w:color w:val="000000"/>
                <w:szCs w:val="24"/>
              </w:rPr>
              <w:t>Transportation Services</w:t>
            </w:r>
          </w:p>
        </w:tc>
      </w:tr>
      <w:tr w:rsidR="00AC40FC" w:rsidRPr="00E33F2E" w:rsidTr="00581946">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rsidR="00AC40FC" w:rsidRPr="00E33F2E" w:rsidRDefault="00AC40FC" w:rsidP="00581946">
            <w:pPr>
              <w:spacing w:after="0"/>
              <w:jc w:val="center"/>
              <w:rPr>
                <w:rFonts w:cs="Arial"/>
                <w:color w:val="000000"/>
                <w:szCs w:val="24"/>
              </w:rPr>
            </w:pPr>
            <w:r>
              <w:rPr>
                <w:rFonts w:cs="Arial"/>
                <w:color w:val="000000"/>
              </w:rPr>
              <w:t>0592</w:t>
            </w:r>
          </w:p>
        </w:tc>
        <w:tc>
          <w:tcPr>
            <w:tcW w:w="0" w:type="auto"/>
            <w:tcBorders>
              <w:top w:val="nil"/>
              <w:left w:val="nil"/>
              <w:bottom w:val="single" w:sz="4" w:space="0" w:color="auto"/>
              <w:right w:val="single" w:sz="4" w:space="0" w:color="auto"/>
            </w:tcBorders>
            <w:shd w:val="clear" w:color="auto" w:fill="auto"/>
            <w:noWrap/>
            <w:vAlign w:val="center"/>
          </w:tcPr>
          <w:p w:rsidR="00AC40FC" w:rsidRPr="00AD57A0" w:rsidRDefault="00AC40FC" w:rsidP="00581946">
            <w:pPr>
              <w:spacing w:after="0"/>
              <w:jc w:val="left"/>
              <w:rPr>
                <w:rFonts w:cs="Arial"/>
                <w:color w:val="000000"/>
                <w:szCs w:val="24"/>
              </w:rPr>
            </w:pPr>
            <w:r w:rsidRPr="00AD57A0">
              <w:rPr>
                <w:rFonts w:cs="Arial"/>
                <w:color w:val="000000"/>
                <w:szCs w:val="24"/>
              </w:rPr>
              <w:t>Transportation - Hazleton Region</w:t>
            </w:r>
          </w:p>
        </w:tc>
        <w:tc>
          <w:tcPr>
            <w:tcW w:w="0" w:type="auto"/>
            <w:tcBorders>
              <w:top w:val="nil"/>
              <w:left w:val="nil"/>
              <w:bottom w:val="single" w:sz="4" w:space="0" w:color="auto"/>
              <w:right w:val="single" w:sz="8" w:space="0" w:color="auto"/>
            </w:tcBorders>
            <w:shd w:val="clear" w:color="auto" w:fill="auto"/>
            <w:noWrap/>
            <w:vAlign w:val="center"/>
          </w:tcPr>
          <w:p w:rsidR="00AC40FC" w:rsidRPr="00AD57A0" w:rsidRDefault="00AC40FC" w:rsidP="00581946">
            <w:pPr>
              <w:spacing w:after="0"/>
              <w:jc w:val="center"/>
              <w:rPr>
                <w:rFonts w:cs="Arial"/>
                <w:color w:val="000000"/>
                <w:szCs w:val="24"/>
              </w:rPr>
            </w:pPr>
            <w:r>
              <w:rPr>
                <w:rFonts w:cs="Arial"/>
                <w:color w:val="000000"/>
                <w:szCs w:val="24"/>
              </w:rPr>
              <w:t>5</w:t>
            </w:r>
          </w:p>
        </w:tc>
      </w:tr>
      <w:tr w:rsidR="00AC40FC" w:rsidRPr="00E33F2E" w:rsidTr="00581946">
        <w:trPr>
          <w:trHeight w:val="330"/>
          <w:jc w:val="center"/>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AC40FC" w:rsidRPr="00E33F2E" w:rsidRDefault="00AC40FC" w:rsidP="00581946">
            <w:pPr>
              <w:spacing w:after="0"/>
              <w:jc w:val="center"/>
              <w:rPr>
                <w:rFonts w:ascii="Calibri" w:hAnsi="Calibri"/>
                <w:color w:val="000000"/>
                <w:sz w:val="20"/>
                <w:szCs w:val="20"/>
              </w:rPr>
            </w:pP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AC40FC" w:rsidRPr="00E33F2E" w:rsidRDefault="00AC40FC" w:rsidP="00581946">
            <w:pPr>
              <w:spacing w:after="0"/>
              <w:jc w:val="center"/>
              <w:rPr>
                <w:rFonts w:cs="Arial"/>
                <w:b/>
                <w:bCs/>
                <w:color w:val="000000"/>
                <w:szCs w:val="24"/>
              </w:rPr>
            </w:pPr>
            <w:r w:rsidRPr="00E33F2E">
              <w:rPr>
                <w:rFonts w:cs="Arial"/>
                <w:b/>
                <w:bCs/>
                <w:color w:val="000000"/>
                <w:szCs w:val="24"/>
              </w:rPr>
              <w:t>Totals</w:t>
            </w:r>
          </w:p>
        </w:tc>
        <w:tc>
          <w:tcPr>
            <w:tcW w:w="0" w:type="auto"/>
            <w:tcBorders>
              <w:top w:val="single" w:sz="8" w:space="0" w:color="auto"/>
              <w:left w:val="nil"/>
              <w:bottom w:val="single" w:sz="8" w:space="0" w:color="auto"/>
              <w:right w:val="single" w:sz="8" w:space="0" w:color="auto"/>
            </w:tcBorders>
            <w:shd w:val="clear" w:color="auto" w:fill="auto"/>
            <w:vAlign w:val="center"/>
          </w:tcPr>
          <w:p w:rsidR="00AC40FC" w:rsidRPr="00F17825" w:rsidRDefault="00AC40FC" w:rsidP="00581946">
            <w:pPr>
              <w:spacing w:after="0"/>
              <w:jc w:val="center"/>
              <w:rPr>
                <w:rFonts w:cs="Arial"/>
                <w:b/>
                <w:szCs w:val="24"/>
              </w:rPr>
            </w:pPr>
            <w:r>
              <w:rPr>
                <w:rFonts w:cs="Arial"/>
                <w:b/>
                <w:szCs w:val="24"/>
              </w:rPr>
              <w:t>31</w:t>
            </w:r>
          </w:p>
        </w:tc>
      </w:tr>
      <w:tr w:rsidR="00AC40FC" w:rsidRPr="00E33F2E" w:rsidTr="00581946">
        <w:trPr>
          <w:trHeight w:val="330"/>
          <w:jc w:val="center"/>
        </w:trPr>
        <w:tc>
          <w:tcPr>
            <w:tcW w:w="0" w:type="auto"/>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rsidR="00AC40FC" w:rsidRPr="002E4DE5" w:rsidRDefault="00AC40FC" w:rsidP="00581946">
            <w:pPr>
              <w:spacing w:after="0"/>
              <w:jc w:val="left"/>
              <w:rPr>
                <w:rFonts w:cs="Arial"/>
                <w:szCs w:val="24"/>
              </w:rPr>
            </w:pPr>
            <w:r>
              <w:rPr>
                <w:rFonts w:cs="Arial"/>
                <w:szCs w:val="24"/>
              </w:rPr>
              <w:t>Source:  DN 18-002C</w:t>
            </w:r>
          </w:p>
        </w:tc>
      </w:tr>
    </w:tbl>
    <w:p w:rsidR="00AC40FC" w:rsidRPr="00F54023" w:rsidRDefault="00AC40FC" w:rsidP="00581946">
      <w:pPr>
        <w:pStyle w:val="Normal-aftertable"/>
      </w:pPr>
      <w:r w:rsidRPr="00B32A5B">
        <w:rPr>
          <w:b/>
        </w:rPr>
        <w:lastRenderedPageBreak/>
        <w:t>Vegetation Management.</w:t>
      </w:r>
      <w:r w:rsidRPr="00F54023">
        <w:t xml:space="preserve">  </w:t>
      </w:r>
      <w:r w:rsidRPr="00117A2A">
        <w:t xml:space="preserve">Two </w:t>
      </w:r>
      <w:r>
        <w:t xml:space="preserve">LCI </w:t>
      </w:r>
      <w:r w:rsidRPr="00117A2A">
        <w:t>contractors augment the staff</w:t>
      </w:r>
      <w:r>
        <w:t xml:space="preserve"> along with a contract analyst as of March 2016.</w:t>
      </w:r>
    </w:p>
    <w:p w:rsidR="00AC40FC" w:rsidRDefault="00AC40FC" w:rsidP="00581946">
      <w:pPr>
        <w:rPr>
          <w:rFonts w:cs="Arial"/>
          <w:szCs w:val="24"/>
        </w:rPr>
      </w:pPr>
      <w:r w:rsidRPr="00752F6E">
        <w:rPr>
          <w:rFonts w:cs="Arial"/>
          <w:b/>
          <w:szCs w:val="24"/>
        </w:rPr>
        <w:t>Distribution Asset Management.</w:t>
      </w:r>
      <w:r w:rsidRPr="00752F6E">
        <w:rPr>
          <w:rFonts w:cs="Arial"/>
          <w:szCs w:val="24"/>
        </w:rPr>
        <w:t xml:space="preserve">  Five contract project controls specialists are helping manage large projects.  These contractors will be reduced as the number of large projects declines.</w:t>
      </w:r>
    </w:p>
    <w:p w:rsidR="00AC40FC" w:rsidRDefault="00AC40FC" w:rsidP="00581946">
      <w:pPr>
        <w:rPr>
          <w:rFonts w:cs="Arial"/>
          <w:szCs w:val="24"/>
        </w:rPr>
      </w:pPr>
      <w:r w:rsidRPr="00747342">
        <w:rPr>
          <w:rFonts w:cs="Arial"/>
          <w:b/>
          <w:szCs w:val="24"/>
        </w:rPr>
        <w:t>Distribution Engineering.</w:t>
      </w:r>
      <w:r>
        <w:rPr>
          <w:rFonts w:cs="Arial"/>
          <w:szCs w:val="24"/>
        </w:rPr>
        <w:t xml:space="preserve">  Contractors are hired for most new substation transformer commissioning work.  </w:t>
      </w:r>
      <w:r w:rsidRPr="00B66B03">
        <w:t xml:space="preserve">Five contract employees are providing smart grid automation support in 2016.  </w:t>
      </w:r>
      <w:r w:rsidRPr="00B66B03">
        <w:rPr>
          <w:rFonts w:cs="Arial"/>
          <w:szCs w:val="24"/>
        </w:rPr>
        <w:t>Three part-time contractors (1 FTE) support the development of new standards sets.</w:t>
      </w:r>
    </w:p>
    <w:p w:rsidR="00AC40FC" w:rsidRDefault="00AC40FC" w:rsidP="00581946">
      <w:r w:rsidRPr="00B66B03">
        <w:rPr>
          <w:b/>
        </w:rPr>
        <w:t>Project and Construction Management.</w:t>
      </w:r>
      <w:r>
        <w:t xml:space="preserve">  As of March 2016, ten contractors were augmenting the Project Management staff, three were supporting Construction Management, one was supporting data entry into the NJUNS system, five project managers were supporting the project management group and a project coordinator was supporting the manager.</w:t>
      </w:r>
    </w:p>
    <w:p w:rsidR="00AC40FC" w:rsidRDefault="00AC40FC" w:rsidP="00581946">
      <w:pPr>
        <w:rPr>
          <w:rFonts w:cs="Arial"/>
          <w:szCs w:val="24"/>
        </w:rPr>
      </w:pPr>
      <w:r w:rsidRPr="006E75C1">
        <w:rPr>
          <w:rFonts w:cs="Arial"/>
          <w:b/>
          <w:szCs w:val="24"/>
        </w:rPr>
        <w:t>Respond to Customer.</w:t>
      </w:r>
      <w:r>
        <w:rPr>
          <w:rFonts w:cs="Arial"/>
          <w:szCs w:val="24"/>
        </w:rPr>
        <w:t xml:space="preserve">  Two contractors are currently helping with the increased Respond to Customer workload due to commissioning of the new distribution automation equipment being deployed in the system.  Two to three contract dispatchers are projected to be needed in 2016 to backfill for retiring employees until the vacancies have been filled.</w:t>
      </w:r>
    </w:p>
    <w:p w:rsidR="00AC40FC" w:rsidRPr="00571B85" w:rsidRDefault="00AC40FC" w:rsidP="00581946">
      <w:r w:rsidRPr="00571B85">
        <w:rPr>
          <w:b/>
        </w:rPr>
        <w:t>Region Operations</w:t>
      </w:r>
      <w:r w:rsidRPr="00571B85">
        <w:rPr>
          <w:rFonts w:cs="Arial"/>
          <w:b/>
          <w:szCs w:val="24"/>
        </w:rPr>
        <w:t>.</w:t>
      </w:r>
      <w:r w:rsidRPr="00571B85">
        <w:rPr>
          <w:rFonts w:cs="Arial"/>
          <w:szCs w:val="24"/>
        </w:rPr>
        <w:t xml:space="preserve">  </w:t>
      </w:r>
      <w:r w:rsidRPr="00571B85">
        <w:t>Contractors are augmenting the rights of way section staff in Harrisburg/Lancaster Region Operations.</w:t>
      </w:r>
    </w:p>
    <w:p w:rsidR="00AC40FC" w:rsidRPr="00571B85" w:rsidRDefault="00AC40FC" w:rsidP="00581946">
      <w:pPr>
        <w:rPr>
          <w:rFonts w:cs="Arial"/>
          <w:szCs w:val="24"/>
        </w:rPr>
      </w:pPr>
      <w:r>
        <w:rPr>
          <w:rFonts w:cs="Arial"/>
          <w:szCs w:val="24"/>
        </w:rPr>
        <w:t>Lehigh/Northeast</w:t>
      </w:r>
      <w:r w:rsidRPr="00571B85">
        <w:rPr>
          <w:rFonts w:cs="Arial"/>
          <w:szCs w:val="24"/>
        </w:rPr>
        <w:t xml:space="preserve"> Region Operations started using contractors to supplement the region design staff and reduce the amount of overtime in 2015</w:t>
      </w:r>
      <w:r>
        <w:rPr>
          <w:rFonts w:cs="Arial"/>
          <w:szCs w:val="24"/>
        </w:rPr>
        <w:t xml:space="preserve"> experienced by the in-house design personnel</w:t>
      </w:r>
      <w:r w:rsidRPr="00571B85">
        <w:rPr>
          <w:rFonts w:cs="Arial"/>
          <w:szCs w:val="24"/>
        </w:rPr>
        <w:t>.</w:t>
      </w:r>
    </w:p>
    <w:p w:rsidR="00AC40FC" w:rsidRDefault="00AC40FC" w:rsidP="00581946">
      <w:pPr>
        <w:rPr>
          <w:rFonts w:cs="Arial"/>
          <w:szCs w:val="24"/>
        </w:rPr>
      </w:pPr>
      <w:r w:rsidRPr="00571B85">
        <w:rPr>
          <w:rFonts w:cs="Arial"/>
          <w:b/>
          <w:szCs w:val="24"/>
        </w:rPr>
        <w:t>Technical Development and Improvement</w:t>
      </w:r>
      <w:r w:rsidRPr="00571B85">
        <w:rPr>
          <w:b/>
        </w:rPr>
        <w:t>.</w:t>
      </w:r>
      <w:r>
        <w:t xml:space="preserve">  </w:t>
      </w:r>
      <w:r>
        <w:rPr>
          <w:rFonts w:cs="Arial"/>
          <w:szCs w:val="24"/>
        </w:rPr>
        <w:t>TDI utilizes contractors to provide specialized services including occupational athletics for field workers; technical writing; industrial hygiene; environmental permitting support; underground cable locations; contractor safety; and training classes on CPR, first aid, asbestos, and other specialized classes.  The approximate full-time equivalent employee (FTE) equivalency for these specialized services over 2015 is:</w:t>
      </w:r>
    </w:p>
    <w:p w:rsidR="00AC40FC" w:rsidRDefault="00AC40FC" w:rsidP="00581946">
      <w:pPr>
        <w:pStyle w:val="Bullet"/>
      </w:pPr>
      <w:r>
        <w:t>Safety – occupational athletics, industrial hygienist, contractor safety – 6.25 FTEs</w:t>
      </w:r>
    </w:p>
    <w:p w:rsidR="00AC40FC" w:rsidRDefault="00AC40FC" w:rsidP="00581946">
      <w:pPr>
        <w:pStyle w:val="Bullet"/>
      </w:pPr>
      <w:r>
        <w:t>Training – 1.2 FTEs</w:t>
      </w:r>
    </w:p>
    <w:p w:rsidR="00AC40FC" w:rsidRDefault="00AC40FC" w:rsidP="00581946">
      <w:pPr>
        <w:pStyle w:val="Bullet"/>
      </w:pPr>
      <w:r>
        <w:t>Work Management – technical writing – 1.0 FTE</w:t>
      </w:r>
    </w:p>
    <w:p w:rsidR="00AC40FC" w:rsidRDefault="00AC40FC" w:rsidP="00581946">
      <w:pPr>
        <w:pStyle w:val="Bullet"/>
      </w:pPr>
      <w:r>
        <w:t>Environmental – permitting support – 3.8 FTEs</w:t>
      </w:r>
    </w:p>
    <w:p w:rsidR="00AC40FC" w:rsidRDefault="00AC40FC" w:rsidP="00581946">
      <w:pPr>
        <w:pStyle w:val="Bullet"/>
      </w:pPr>
      <w:r>
        <w:t>Damage Prevention – UG cable locators – 43.0 FTEs</w:t>
      </w:r>
    </w:p>
    <w:p w:rsidR="00AC40FC" w:rsidRDefault="00AC40FC" w:rsidP="00581946">
      <w:pPr>
        <w:pStyle w:val="Normal-aftertable"/>
        <w:rPr>
          <w:rFonts w:cs="Arial"/>
          <w:szCs w:val="24"/>
        </w:rPr>
      </w:pPr>
      <w:r>
        <w:t>TDI expects to continue using contractors for delivery of occupational athletics to field workers.</w:t>
      </w:r>
    </w:p>
    <w:p w:rsidR="00AC40FC" w:rsidRDefault="00AC40FC" w:rsidP="00581946">
      <w:pPr>
        <w:pStyle w:val="Normal-aftertable"/>
      </w:pPr>
      <w:r>
        <w:rPr>
          <w:b/>
        </w:rPr>
        <w:t xml:space="preserve">Distribution Operations Specialty Work Groups.  </w:t>
      </w:r>
      <w:r w:rsidRPr="007707DE">
        <w:t xml:space="preserve">In addition to the staff </w:t>
      </w:r>
      <w:r w:rsidRPr="003C740D">
        <w:t xml:space="preserve">augmentation contractors, Distribution Operations utilizes contractors to complete specialty work such as directional boring, supplement construction crew work in the field, and supplement staffing of trouble crews in order to complete the scheduled </w:t>
      </w:r>
      <w:r w:rsidRPr="003C740D">
        <w:lastRenderedPageBreak/>
        <w:t>workload.  The following table summarizes the contractor FTEs used in these capacities in 2015 and</w:t>
      </w:r>
      <w:r>
        <w:t xml:space="preserve"> projected for 2016 within the field groups by contractor role.</w:t>
      </w:r>
    </w:p>
    <w:p w:rsidR="00AC40FC" w:rsidRDefault="00AC40FC" w:rsidP="00B306CB">
      <w:pPr>
        <w:pStyle w:val="Caption"/>
      </w:pPr>
      <w:bookmarkStart w:id="368" w:name="_Toc462648495"/>
      <w:bookmarkStart w:id="369" w:name="_Toc464553117"/>
      <w:r>
        <w:t xml:space="preserve">Exhibit </w:t>
      </w:r>
      <w:fldSimple w:instr=" STYLEREF 1 \s ">
        <w:r w:rsidR="00A24205">
          <w:rPr>
            <w:noProof/>
          </w:rPr>
          <w:t>XV</w:t>
        </w:r>
      </w:fldSimple>
      <w:r w:rsidR="00264A1B">
        <w:noBreakHyphen/>
      </w:r>
      <w:fldSimple w:instr=" SEQ Exhibit \* ARABIC \s 1 ">
        <w:r w:rsidR="00A24205">
          <w:rPr>
            <w:noProof/>
          </w:rPr>
          <w:t>9</w:t>
        </w:r>
      </w:fldSimple>
      <w:r>
        <w:br/>
      </w:r>
      <w:r>
        <w:rPr>
          <w:rFonts w:cs="Arial"/>
          <w:szCs w:val="24"/>
        </w:rPr>
        <w:t>Distribution Operations Field</w:t>
      </w:r>
      <w:r w:rsidR="00B7713A">
        <w:t xml:space="preserve"> Contractor FTEs</w:t>
      </w:r>
      <w:r>
        <w:br/>
        <w:t>Yearend 2015 Actual and 2016 Projected</w:t>
      </w:r>
      <w:bookmarkEnd w:id="368"/>
      <w:bookmarkEnd w:id="369"/>
    </w:p>
    <w:tbl>
      <w:tblPr>
        <w:tblW w:w="8370" w:type="dxa"/>
        <w:jc w:val="center"/>
        <w:tblLayout w:type="fixed"/>
        <w:tblLook w:val="04A0"/>
      </w:tblPr>
      <w:tblGrid>
        <w:gridCol w:w="4590"/>
        <w:gridCol w:w="1620"/>
        <w:gridCol w:w="2160"/>
      </w:tblGrid>
      <w:tr w:rsidR="00AC40FC" w:rsidRPr="00D6083E" w:rsidTr="00581946">
        <w:trPr>
          <w:cantSplit/>
          <w:trHeight w:val="300"/>
          <w:tblHeader/>
          <w:jc w:val="center"/>
        </w:trPr>
        <w:tc>
          <w:tcPr>
            <w:tcW w:w="4590" w:type="dxa"/>
            <w:tcBorders>
              <w:top w:val="single" w:sz="8" w:space="0" w:color="auto"/>
              <w:left w:val="single" w:sz="8" w:space="0" w:color="auto"/>
              <w:bottom w:val="single" w:sz="8" w:space="0" w:color="auto"/>
              <w:right w:val="single" w:sz="4" w:space="0" w:color="auto"/>
            </w:tcBorders>
            <w:shd w:val="clear" w:color="auto" w:fill="A5CD7E"/>
            <w:vAlign w:val="center"/>
          </w:tcPr>
          <w:p w:rsidR="00AC40FC" w:rsidRPr="00D6083E" w:rsidRDefault="00AC40FC" w:rsidP="00D6083E">
            <w:pPr>
              <w:spacing w:before="120"/>
              <w:jc w:val="center"/>
              <w:rPr>
                <w:rFonts w:cs="Arial"/>
                <w:b/>
                <w:bCs/>
                <w:szCs w:val="24"/>
              </w:rPr>
            </w:pPr>
            <w:r w:rsidRPr="00D6083E">
              <w:rPr>
                <w:rFonts w:cs="Arial"/>
                <w:b/>
                <w:bCs/>
                <w:szCs w:val="24"/>
              </w:rPr>
              <w:t>Organizational Unit</w:t>
            </w:r>
          </w:p>
        </w:tc>
        <w:tc>
          <w:tcPr>
            <w:tcW w:w="1620" w:type="dxa"/>
            <w:tcBorders>
              <w:top w:val="single" w:sz="8" w:space="0" w:color="auto"/>
              <w:left w:val="nil"/>
              <w:bottom w:val="single" w:sz="8" w:space="0" w:color="auto"/>
              <w:right w:val="single" w:sz="4" w:space="0" w:color="auto"/>
            </w:tcBorders>
            <w:shd w:val="clear" w:color="auto" w:fill="A5CD7E"/>
            <w:vAlign w:val="center"/>
          </w:tcPr>
          <w:p w:rsidR="00AC40FC" w:rsidRPr="00D6083E" w:rsidRDefault="00AC40FC" w:rsidP="00D6083E">
            <w:pPr>
              <w:spacing w:before="120"/>
              <w:jc w:val="center"/>
              <w:rPr>
                <w:rFonts w:cs="Arial"/>
                <w:b/>
                <w:bCs/>
                <w:szCs w:val="24"/>
              </w:rPr>
            </w:pPr>
            <w:r>
              <w:rPr>
                <w:rFonts w:cs="Arial"/>
                <w:b/>
                <w:bCs/>
                <w:szCs w:val="24"/>
              </w:rPr>
              <w:t xml:space="preserve">Contractor FTEs </w:t>
            </w:r>
            <w:r w:rsidRPr="00D6083E">
              <w:rPr>
                <w:rFonts w:cs="Arial"/>
                <w:b/>
                <w:bCs/>
                <w:szCs w:val="24"/>
              </w:rPr>
              <w:t>–</w:t>
            </w:r>
            <w:r>
              <w:rPr>
                <w:rFonts w:cs="Arial"/>
                <w:b/>
                <w:bCs/>
                <w:szCs w:val="24"/>
              </w:rPr>
              <w:t xml:space="preserve"> </w:t>
            </w:r>
            <w:r w:rsidRPr="00D6083E">
              <w:rPr>
                <w:rFonts w:cs="Arial"/>
                <w:b/>
                <w:bCs/>
                <w:szCs w:val="24"/>
              </w:rPr>
              <w:t>2015 Actual</w:t>
            </w:r>
          </w:p>
        </w:tc>
        <w:tc>
          <w:tcPr>
            <w:tcW w:w="2160" w:type="dxa"/>
            <w:tcBorders>
              <w:top w:val="single" w:sz="8" w:space="0" w:color="auto"/>
              <w:left w:val="nil"/>
              <w:bottom w:val="single" w:sz="8" w:space="0" w:color="auto"/>
              <w:right w:val="single" w:sz="8" w:space="0" w:color="auto"/>
            </w:tcBorders>
            <w:shd w:val="clear" w:color="auto" w:fill="A5CD7E"/>
            <w:vAlign w:val="center"/>
          </w:tcPr>
          <w:p w:rsidR="00AC40FC" w:rsidRPr="00D6083E" w:rsidRDefault="00AC40FC" w:rsidP="00BB665B">
            <w:pPr>
              <w:spacing w:before="120"/>
              <w:jc w:val="center"/>
              <w:rPr>
                <w:rFonts w:cs="Arial"/>
                <w:b/>
                <w:bCs/>
                <w:szCs w:val="24"/>
              </w:rPr>
            </w:pPr>
            <w:r>
              <w:rPr>
                <w:rFonts w:cs="Arial"/>
                <w:b/>
                <w:bCs/>
                <w:szCs w:val="24"/>
              </w:rPr>
              <w:t xml:space="preserve">Contractor FTEs </w:t>
            </w:r>
            <w:r w:rsidRPr="00D6083E">
              <w:rPr>
                <w:rFonts w:cs="Arial"/>
                <w:b/>
                <w:bCs/>
                <w:szCs w:val="24"/>
              </w:rPr>
              <w:t>–</w:t>
            </w:r>
            <w:r>
              <w:rPr>
                <w:rFonts w:cs="Arial"/>
                <w:b/>
                <w:bCs/>
                <w:szCs w:val="24"/>
              </w:rPr>
              <w:t xml:space="preserve"> </w:t>
            </w:r>
            <w:r w:rsidRPr="00D6083E">
              <w:rPr>
                <w:rFonts w:cs="Arial"/>
                <w:b/>
                <w:bCs/>
                <w:szCs w:val="24"/>
              </w:rPr>
              <w:t>Projected 2016</w:t>
            </w:r>
          </w:p>
        </w:tc>
      </w:tr>
      <w:tr w:rsidR="00AC40FC" w:rsidRPr="00E33F2E" w:rsidTr="00581946">
        <w:trPr>
          <w:trHeight w:val="300"/>
          <w:jc w:val="center"/>
        </w:trPr>
        <w:tc>
          <w:tcPr>
            <w:tcW w:w="8370" w:type="dxa"/>
            <w:gridSpan w:val="3"/>
            <w:tcBorders>
              <w:top w:val="nil"/>
              <w:left w:val="single" w:sz="8" w:space="0" w:color="auto"/>
              <w:bottom w:val="single" w:sz="4" w:space="0" w:color="auto"/>
              <w:right w:val="single" w:sz="8" w:space="0" w:color="auto"/>
            </w:tcBorders>
            <w:shd w:val="clear" w:color="auto" w:fill="auto"/>
            <w:vAlign w:val="center"/>
          </w:tcPr>
          <w:p w:rsidR="00AC40FC" w:rsidRPr="00A02DA9" w:rsidRDefault="00AC40FC" w:rsidP="00581946">
            <w:pPr>
              <w:spacing w:after="0"/>
              <w:jc w:val="left"/>
              <w:rPr>
                <w:rFonts w:cs="Arial"/>
                <w:b/>
                <w:color w:val="000000"/>
              </w:rPr>
            </w:pPr>
            <w:r w:rsidRPr="00A02DA9">
              <w:rPr>
                <w:b/>
              </w:rPr>
              <w:t>Respond to Customer</w:t>
            </w:r>
          </w:p>
        </w:tc>
      </w:tr>
      <w:tr w:rsidR="00AC40FC" w:rsidRPr="00E33F2E" w:rsidTr="00581946">
        <w:trPr>
          <w:trHeight w:val="300"/>
          <w:jc w:val="center"/>
        </w:trPr>
        <w:tc>
          <w:tcPr>
            <w:tcW w:w="4590" w:type="dxa"/>
            <w:tcBorders>
              <w:top w:val="nil"/>
              <w:left w:val="single" w:sz="8" w:space="0" w:color="auto"/>
              <w:bottom w:val="single" w:sz="4" w:space="0" w:color="auto"/>
              <w:right w:val="single" w:sz="4" w:space="0" w:color="auto"/>
            </w:tcBorders>
            <w:shd w:val="clear" w:color="auto" w:fill="auto"/>
            <w:vAlign w:val="center"/>
            <w:hideMark/>
          </w:tcPr>
          <w:p w:rsidR="00AC40FC" w:rsidRPr="009678DA" w:rsidRDefault="00AC40FC" w:rsidP="00581946">
            <w:pPr>
              <w:spacing w:after="0"/>
              <w:jc w:val="left"/>
              <w:rPr>
                <w:rFonts w:cs="Arial"/>
                <w:color w:val="000000"/>
              </w:rPr>
            </w:pPr>
            <w:r>
              <w:t>Trouble – Lehigh/Northeast Region</w:t>
            </w:r>
          </w:p>
        </w:tc>
        <w:tc>
          <w:tcPr>
            <w:tcW w:w="1620" w:type="dxa"/>
            <w:tcBorders>
              <w:top w:val="nil"/>
              <w:left w:val="nil"/>
              <w:bottom w:val="single" w:sz="4" w:space="0" w:color="auto"/>
              <w:right w:val="single" w:sz="4" w:space="0" w:color="auto"/>
            </w:tcBorders>
            <w:shd w:val="clear" w:color="auto" w:fill="auto"/>
            <w:vAlign w:val="center"/>
          </w:tcPr>
          <w:p w:rsidR="00AC40FC" w:rsidRPr="009678DA" w:rsidRDefault="00AC40FC" w:rsidP="00581946">
            <w:pPr>
              <w:spacing w:after="0"/>
              <w:jc w:val="center"/>
              <w:rPr>
                <w:rFonts w:cs="Arial"/>
                <w:szCs w:val="24"/>
              </w:rPr>
            </w:pPr>
            <w:r>
              <w:rPr>
                <w:rFonts w:cs="Arial"/>
                <w:szCs w:val="24"/>
              </w:rPr>
              <w:t>6</w:t>
            </w:r>
          </w:p>
        </w:tc>
        <w:tc>
          <w:tcPr>
            <w:tcW w:w="2160" w:type="dxa"/>
            <w:tcBorders>
              <w:top w:val="nil"/>
              <w:left w:val="nil"/>
              <w:bottom w:val="single" w:sz="4" w:space="0" w:color="auto"/>
              <w:right w:val="single" w:sz="8" w:space="0" w:color="auto"/>
            </w:tcBorders>
            <w:shd w:val="clear" w:color="auto" w:fill="auto"/>
            <w:vAlign w:val="center"/>
          </w:tcPr>
          <w:p w:rsidR="00AC40FC" w:rsidRPr="002A37C6" w:rsidRDefault="00AC40FC" w:rsidP="00581946">
            <w:pPr>
              <w:spacing w:after="0"/>
              <w:jc w:val="center"/>
              <w:rPr>
                <w:rFonts w:cs="Arial"/>
                <w:color w:val="000000"/>
              </w:rPr>
            </w:pPr>
            <w:r>
              <w:rPr>
                <w:rFonts w:cs="Arial"/>
                <w:color w:val="000000"/>
              </w:rPr>
              <w:t>12</w:t>
            </w:r>
          </w:p>
        </w:tc>
      </w:tr>
      <w:tr w:rsidR="00AC40FC" w:rsidRPr="00E33F2E" w:rsidTr="00581946">
        <w:trPr>
          <w:trHeight w:val="300"/>
          <w:jc w:val="center"/>
        </w:trPr>
        <w:tc>
          <w:tcPr>
            <w:tcW w:w="4590" w:type="dxa"/>
            <w:tcBorders>
              <w:top w:val="nil"/>
              <w:left w:val="single" w:sz="8" w:space="0" w:color="auto"/>
              <w:bottom w:val="single" w:sz="4" w:space="0" w:color="auto"/>
              <w:right w:val="single" w:sz="4" w:space="0" w:color="auto"/>
            </w:tcBorders>
            <w:shd w:val="clear" w:color="auto" w:fill="auto"/>
            <w:vAlign w:val="center"/>
          </w:tcPr>
          <w:p w:rsidR="00AC40FC" w:rsidRPr="009678DA" w:rsidRDefault="00AC40FC" w:rsidP="00581946">
            <w:pPr>
              <w:spacing w:after="0"/>
              <w:jc w:val="left"/>
              <w:rPr>
                <w:rFonts w:cs="Arial"/>
                <w:color w:val="000000"/>
              </w:rPr>
            </w:pPr>
            <w:r>
              <w:t>Trouble – Central/Susquehanna Region</w:t>
            </w:r>
          </w:p>
        </w:tc>
        <w:tc>
          <w:tcPr>
            <w:tcW w:w="1620" w:type="dxa"/>
            <w:tcBorders>
              <w:top w:val="nil"/>
              <w:left w:val="nil"/>
              <w:bottom w:val="single" w:sz="4" w:space="0" w:color="auto"/>
              <w:right w:val="single" w:sz="4" w:space="0" w:color="auto"/>
            </w:tcBorders>
            <w:shd w:val="clear" w:color="auto" w:fill="auto"/>
            <w:vAlign w:val="center"/>
          </w:tcPr>
          <w:p w:rsidR="00AC40FC" w:rsidRPr="009678DA" w:rsidRDefault="00AC40FC" w:rsidP="00581946">
            <w:pPr>
              <w:spacing w:after="0"/>
              <w:jc w:val="center"/>
              <w:rPr>
                <w:rFonts w:cs="Arial"/>
                <w:szCs w:val="24"/>
              </w:rPr>
            </w:pPr>
            <w:r>
              <w:rPr>
                <w:rFonts w:cs="Arial"/>
                <w:szCs w:val="24"/>
              </w:rPr>
              <w:t>2</w:t>
            </w:r>
          </w:p>
        </w:tc>
        <w:tc>
          <w:tcPr>
            <w:tcW w:w="2160" w:type="dxa"/>
            <w:tcBorders>
              <w:top w:val="nil"/>
              <w:left w:val="nil"/>
              <w:bottom w:val="single" w:sz="4" w:space="0" w:color="auto"/>
              <w:right w:val="single" w:sz="8" w:space="0" w:color="auto"/>
            </w:tcBorders>
            <w:shd w:val="clear" w:color="auto" w:fill="auto"/>
            <w:vAlign w:val="center"/>
          </w:tcPr>
          <w:p w:rsidR="00AC40FC" w:rsidRPr="002A37C6" w:rsidRDefault="00AC40FC" w:rsidP="00581946">
            <w:pPr>
              <w:spacing w:after="0"/>
              <w:jc w:val="center"/>
              <w:rPr>
                <w:rFonts w:cs="Arial"/>
                <w:color w:val="000000"/>
              </w:rPr>
            </w:pPr>
            <w:r>
              <w:rPr>
                <w:rFonts w:cs="Arial"/>
                <w:color w:val="000000"/>
              </w:rPr>
              <w:t>12</w:t>
            </w:r>
          </w:p>
        </w:tc>
      </w:tr>
      <w:tr w:rsidR="00AC40FC" w:rsidRPr="00E33F2E" w:rsidTr="00581946">
        <w:trPr>
          <w:trHeight w:val="300"/>
          <w:jc w:val="center"/>
        </w:trPr>
        <w:tc>
          <w:tcPr>
            <w:tcW w:w="4590" w:type="dxa"/>
            <w:tcBorders>
              <w:top w:val="nil"/>
              <w:left w:val="single" w:sz="8" w:space="0" w:color="auto"/>
              <w:bottom w:val="single" w:sz="4" w:space="0" w:color="auto"/>
              <w:right w:val="single" w:sz="4" w:space="0" w:color="auto"/>
            </w:tcBorders>
            <w:shd w:val="clear" w:color="auto" w:fill="auto"/>
            <w:vAlign w:val="center"/>
          </w:tcPr>
          <w:p w:rsidR="00AC40FC" w:rsidRPr="009678DA" w:rsidRDefault="00AC40FC" w:rsidP="00581946">
            <w:pPr>
              <w:spacing w:after="0"/>
              <w:jc w:val="left"/>
              <w:rPr>
                <w:rFonts w:cs="Arial"/>
                <w:color w:val="000000"/>
              </w:rPr>
            </w:pPr>
            <w:r>
              <w:t>Trouble – Harrisburg/Lancaster Region</w:t>
            </w:r>
          </w:p>
        </w:tc>
        <w:tc>
          <w:tcPr>
            <w:tcW w:w="1620" w:type="dxa"/>
            <w:tcBorders>
              <w:top w:val="nil"/>
              <w:left w:val="nil"/>
              <w:bottom w:val="single" w:sz="4" w:space="0" w:color="auto"/>
              <w:right w:val="single" w:sz="4" w:space="0" w:color="auto"/>
            </w:tcBorders>
            <w:shd w:val="clear" w:color="auto" w:fill="auto"/>
            <w:vAlign w:val="center"/>
          </w:tcPr>
          <w:p w:rsidR="00AC40FC" w:rsidRPr="009678DA" w:rsidRDefault="00AC40FC" w:rsidP="00581946">
            <w:pPr>
              <w:spacing w:after="0"/>
              <w:jc w:val="center"/>
              <w:rPr>
                <w:rFonts w:cs="Arial"/>
                <w:szCs w:val="24"/>
              </w:rPr>
            </w:pPr>
            <w:r>
              <w:rPr>
                <w:rFonts w:cs="Arial"/>
                <w:szCs w:val="24"/>
              </w:rPr>
              <w:t>5</w:t>
            </w:r>
          </w:p>
        </w:tc>
        <w:tc>
          <w:tcPr>
            <w:tcW w:w="2160" w:type="dxa"/>
            <w:tcBorders>
              <w:top w:val="nil"/>
              <w:left w:val="nil"/>
              <w:bottom w:val="single" w:sz="4" w:space="0" w:color="auto"/>
              <w:right w:val="single" w:sz="8" w:space="0" w:color="auto"/>
            </w:tcBorders>
            <w:shd w:val="clear" w:color="auto" w:fill="auto"/>
            <w:vAlign w:val="center"/>
          </w:tcPr>
          <w:p w:rsidR="00AC40FC" w:rsidRPr="002A37C6" w:rsidRDefault="00AC40FC" w:rsidP="00581946">
            <w:pPr>
              <w:spacing w:after="0"/>
              <w:jc w:val="center"/>
              <w:rPr>
                <w:rFonts w:cs="Arial"/>
                <w:color w:val="000000"/>
              </w:rPr>
            </w:pPr>
            <w:r>
              <w:rPr>
                <w:rFonts w:cs="Arial"/>
                <w:color w:val="000000"/>
              </w:rPr>
              <w:t>12</w:t>
            </w:r>
          </w:p>
        </w:tc>
      </w:tr>
      <w:tr w:rsidR="00AC40FC" w:rsidRPr="00E33F2E" w:rsidTr="00581946">
        <w:trPr>
          <w:trHeight w:val="300"/>
          <w:jc w:val="center"/>
        </w:trPr>
        <w:tc>
          <w:tcPr>
            <w:tcW w:w="4590" w:type="dxa"/>
            <w:tcBorders>
              <w:top w:val="nil"/>
              <w:left w:val="single" w:sz="8" w:space="0" w:color="auto"/>
              <w:bottom w:val="single" w:sz="4" w:space="0" w:color="auto"/>
              <w:right w:val="single" w:sz="4" w:space="0" w:color="auto"/>
            </w:tcBorders>
            <w:shd w:val="clear" w:color="auto" w:fill="auto"/>
            <w:vAlign w:val="center"/>
          </w:tcPr>
          <w:p w:rsidR="00AC40FC" w:rsidRDefault="00AC40FC" w:rsidP="00581946">
            <w:pPr>
              <w:spacing w:after="0"/>
              <w:jc w:val="center"/>
            </w:pPr>
            <w:r>
              <w:t>Subtotal</w:t>
            </w:r>
          </w:p>
        </w:tc>
        <w:tc>
          <w:tcPr>
            <w:tcW w:w="1620" w:type="dxa"/>
            <w:tcBorders>
              <w:top w:val="nil"/>
              <w:left w:val="nil"/>
              <w:bottom w:val="single" w:sz="4" w:space="0" w:color="auto"/>
              <w:right w:val="single" w:sz="4" w:space="0" w:color="auto"/>
            </w:tcBorders>
            <w:shd w:val="clear" w:color="auto" w:fill="auto"/>
            <w:vAlign w:val="center"/>
          </w:tcPr>
          <w:p w:rsidR="00AC40FC" w:rsidRPr="009678DA" w:rsidRDefault="00AC40FC" w:rsidP="00581946">
            <w:pPr>
              <w:spacing w:after="0"/>
              <w:jc w:val="center"/>
              <w:rPr>
                <w:rFonts w:cs="Arial"/>
                <w:szCs w:val="24"/>
              </w:rPr>
            </w:pPr>
            <w:r>
              <w:rPr>
                <w:rFonts w:cs="Arial"/>
                <w:szCs w:val="24"/>
              </w:rPr>
              <w:t>13</w:t>
            </w:r>
          </w:p>
        </w:tc>
        <w:tc>
          <w:tcPr>
            <w:tcW w:w="2160" w:type="dxa"/>
            <w:tcBorders>
              <w:top w:val="nil"/>
              <w:left w:val="nil"/>
              <w:bottom w:val="single" w:sz="4" w:space="0" w:color="auto"/>
              <w:right w:val="single" w:sz="8" w:space="0" w:color="auto"/>
            </w:tcBorders>
            <w:shd w:val="clear" w:color="auto" w:fill="auto"/>
            <w:vAlign w:val="center"/>
          </w:tcPr>
          <w:p w:rsidR="00AC40FC" w:rsidRPr="002A37C6" w:rsidRDefault="00AC40FC" w:rsidP="00581946">
            <w:pPr>
              <w:spacing w:after="0"/>
              <w:jc w:val="center"/>
              <w:rPr>
                <w:rFonts w:cs="Arial"/>
                <w:color w:val="000000"/>
              </w:rPr>
            </w:pPr>
            <w:r>
              <w:rPr>
                <w:rFonts w:cs="Arial"/>
                <w:color w:val="000000"/>
              </w:rPr>
              <w:t>36</w:t>
            </w:r>
          </w:p>
        </w:tc>
      </w:tr>
      <w:tr w:rsidR="00AC40FC" w:rsidRPr="00E33F2E" w:rsidTr="00581946">
        <w:trPr>
          <w:trHeight w:val="330"/>
          <w:jc w:val="center"/>
        </w:trPr>
        <w:tc>
          <w:tcPr>
            <w:tcW w:w="8370" w:type="dxa"/>
            <w:gridSpan w:val="3"/>
            <w:tcBorders>
              <w:top w:val="single" w:sz="8" w:space="0" w:color="auto"/>
              <w:left w:val="single" w:sz="8" w:space="0" w:color="auto"/>
              <w:bottom w:val="single" w:sz="4" w:space="0" w:color="auto"/>
              <w:right w:val="single" w:sz="8" w:space="0" w:color="auto"/>
            </w:tcBorders>
            <w:shd w:val="clear" w:color="auto" w:fill="auto"/>
            <w:vAlign w:val="center"/>
            <w:hideMark/>
          </w:tcPr>
          <w:p w:rsidR="00AC40FC" w:rsidRPr="00A02DA9" w:rsidRDefault="00AC40FC" w:rsidP="00581946">
            <w:pPr>
              <w:spacing w:after="0"/>
              <w:jc w:val="left"/>
              <w:rPr>
                <w:rFonts w:cs="Arial"/>
                <w:b/>
                <w:color w:val="000000"/>
                <w:szCs w:val="24"/>
              </w:rPr>
            </w:pPr>
            <w:r w:rsidRPr="00A02DA9">
              <w:rPr>
                <w:b/>
              </w:rPr>
              <w:t>Lehigh/Northeast Region</w:t>
            </w:r>
          </w:p>
        </w:tc>
      </w:tr>
      <w:tr w:rsidR="00AC40FC" w:rsidRPr="00E33F2E" w:rsidTr="00581946">
        <w:trPr>
          <w:trHeight w:val="300"/>
          <w:jc w:val="center"/>
        </w:trPr>
        <w:tc>
          <w:tcPr>
            <w:tcW w:w="4590" w:type="dxa"/>
            <w:tcBorders>
              <w:top w:val="single" w:sz="4" w:space="0" w:color="auto"/>
              <w:left w:val="single" w:sz="8" w:space="0" w:color="auto"/>
              <w:bottom w:val="single" w:sz="4" w:space="0" w:color="auto"/>
              <w:right w:val="single" w:sz="4" w:space="0" w:color="auto"/>
            </w:tcBorders>
            <w:shd w:val="clear" w:color="auto" w:fill="auto"/>
            <w:noWrap/>
            <w:vAlign w:val="center"/>
          </w:tcPr>
          <w:p w:rsidR="00AC40FC" w:rsidRPr="00BB30F7" w:rsidRDefault="00AC40FC" w:rsidP="00581946">
            <w:pPr>
              <w:spacing w:after="0"/>
              <w:jc w:val="left"/>
              <w:rPr>
                <w:rFonts w:cs="Arial"/>
                <w:color w:val="000000"/>
              </w:rPr>
            </w:pPr>
            <w:r>
              <w:t>Directional Boring work</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AC40FC" w:rsidRPr="00BB30F7" w:rsidRDefault="00AC40FC" w:rsidP="00581946">
            <w:pPr>
              <w:spacing w:after="0"/>
              <w:jc w:val="center"/>
              <w:rPr>
                <w:rFonts w:cs="Arial"/>
                <w:color w:val="000000"/>
              </w:rPr>
            </w:pPr>
            <w:r>
              <w:rPr>
                <w:rFonts w:cs="Arial"/>
                <w:color w:val="000000"/>
              </w:rPr>
              <w:t>12</w:t>
            </w:r>
          </w:p>
        </w:tc>
        <w:tc>
          <w:tcPr>
            <w:tcW w:w="2160" w:type="dxa"/>
            <w:tcBorders>
              <w:top w:val="single" w:sz="4" w:space="0" w:color="auto"/>
              <w:left w:val="nil"/>
              <w:bottom w:val="single" w:sz="4" w:space="0" w:color="auto"/>
              <w:right w:val="single" w:sz="8" w:space="0" w:color="auto"/>
            </w:tcBorders>
            <w:shd w:val="clear" w:color="auto" w:fill="auto"/>
            <w:noWrap/>
            <w:vAlign w:val="center"/>
          </w:tcPr>
          <w:p w:rsidR="00AC40FC" w:rsidRPr="00BB30F7" w:rsidRDefault="00AC40FC" w:rsidP="00581946">
            <w:pPr>
              <w:spacing w:after="0"/>
              <w:jc w:val="center"/>
              <w:rPr>
                <w:rFonts w:cs="Arial"/>
                <w:color w:val="000000"/>
              </w:rPr>
            </w:pPr>
            <w:r>
              <w:rPr>
                <w:rFonts w:cs="Arial"/>
                <w:color w:val="000000"/>
              </w:rPr>
              <w:t>12</w:t>
            </w:r>
          </w:p>
        </w:tc>
      </w:tr>
      <w:tr w:rsidR="00AC40FC" w:rsidRPr="00E33F2E" w:rsidTr="00581946">
        <w:trPr>
          <w:trHeight w:val="300"/>
          <w:jc w:val="center"/>
        </w:trPr>
        <w:tc>
          <w:tcPr>
            <w:tcW w:w="4590" w:type="dxa"/>
            <w:tcBorders>
              <w:top w:val="single" w:sz="4" w:space="0" w:color="auto"/>
              <w:left w:val="single" w:sz="8" w:space="0" w:color="auto"/>
              <w:bottom w:val="single" w:sz="4" w:space="0" w:color="auto"/>
              <w:right w:val="single" w:sz="4" w:space="0" w:color="auto"/>
            </w:tcBorders>
            <w:shd w:val="clear" w:color="auto" w:fill="auto"/>
            <w:noWrap/>
            <w:vAlign w:val="center"/>
          </w:tcPr>
          <w:p w:rsidR="00AC40FC" w:rsidRPr="00BB30F7" w:rsidRDefault="00AC40FC" w:rsidP="00581946">
            <w:pPr>
              <w:spacing w:after="0"/>
              <w:jc w:val="left"/>
              <w:rPr>
                <w:rFonts w:cs="Arial"/>
                <w:color w:val="000000"/>
              </w:rPr>
            </w:pPr>
            <w:r>
              <w:t>Mechanical/Electrical work</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AC40FC" w:rsidRPr="00BB30F7" w:rsidRDefault="00AC40FC" w:rsidP="00581946">
            <w:pPr>
              <w:spacing w:after="0"/>
              <w:jc w:val="center"/>
              <w:rPr>
                <w:rFonts w:cs="Arial"/>
                <w:color w:val="000000"/>
              </w:rPr>
            </w:pPr>
            <w:r>
              <w:rPr>
                <w:rFonts w:cs="Arial"/>
                <w:color w:val="000000"/>
              </w:rPr>
              <w:t>13</w:t>
            </w:r>
          </w:p>
        </w:tc>
        <w:tc>
          <w:tcPr>
            <w:tcW w:w="2160" w:type="dxa"/>
            <w:tcBorders>
              <w:top w:val="single" w:sz="4" w:space="0" w:color="auto"/>
              <w:left w:val="nil"/>
              <w:bottom w:val="single" w:sz="4" w:space="0" w:color="auto"/>
              <w:right w:val="single" w:sz="8" w:space="0" w:color="auto"/>
            </w:tcBorders>
            <w:shd w:val="clear" w:color="auto" w:fill="auto"/>
            <w:noWrap/>
            <w:vAlign w:val="center"/>
          </w:tcPr>
          <w:p w:rsidR="00AC40FC" w:rsidRPr="00BB30F7" w:rsidRDefault="00AC40FC" w:rsidP="00581946">
            <w:pPr>
              <w:spacing w:after="0"/>
              <w:jc w:val="center"/>
              <w:rPr>
                <w:rFonts w:cs="Arial"/>
                <w:color w:val="000000"/>
              </w:rPr>
            </w:pPr>
            <w:r>
              <w:rPr>
                <w:rFonts w:cs="Arial"/>
                <w:color w:val="000000"/>
              </w:rPr>
              <w:t>6</w:t>
            </w:r>
          </w:p>
        </w:tc>
      </w:tr>
      <w:tr w:rsidR="00AC40FC" w:rsidRPr="00E33F2E" w:rsidTr="00581946">
        <w:trPr>
          <w:trHeight w:val="300"/>
          <w:jc w:val="center"/>
        </w:trPr>
        <w:tc>
          <w:tcPr>
            <w:tcW w:w="4590" w:type="dxa"/>
            <w:tcBorders>
              <w:top w:val="single" w:sz="4" w:space="0" w:color="auto"/>
              <w:left w:val="single" w:sz="8" w:space="0" w:color="auto"/>
              <w:bottom w:val="single" w:sz="4" w:space="0" w:color="auto"/>
              <w:right w:val="single" w:sz="4" w:space="0" w:color="auto"/>
            </w:tcBorders>
            <w:shd w:val="clear" w:color="auto" w:fill="auto"/>
            <w:noWrap/>
            <w:vAlign w:val="center"/>
          </w:tcPr>
          <w:p w:rsidR="00AC40FC" w:rsidRPr="003750EE" w:rsidRDefault="00AC40FC" w:rsidP="00581946">
            <w:pPr>
              <w:spacing w:after="0"/>
              <w:jc w:val="left"/>
              <w:rPr>
                <w:rFonts w:cs="Arial"/>
                <w:color w:val="000000"/>
              </w:rPr>
            </w:pPr>
            <w:r>
              <w:t>Project Construction work</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AC40FC" w:rsidRPr="00BB30F7" w:rsidRDefault="00AC40FC" w:rsidP="00581946">
            <w:pPr>
              <w:spacing w:after="0"/>
              <w:jc w:val="center"/>
              <w:rPr>
                <w:rFonts w:cs="Arial"/>
                <w:color w:val="000000"/>
              </w:rPr>
            </w:pPr>
            <w:r>
              <w:rPr>
                <w:rFonts w:cs="Arial"/>
                <w:color w:val="000000"/>
              </w:rPr>
              <w:t>32</w:t>
            </w:r>
          </w:p>
        </w:tc>
        <w:tc>
          <w:tcPr>
            <w:tcW w:w="2160" w:type="dxa"/>
            <w:tcBorders>
              <w:top w:val="single" w:sz="4" w:space="0" w:color="auto"/>
              <w:left w:val="nil"/>
              <w:bottom w:val="single" w:sz="4" w:space="0" w:color="auto"/>
              <w:right w:val="single" w:sz="8" w:space="0" w:color="auto"/>
            </w:tcBorders>
            <w:shd w:val="clear" w:color="auto" w:fill="auto"/>
            <w:noWrap/>
            <w:vAlign w:val="center"/>
          </w:tcPr>
          <w:p w:rsidR="00AC40FC" w:rsidRPr="00BB30F7" w:rsidRDefault="00AC40FC" w:rsidP="00581946">
            <w:pPr>
              <w:spacing w:after="0"/>
              <w:jc w:val="center"/>
              <w:rPr>
                <w:rFonts w:cs="Arial"/>
                <w:color w:val="000000"/>
              </w:rPr>
            </w:pPr>
            <w:r>
              <w:rPr>
                <w:rFonts w:cs="Arial"/>
                <w:color w:val="000000"/>
              </w:rPr>
              <w:t>21</w:t>
            </w:r>
          </w:p>
        </w:tc>
      </w:tr>
      <w:tr w:rsidR="00AC40FC" w:rsidRPr="00E33F2E" w:rsidTr="00581946">
        <w:trPr>
          <w:trHeight w:val="300"/>
          <w:jc w:val="center"/>
        </w:trPr>
        <w:tc>
          <w:tcPr>
            <w:tcW w:w="4590" w:type="dxa"/>
            <w:tcBorders>
              <w:top w:val="single" w:sz="4" w:space="0" w:color="auto"/>
              <w:left w:val="single" w:sz="8" w:space="0" w:color="auto"/>
              <w:bottom w:val="single" w:sz="4" w:space="0" w:color="auto"/>
              <w:right w:val="single" w:sz="4" w:space="0" w:color="auto"/>
            </w:tcBorders>
            <w:shd w:val="clear" w:color="auto" w:fill="auto"/>
            <w:noWrap/>
            <w:vAlign w:val="center"/>
          </w:tcPr>
          <w:p w:rsidR="00AC40FC" w:rsidRPr="003750EE" w:rsidRDefault="00AC40FC" w:rsidP="00581946">
            <w:pPr>
              <w:spacing w:after="0"/>
              <w:jc w:val="left"/>
              <w:rPr>
                <w:rFonts w:cs="Arial"/>
                <w:color w:val="000000"/>
              </w:rPr>
            </w:pPr>
            <w:r>
              <w:t>Transmission/Distribution work</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AC40FC" w:rsidRPr="00BB30F7" w:rsidRDefault="00AC40FC" w:rsidP="00581946">
            <w:pPr>
              <w:spacing w:after="0"/>
              <w:jc w:val="center"/>
              <w:rPr>
                <w:rFonts w:cs="Arial"/>
                <w:color w:val="000000"/>
              </w:rPr>
            </w:pPr>
            <w:r>
              <w:rPr>
                <w:rFonts w:cs="Arial"/>
                <w:color w:val="000000"/>
              </w:rPr>
              <w:t>38</w:t>
            </w:r>
          </w:p>
        </w:tc>
        <w:tc>
          <w:tcPr>
            <w:tcW w:w="2160" w:type="dxa"/>
            <w:tcBorders>
              <w:top w:val="single" w:sz="4" w:space="0" w:color="auto"/>
              <w:left w:val="nil"/>
              <w:bottom w:val="single" w:sz="4" w:space="0" w:color="auto"/>
              <w:right w:val="single" w:sz="8" w:space="0" w:color="auto"/>
            </w:tcBorders>
            <w:shd w:val="clear" w:color="auto" w:fill="auto"/>
            <w:noWrap/>
            <w:vAlign w:val="center"/>
          </w:tcPr>
          <w:p w:rsidR="00AC40FC" w:rsidRPr="00BB30F7" w:rsidRDefault="00AC40FC" w:rsidP="00581946">
            <w:pPr>
              <w:spacing w:after="0"/>
              <w:jc w:val="center"/>
              <w:rPr>
                <w:rFonts w:cs="Arial"/>
                <w:color w:val="000000"/>
              </w:rPr>
            </w:pPr>
            <w:r>
              <w:rPr>
                <w:rFonts w:cs="Arial"/>
                <w:color w:val="000000"/>
              </w:rPr>
              <w:t>27</w:t>
            </w:r>
          </w:p>
        </w:tc>
      </w:tr>
      <w:tr w:rsidR="00AC40FC" w:rsidRPr="00E33F2E" w:rsidTr="00581946">
        <w:trPr>
          <w:trHeight w:val="300"/>
          <w:jc w:val="center"/>
        </w:trPr>
        <w:tc>
          <w:tcPr>
            <w:tcW w:w="4590" w:type="dxa"/>
            <w:tcBorders>
              <w:top w:val="single" w:sz="4" w:space="0" w:color="auto"/>
              <w:left w:val="single" w:sz="8" w:space="0" w:color="auto"/>
              <w:bottom w:val="single" w:sz="8" w:space="0" w:color="auto"/>
              <w:right w:val="single" w:sz="4" w:space="0" w:color="auto"/>
            </w:tcBorders>
            <w:shd w:val="clear" w:color="auto" w:fill="auto"/>
            <w:noWrap/>
            <w:vAlign w:val="center"/>
          </w:tcPr>
          <w:p w:rsidR="00AC40FC" w:rsidRPr="003750EE" w:rsidRDefault="00AC40FC" w:rsidP="00581946">
            <w:pPr>
              <w:spacing w:after="0"/>
              <w:jc w:val="center"/>
              <w:rPr>
                <w:rFonts w:cs="Arial"/>
                <w:color w:val="000000"/>
              </w:rPr>
            </w:pPr>
            <w:r>
              <w:t>Subtotal</w:t>
            </w:r>
          </w:p>
        </w:tc>
        <w:tc>
          <w:tcPr>
            <w:tcW w:w="1620" w:type="dxa"/>
            <w:tcBorders>
              <w:top w:val="single" w:sz="4" w:space="0" w:color="auto"/>
              <w:left w:val="nil"/>
              <w:bottom w:val="single" w:sz="8" w:space="0" w:color="auto"/>
              <w:right w:val="single" w:sz="4" w:space="0" w:color="auto"/>
            </w:tcBorders>
            <w:shd w:val="clear" w:color="auto" w:fill="auto"/>
            <w:noWrap/>
            <w:vAlign w:val="center"/>
          </w:tcPr>
          <w:p w:rsidR="00AC40FC" w:rsidRPr="00BB30F7" w:rsidRDefault="00AC40FC" w:rsidP="00581946">
            <w:pPr>
              <w:spacing w:after="0"/>
              <w:jc w:val="center"/>
              <w:rPr>
                <w:rFonts w:cs="Arial"/>
                <w:color w:val="000000"/>
              </w:rPr>
            </w:pPr>
            <w:r>
              <w:rPr>
                <w:rFonts w:cs="Arial"/>
                <w:color w:val="000000"/>
              </w:rPr>
              <w:t>95</w:t>
            </w:r>
          </w:p>
        </w:tc>
        <w:tc>
          <w:tcPr>
            <w:tcW w:w="2160" w:type="dxa"/>
            <w:tcBorders>
              <w:top w:val="single" w:sz="4" w:space="0" w:color="auto"/>
              <w:left w:val="nil"/>
              <w:bottom w:val="single" w:sz="8" w:space="0" w:color="auto"/>
              <w:right w:val="single" w:sz="8" w:space="0" w:color="auto"/>
            </w:tcBorders>
            <w:shd w:val="clear" w:color="auto" w:fill="auto"/>
            <w:noWrap/>
            <w:vAlign w:val="center"/>
          </w:tcPr>
          <w:p w:rsidR="00AC40FC" w:rsidRPr="00BB30F7" w:rsidRDefault="00AC40FC" w:rsidP="00581946">
            <w:pPr>
              <w:spacing w:after="0"/>
              <w:jc w:val="center"/>
              <w:rPr>
                <w:rFonts w:cs="Arial"/>
                <w:color w:val="000000"/>
              </w:rPr>
            </w:pPr>
            <w:r>
              <w:rPr>
                <w:rFonts w:cs="Arial"/>
                <w:color w:val="000000"/>
              </w:rPr>
              <w:t>66</w:t>
            </w:r>
          </w:p>
        </w:tc>
      </w:tr>
      <w:tr w:rsidR="00AC40FC" w:rsidRPr="00E33F2E" w:rsidTr="00581946">
        <w:trPr>
          <w:trHeight w:val="330"/>
          <w:jc w:val="center"/>
        </w:trPr>
        <w:tc>
          <w:tcPr>
            <w:tcW w:w="8370" w:type="dxa"/>
            <w:gridSpan w:val="3"/>
            <w:tcBorders>
              <w:top w:val="single" w:sz="8" w:space="0" w:color="auto"/>
              <w:left w:val="single" w:sz="8" w:space="0" w:color="auto"/>
              <w:bottom w:val="single" w:sz="4" w:space="0" w:color="auto"/>
              <w:right w:val="single" w:sz="8" w:space="0" w:color="auto"/>
            </w:tcBorders>
            <w:shd w:val="clear" w:color="auto" w:fill="auto"/>
            <w:vAlign w:val="center"/>
            <w:hideMark/>
          </w:tcPr>
          <w:p w:rsidR="00AC40FC" w:rsidRPr="00A02DA9" w:rsidRDefault="00AC40FC" w:rsidP="00581946">
            <w:pPr>
              <w:spacing w:after="0"/>
              <w:jc w:val="left"/>
              <w:rPr>
                <w:rFonts w:cs="Arial"/>
                <w:b/>
                <w:color w:val="000000"/>
                <w:szCs w:val="24"/>
              </w:rPr>
            </w:pPr>
            <w:r w:rsidRPr="00A02DA9">
              <w:rPr>
                <w:b/>
              </w:rPr>
              <w:t>Central/Susquehanna Region</w:t>
            </w:r>
          </w:p>
        </w:tc>
      </w:tr>
      <w:tr w:rsidR="00AC40FC" w:rsidRPr="00E33F2E" w:rsidTr="00581946">
        <w:trPr>
          <w:trHeight w:val="300"/>
          <w:jc w:val="center"/>
        </w:trPr>
        <w:tc>
          <w:tcPr>
            <w:tcW w:w="4590" w:type="dxa"/>
            <w:tcBorders>
              <w:top w:val="single" w:sz="4" w:space="0" w:color="auto"/>
              <w:left w:val="single" w:sz="8" w:space="0" w:color="auto"/>
              <w:bottom w:val="single" w:sz="4" w:space="0" w:color="auto"/>
              <w:right w:val="single" w:sz="4" w:space="0" w:color="auto"/>
            </w:tcBorders>
            <w:shd w:val="clear" w:color="auto" w:fill="auto"/>
            <w:noWrap/>
            <w:vAlign w:val="center"/>
          </w:tcPr>
          <w:p w:rsidR="00AC40FC" w:rsidRPr="00BB30F7" w:rsidRDefault="00AC40FC" w:rsidP="00581946">
            <w:pPr>
              <w:spacing w:after="0"/>
              <w:jc w:val="left"/>
              <w:rPr>
                <w:rFonts w:cs="Arial"/>
                <w:color w:val="000000"/>
              </w:rPr>
            </w:pPr>
            <w:r>
              <w:t>Directional Boring work</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AC40FC" w:rsidRPr="00BB30F7" w:rsidRDefault="00AC40FC" w:rsidP="00581946">
            <w:pPr>
              <w:spacing w:after="0"/>
              <w:jc w:val="center"/>
              <w:rPr>
                <w:rFonts w:cs="Arial"/>
                <w:color w:val="000000"/>
              </w:rPr>
            </w:pPr>
            <w:r>
              <w:rPr>
                <w:rFonts w:cs="Arial"/>
                <w:color w:val="000000"/>
              </w:rPr>
              <w:t>3</w:t>
            </w:r>
          </w:p>
        </w:tc>
        <w:tc>
          <w:tcPr>
            <w:tcW w:w="2160" w:type="dxa"/>
            <w:tcBorders>
              <w:top w:val="single" w:sz="4" w:space="0" w:color="auto"/>
              <w:left w:val="nil"/>
              <w:bottom w:val="single" w:sz="4" w:space="0" w:color="auto"/>
              <w:right w:val="single" w:sz="8" w:space="0" w:color="auto"/>
            </w:tcBorders>
            <w:shd w:val="clear" w:color="auto" w:fill="auto"/>
            <w:noWrap/>
            <w:vAlign w:val="center"/>
          </w:tcPr>
          <w:p w:rsidR="00AC40FC" w:rsidRPr="00BB30F7" w:rsidRDefault="00AC40FC" w:rsidP="00581946">
            <w:pPr>
              <w:spacing w:after="0"/>
              <w:jc w:val="center"/>
              <w:rPr>
                <w:rFonts w:cs="Arial"/>
                <w:color w:val="000000"/>
              </w:rPr>
            </w:pPr>
            <w:r>
              <w:rPr>
                <w:rFonts w:cs="Arial"/>
                <w:color w:val="000000"/>
              </w:rPr>
              <w:t>3</w:t>
            </w:r>
          </w:p>
        </w:tc>
      </w:tr>
      <w:tr w:rsidR="00AC40FC" w:rsidRPr="00E33F2E" w:rsidTr="00581946">
        <w:trPr>
          <w:trHeight w:val="300"/>
          <w:jc w:val="center"/>
        </w:trPr>
        <w:tc>
          <w:tcPr>
            <w:tcW w:w="4590" w:type="dxa"/>
            <w:tcBorders>
              <w:top w:val="single" w:sz="4" w:space="0" w:color="auto"/>
              <w:left w:val="single" w:sz="8" w:space="0" w:color="auto"/>
              <w:bottom w:val="single" w:sz="4" w:space="0" w:color="auto"/>
              <w:right w:val="single" w:sz="4" w:space="0" w:color="auto"/>
            </w:tcBorders>
            <w:shd w:val="clear" w:color="auto" w:fill="auto"/>
            <w:noWrap/>
            <w:vAlign w:val="center"/>
          </w:tcPr>
          <w:p w:rsidR="00AC40FC" w:rsidRPr="00BB30F7" w:rsidRDefault="00AC40FC" w:rsidP="00581946">
            <w:pPr>
              <w:spacing w:after="0"/>
              <w:jc w:val="left"/>
              <w:rPr>
                <w:rFonts w:cs="Arial"/>
                <w:color w:val="000000"/>
              </w:rPr>
            </w:pPr>
            <w:r>
              <w:t>Mechanical/Electrical work</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AC40FC" w:rsidRPr="00BB30F7" w:rsidRDefault="00AC40FC" w:rsidP="00581946">
            <w:pPr>
              <w:spacing w:after="0"/>
              <w:jc w:val="center"/>
              <w:rPr>
                <w:rFonts w:cs="Arial"/>
                <w:color w:val="000000"/>
              </w:rPr>
            </w:pPr>
            <w:r>
              <w:rPr>
                <w:rFonts w:cs="Arial"/>
                <w:color w:val="000000"/>
              </w:rPr>
              <w:t>4</w:t>
            </w:r>
          </w:p>
        </w:tc>
        <w:tc>
          <w:tcPr>
            <w:tcW w:w="2160" w:type="dxa"/>
            <w:tcBorders>
              <w:top w:val="single" w:sz="4" w:space="0" w:color="auto"/>
              <w:left w:val="nil"/>
              <w:bottom w:val="single" w:sz="4" w:space="0" w:color="auto"/>
              <w:right w:val="single" w:sz="8" w:space="0" w:color="auto"/>
            </w:tcBorders>
            <w:shd w:val="clear" w:color="auto" w:fill="auto"/>
            <w:noWrap/>
            <w:vAlign w:val="center"/>
          </w:tcPr>
          <w:p w:rsidR="00AC40FC" w:rsidRPr="00BB30F7" w:rsidRDefault="00AC40FC" w:rsidP="00581946">
            <w:pPr>
              <w:spacing w:after="0"/>
              <w:jc w:val="center"/>
              <w:rPr>
                <w:rFonts w:cs="Arial"/>
                <w:color w:val="000000"/>
              </w:rPr>
            </w:pPr>
            <w:r>
              <w:rPr>
                <w:rFonts w:cs="Arial"/>
                <w:color w:val="000000"/>
              </w:rPr>
              <w:t>6</w:t>
            </w:r>
          </w:p>
        </w:tc>
      </w:tr>
      <w:tr w:rsidR="00AC40FC" w:rsidRPr="00E33F2E" w:rsidTr="00581946">
        <w:trPr>
          <w:trHeight w:val="300"/>
          <w:jc w:val="center"/>
        </w:trPr>
        <w:tc>
          <w:tcPr>
            <w:tcW w:w="4590" w:type="dxa"/>
            <w:tcBorders>
              <w:top w:val="single" w:sz="4" w:space="0" w:color="auto"/>
              <w:left w:val="single" w:sz="8" w:space="0" w:color="auto"/>
              <w:bottom w:val="single" w:sz="4" w:space="0" w:color="auto"/>
              <w:right w:val="single" w:sz="4" w:space="0" w:color="auto"/>
            </w:tcBorders>
            <w:shd w:val="clear" w:color="auto" w:fill="auto"/>
            <w:noWrap/>
            <w:vAlign w:val="center"/>
          </w:tcPr>
          <w:p w:rsidR="00AC40FC" w:rsidRPr="003750EE" w:rsidRDefault="00AC40FC" w:rsidP="00581946">
            <w:pPr>
              <w:spacing w:after="0"/>
              <w:jc w:val="left"/>
              <w:rPr>
                <w:rFonts w:cs="Arial"/>
                <w:color w:val="000000"/>
              </w:rPr>
            </w:pPr>
            <w:r>
              <w:t>Project Construction work</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AC40FC" w:rsidRPr="00BB30F7" w:rsidRDefault="00AC40FC" w:rsidP="00581946">
            <w:pPr>
              <w:spacing w:after="0"/>
              <w:jc w:val="center"/>
              <w:rPr>
                <w:rFonts w:cs="Arial"/>
                <w:color w:val="000000"/>
              </w:rPr>
            </w:pPr>
            <w:r>
              <w:rPr>
                <w:rFonts w:cs="Arial"/>
                <w:color w:val="000000"/>
              </w:rPr>
              <w:t>12</w:t>
            </w:r>
          </w:p>
        </w:tc>
        <w:tc>
          <w:tcPr>
            <w:tcW w:w="2160" w:type="dxa"/>
            <w:tcBorders>
              <w:top w:val="single" w:sz="4" w:space="0" w:color="auto"/>
              <w:left w:val="nil"/>
              <w:bottom w:val="single" w:sz="4" w:space="0" w:color="auto"/>
              <w:right w:val="single" w:sz="8" w:space="0" w:color="auto"/>
            </w:tcBorders>
            <w:shd w:val="clear" w:color="auto" w:fill="auto"/>
            <w:noWrap/>
            <w:vAlign w:val="center"/>
          </w:tcPr>
          <w:p w:rsidR="00AC40FC" w:rsidRPr="00BB30F7" w:rsidRDefault="00AC40FC" w:rsidP="00581946">
            <w:pPr>
              <w:spacing w:after="0"/>
              <w:jc w:val="center"/>
              <w:rPr>
                <w:rFonts w:cs="Arial"/>
                <w:color w:val="000000"/>
              </w:rPr>
            </w:pPr>
            <w:r>
              <w:rPr>
                <w:rFonts w:cs="Arial"/>
                <w:color w:val="000000"/>
              </w:rPr>
              <w:t>17</w:t>
            </w:r>
          </w:p>
        </w:tc>
      </w:tr>
      <w:tr w:rsidR="00AC40FC" w:rsidRPr="00E33F2E" w:rsidTr="00581946">
        <w:trPr>
          <w:trHeight w:val="300"/>
          <w:jc w:val="center"/>
        </w:trPr>
        <w:tc>
          <w:tcPr>
            <w:tcW w:w="4590" w:type="dxa"/>
            <w:tcBorders>
              <w:top w:val="single" w:sz="4" w:space="0" w:color="auto"/>
              <w:left w:val="single" w:sz="8" w:space="0" w:color="auto"/>
              <w:bottom w:val="single" w:sz="4" w:space="0" w:color="auto"/>
              <w:right w:val="single" w:sz="4" w:space="0" w:color="auto"/>
            </w:tcBorders>
            <w:shd w:val="clear" w:color="auto" w:fill="auto"/>
            <w:noWrap/>
            <w:vAlign w:val="center"/>
          </w:tcPr>
          <w:p w:rsidR="00AC40FC" w:rsidRPr="003750EE" w:rsidRDefault="00AC40FC" w:rsidP="00581946">
            <w:pPr>
              <w:spacing w:after="0"/>
              <w:jc w:val="left"/>
              <w:rPr>
                <w:rFonts w:cs="Arial"/>
                <w:color w:val="000000"/>
              </w:rPr>
            </w:pPr>
            <w:r>
              <w:t>Transmission/Distribution work</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AC40FC" w:rsidRPr="00BB30F7" w:rsidRDefault="00AC40FC" w:rsidP="00581946">
            <w:pPr>
              <w:spacing w:after="0"/>
              <w:jc w:val="center"/>
              <w:rPr>
                <w:rFonts w:cs="Arial"/>
                <w:color w:val="000000"/>
              </w:rPr>
            </w:pPr>
            <w:r>
              <w:rPr>
                <w:rFonts w:cs="Arial"/>
                <w:color w:val="000000"/>
              </w:rPr>
              <w:t>37</w:t>
            </w:r>
          </w:p>
        </w:tc>
        <w:tc>
          <w:tcPr>
            <w:tcW w:w="2160" w:type="dxa"/>
            <w:tcBorders>
              <w:top w:val="single" w:sz="4" w:space="0" w:color="auto"/>
              <w:left w:val="nil"/>
              <w:bottom w:val="single" w:sz="4" w:space="0" w:color="auto"/>
              <w:right w:val="single" w:sz="8" w:space="0" w:color="auto"/>
            </w:tcBorders>
            <w:shd w:val="clear" w:color="auto" w:fill="auto"/>
            <w:noWrap/>
            <w:vAlign w:val="center"/>
          </w:tcPr>
          <w:p w:rsidR="00AC40FC" w:rsidRPr="00BB30F7" w:rsidRDefault="00AC40FC" w:rsidP="00581946">
            <w:pPr>
              <w:spacing w:after="0"/>
              <w:jc w:val="center"/>
              <w:rPr>
                <w:rFonts w:cs="Arial"/>
                <w:color w:val="000000"/>
              </w:rPr>
            </w:pPr>
            <w:r>
              <w:rPr>
                <w:rFonts w:cs="Arial"/>
                <w:color w:val="000000"/>
              </w:rPr>
              <w:t>24</w:t>
            </w:r>
          </w:p>
        </w:tc>
      </w:tr>
      <w:tr w:rsidR="00AC40FC" w:rsidRPr="00E33F2E" w:rsidTr="00581946">
        <w:trPr>
          <w:trHeight w:val="300"/>
          <w:jc w:val="center"/>
        </w:trPr>
        <w:tc>
          <w:tcPr>
            <w:tcW w:w="4590" w:type="dxa"/>
            <w:tcBorders>
              <w:top w:val="single" w:sz="4" w:space="0" w:color="auto"/>
              <w:left w:val="single" w:sz="8" w:space="0" w:color="auto"/>
              <w:bottom w:val="single" w:sz="8" w:space="0" w:color="auto"/>
              <w:right w:val="single" w:sz="4" w:space="0" w:color="auto"/>
            </w:tcBorders>
            <w:shd w:val="clear" w:color="auto" w:fill="auto"/>
            <w:noWrap/>
            <w:vAlign w:val="center"/>
          </w:tcPr>
          <w:p w:rsidR="00AC40FC" w:rsidRPr="003750EE" w:rsidRDefault="00AC40FC" w:rsidP="00581946">
            <w:pPr>
              <w:spacing w:after="0"/>
              <w:jc w:val="center"/>
              <w:rPr>
                <w:rFonts w:cs="Arial"/>
                <w:color w:val="000000"/>
              </w:rPr>
            </w:pPr>
            <w:r>
              <w:t>Subtotal</w:t>
            </w:r>
          </w:p>
        </w:tc>
        <w:tc>
          <w:tcPr>
            <w:tcW w:w="1620" w:type="dxa"/>
            <w:tcBorders>
              <w:top w:val="single" w:sz="4" w:space="0" w:color="auto"/>
              <w:left w:val="nil"/>
              <w:bottom w:val="single" w:sz="8" w:space="0" w:color="auto"/>
              <w:right w:val="single" w:sz="4" w:space="0" w:color="auto"/>
            </w:tcBorders>
            <w:shd w:val="clear" w:color="auto" w:fill="auto"/>
            <w:noWrap/>
            <w:vAlign w:val="center"/>
          </w:tcPr>
          <w:p w:rsidR="00AC40FC" w:rsidRPr="00BB30F7" w:rsidRDefault="00AC40FC" w:rsidP="00581946">
            <w:pPr>
              <w:spacing w:after="0"/>
              <w:jc w:val="center"/>
              <w:rPr>
                <w:rFonts w:cs="Arial"/>
                <w:color w:val="000000"/>
              </w:rPr>
            </w:pPr>
            <w:r>
              <w:rPr>
                <w:rFonts w:cs="Arial"/>
                <w:color w:val="000000"/>
              </w:rPr>
              <w:t>56</w:t>
            </w:r>
          </w:p>
        </w:tc>
        <w:tc>
          <w:tcPr>
            <w:tcW w:w="2160" w:type="dxa"/>
            <w:tcBorders>
              <w:top w:val="single" w:sz="4" w:space="0" w:color="auto"/>
              <w:left w:val="nil"/>
              <w:bottom w:val="single" w:sz="8" w:space="0" w:color="auto"/>
              <w:right w:val="single" w:sz="8" w:space="0" w:color="auto"/>
            </w:tcBorders>
            <w:shd w:val="clear" w:color="auto" w:fill="auto"/>
            <w:noWrap/>
            <w:vAlign w:val="center"/>
          </w:tcPr>
          <w:p w:rsidR="00AC40FC" w:rsidRPr="00BB30F7" w:rsidRDefault="00AC40FC" w:rsidP="00581946">
            <w:pPr>
              <w:spacing w:after="0"/>
              <w:jc w:val="center"/>
              <w:rPr>
                <w:rFonts w:cs="Arial"/>
                <w:color w:val="000000"/>
              </w:rPr>
            </w:pPr>
            <w:r>
              <w:rPr>
                <w:rFonts w:cs="Arial"/>
                <w:color w:val="000000"/>
              </w:rPr>
              <w:t>50</w:t>
            </w:r>
          </w:p>
        </w:tc>
      </w:tr>
      <w:tr w:rsidR="00AC40FC" w:rsidRPr="00E33F2E" w:rsidTr="00581946">
        <w:trPr>
          <w:trHeight w:val="330"/>
          <w:jc w:val="center"/>
        </w:trPr>
        <w:tc>
          <w:tcPr>
            <w:tcW w:w="8370" w:type="dxa"/>
            <w:gridSpan w:val="3"/>
            <w:tcBorders>
              <w:top w:val="single" w:sz="8" w:space="0" w:color="auto"/>
              <w:left w:val="single" w:sz="8" w:space="0" w:color="auto"/>
              <w:bottom w:val="single" w:sz="4" w:space="0" w:color="auto"/>
              <w:right w:val="single" w:sz="8" w:space="0" w:color="auto"/>
            </w:tcBorders>
            <w:shd w:val="clear" w:color="auto" w:fill="auto"/>
            <w:vAlign w:val="center"/>
            <w:hideMark/>
          </w:tcPr>
          <w:p w:rsidR="00AC40FC" w:rsidRPr="00A02DA9" w:rsidRDefault="00AC40FC" w:rsidP="00581946">
            <w:pPr>
              <w:spacing w:after="0"/>
              <w:jc w:val="left"/>
              <w:rPr>
                <w:rFonts w:cs="Arial"/>
                <w:b/>
                <w:color w:val="000000"/>
                <w:szCs w:val="24"/>
              </w:rPr>
            </w:pPr>
            <w:r w:rsidRPr="00A02DA9">
              <w:rPr>
                <w:b/>
              </w:rPr>
              <w:t>Harrisburg/Lancaster Region</w:t>
            </w:r>
          </w:p>
        </w:tc>
      </w:tr>
      <w:tr w:rsidR="00AC40FC" w:rsidRPr="00E33F2E" w:rsidTr="00581946">
        <w:trPr>
          <w:trHeight w:val="300"/>
          <w:jc w:val="center"/>
        </w:trPr>
        <w:tc>
          <w:tcPr>
            <w:tcW w:w="4590" w:type="dxa"/>
            <w:tcBorders>
              <w:top w:val="single" w:sz="4" w:space="0" w:color="auto"/>
              <w:left w:val="single" w:sz="8" w:space="0" w:color="auto"/>
              <w:bottom w:val="single" w:sz="4" w:space="0" w:color="auto"/>
              <w:right w:val="single" w:sz="4" w:space="0" w:color="auto"/>
            </w:tcBorders>
            <w:shd w:val="clear" w:color="auto" w:fill="auto"/>
            <w:noWrap/>
            <w:vAlign w:val="center"/>
          </w:tcPr>
          <w:p w:rsidR="00AC40FC" w:rsidRPr="00BB30F7" w:rsidRDefault="00AC40FC" w:rsidP="00581946">
            <w:pPr>
              <w:spacing w:after="0"/>
              <w:jc w:val="left"/>
              <w:rPr>
                <w:rFonts w:cs="Arial"/>
                <w:color w:val="000000"/>
              </w:rPr>
            </w:pPr>
            <w:r>
              <w:t>Directional Boring work</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AC40FC" w:rsidRPr="00BB30F7" w:rsidRDefault="00AC40FC" w:rsidP="00581946">
            <w:pPr>
              <w:spacing w:after="0"/>
              <w:jc w:val="center"/>
              <w:rPr>
                <w:rFonts w:cs="Arial"/>
                <w:color w:val="000000"/>
              </w:rPr>
            </w:pPr>
            <w:r>
              <w:rPr>
                <w:rFonts w:cs="Arial"/>
                <w:color w:val="000000"/>
              </w:rPr>
              <w:t>13</w:t>
            </w:r>
          </w:p>
        </w:tc>
        <w:tc>
          <w:tcPr>
            <w:tcW w:w="2160" w:type="dxa"/>
            <w:tcBorders>
              <w:top w:val="single" w:sz="4" w:space="0" w:color="auto"/>
              <w:left w:val="nil"/>
              <w:bottom w:val="single" w:sz="4" w:space="0" w:color="auto"/>
              <w:right w:val="single" w:sz="8" w:space="0" w:color="auto"/>
            </w:tcBorders>
            <w:shd w:val="clear" w:color="auto" w:fill="auto"/>
            <w:noWrap/>
            <w:vAlign w:val="center"/>
          </w:tcPr>
          <w:p w:rsidR="00AC40FC" w:rsidRPr="00BB30F7" w:rsidRDefault="00AC40FC" w:rsidP="00581946">
            <w:pPr>
              <w:spacing w:after="0"/>
              <w:jc w:val="center"/>
              <w:rPr>
                <w:rFonts w:cs="Arial"/>
                <w:color w:val="000000"/>
              </w:rPr>
            </w:pPr>
            <w:r>
              <w:rPr>
                <w:rFonts w:cs="Arial"/>
                <w:color w:val="000000"/>
              </w:rPr>
              <w:t>15</w:t>
            </w:r>
          </w:p>
        </w:tc>
      </w:tr>
      <w:tr w:rsidR="00AC40FC" w:rsidRPr="00E33F2E" w:rsidTr="00581946">
        <w:trPr>
          <w:trHeight w:val="300"/>
          <w:jc w:val="center"/>
        </w:trPr>
        <w:tc>
          <w:tcPr>
            <w:tcW w:w="4590" w:type="dxa"/>
            <w:tcBorders>
              <w:top w:val="single" w:sz="4" w:space="0" w:color="auto"/>
              <w:left w:val="single" w:sz="8" w:space="0" w:color="auto"/>
              <w:bottom w:val="single" w:sz="4" w:space="0" w:color="auto"/>
              <w:right w:val="single" w:sz="4" w:space="0" w:color="auto"/>
            </w:tcBorders>
            <w:shd w:val="clear" w:color="auto" w:fill="auto"/>
            <w:noWrap/>
            <w:vAlign w:val="center"/>
          </w:tcPr>
          <w:p w:rsidR="00AC40FC" w:rsidRPr="00BB30F7" w:rsidRDefault="00AC40FC" w:rsidP="00581946">
            <w:pPr>
              <w:spacing w:after="0"/>
              <w:jc w:val="left"/>
              <w:rPr>
                <w:rFonts w:cs="Arial"/>
                <w:color w:val="000000"/>
              </w:rPr>
            </w:pPr>
            <w:r>
              <w:t>Mechanical/Electrical work</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AC40FC" w:rsidRPr="00BB30F7" w:rsidRDefault="00AC40FC" w:rsidP="00581946">
            <w:pPr>
              <w:spacing w:after="0"/>
              <w:jc w:val="center"/>
              <w:rPr>
                <w:rFonts w:cs="Arial"/>
                <w:color w:val="000000"/>
              </w:rPr>
            </w:pPr>
            <w:r>
              <w:rPr>
                <w:rFonts w:cs="Arial"/>
                <w:color w:val="000000"/>
              </w:rPr>
              <w:t>3</w:t>
            </w:r>
          </w:p>
        </w:tc>
        <w:tc>
          <w:tcPr>
            <w:tcW w:w="2160" w:type="dxa"/>
            <w:tcBorders>
              <w:top w:val="single" w:sz="4" w:space="0" w:color="auto"/>
              <w:left w:val="nil"/>
              <w:bottom w:val="single" w:sz="4" w:space="0" w:color="auto"/>
              <w:right w:val="single" w:sz="8" w:space="0" w:color="auto"/>
            </w:tcBorders>
            <w:shd w:val="clear" w:color="auto" w:fill="auto"/>
            <w:noWrap/>
            <w:vAlign w:val="center"/>
          </w:tcPr>
          <w:p w:rsidR="00AC40FC" w:rsidRPr="00BB30F7" w:rsidRDefault="00AC40FC" w:rsidP="00581946">
            <w:pPr>
              <w:spacing w:after="0"/>
              <w:jc w:val="center"/>
              <w:rPr>
                <w:rFonts w:cs="Arial"/>
                <w:color w:val="000000"/>
              </w:rPr>
            </w:pPr>
            <w:r>
              <w:rPr>
                <w:rFonts w:cs="Arial"/>
                <w:color w:val="000000"/>
              </w:rPr>
              <w:t>3</w:t>
            </w:r>
          </w:p>
        </w:tc>
      </w:tr>
      <w:tr w:rsidR="00AC40FC" w:rsidRPr="00E33F2E" w:rsidTr="00581946">
        <w:trPr>
          <w:trHeight w:val="300"/>
          <w:jc w:val="center"/>
        </w:trPr>
        <w:tc>
          <w:tcPr>
            <w:tcW w:w="4590" w:type="dxa"/>
            <w:tcBorders>
              <w:top w:val="single" w:sz="4" w:space="0" w:color="auto"/>
              <w:left w:val="single" w:sz="8" w:space="0" w:color="auto"/>
              <w:bottom w:val="single" w:sz="4" w:space="0" w:color="auto"/>
              <w:right w:val="single" w:sz="4" w:space="0" w:color="auto"/>
            </w:tcBorders>
            <w:shd w:val="clear" w:color="auto" w:fill="auto"/>
            <w:noWrap/>
            <w:vAlign w:val="center"/>
          </w:tcPr>
          <w:p w:rsidR="00AC40FC" w:rsidRPr="003750EE" w:rsidRDefault="00AC40FC" w:rsidP="00581946">
            <w:pPr>
              <w:spacing w:after="0"/>
              <w:jc w:val="left"/>
              <w:rPr>
                <w:rFonts w:cs="Arial"/>
                <w:color w:val="000000"/>
              </w:rPr>
            </w:pPr>
            <w:r>
              <w:t>Project Construction work</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AC40FC" w:rsidRPr="00BB30F7" w:rsidRDefault="00AC40FC" w:rsidP="00581946">
            <w:pPr>
              <w:spacing w:after="0"/>
              <w:jc w:val="center"/>
              <w:rPr>
                <w:rFonts w:cs="Arial"/>
                <w:color w:val="000000"/>
              </w:rPr>
            </w:pPr>
            <w:r>
              <w:rPr>
                <w:rFonts w:cs="Arial"/>
                <w:color w:val="000000"/>
              </w:rPr>
              <w:t>38</w:t>
            </w:r>
          </w:p>
        </w:tc>
        <w:tc>
          <w:tcPr>
            <w:tcW w:w="2160" w:type="dxa"/>
            <w:tcBorders>
              <w:top w:val="single" w:sz="4" w:space="0" w:color="auto"/>
              <w:left w:val="nil"/>
              <w:bottom w:val="single" w:sz="4" w:space="0" w:color="auto"/>
              <w:right w:val="single" w:sz="8" w:space="0" w:color="auto"/>
            </w:tcBorders>
            <w:shd w:val="clear" w:color="auto" w:fill="auto"/>
            <w:noWrap/>
            <w:vAlign w:val="center"/>
          </w:tcPr>
          <w:p w:rsidR="00AC40FC" w:rsidRPr="00BB30F7" w:rsidRDefault="00AC40FC" w:rsidP="00581946">
            <w:pPr>
              <w:spacing w:after="0"/>
              <w:jc w:val="center"/>
              <w:rPr>
                <w:rFonts w:cs="Arial"/>
                <w:color w:val="000000"/>
              </w:rPr>
            </w:pPr>
            <w:r>
              <w:rPr>
                <w:rFonts w:cs="Arial"/>
                <w:color w:val="000000"/>
              </w:rPr>
              <w:t>18</w:t>
            </w:r>
          </w:p>
        </w:tc>
      </w:tr>
      <w:tr w:rsidR="00AC40FC" w:rsidRPr="00E33F2E" w:rsidTr="00581946">
        <w:trPr>
          <w:trHeight w:val="300"/>
          <w:jc w:val="center"/>
        </w:trPr>
        <w:tc>
          <w:tcPr>
            <w:tcW w:w="4590" w:type="dxa"/>
            <w:tcBorders>
              <w:top w:val="single" w:sz="4" w:space="0" w:color="auto"/>
              <w:left w:val="single" w:sz="8" w:space="0" w:color="auto"/>
              <w:bottom w:val="single" w:sz="4" w:space="0" w:color="auto"/>
              <w:right w:val="single" w:sz="4" w:space="0" w:color="auto"/>
            </w:tcBorders>
            <w:shd w:val="clear" w:color="auto" w:fill="auto"/>
            <w:noWrap/>
            <w:vAlign w:val="center"/>
          </w:tcPr>
          <w:p w:rsidR="00AC40FC" w:rsidRPr="003750EE" w:rsidRDefault="00AC40FC" w:rsidP="00581946">
            <w:pPr>
              <w:spacing w:after="0"/>
              <w:jc w:val="left"/>
              <w:rPr>
                <w:rFonts w:cs="Arial"/>
                <w:color w:val="000000"/>
              </w:rPr>
            </w:pPr>
            <w:r>
              <w:t>Transmission/Distribution work</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AC40FC" w:rsidRPr="00BB30F7" w:rsidRDefault="00AC40FC" w:rsidP="00581946">
            <w:pPr>
              <w:spacing w:after="0"/>
              <w:jc w:val="center"/>
              <w:rPr>
                <w:rFonts w:cs="Arial"/>
                <w:color w:val="000000"/>
              </w:rPr>
            </w:pPr>
            <w:r>
              <w:rPr>
                <w:rFonts w:cs="Arial"/>
                <w:color w:val="000000"/>
              </w:rPr>
              <w:t>48</w:t>
            </w:r>
          </w:p>
        </w:tc>
        <w:tc>
          <w:tcPr>
            <w:tcW w:w="2160" w:type="dxa"/>
            <w:tcBorders>
              <w:top w:val="single" w:sz="4" w:space="0" w:color="auto"/>
              <w:left w:val="nil"/>
              <w:bottom w:val="single" w:sz="4" w:space="0" w:color="auto"/>
              <w:right w:val="single" w:sz="8" w:space="0" w:color="auto"/>
            </w:tcBorders>
            <w:shd w:val="clear" w:color="auto" w:fill="auto"/>
            <w:noWrap/>
            <w:vAlign w:val="center"/>
          </w:tcPr>
          <w:p w:rsidR="00AC40FC" w:rsidRPr="00BB30F7" w:rsidRDefault="00AC40FC" w:rsidP="00581946">
            <w:pPr>
              <w:spacing w:after="0"/>
              <w:jc w:val="center"/>
              <w:rPr>
                <w:rFonts w:cs="Arial"/>
                <w:color w:val="000000"/>
              </w:rPr>
            </w:pPr>
            <w:r>
              <w:rPr>
                <w:rFonts w:cs="Arial"/>
                <w:color w:val="000000"/>
              </w:rPr>
              <w:t>12</w:t>
            </w:r>
          </w:p>
        </w:tc>
      </w:tr>
      <w:tr w:rsidR="00AC40FC" w:rsidRPr="00E33F2E" w:rsidTr="00581946">
        <w:trPr>
          <w:trHeight w:val="300"/>
          <w:jc w:val="center"/>
        </w:trPr>
        <w:tc>
          <w:tcPr>
            <w:tcW w:w="4590" w:type="dxa"/>
            <w:tcBorders>
              <w:top w:val="single" w:sz="4" w:space="0" w:color="auto"/>
              <w:left w:val="single" w:sz="8" w:space="0" w:color="auto"/>
              <w:bottom w:val="single" w:sz="8" w:space="0" w:color="auto"/>
              <w:right w:val="single" w:sz="4" w:space="0" w:color="auto"/>
            </w:tcBorders>
            <w:shd w:val="clear" w:color="auto" w:fill="auto"/>
            <w:noWrap/>
            <w:vAlign w:val="center"/>
          </w:tcPr>
          <w:p w:rsidR="00AC40FC" w:rsidRPr="003750EE" w:rsidRDefault="00AC40FC" w:rsidP="00581946">
            <w:pPr>
              <w:spacing w:after="0"/>
              <w:jc w:val="center"/>
              <w:rPr>
                <w:rFonts w:cs="Arial"/>
                <w:color w:val="000000"/>
              </w:rPr>
            </w:pPr>
            <w:r>
              <w:t>Subtotal</w:t>
            </w:r>
          </w:p>
        </w:tc>
        <w:tc>
          <w:tcPr>
            <w:tcW w:w="1620" w:type="dxa"/>
            <w:tcBorders>
              <w:top w:val="single" w:sz="4" w:space="0" w:color="auto"/>
              <w:left w:val="nil"/>
              <w:bottom w:val="single" w:sz="8" w:space="0" w:color="auto"/>
              <w:right w:val="single" w:sz="4" w:space="0" w:color="auto"/>
            </w:tcBorders>
            <w:shd w:val="clear" w:color="auto" w:fill="auto"/>
            <w:noWrap/>
            <w:vAlign w:val="center"/>
          </w:tcPr>
          <w:p w:rsidR="00AC40FC" w:rsidRPr="00BB30F7" w:rsidRDefault="00AC40FC" w:rsidP="00581946">
            <w:pPr>
              <w:spacing w:after="0"/>
              <w:jc w:val="center"/>
              <w:rPr>
                <w:rFonts w:cs="Arial"/>
                <w:color w:val="000000"/>
              </w:rPr>
            </w:pPr>
            <w:r>
              <w:rPr>
                <w:rFonts w:cs="Arial"/>
                <w:color w:val="000000"/>
              </w:rPr>
              <w:t>102</w:t>
            </w:r>
          </w:p>
        </w:tc>
        <w:tc>
          <w:tcPr>
            <w:tcW w:w="2160" w:type="dxa"/>
            <w:tcBorders>
              <w:top w:val="single" w:sz="4" w:space="0" w:color="auto"/>
              <w:left w:val="nil"/>
              <w:bottom w:val="single" w:sz="8" w:space="0" w:color="auto"/>
              <w:right w:val="single" w:sz="8" w:space="0" w:color="auto"/>
            </w:tcBorders>
            <w:shd w:val="clear" w:color="auto" w:fill="auto"/>
            <w:noWrap/>
            <w:vAlign w:val="center"/>
          </w:tcPr>
          <w:p w:rsidR="00AC40FC" w:rsidRPr="00BB30F7" w:rsidRDefault="00AC40FC" w:rsidP="00581946">
            <w:pPr>
              <w:spacing w:after="0"/>
              <w:jc w:val="center"/>
              <w:rPr>
                <w:rFonts w:cs="Arial"/>
                <w:color w:val="000000"/>
              </w:rPr>
            </w:pPr>
            <w:r>
              <w:rPr>
                <w:rFonts w:cs="Arial"/>
                <w:color w:val="000000"/>
              </w:rPr>
              <w:t>48</w:t>
            </w:r>
          </w:p>
        </w:tc>
      </w:tr>
      <w:tr w:rsidR="00AC40FC" w:rsidRPr="00D41134" w:rsidTr="00581946">
        <w:trPr>
          <w:trHeight w:val="300"/>
          <w:jc w:val="center"/>
        </w:trPr>
        <w:tc>
          <w:tcPr>
            <w:tcW w:w="4590" w:type="dxa"/>
            <w:tcBorders>
              <w:top w:val="single" w:sz="8" w:space="0" w:color="auto"/>
              <w:left w:val="single" w:sz="8" w:space="0" w:color="auto"/>
              <w:bottom w:val="single" w:sz="8" w:space="0" w:color="auto"/>
              <w:right w:val="single" w:sz="4" w:space="0" w:color="auto"/>
            </w:tcBorders>
            <w:shd w:val="clear" w:color="auto" w:fill="auto"/>
            <w:noWrap/>
            <w:vAlign w:val="center"/>
          </w:tcPr>
          <w:p w:rsidR="00AC40FC" w:rsidRPr="00D41134" w:rsidRDefault="00AC40FC" w:rsidP="00581946">
            <w:pPr>
              <w:spacing w:after="0"/>
              <w:jc w:val="center"/>
              <w:rPr>
                <w:b/>
              </w:rPr>
            </w:pPr>
            <w:r w:rsidRPr="00D41134">
              <w:rPr>
                <w:b/>
              </w:rPr>
              <w:t>Totals</w:t>
            </w:r>
          </w:p>
        </w:tc>
        <w:tc>
          <w:tcPr>
            <w:tcW w:w="1620" w:type="dxa"/>
            <w:tcBorders>
              <w:top w:val="single" w:sz="8" w:space="0" w:color="auto"/>
              <w:left w:val="nil"/>
              <w:bottom w:val="single" w:sz="8" w:space="0" w:color="auto"/>
              <w:right w:val="single" w:sz="4" w:space="0" w:color="auto"/>
            </w:tcBorders>
            <w:shd w:val="clear" w:color="auto" w:fill="auto"/>
            <w:noWrap/>
            <w:vAlign w:val="center"/>
          </w:tcPr>
          <w:p w:rsidR="00AC40FC" w:rsidRPr="00D41134" w:rsidRDefault="00AC40FC" w:rsidP="00581946">
            <w:pPr>
              <w:spacing w:after="0"/>
              <w:jc w:val="center"/>
              <w:rPr>
                <w:rFonts w:cs="Arial"/>
                <w:b/>
                <w:color w:val="000000"/>
              </w:rPr>
            </w:pPr>
            <w:r>
              <w:rPr>
                <w:rFonts w:cs="Arial"/>
                <w:b/>
                <w:color w:val="000000"/>
              </w:rPr>
              <w:t>266</w:t>
            </w:r>
          </w:p>
        </w:tc>
        <w:tc>
          <w:tcPr>
            <w:tcW w:w="2160" w:type="dxa"/>
            <w:tcBorders>
              <w:top w:val="single" w:sz="8" w:space="0" w:color="auto"/>
              <w:left w:val="nil"/>
              <w:bottom w:val="single" w:sz="8" w:space="0" w:color="auto"/>
              <w:right w:val="single" w:sz="8" w:space="0" w:color="auto"/>
            </w:tcBorders>
            <w:shd w:val="clear" w:color="auto" w:fill="auto"/>
            <w:noWrap/>
            <w:vAlign w:val="center"/>
          </w:tcPr>
          <w:p w:rsidR="00AC40FC" w:rsidRPr="00D41134" w:rsidRDefault="00AC40FC" w:rsidP="00581946">
            <w:pPr>
              <w:spacing w:after="0"/>
              <w:jc w:val="center"/>
              <w:rPr>
                <w:rFonts w:cs="Arial"/>
                <w:b/>
                <w:color w:val="000000"/>
              </w:rPr>
            </w:pPr>
            <w:r>
              <w:rPr>
                <w:rFonts w:cs="Arial"/>
                <w:b/>
                <w:color w:val="000000"/>
              </w:rPr>
              <w:t>180</w:t>
            </w:r>
          </w:p>
        </w:tc>
      </w:tr>
      <w:tr w:rsidR="00AC40FC" w:rsidRPr="00D41134" w:rsidTr="00581946">
        <w:trPr>
          <w:trHeight w:val="300"/>
          <w:jc w:val="center"/>
        </w:trPr>
        <w:tc>
          <w:tcPr>
            <w:tcW w:w="8370"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rsidR="00AC40FC" w:rsidRPr="003627E8" w:rsidRDefault="00AC40FC" w:rsidP="00581946">
            <w:pPr>
              <w:spacing w:after="0"/>
              <w:jc w:val="left"/>
              <w:rPr>
                <w:rFonts w:cs="Arial"/>
                <w:color w:val="000000"/>
              </w:rPr>
            </w:pPr>
            <w:r>
              <w:rPr>
                <w:rFonts w:cs="Arial"/>
                <w:color w:val="000000"/>
              </w:rPr>
              <w:t>Source: DN 18-065</w:t>
            </w:r>
          </w:p>
        </w:tc>
      </w:tr>
    </w:tbl>
    <w:p w:rsidR="00AC40FC" w:rsidRPr="00B63AEB" w:rsidRDefault="00AC40FC" w:rsidP="00581946">
      <w:pPr>
        <w:pStyle w:val="Normal-aftertable"/>
      </w:pPr>
      <w:r w:rsidRPr="00B63AEB">
        <w:t xml:space="preserve">The </w:t>
      </w:r>
      <w:r>
        <w:t>m</w:t>
      </w:r>
      <w:r w:rsidRPr="00B63AEB">
        <w:t>ost significant</w:t>
      </w:r>
      <w:r>
        <w:t xml:space="preserve"> change from 2015 to 2016 is in the number of contract FTEs projected for transmission and distribution work.  This is attributed to improved efficiencies and productivity of PPL EU crews.  This includes scheduling and bundling of work geospatially, realigning resources across service territories, and unitizing specific work.</w:t>
      </w:r>
    </w:p>
    <w:p w:rsidR="00AC40FC" w:rsidRDefault="00AC40FC" w:rsidP="00581946">
      <w:r w:rsidRPr="00B32A5B">
        <w:rPr>
          <w:b/>
        </w:rPr>
        <w:t>Vegetation Management.</w:t>
      </w:r>
      <w:r w:rsidRPr="00F54023">
        <w:t xml:space="preserve">  </w:t>
      </w:r>
      <w:r>
        <w:t xml:space="preserve">Additionally, there are two contract companies performing VM work on transmission and four working on distribution with about 800 to 900 </w:t>
      </w:r>
      <w:r>
        <w:lastRenderedPageBreak/>
        <w:t>contract personnel currently deployed.  These contractors are on three year contracts with options to extend.  The number of contractor personnel is expected to be 30 to 40% lower by completion of the new distribution trim cycle in 2017.</w:t>
      </w:r>
    </w:p>
    <w:p w:rsidR="00AC40FC" w:rsidRDefault="00AC40FC" w:rsidP="00581946">
      <w:r w:rsidRPr="00B63AEB">
        <w:rPr>
          <w:b/>
        </w:rPr>
        <w:t>Respond to Customer.</w:t>
      </w:r>
      <w:r>
        <w:t xml:space="preserve">  A second shift of line crews is being added in 2016 to support outage repairs from 4 pm to midnight year round.  The line crews are made up of 36 contract line workers in two-person crews (shown as 32 FTEs above).  Each of the regions will have one two-person crew working each of three shifts.  This second shift is in addition to the extended shift of PPL EU line crews (one per region) operating from March to October, Monday through Friday until 7:30 pm, each year. </w:t>
      </w:r>
      <w:r w:rsidRPr="00AE5532">
        <w:rPr>
          <w:rStyle w:val="FootnoteReference"/>
          <w:rFonts w:cs="Arial"/>
          <w:szCs w:val="24"/>
        </w:rPr>
        <w:t xml:space="preserve"> </w:t>
      </w:r>
      <w:r>
        <w:t>Discussions have been initiated with Local 1600 regarding the potential for bringing the second shift line crews in-house.</w:t>
      </w:r>
    </w:p>
    <w:p w:rsidR="00AC40FC" w:rsidRDefault="00AC40FC" w:rsidP="00581946">
      <w:r w:rsidRPr="00153192">
        <w:rPr>
          <w:b/>
        </w:rPr>
        <w:t>Technical Development and Improvement.</w:t>
      </w:r>
      <w:r w:rsidRPr="008D61EE">
        <w:t xml:space="preserve">  </w:t>
      </w:r>
      <w:r>
        <w:t>The overall TDI staffing plan is to maintain a core group of internal experts and use subject matter experts from the field when needed to supplement staff.  Contractors are used for most on-site specialized instruction for courses such as CPR, First Aid, crane safety, and many technical topics.  The decision on whether to use contractors or in-house staff for specific programs is based on cost, expected duration, expertise on the topic, and the need for a support organization behind the trainer to stay current on the topic.</w:t>
      </w:r>
    </w:p>
    <w:p w:rsidR="00AC40FC" w:rsidRDefault="00AC40FC" w:rsidP="00581946">
      <w:r>
        <w:t xml:space="preserve">A multi-year staffing plan is maintained.  The primary drivers for staffing are workforce skills changes and hiring activity. </w:t>
      </w:r>
      <w:r w:rsidRPr="00641187">
        <w:t xml:space="preserve"> </w:t>
      </w:r>
      <w:r>
        <w:t>The training, safety, and work methods staff are expected to know the business and be expert enough in PPL EU systems to support the operations.</w:t>
      </w:r>
    </w:p>
    <w:p w:rsidR="00AC40FC" w:rsidRPr="00F120FC" w:rsidRDefault="00AC40FC" w:rsidP="00581946">
      <w:pPr>
        <w:pStyle w:val="Heading40"/>
      </w:pPr>
      <w:r w:rsidRPr="00F120FC">
        <w:t>The Allocation of Personnel to PPL EU and PPL EUS in the Formation of PPL EUS</w:t>
      </w:r>
    </w:p>
    <w:p w:rsidR="00AC40FC" w:rsidRPr="008942C0" w:rsidRDefault="00AC40FC" w:rsidP="00581946">
      <w:pPr>
        <w:rPr>
          <w:rFonts w:cs="Arial"/>
          <w:szCs w:val="24"/>
        </w:rPr>
      </w:pPr>
      <w:r>
        <w:rPr>
          <w:rFonts w:cs="Arial"/>
          <w:szCs w:val="24"/>
        </w:rPr>
        <w:t>The formation of PPL EUS had little impact on Distribution Operations.</w:t>
      </w:r>
    </w:p>
    <w:p w:rsidR="00AC40FC" w:rsidRPr="006D1B9D" w:rsidRDefault="00AC40FC" w:rsidP="00581946">
      <w:pPr>
        <w:rPr>
          <w:rFonts w:cs="Arial"/>
          <w:szCs w:val="24"/>
        </w:rPr>
      </w:pPr>
      <w:r>
        <w:rPr>
          <w:rFonts w:cs="Arial"/>
          <w:szCs w:val="24"/>
        </w:rPr>
        <w:t>Transportation Services procures and maintains vehicles for PPL EUS organizations including Supply Chain and Facilities.</w:t>
      </w:r>
    </w:p>
    <w:p w:rsidR="00AC40FC" w:rsidRDefault="00AC40FC" w:rsidP="00581946">
      <w:pPr>
        <w:rPr>
          <w:rFonts w:cs="Arial"/>
          <w:szCs w:val="24"/>
        </w:rPr>
      </w:pPr>
      <w:r>
        <w:t xml:space="preserve">The materials handlers were part of PPL SC Supply Chain that was transferred to PPL EUS.  </w:t>
      </w:r>
      <w:r w:rsidRPr="0045326B">
        <w:t>The reporting relationship for t</w:t>
      </w:r>
      <w:r w:rsidRPr="00A5318F">
        <w:rPr>
          <w:rFonts w:cs="Arial"/>
          <w:szCs w:val="24"/>
        </w:rPr>
        <w:t xml:space="preserve">he materials handlers </w:t>
      </w:r>
      <w:r>
        <w:rPr>
          <w:rFonts w:cs="Arial"/>
          <w:szCs w:val="24"/>
        </w:rPr>
        <w:t>who</w:t>
      </w:r>
      <w:r w:rsidRPr="00A5318F">
        <w:rPr>
          <w:rFonts w:cs="Arial"/>
          <w:szCs w:val="24"/>
        </w:rPr>
        <w:t xml:space="preserve"> work in the service centers, 44 positions in total, was </w:t>
      </w:r>
      <w:r>
        <w:rPr>
          <w:rFonts w:cs="Arial"/>
          <w:szCs w:val="24"/>
        </w:rPr>
        <w:t xml:space="preserve">subsequently </w:t>
      </w:r>
      <w:r w:rsidRPr="00A5318F">
        <w:rPr>
          <w:rFonts w:cs="Arial"/>
          <w:szCs w:val="24"/>
        </w:rPr>
        <w:t xml:space="preserve">changed </w:t>
      </w:r>
      <w:r>
        <w:rPr>
          <w:rFonts w:cs="Arial"/>
          <w:szCs w:val="24"/>
        </w:rPr>
        <w:t>during</w:t>
      </w:r>
      <w:r w:rsidRPr="00A5318F">
        <w:rPr>
          <w:rFonts w:cs="Arial"/>
          <w:szCs w:val="24"/>
        </w:rPr>
        <w:t xml:space="preserve"> 2015 to the Region Operations Field Managers</w:t>
      </w:r>
      <w:r>
        <w:rPr>
          <w:rFonts w:cs="Arial"/>
          <w:szCs w:val="24"/>
        </w:rPr>
        <w:t>;</w:t>
      </w:r>
      <w:r w:rsidRPr="00A5318F">
        <w:rPr>
          <w:rFonts w:cs="Arial"/>
          <w:szCs w:val="24"/>
        </w:rPr>
        <w:t xml:space="preserve"> however</w:t>
      </w:r>
      <w:r>
        <w:rPr>
          <w:rFonts w:cs="Arial"/>
          <w:szCs w:val="24"/>
        </w:rPr>
        <w:t>,</w:t>
      </w:r>
      <w:r w:rsidRPr="00A5318F">
        <w:rPr>
          <w:rFonts w:cs="Arial"/>
          <w:szCs w:val="24"/>
        </w:rPr>
        <w:t xml:space="preserve"> the headcount remains in PPL EUS Supply Chain.</w:t>
      </w:r>
    </w:p>
    <w:p w:rsidR="00AC40FC" w:rsidRPr="006D1B9D" w:rsidRDefault="00AC40FC" w:rsidP="00581946">
      <w:pPr>
        <w:rPr>
          <w:rFonts w:cs="Arial"/>
          <w:szCs w:val="24"/>
        </w:rPr>
      </w:pPr>
      <w:r>
        <w:rPr>
          <w:rFonts w:cs="Arial"/>
          <w:szCs w:val="24"/>
        </w:rPr>
        <w:t>The Occupational Health Nurse was transferred from PPL EU Technical Development and Improvement to PPL EU Service Corporation Human Resources in 2015.</w:t>
      </w:r>
    </w:p>
    <w:p w:rsidR="00AC40FC" w:rsidRPr="00F120FC" w:rsidRDefault="00AC40FC" w:rsidP="00581946">
      <w:pPr>
        <w:pStyle w:val="Heading40"/>
      </w:pPr>
      <w:r w:rsidRPr="00F120FC">
        <w:t>The Plans for Adjusting Staffing in PPL EU, PPL SC, and PPL EUS As The Talen TSA Winds Down and Terminates</w:t>
      </w:r>
    </w:p>
    <w:p w:rsidR="00AC40FC" w:rsidRDefault="00AC40FC" w:rsidP="00581946">
      <w:pPr>
        <w:rPr>
          <w:rFonts w:cs="Arial"/>
          <w:szCs w:val="24"/>
        </w:rPr>
      </w:pPr>
      <w:r>
        <w:rPr>
          <w:rFonts w:cs="Arial"/>
          <w:szCs w:val="24"/>
        </w:rPr>
        <w:t>Distribution Operations is not currently providing any significant support to Talen.</w:t>
      </w:r>
      <w:r w:rsidRPr="00F120FC">
        <w:rPr>
          <w:rFonts w:cs="Arial"/>
          <w:szCs w:val="24"/>
        </w:rPr>
        <w:t xml:space="preserve"> </w:t>
      </w:r>
      <w:r>
        <w:rPr>
          <w:rFonts w:cs="Arial"/>
          <w:szCs w:val="24"/>
        </w:rPr>
        <w:t xml:space="preserve"> There was a Talen TSA project in place for about 90 days in 2015 to transition support for the fleet management system to Talen and to complete the transfer of ownership titles for equipment.</w:t>
      </w:r>
    </w:p>
    <w:p w:rsidR="00AC40FC" w:rsidRPr="008942C0" w:rsidRDefault="00AC40FC" w:rsidP="00581946">
      <w:pPr>
        <w:rPr>
          <w:rFonts w:cs="Arial"/>
          <w:szCs w:val="24"/>
        </w:rPr>
      </w:pPr>
      <w:r>
        <w:rPr>
          <w:rFonts w:cs="Arial"/>
          <w:szCs w:val="24"/>
        </w:rPr>
        <w:t xml:space="preserve">The </w:t>
      </w:r>
      <w:r>
        <w:t>Central/Susquehanna Region Operations substations group provides some ongoing incidental maintenance coverage at the Susquehanna Nuclear plant.</w:t>
      </w:r>
    </w:p>
    <w:p w:rsidR="00AC40FC" w:rsidRDefault="00AC40FC" w:rsidP="00BB665B">
      <w:pPr>
        <w:pStyle w:val="Heading-forToC"/>
      </w:pPr>
      <w:bookmarkStart w:id="370" w:name="_Toc462647906"/>
      <w:bookmarkStart w:id="371" w:name="_Toc464552145"/>
      <w:r>
        <w:lastRenderedPageBreak/>
        <w:t>findings</w:t>
      </w:r>
      <w:bookmarkEnd w:id="370"/>
      <w:bookmarkEnd w:id="371"/>
    </w:p>
    <w:p w:rsidR="00AC40FC" w:rsidRDefault="00AC40FC" w:rsidP="004F00E5">
      <w:pPr>
        <w:pStyle w:val="Findings"/>
        <w:numPr>
          <w:ilvl w:val="0"/>
          <w:numId w:val="138"/>
        </w:numPr>
      </w:pPr>
      <w:r>
        <w:t>Distribution Operations recently completed a comprehensive staffing study.</w:t>
      </w:r>
    </w:p>
    <w:p w:rsidR="00AC40FC" w:rsidRDefault="00AC40FC" w:rsidP="00581946">
      <w:r>
        <w:t>The study was performed by a management consultant in December 2015 through January 2016.  The results are being used by Distribution Operations to develop plans to achieve first quartile costs.  Targets were developed for staffing levels in each functional area.</w:t>
      </w:r>
    </w:p>
    <w:p w:rsidR="00AC40FC" w:rsidRDefault="00AC40FC" w:rsidP="002708E8">
      <w:pPr>
        <w:pStyle w:val="Findings"/>
      </w:pPr>
      <w:r>
        <w:t>Distribution Operations has an effective succession planning process in place.</w:t>
      </w:r>
    </w:p>
    <w:p w:rsidR="00AC40FC" w:rsidRPr="006D1B9D" w:rsidRDefault="00AC40FC" w:rsidP="00581946">
      <w:pPr>
        <w:rPr>
          <w:rFonts w:cs="Arial"/>
          <w:szCs w:val="24"/>
        </w:rPr>
      </w:pPr>
      <w:r>
        <w:rPr>
          <w:rFonts w:cs="Arial"/>
          <w:szCs w:val="24"/>
        </w:rPr>
        <w:t>Distribution Operations has a succession planning process in place and focuses on the timing of quality hires.  New hires have been providing fresh perspectives and new skill sets into the organization.</w:t>
      </w:r>
    </w:p>
    <w:p w:rsidR="00AC40FC" w:rsidRDefault="00AC40FC" w:rsidP="00581946">
      <w:pPr>
        <w:rPr>
          <w:rFonts w:cs="Arial"/>
          <w:szCs w:val="24"/>
        </w:rPr>
      </w:pPr>
      <w:r>
        <w:rPr>
          <w:rFonts w:cs="Arial"/>
          <w:szCs w:val="24"/>
        </w:rPr>
        <w:t>Distribution Operations staffing projections are tied to workload and demographic information provided by Human Resources.  Human Resources provides historical information and a 15 year forward look on turnover, retirement projections, and other factors.  The staffing projections are performed at the craft level and at the service center level.</w:t>
      </w:r>
    </w:p>
    <w:p w:rsidR="00AC40FC" w:rsidRDefault="00AC40FC" w:rsidP="00581946">
      <w:pPr>
        <w:rPr>
          <w:rFonts w:cs="Arial"/>
          <w:szCs w:val="24"/>
        </w:rPr>
      </w:pPr>
      <w:r>
        <w:rPr>
          <w:rFonts w:cs="Arial"/>
          <w:szCs w:val="24"/>
        </w:rPr>
        <w:t>Distribution Operations plans to internally staff for its long term resource needs and use temporaries or contractors to cover short-term or peak load needs.  Long-term forecasted resource needs are developed for planned work, unplanned maintenance, and customer-related work at the service center level and by skill.  This information is used to determine the number of employees and contractors needed and also may identify the need to reposition existing staff.</w:t>
      </w:r>
    </w:p>
    <w:p w:rsidR="00AC40FC" w:rsidRDefault="00AC40FC" w:rsidP="00581946">
      <w:pPr>
        <w:rPr>
          <w:rFonts w:cs="Arial"/>
          <w:szCs w:val="24"/>
        </w:rPr>
      </w:pPr>
      <w:r>
        <w:rPr>
          <w:rFonts w:cs="Arial"/>
          <w:szCs w:val="24"/>
        </w:rPr>
        <w:t>Contracting needs are determined from analyzing what is needed to construct, operate, and maintain the distribution system as compared to available in-house resources.  Contracting is then used to provide the additional capacity needed to complete the projected program and project work.  Overall program work is stable and project work is declining.</w:t>
      </w:r>
    </w:p>
    <w:p w:rsidR="00AC40FC" w:rsidRDefault="00AC40FC" w:rsidP="002708E8">
      <w:pPr>
        <w:pStyle w:val="Findings"/>
      </w:pPr>
      <w:r w:rsidRPr="002708E8">
        <w:t>Core</w:t>
      </w:r>
      <w:r>
        <w:t xml:space="preserve"> competencies are addressed in position budgeting and succession planning.</w:t>
      </w:r>
    </w:p>
    <w:p w:rsidR="00AC40FC" w:rsidRPr="008942C0" w:rsidRDefault="00AC40FC" w:rsidP="00581946">
      <w:r>
        <w:t>Distribution Operations is aware of core competency issues and they are addressed at the organizational unit level in the position budgeting and succession planning process.</w:t>
      </w:r>
    </w:p>
    <w:p w:rsidR="00AC40FC" w:rsidRDefault="00AC40FC" w:rsidP="00581946">
      <w:pPr>
        <w:rPr>
          <w:rFonts w:cs="Arial"/>
          <w:szCs w:val="24"/>
        </w:rPr>
      </w:pPr>
      <w:r w:rsidRPr="00CD4B70">
        <w:rPr>
          <w:b/>
        </w:rPr>
        <w:t>Vegetation Management.</w:t>
      </w:r>
      <w:r>
        <w:t xml:space="preserve">  Vegetation Management (VM) is responsible for development and implementation of the transmission and distribution VM program through tree trimming contractors.  The group regularly interacts with the tree trim crews and the public as the annual program progresses.  </w:t>
      </w:r>
      <w:r>
        <w:rPr>
          <w:rFonts w:cs="Arial"/>
          <w:szCs w:val="24"/>
        </w:rPr>
        <w:t>Contractor management, forestry, and customer relations are key skills for the Foresters.  Contractor management and customer relations are key skills for Line Clearance Inspectors.</w:t>
      </w:r>
    </w:p>
    <w:p w:rsidR="00AC40FC" w:rsidRDefault="00AC40FC" w:rsidP="00581946">
      <w:r w:rsidRPr="008665C7">
        <w:rPr>
          <w:rFonts w:cs="Arial"/>
          <w:b/>
          <w:szCs w:val="24"/>
        </w:rPr>
        <w:t xml:space="preserve">Distribution Asset </w:t>
      </w:r>
      <w:r w:rsidRPr="008665C7">
        <w:rPr>
          <w:b/>
        </w:rPr>
        <w:t>Management.</w:t>
      </w:r>
      <w:r>
        <w:t xml:space="preserve">  This group looks for highly qualified employees who are adept with analytics and use of tool sets, can handle complexity, and have business acumen for the development, analysis, and implementation of the asset management program.  Strong data analytics skills are a plus.</w:t>
      </w:r>
    </w:p>
    <w:p w:rsidR="00AC40FC" w:rsidRDefault="00AC40FC" w:rsidP="00581946">
      <w:r>
        <w:lastRenderedPageBreak/>
        <w:t>Qualified Project Control Specialists are available in the marketplace and require less than two months to train on PPL EU systems and processes.</w:t>
      </w:r>
    </w:p>
    <w:p w:rsidR="00AC40FC" w:rsidRDefault="00AC40FC" w:rsidP="00581946">
      <w:pPr>
        <w:rPr>
          <w:rFonts w:cs="Arial"/>
          <w:szCs w:val="24"/>
        </w:rPr>
      </w:pPr>
      <w:r>
        <w:t>PPL EU actively uses a co-op program to provide engineering students with internships.  This gives PPL EU a chance to evaluate potential future applicants and provides the interns with work experience.  PPL EU has filled several openings in the past with interns; however the job market is very competitive.</w:t>
      </w:r>
    </w:p>
    <w:p w:rsidR="00AC40FC" w:rsidRDefault="00AC40FC" w:rsidP="00581946">
      <w:pPr>
        <w:rPr>
          <w:rFonts w:cs="Arial"/>
          <w:szCs w:val="24"/>
        </w:rPr>
      </w:pPr>
      <w:r w:rsidRPr="008665C7">
        <w:rPr>
          <w:rFonts w:cs="Arial"/>
          <w:b/>
          <w:szCs w:val="24"/>
        </w:rPr>
        <w:t>Distribution Engineering.</w:t>
      </w:r>
      <w:r>
        <w:rPr>
          <w:rFonts w:cs="Arial"/>
          <w:szCs w:val="24"/>
        </w:rPr>
        <w:t xml:space="preserve">  Key competencies in Distribution Engineering include distribution line design, relay settings, relay testing, Doble testing, and oil-filling of transformers.  Most engineering is performed in-house which facilitates maintenance of these core competencies.</w:t>
      </w:r>
    </w:p>
    <w:p w:rsidR="00AC40FC" w:rsidRDefault="00AC40FC" w:rsidP="00581946">
      <w:pPr>
        <w:tabs>
          <w:tab w:val="left" w:pos="7515"/>
        </w:tabs>
        <w:rPr>
          <w:rFonts w:cs="Arial"/>
          <w:szCs w:val="24"/>
        </w:rPr>
      </w:pPr>
      <w:r>
        <w:rPr>
          <w:rFonts w:cs="Arial"/>
          <w:szCs w:val="24"/>
        </w:rPr>
        <w:t>The apprentice program for new relay technicians in Distribution Engineering is four years.  This requires advance planning and projection of technician needs so that the appropriate number of apprentices is enrolled in the program each year.</w:t>
      </w:r>
    </w:p>
    <w:p w:rsidR="00AC40FC" w:rsidRDefault="00AC40FC" w:rsidP="00581946">
      <w:pPr>
        <w:rPr>
          <w:rFonts w:cs="Arial"/>
          <w:szCs w:val="24"/>
        </w:rPr>
      </w:pPr>
      <w:r w:rsidRPr="00A5318F">
        <w:rPr>
          <w:b/>
        </w:rPr>
        <w:t>Project and Construction Management.</w:t>
      </w:r>
      <w:r>
        <w:t xml:space="preserve">  </w:t>
      </w:r>
      <w:r>
        <w:rPr>
          <w:rFonts w:cs="Arial"/>
          <w:szCs w:val="24"/>
        </w:rPr>
        <w:t>Key core competencies in Project and Construction Management are project manager skills and utility experience for the project managers.  Key core competencies are utility experience and field construction experience for the construction managers.  It takes about six months from hire to fully train new staff.  Experience and continuity are important factors.  Contractors allow for more rapid staff increases and decreases but employees are more loyal and less likely to turn over.  Good project managers are harder to find and it may take two or three months to identify a good candidate.</w:t>
      </w:r>
    </w:p>
    <w:p w:rsidR="00AC40FC" w:rsidRDefault="00AC40FC" w:rsidP="00581946">
      <w:pPr>
        <w:rPr>
          <w:rFonts w:cs="Arial"/>
          <w:szCs w:val="24"/>
        </w:rPr>
      </w:pPr>
      <w:r w:rsidRPr="00A5318F">
        <w:rPr>
          <w:rFonts w:cs="Arial"/>
          <w:b/>
          <w:szCs w:val="24"/>
        </w:rPr>
        <w:t>Respond To Customer.</w:t>
      </w:r>
      <w:r>
        <w:rPr>
          <w:rFonts w:cs="Arial"/>
          <w:szCs w:val="24"/>
        </w:rPr>
        <w:t xml:space="preserve">  Operations trouble technicians are PPL EU’s most experienced line workers and</w:t>
      </w:r>
      <w:r w:rsidRPr="009D5FEE">
        <w:rPr>
          <w:rFonts w:cs="Arial"/>
          <w:szCs w:val="24"/>
        </w:rPr>
        <w:t xml:space="preserve"> </w:t>
      </w:r>
      <w:r>
        <w:rPr>
          <w:rFonts w:cs="Arial"/>
          <w:szCs w:val="24"/>
        </w:rPr>
        <w:t>are hired from the PPL EU line worker staff.  A new trouble technician typically needs a month or two of additional training.  Union seniority rules limit the potential for external hires.</w:t>
      </w:r>
    </w:p>
    <w:p w:rsidR="00AC40FC" w:rsidRDefault="00AC40FC" w:rsidP="00581946">
      <w:pPr>
        <w:rPr>
          <w:rFonts w:cs="Arial"/>
          <w:szCs w:val="24"/>
        </w:rPr>
      </w:pPr>
      <w:r>
        <w:rPr>
          <w:rFonts w:cs="Arial"/>
          <w:szCs w:val="24"/>
        </w:rPr>
        <w:t>Distribution System Operators need discipline, integrity, and ability to function under stressful conditions.  Many of the operators have a Navy nuclear or Air Force operations background.  Electric specific training on grid operations rounds out the necessary skill set.  New operators go through a six month training program and testing on the system simulator before moving into line operations.  Once experience is gained, the operators work on substation operations.  The Distribution System Operators are not union positions.</w:t>
      </w:r>
    </w:p>
    <w:p w:rsidR="00AC40FC" w:rsidRPr="006D1B9D" w:rsidRDefault="00AC40FC" w:rsidP="00581946">
      <w:pPr>
        <w:rPr>
          <w:rFonts w:cs="Arial"/>
          <w:szCs w:val="24"/>
        </w:rPr>
      </w:pPr>
      <w:r w:rsidRPr="003803C9">
        <w:rPr>
          <w:rFonts w:cs="Arial"/>
          <w:b/>
          <w:szCs w:val="24"/>
        </w:rPr>
        <w:t>Region Operations.</w:t>
      </w:r>
      <w:r>
        <w:rPr>
          <w:rFonts w:cs="Arial"/>
          <w:szCs w:val="24"/>
        </w:rPr>
        <w:t xml:space="preserve">  In-house crews are maintained to perform maintenance work and most capital program work.  Line technicians and substation electricians are hired at the entry level.</w:t>
      </w:r>
    </w:p>
    <w:p w:rsidR="00AC40FC" w:rsidRPr="006D1B9D" w:rsidRDefault="00AC40FC" w:rsidP="00581946">
      <w:pPr>
        <w:tabs>
          <w:tab w:val="left" w:pos="900"/>
        </w:tabs>
        <w:rPr>
          <w:rFonts w:cs="Arial"/>
          <w:szCs w:val="24"/>
        </w:rPr>
      </w:pPr>
      <w:r>
        <w:rPr>
          <w:rFonts w:cs="Arial"/>
          <w:szCs w:val="24"/>
        </w:rPr>
        <w:t>The primary concern is in availability of qualified line workers since the apprentice program is four years.  Applicants with training from area community colleges as line technicians can complete the apprentice program in less than four years.  Needs are coordinated at the Distribution Operations level to identify the number of apprentices to hire based on projected turnover and work load.</w:t>
      </w:r>
    </w:p>
    <w:p w:rsidR="00AC40FC" w:rsidRPr="006D1B9D" w:rsidRDefault="00AC40FC" w:rsidP="00581946">
      <w:pPr>
        <w:rPr>
          <w:rFonts w:cs="Arial"/>
          <w:szCs w:val="24"/>
        </w:rPr>
      </w:pPr>
      <w:r w:rsidRPr="00A5318F">
        <w:rPr>
          <w:rFonts w:cs="Arial"/>
          <w:b/>
          <w:szCs w:val="24"/>
        </w:rPr>
        <w:t>Transportation Services.</w:t>
      </w:r>
      <w:r>
        <w:rPr>
          <w:rFonts w:cs="Arial"/>
          <w:szCs w:val="24"/>
        </w:rPr>
        <w:t xml:space="preserve">  Core Transportation Services competencies include fleet procurement, data analysis, and contractor oversight.  As the shift to greater contracting </w:t>
      </w:r>
      <w:r>
        <w:rPr>
          <w:rFonts w:cs="Arial"/>
          <w:szCs w:val="24"/>
        </w:rPr>
        <w:lastRenderedPageBreak/>
        <w:t>occurs there will be a need to train the supervisors on contract oversight skills.  The supervisors will remain as the liaison between the contractors and the vehicle operators.</w:t>
      </w:r>
    </w:p>
    <w:p w:rsidR="00AC40FC" w:rsidRDefault="00AC40FC" w:rsidP="002708E8">
      <w:pPr>
        <w:pStyle w:val="Findings"/>
      </w:pPr>
      <w:r w:rsidRPr="002708E8">
        <w:t>Implementation of new technologies and automation has resulted in staff reductions</w:t>
      </w:r>
      <w:r>
        <w:t xml:space="preserve"> in several areas.</w:t>
      </w:r>
    </w:p>
    <w:p w:rsidR="00AC40FC" w:rsidRDefault="00AC40FC" w:rsidP="00581946">
      <w:r>
        <w:t>Several groups have recognized the benefits of automating processes and systems in reducing staffing needs.  Records personnel have been reduced through automation of forms and processes.  Distribution System Operators have been reduced as a result of the implementation of the Distribution Management System and field automation which improved system resiliency.</w:t>
      </w:r>
    </w:p>
    <w:p w:rsidR="00AC40FC" w:rsidRDefault="00AC40FC" w:rsidP="002708E8">
      <w:pPr>
        <w:pStyle w:val="Findings"/>
      </w:pPr>
      <w:r w:rsidRPr="002708E8">
        <w:t>Several</w:t>
      </w:r>
      <w:r>
        <w:t xml:space="preserve"> non-core competency functions are being outsourced as attrition occurs.</w:t>
      </w:r>
    </w:p>
    <w:p w:rsidR="00AC40FC" w:rsidRDefault="00AC40FC" w:rsidP="00581946">
      <w:r>
        <w:t>Distribution Operations has identified several non-core competency functions that can be more cost effectively performed by contractors.  These are union represented jobs, so the shift is being implemented through attrition.  Areas include conversion of the garage operations to contract mechanics and transfer of civil and concrete work in substations to contractors.  These non-core competency functions join tree trimming and directional boring as specialties best performed by contractors.</w:t>
      </w:r>
    </w:p>
    <w:p w:rsidR="00AC40FC" w:rsidRDefault="00AC40FC" w:rsidP="002708E8">
      <w:pPr>
        <w:pStyle w:val="Findings"/>
      </w:pPr>
      <w:r w:rsidRPr="002708E8">
        <w:t>Distribution Operations is proactive in planning for upcoming needs in skilled craft areas</w:t>
      </w:r>
      <w:r>
        <w:t>.</w:t>
      </w:r>
    </w:p>
    <w:p w:rsidR="00AC40FC" w:rsidRDefault="00AC40FC" w:rsidP="00581946">
      <w:r>
        <w:t>Several key skilled craft positions have four year apprentice programs including line workers, substation electricians, and relay technicians.  Distribution Operations forecasts future needs for replacement or additional journey-level personnel in these and other positions and initiates the hiring process to find qualified persons to enter the apprenticeship program in advance of the need.</w:t>
      </w:r>
    </w:p>
    <w:p w:rsidR="00AC40FC" w:rsidRDefault="00AC40FC" w:rsidP="002708E8">
      <w:pPr>
        <w:pStyle w:val="Findings"/>
      </w:pPr>
      <w:r w:rsidRPr="002708E8">
        <w:t>PPL</w:t>
      </w:r>
      <w:r>
        <w:t xml:space="preserve"> EU has an active engineering intern program.</w:t>
      </w:r>
    </w:p>
    <w:p w:rsidR="00AC40FC" w:rsidRDefault="00AC40FC" w:rsidP="00581946">
      <w:r>
        <w:t>Both T&amp;S and Distribution Operations actively utilize engineering interns from area colleges.  The interns work in various areas of the organizations and gain practical experience to relate to the theoretical training.  PPL EU also has the opportunity to evaluate work performed and identify potential applicants for future openings.</w:t>
      </w:r>
    </w:p>
    <w:p w:rsidR="00AC40FC" w:rsidRDefault="00AC40FC" w:rsidP="006058BF">
      <w:pPr>
        <w:pStyle w:val="Findings"/>
      </w:pPr>
      <w:r>
        <w:t>The Respond to Customer department has added contractors to provide enhanced outage repair and restoration coverage.</w:t>
      </w:r>
    </w:p>
    <w:p w:rsidR="00AC40FC" w:rsidRDefault="00AC40FC" w:rsidP="00581946">
      <w:r>
        <w:t>Thirty-six contractors are staffing the initial efforts to create a second shift of line crews to provide additional capability to more rapidly restore service after outages that occur outside of the normal day shift work hours.  The decision to use contractors was due to reluctance of the union to support the additional work hours.  Distribution Operations plans to work with the union to bring this function in-house.</w:t>
      </w:r>
    </w:p>
    <w:p w:rsidR="00AC40FC" w:rsidRDefault="00AC40FC" w:rsidP="00BB665B">
      <w:pPr>
        <w:pStyle w:val="Heading-forToC"/>
      </w:pPr>
      <w:bookmarkStart w:id="372" w:name="_Toc462647907"/>
      <w:bookmarkStart w:id="373" w:name="_Toc464552146"/>
      <w:r>
        <w:t>Recommendations</w:t>
      </w:r>
      <w:bookmarkEnd w:id="372"/>
      <w:bookmarkEnd w:id="373"/>
    </w:p>
    <w:p w:rsidR="00AC40FC" w:rsidRDefault="00AC40FC" w:rsidP="00581946">
      <w:r>
        <w:t>None</w:t>
      </w:r>
      <w:r w:rsidR="006C238A">
        <w:t>.</w:t>
      </w:r>
    </w:p>
    <w:p w:rsidR="00AC40FC" w:rsidRDefault="00AC40FC" w:rsidP="004F00E5">
      <w:pPr>
        <w:pStyle w:val="Heading2"/>
        <w:numPr>
          <w:ilvl w:val="0"/>
          <w:numId w:val="113"/>
        </w:numPr>
      </w:pPr>
      <w:bookmarkStart w:id="374" w:name="_Toc462647908"/>
      <w:bookmarkStart w:id="375" w:name="_Toc464552147"/>
      <w:r>
        <w:lastRenderedPageBreak/>
        <w:t>customer services</w:t>
      </w:r>
      <w:bookmarkEnd w:id="374"/>
      <w:bookmarkEnd w:id="375"/>
    </w:p>
    <w:p w:rsidR="00AC40FC" w:rsidRDefault="00AC40FC" w:rsidP="00BB665B">
      <w:pPr>
        <w:pStyle w:val="Heading-forToC"/>
      </w:pPr>
      <w:bookmarkStart w:id="376" w:name="_Toc462647909"/>
      <w:bookmarkStart w:id="377" w:name="_Toc464552148"/>
      <w:r>
        <w:t>Background</w:t>
      </w:r>
      <w:bookmarkEnd w:id="376"/>
      <w:bookmarkEnd w:id="377"/>
    </w:p>
    <w:p w:rsidR="00AC40FC" w:rsidRDefault="00AC40FC" w:rsidP="00581946">
      <w:r>
        <w:t>There are on-going staffing changes in Customer Services but they are not directly related to the Talen spinoff or the PPL EUS formation from PPL EU and PPL SC.  There was no allocation of personnel to or from PPL EU Customer Services in the formation of PPL EUS.  There are no plans for adjusting staffing in Customer Services as the Talen Transition Services Agreement winds down and terminates.  Instead, the Customer Services staffing changes are related to efforts to reduce costs.</w:t>
      </w:r>
    </w:p>
    <w:p w:rsidR="00AC40FC" w:rsidRDefault="00AC40FC" w:rsidP="00581946">
      <w:r>
        <w:t>Overall, the Customer Services organization had 431 employees, about 17% of PPL EU’s 2,551 total employees at the end of 2015.  The Customer Services 2015 O&amp;M budget was about $80 million, about 18% of PPL EU’s total O&amp;M budget of $450 million in 2015.</w:t>
      </w:r>
    </w:p>
    <w:p w:rsidR="00AC40FC" w:rsidRDefault="00AC40FC" w:rsidP="00581946">
      <w:r>
        <w:t>Customer Services is organized into five groups reporting to the Vice President of Customer Services:</w:t>
      </w:r>
    </w:p>
    <w:p w:rsidR="00AC40FC" w:rsidRDefault="00AC40FC" w:rsidP="00581946">
      <w:pPr>
        <w:pStyle w:val="Bullet"/>
      </w:pPr>
      <w:r>
        <w:t>Customer Experience</w:t>
      </w:r>
    </w:p>
    <w:p w:rsidR="00AC40FC" w:rsidRDefault="00AC40FC" w:rsidP="00581946">
      <w:pPr>
        <w:pStyle w:val="Bullet"/>
      </w:pPr>
      <w:r>
        <w:t>Customer Services Operations</w:t>
      </w:r>
    </w:p>
    <w:p w:rsidR="00AC40FC" w:rsidRDefault="00AC40FC" w:rsidP="00581946">
      <w:pPr>
        <w:pStyle w:val="Bullet"/>
      </w:pPr>
      <w:r>
        <w:t>Regulatory Programs and Business Services</w:t>
      </w:r>
    </w:p>
    <w:p w:rsidR="00AC40FC" w:rsidRDefault="00AC40FC" w:rsidP="00581946">
      <w:pPr>
        <w:pStyle w:val="Bullet"/>
      </w:pPr>
      <w:r>
        <w:t>Advanced Metering and Data Operations</w:t>
      </w:r>
    </w:p>
    <w:p w:rsidR="00AC40FC" w:rsidRDefault="00AC40FC" w:rsidP="00581946">
      <w:pPr>
        <w:pStyle w:val="Bullet"/>
      </w:pPr>
      <w:r w:rsidRPr="00CD74D0">
        <w:t>Revenue Operations</w:t>
      </w:r>
    </w:p>
    <w:p w:rsidR="00AC40FC" w:rsidRDefault="00AC40FC" w:rsidP="00581946">
      <w:pPr>
        <w:pStyle w:val="Normal-aftertable"/>
      </w:pPr>
      <w:r>
        <w:t>Overall Customer Services staffing changed from 470 in 2014 to 431 in 2015, a reduction of 39 positions, or about 8%.  Each of the five Customer Services groups is discussed below.</w:t>
      </w:r>
    </w:p>
    <w:p w:rsidR="00AC40FC" w:rsidRDefault="00AC40FC" w:rsidP="00581946">
      <w:pPr>
        <w:pStyle w:val="Heading40"/>
      </w:pPr>
      <w:r>
        <w:t>Customer Experience</w:t>
      </w:r>
    </w:p>
    <w:p w:rsidR="00AC40FC" w:rsidRDefault="00AC40FC" w:rsidP="00581946">
      <w:r>
        <w:t>The Customer Experience group consists of two PPL EU Customer Contact Centers (call centers); Training, Development, and Quality Assurance (QA); Major Accounts; Customer Experience (Digital Strategies); and Energy Efficiency.  About 4</w:t>
      </w:r>
      <w:r w:rsidRPr="002F2F04">
        <w:t>8%</w:t>
      </w:r>
      <w:r>
        <w:t xml:space="preserve"> of the Customer Experience employees are Customer Service Representatives (CSRs) located in the two PPL EU call centers.  PPLSolutions and a non-affiliated contractor provide contract CSRs at two additional call centers.</w:t>
      </w:r>
    </w:p>
    <w:p w:rsidR="00AC40FC" w:rsidRDefault="00AC40FC" w:rsidP="00581946">
      <w:r>
        <w:t>The staffing numbers for 2014 and 2015, by SRC titles, are as follows:</w:t>
      </w:r>
    </w:p>
    <w:p w:rsidR="00AC40FC" w:rsidRDefault="00AC40FC" w:rsidP="00BB7765">
      <w:pPr>
        <w:pStyle w:val="Caption"/>
        <w:pageBreakBefore/>
      </w:pPr>
      <w:bookmarkStart w:id="378" w:name="_Toc462648496"/>
      <w:bookmarkStart w:id="379" w:name="_Toc464553118"/>
      <w:r>
        <w:lastRenderedPageBreak/>
        <w:t xml:space="preserve">Exhibit </w:t>
      </w:r>
      <w:fldSimple w:instr=" STYLEREF 1 \s ">
        <w:r w:rsidR="00A24205">
          <w:rPr>
            <w:noProof/>
          </w:rPr>
          <w:t>XV</w:t>
        </w:r>
      </w:fldSimple>
      <w:r w:rsidR="00264A1B">
        <w:noBreakHyphen/>
      </w:r>
      <w:fldSimple w:instr=" SEQ Exhibit \* ARABIC \s 1 ">
        <w:r w:rsidR="00A24205">
          <w:rPr>
            <w:noProof/>
          </w:rPr>
          <w:t>10</w:t>
        </w:r>
      </w:fldSimple>
      <w:r>
        <w:br/>
        <w:t>PPL EU Customer Experience Employee Staffing Changes 2014–2015</w:t>
      </w:r>
      <w:bookmarkEnd w:id="378"/>
      <w:bookmarkEnd w:id="3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3"/>
        <w:gridCol w:w="4696"/>
        <w:gridCol w:w="750"/>
        <w:gridCol w:w="789"/>
        <w:gridCol w:w="1097"/>
      </w:tblGrid>
      <w:tr w:rsidR="00AC40FC" w:rsidRPr="00D6083E" w:rsidTr="00581946">
        <w:trPr>
          <w:cantSplit/>
          <w:trHeight w:val="300"/>
          <w:tblHeader/>
          <w:jc w:val="center"/>
        </w:trPr>
        <w:tc>
          <w:tcPr>
            <w:tcW w:w="1013" w:type="dxa"/>
            <w:shd w:val="clear" w:color="auto" w:fill="A5CD7E"/>
            <w:noWrap/>
            <w:vAlign w:val="center"/>
            <w:hideMark/>
          </w:tcPr>
          <w:p w:rsidR="00AC40FC" w:rsidRPr="00D6083E" w:rsidRDefault="00AC40FC" w:rsidP="00D6083E">
            <w:pPr>
              <w:spacing w:before="120"/>
              <w:jc w:val="center"/>
              <w:rPr>
                <w:rFonts w:cs="Arial"/>
                <w:b/>
                <w:bCs/>
                <w:szCs w:val="24"/>
              </w:rPr>
            </w:pPr>
            <w:r w:rsidRPr="00D6083E">
              <w:rPr>
                <w:rFonts w:cs="Arial"/>
                <w:b/>
                <w:bCs/>
                <w:szCs w:val="24"/>
              </w:rPr>
              <w:t>SRC</w:t>
            </w:r>
          </w:p>
        </w:tc>
        <w:tc>
          <w:tcPr>
            <w:tcW w:w="4696" w:type="dxa"/>
            <w:shd w:val="clear" w:color="auto" w:fill="A6CD7F"/>
            <w:noWrap/>
            <w:vAlign w:val="center"/>
            <w:hideMark/>
          </w:tcPr>
          <w:p w:rsidR="00AC40FC" w:rsidRPr="00D6083E" w:rsidRDefault="00AC40FC" w:rsidP="00D6083E">
            <w:pPr>
              <w:spacing w:before="120"/>
              <w:jc w:val="center"/>
              <w:rPr>
                <w:rFonts w:cs="Arial"/>
                <w:b/>
                <w:bCs/>
                <w:szCs w:val="24"/>
              </w:rPr>
            </w:pPr>
            <w:r w:rsidRPr="00D6083E">
              <w:rPr>
                <w:rFonts w:cs="Arial"/>
                <w:b/>
                <w:bCs/>
                <w:szCs w:val="24"/>
              </w:rPr>
              <w:t>Title</w:t>
            </w:r>
          </w:p>
        </w:tc>
        <w:tc>
          <w:tcPr>
            <w:tcW w:w="402" w:type="dxa"/>
            <w:shd w:val="clear" w:color="auto" w:fill="A5CD7E"/>
            <w:noWrap/>
            <w:vAlign w:val="center"/>
            <w:hideMark/>
          </w:tcPr>
          <w:p w:rsidR="00AC40FC" w:rsidRPr="00D6083E" w:rsidRDefault="00AC40FC" w:rsidP="00D6083E">
            <w:pPr>
              <w:spacing w:before="120"/>
              <w:jc w:val="center"/>
              <w:rPr>
                <w:rFonts w:cs="Arial"/>
                <w:b/>
                <w:bCs/>
                <w:szCs w:val="24"/>
              </w:rPr>
            </w:pPr>
            <w:r w:rsidRPr="00D6083E">
              <w:rPr>
                <w:rFonts w:cs="Arial"/>
                <w:b/>
                <w:bCs/>
                <w:szCs w:val="24"/>
              </w:rPr>
              <w:t>2014</w:t>
            </w:r>
          </w:p>
        </w:tc>
        <w:tc>
          <w:tcPr>
            <w:tcW w:w="789" w:type="dxa"/>
            <w:shd w:val="clear" w:color="auto" w:fill="A5CD7E"/>
            <w:noWrap/>
            <w:vAlign w:val="center"/>
            <w:hideMark/>
          </w:tcPr>
          <w:p w:rsidR="00AC40FC" w:rsidRPr="00D6083E" w:rsidRDefault="00AC40FC" w:rsidP="00D6083E">
            <w:pPr>
              <w:spacing w:before="120"/>
              <w:jc w:val="center"/>
              <w:rPr>
                <w:rFonts w:cs="Arial"/>
                <w:b/>
                <w:bCs/>
                <w:szCs w:val="24"/>
              </w:rPr>
            </w:pPr>
            <w:r w:rsidRPr="00D6083E">
              <w:rPr>
                <w:rFonts w:cs="Arial"/>
                <w:b/>
                <w:bCs/>
                <w:szCs w:val="24"/>
              </w:rPr>
              <w:t>2015</w:t>
            </w:r>
          </w:p>
        </w:tc>
        <w:tc>
          <w:tcPr>
            <w:tcW w:w="1097" w:type="dxa"/>
            <w:shd w:val="clear" w:color="auto" w:fill="A5CD7E"/>
            <w:noWrap/>
            <w:vAlign w:val="center"/>
            <w:hideMark/>
          </w:tcPr>
          <w:p w:rsidR="00AC40FC" w:rsidRPr="00D6083E" w:rsidRDefault="00AC40FC" w:rsidP="00D6083E">
            <w:pPr>
              <w:spacing w:before="120"/>
              <w:jc w:val="center"/>
              <w:rPr>
                <w:rFonts w:cs="Arial"/>
                <w:b/>
                <w:bCs/>
                <w:szCs w:val="24"/>
              </w:rPr>
            </w:pPr>
            <w:r w:rsidRPr="00D6083E">
              <w:rPr>
                <w:rFonts w:cs="Arial"/>
                <w:b/>
                <w:bCs/>
                <w:szCs w:val="24"/>
              </w:rPr>
              <w:t>Change</w:t>
            </w:r>
          </w:p>
        </w:tc>
      </w:tr>
      <w:tr w:rsidR="00AC40FC" w:rsidRPr="00382030" w:rsidTr="00581946">
        <w:trPr>
          <w:cantSplit/>
          <w:trHeight w:val="300"/>
          <w:jc w:val="center"/>
        </w:trPr>
        <w:tc>
          <w:tcPr>
            <w:tcW w:w="1013" w:type="dxa"/>
            <w:shd w:val="clear" w:color="auto" w:fill="auto"/>
            <w:noWrap/>
            <w:vAlign w:val="center"/>
            <w:hideMark/>
          </w:tcPr>
          <w:p w:rsidR="00AC40FC" w:rsidRPr="00382030" w:rsidRDefault="00AC40FC" w:rsidP="00581946">
            <w:pPr>
              <w:spacing w:after="0"/>
              <w:jc w:val="center"/>
            </w:pPr>
            <w:r>
              <w:t>0707</w:t>
            </w:r>
          </w:p>
        </w:tc>
        <w:tc>
          <w:tcPr>
            <w:tcW w:w="4696" w:type="dxa"/>
            <w:shd w:val="clear" w:color="auto" w:fill="auto"/>
            <w:noWrap/>
            <w:vAlign w:val="center"/>
            <w:hideMark/>
          </w:tcPr>
          <w:p w:rsidR="00AC40FC" w:rsidRPr="00382030" w:rsidRDefault="00AC40FC" w:rsidP="00581946">
            <w:pPr>
              <w:spacing w:after="0"/>
              <w:jc w:val="left"/>
            </w:pPr>
            <w:r w:rsidRPr="00382030">
              <w:t>Customer Contact Center</w:t>
            </w:r>
          </w:p>
        </w:tc>
        <w:tc>
          <w:tcPr>
            <w:tcW w:w="402" w:type="dxa"/>
            <w:shd w:val="clear" w:color="auto" w:fill="auto"/>
            <w:noWrap/>
            <w:vAlign w:val="center"/>
            <w:hideMark/>
          </w:tcPr>
          <w:p w:rsidR="00AC40FC" w:rsidRPr="00382030" w:rsidRDefault="00AC40FC" w:rsidP="00581946">
            <w:pPr>
              <w:spacing w:after="0"/>
              <w:jc w:val="center"/>
            </w:pPr>
            <w:r>
              <w:t>204</w:t>
            </w:r>
          </w:p>
        </w:tc>
        <w:tc>
          <w:tcPr>
            <w:tcW w:w="789" w:type="dxa"/>
            <w:shd w:val="clear" w:color="auto" w:fill="auto"/>
            <w:noWrap/>
            <w:vAlign w:val="center"/>
            <w:hideMark/>
          </w:tcPr>
          <w:p w:rsidR="00AC40FC" w:rsidRPr="00382030" w:rsidRDefault="00AC40FC" w:rsidP="00581946">
            <w:pPr>
              <w:spacing w:after="0"/>
              <w:jc w:val="center"/>
            </w:pPr>
            <w:r>
              <w:t>182</w:t>
            </w:r>
          </w:p>
        </w:tc>
        <w:tc>
          <w:tcPr>
            <w:tcW w:w="1097" w:type="dxa"/>
            <w:shd w:val="clear" w:color="auto" w:fill="auto"/>
            <w:noWrap/>
            <w:vAlign w:val="center"/>
            <w:hideMark/>
          </w:tcPr>
          <w:p w:rsidR="00AC40FC" w:rsidRPr="00382030" w:rsidRDefault="00AC40FC" w:rsidP="00581946">
            <w:pPr>
              <w:spacing w:after="0"/>
              <w:jc w:val="center"/>
            </w:pPr>
            <w:r>
              <w:t>-22</w:t>
            </w:r>
          </w:p>
        </w:tc>
      </w:tr>
      <w:tr w:rsidR="00AC40FC" w:rsidRPr="00382030" w:rsidTr="00581946">
        <w:trPr>
          <w:cantSplit/>
          <w:trHeight w:val="300"/>
          <w:jc w:val="center"/>
        </w:trPr>
        <w:tc>
          <w:tcPr>
            <w:tcW w:w="1013" w:type="dxa"/>
            <w:shd w:val="clear" w:color="auto" w:fill="auto"/>
            <w:noWrap/>
            <w:vAlign w:val="center"/>
          </w:tcPr>
          <w:p w:rsidR="00AC40FC" w:rsidRPr="00382030" w:rsidRDefault="00AC40FC" w:rsidP="00581946">
            <w:pPr>
              <w:spacing w:after="0"/>
              <w:jc w:val="center"/>
            </w:pPr>
            <w:r>
              <w:t>0711</w:t>
            </w:r>
          </w:p>
        </w:tc>
        <w:tc>
          <w:tcPr>
            <w:tcW w:w="4696" w:type="dxa"/>
            <w:shd w:val="clear" w:color="auto" w:fill="auto"/>
            <w:noWrap/>
            <w:vAlign w:val="center"/>
          </w:tcPr>
          <w:p w:rsidR="00AC40FC" w:rsidRPr="00382030" w:rsidRDefault="00AC40FC" w:rsidP="00581946">
            <w:pPr>
              <w:spacing w:after="0"/>
              <w:jc w:val="left"/>
            </w:pPr>
            <w:r w:rsidRPr="00382030">
              <w:t>Major Accounts</w:t>
            </w:r>
          </w:p>
        </w:tc>
        <w:tc>
          <w:tcPr>
            <w:tcW w:w="402" w:type="dxa"/>
            <w:shd w:val="clear" w:color="auto" w:fill="auto"/>
            <w:noWrap/>
            <w:vAlign w:val="center"/>
          </w:tcPr>
          <w:p w:rsidR="00AC40FC" w:rsidRPr="00382030" w:rsidRDefault="00AC40FC" w:rsidP="00581946">
            <w:pPr>
              <w:spacing w:after="0"/>
              <w:jc w:val="center"/>
            </w:pPr>
            <w:r>
              <w:t>17</w:t>
            </w:r>
          </w:p>
        </w:tc>
        <w:tc>
          <w:tcPr>
            <w:tcW w:w="789" w:type="dxa"/>
            <w:shd w:val="clear" w:color="auto" w:fill="auto"/>
            <w:noWrap/>
            <w:vAlign w:val="center"/>
          </w:tcPr>
          <w:p w:rsidR="00AC40FC" w:rsidRPr="00382030" w:rsidRDefault="00AC40FC" w:rsidP="00581946">
            <w:pPr>
              <w:spacing w:after="0"/>
              <w:jc w:val="center"/>
            </w:pPr>
            <w:r>
              <w:t>12</w:t>
            </w:r>
          </w:p>
        </w:tc>
        <w:tc>
          <w:tcPr>
            <w:tcW w:w="1097" w:type="dxa"/>
            <w:shd w:val="clear" w:color="auto" w:fill="auto"/>
            <w:noWrap/>
            <w:vAlign w:val="center"/>
          </w:tcPr>
          <w:p w:rsidR="00AC40FC" w:rsidRPr="00382030" w:rsidRDefault="00AC40FC" w:rsidP="00581946">
            <w:pPr>
              <w:spacing w:after="0"/>
              <w:jc w:val="center"/>
            </w:pPr>
            <w:r>
              <w:t>-5</w:t>
            </w:r>
          </w:p>
        </w:tc>
      </w:tr>
      <w:tr w:rsidR="00AC40FC" w:rsidRPr="00382030" w:rsidTr="00581946">
        <w:trPr>
          <w:cantSplit/>
          <w:trHeight w:val="323"/>
          <w:jc w:val="center"/>
        </w:trPr>
        <w:tc>
          <w:tcPr>
            <w:tcW w:w="1013" w:type="dxa"/>
            <w:shd w:val="clear" w:color="auto" w:fill="auto"/>
            <w:noWrap/>
            <w:vAlign w:val="center"/>
          </w:tcPr>
          <w:p w:rsidR="00AC40FC" w:rsidRPr="00382030" w:rsidRDefault="00AC40FC" w:rsidP="00581946">
            <w:pPr>
              <w:spacing w:after="0"/>
              <w:jc w:val="center"/>
            </w:pPr>
            <w:r>
              <w:t>0714</w:t>
            </w:r>
          </w:p>
        </w:tc>
        <w:tc>
          <w:tcPr>
            <w:tcW w:w="4696" w:type="dxa"/>
            <w:shd w:val="clear" w:color="auto" w:fill="auto"/>
            <w:noWrap/>
            <w:vAlign w:val="center"/>
          </w:tcPr>
          <w:p w:rsidR="00AC40FC" w:rsidRPr="00382030" w:rsidRDefault="00AC40FC" w:rsidP="00581946">
            <w:pPr>
              <w:spacing w:after="0"/>
              <w:jc w:val="left"/>
            </w:pPr>
            <w:r w:rsidRPr="00382030">
              <w:t xml:space="preserve">Customer Programs </w:t>
            </w:r>
            <w:r>
              <w:t>and</w:t>
            </w:r>
            <w:r w:rsidRPr="00382030">
              <w:t xml:space="preserve"> Comm</w:t>
            </w:r>
            <w:r>
              <w:t>unications</w:t>
            </w:r>
          </w:p>
        </w:tc>
        <w:tc>
          <w:tcPr>
            <w:tcW w:w="402" w:type="dxa"/>
            <w:shd w:val="clear" w:color="auto" w:fill="auto"/>
            <w:noWrap/>
            <w:vAlign w:val="center"/>
          </w:tcPr>
          <w:p w:rsidR="00AC40FC" w:rsidRPr="00382030" w:rsidRDefault="00AC40FC" w:rsidP="00581946">
            <w:pPr>
              <w:spacing w:after="0"/>
              <w:jc w:val="center"/>
            </w:pPr>
            <w:r>
              <w:t>11</w:t>
            </w:r>
          </w:p>
        </w:tc>
        <w:tc>
          <w:tcPr>
            <w:tcW w:w="789" w:type="dxa"/>
            <w:shd w:val="clear" w:color="auto" w:fill="auto"/>
            <w:noWrap/>
            <w:vAlign w:val="center"/>
          </w:tcPr>
          <w:p w:rsidR="00AC40FC" w:rsidRPr="00382030" w:rsidRDefault="00AC40FC" w:rsidP="00581946">
            <w:pPr>
              <w:spacing w:after="0"/>
              <w:jc w:val="center"/>
            </w:pPr>
            <w:r>
              <w:t>7</w:t>
            </w:r>
          </w:p>
        </w:tc>
        <w:tc>
          <w:tcPr>
            <w:tcW w:w="1097" w:type="dxa"/>
            <w:shd w:val="clear" w:color="auto" w:fill="auto"/>
            <w:noWrap/>
            <w:vAlign w:val="center"/>
          </w:tcPr>
          <w:p w:rsidR="00AC40FC" w:rsidRPr="00382030" w:rsidRDefault="00AC40FC" w:rsidP="00581946">
            <w:pPr>
              <w:spacing w:after="0"/>
              <w:jc w:val="center"/>
            </w:pPr>
            <w:r>
              <w:t>-4</w:t>
            </w:r>
          </w:p>
        </w:tc>
      </w:tr>
      <w:tr w:rsidR="00AC40FC" w:rsidRPr="00382030" w:rsidTr="00581946">
        <w:trPr>
          <w:cantSplit/>
          <w:trHeight w:val="300"/>
          <w:jc w:val="center"/>
        </w:trPr>
        <w:tc>
          <w:tcPr>
            <w:tcW w:w="1013" w:type="dxa"/>
            <w:shd w:val="clear" w:color="auto" w:fill="auto"/>
            <w:noWrap/>
            <w:vAlign w:val="center"/>
          </w:tcPr>
          <w:p w:rsidR="00AC40FC" w:rsidRPr="00382030" w:rsidRDefault="00AC40FC" w:rsidP="00581946">
            <w:pPr>
              <w:spacing w:after="0"/>
              <w:jc w:val="center"/>
            </w:pPr>
            <w:r>
              <w:t>0739</w:t>
            </w:r>
          </w:p>
        </w:tc>
        <w:tc>
          <w:tcPr>
            <w:tcW w:w="4696" w:type="dxa"/>
            <w:shd w:val="clear" w:color="auto" w:fill="auto"/>
            <w:noWrap/>
            <w:vAlign w:val="center"/>
          </w:tcPr>
          <w:p w:rsidR="00AC40FC" w:rsidRPr="00382030" w:rsidRDefault="00AC40FC" w:rsidP="00581946">
            <w:pPr>
              <w:spacing w:after="0"/>
              <w:jc w:val="left"/>
            </w:pPr>
            <w:r w:rsidRPr="00382030">
              <w:t>Energy Efficiency Measurement</w:t>
            </w:r>
          </w:p>
        </w:tc>
        <w:tc>
          <w:tcPr>
            <w:tcW w:w="402" w:type="dxa"/>
            <w:shd w:val="clear" w:color="auto" w:fill="auto"/>
            <w:noWrap/>
            <w:vAlign w:val="center"/>
          </w:tcPr>
          <w:p w:rsidR="00AC40FC" w:rsidRPr="00382030" w:rsidRDefault="00AC40FC" w:rsidP="00581946">
            <w:pPr>
              <w:spacing w:after="0"/>
              <w:jc w:val="center"/>
            </w:pPr>
            <w:r>
              <w:t>5</w:t>
            </w:r>
          </w:p>
        </w:tc>
        <w:tc>
          <w:tcPr>
            <w:tcW w:w="789" w:type="dxa"/>
            <w:shd w:val="clear" w:color="auto" w:fill="auto"/>
            <w:noWrap/>
            <w:vAlign w:val="center"/>
          </w:tcPr>
          <w:p w:rsidR="00AC40FC" w:rsidRPr="00382030" w:rsidRDefault="00AC40FC" w:rsidP="00581946">
            <w:pPr>
              <w:spacing w:after="0"/>
              <w:jc w:val="center"/>
            </w:pPr>
            <w:r>
              <w:t>9</w:t>
            </w:r>
          </w:p>
        </w:tc>
        <w:tc>
          <w:tcPr>
            <w:tcW w:w="1097" w:type="dxa"/>
            <w:shd w:val="clear" w:color="auto" w:fill="auto"/>
            <w:noWrap/>
            <w:vAlign w:val="center"/>
          </w:tcPr>
          <w:p w:rsidR="00AC40FC" w:rsidRPr="00382030" w:rsidRDefault="00AC40FC" w:rsidP="00581946">
            <w:pPr>
              <w:spacing w:after="0"/>
              <w:jc w:val="center"/>
            </w:pPr>
            <w:r>
              <w:t>+4</w:t>
            </w:r>
          </w:p>
        </w:tc>
      </w:tr>
      <w:tr w:rsidR="00AC40FC" w:rsidRPr="00382030" w:rsidTr="00581946">
        <w:trPr>
          <w:cantSplit/>
          <w:trHeight w:val="300"/>
          <w:jc w:val="center"/>
        </w:trPr>
        <w:tc>
          <w:tcPr>
            <w:tcW w:w="1013" w:type="dxa"/>
            <w:shd w:val="clear" w:color="auto" w:fill="auto"/>
            <w:noWrap/>
            <w:vAlign w:val="center"/>
          </w:tcPr>
          <w:p w:rsidR="00AC40FC" w:rsidRDefault="00AC40FC" w:rsidP="00581946">
            <w:pPr>
              <w:spacing w:after="0"/>
              <w:jc w:val="center"/>
            </w:pPr>
            <w:r>
              <w:t>0799</w:t>
            </w:r>
          </w:p>
        </w:tc>
        <w:tc>
          <w:tcPr>
            <w:tcW w:w="4696" w:type="dxa"/>
            <w:shd w:val="clear" w:color="auto" w:fill="auto"/>
            <w:noWrap/>
            <w:vAlign w:val="center"/>
          </w:tcPr>
          <w:p w:rsidR="00AC40FC" w:rsidRPr="00382030" w:rsidRDefault="00AC40FC" w:rsidP="00581946">
            <w:pPr>
              <w:spacing w:after="0"/>
              <w:jc w:val="left"/>
            </w:pPr>
            <w:r w:rsidRPr="00382030">
              <w:t>Customer Communications</w:t>
            </w:r>
          </w:p>
        </w:tc>
        <w:tc>
          <w:tcPr>
            <w:tcW w:w="402" w:type="dxa"/>
            <w:shd w:val="clear" w:color="auto" w:fill="auto"/>
            <w:noWrap/>
            <w:vAlign w:val="center"/>
          </w:tcPr>
          <w:p w:rsidR="00AC40FC" w:rsidRPr="00382030" w:rsidRDefault="00AC40FC" w:rsidP="00581946">
            <w:pPr>
              <w:spacing w:after="0"/>
              <w:jc w:val="center"/>
            </w:pPr>
            <w:r>
              <w:t>14</w:t>
            </w:r>
          </w:p>
        </w:tc>
        <w:tc>
          <w:tcPr>
            <w:tcW w:w="789" w:type="dxa"/>
            <w:shd w:val="clear" w:color="auto" w:fill="auto"/>
            <w:noWrap/>
            <w:vAlign w:val="center"/>
          </w:tcPr>
          <w:p w:rsidR="00AC40FC" w:rsidRPr="00382030" w:rsidRDefault="00AC40FC" w:rsidP="00581946">
            <w:pPr>
              <w:spacing w:after="0"/>
              <w:jc w:val="center"/>
            </w:pPr>
            <w:r>
              <w:t>11</w:t>
            </w:r>
          </w:p>
        </w:tc>
        <w:tc>
          <w:tcPr>
            <w:tcW w:w="1097" w:type="dxa"/>
            <w:shd w:val="clear" w:color="auto" w:fill="auto"/>
            <w:noWrap/>
            <w:vAlign w:val="center"/>
          </w:tcPr>
          <w:p w:rsidR="00AC40FC" w:rsidRPr="00382030" w:rsidRDefault="00AC40FC" w:rsidP="00581946">
            <w:pPr>
              <w:spacing w:after="0"/>
              <w:jc w:val="center"/>
            </w:pPr>
            <w:r>
              <w:t>-3</w:t>
            </w:r>
          </w:p>
        </w:tc>
      </w:tr>
      <w:tr w:rsidR="00AC40FC" w:rsidRPr="00251DB2" w:rsidTr="00581946">
        <w:trPr>
          <w:cantSplit/>
          <w:trHeight w:val="300"/>
          <w:jc w:val="center"/>
        </w:trPr>
        <w:tc>
          <w:tcPr>
            <w:tcW w:w="1013" w:type="dxa"/>
            <w:shd w:val="clear" w:color="auto" w:fill="auto"/>
            <w:noWrap/>
            <w:vAlign w:val="center"/>
          </w:tcPr>
          <w:p w:rsidR="00AC40FC" w:rsidRDefault="00AC40FC" w:rsidP="00581946">
            <w:pPr>
              <w:spacing w:after="0"/>
              <w:jc w:val="center"/>
            </w:pPr>
          </w:p>
        </w:tc>
        <w:tc>
          <w:tcPr>
            <w:tcW w:w="4696" w:type="dxa"/>
            <w:shd w:val="clear" w:color="auto" w:fill="auto"/>
            <w:noWrap/>
            <w:vAlign w:val="center"/>
          </w:tcPr>
          <w:p w:rsidR="00AC40FC" w:rsidRPr="00803773" w:rsidRDefault="00AC40FC" w:rsidP="00581946">
            <w:pPr>
              <w:spacing w:after="0"/>
              <w:jc w:val="center"/>
              <w:rPr>
                <w:b/>
              </w:rPr>
            </w:pPr>
            <w:r>
              <w:rPr>
                <w:b/>
              </w:rPr>
              <w:t>T</w:t>
            </w:r>
            <w:r w:rsidRPr="00803773">
              <w:rPr>
                <w:b/>
              </w:rPr>
              <w:t>otal</w:t>
            </w:r>
            <w:r>
              <w:rPr>
                <w:b/>
              </w:rPr>
              <w:t>s</w:t>
            </w:r>
          </w:p>
        </w:tc>
        <w:tc>
          <w:tcPr>
            <w:tcW w:w="402" w:type="dxa"/>
            <w:shd w:val="clear" w:color="auto" w:fill="auto"/>
            <w:noWrap/>
            <w:vAlign w:val="center"/>
          </w:tcPr>
          <w:p w:rsidR="00AC40FC" w:rsidRPr="00251DB2" w:rsidRDefault="00AC40FC" w:rsidP="00581946">
            <w:pPr>
              <w:spacing w:after="0"/>
              <w:jc w:val="center"/>
              <w:rPr>
                <w:b/>
              </w:rPr>
            </w:pPr>
            <w:r w:rsidRPr="00251DB2">
              <w:rPr>
                <w:b/>
              </w:rPr>
              <w:t>251</w:t>
            </w:r>
          </w:p>
        </w:tc>
        <w:tc>
          <w:tcPr>
            <w:tcW w:w="789" w:type="dxa"/>
            <w:shd w:val="clear" w:color="auto" w:fill="auto"/>
            <w:noWrap/>
            <w:vAlign w:val="center"/>
          </w:tcPr>
          <w:p w:rsidR="00AC40FC" w:rsidRPr="00251DB2" w:rsidRDefault="00AC40FC" w:rsidP="00581946">
            <w:pPr>
              <w:spacing w:after="0"/>
              <w:jc w:val="center"/>
              <w:rPr>
                <w:b/>
              </w:rPr>
            </w:pPr>
            <w:r w:rsidRPr="00251DB2">
              <w:rPr>
                <w:b/>
              </w:rPr>
              <w:t>221</w:t>
            </w:r>
          </w:p>
        </w:tc>
        <w:tc>
          <w:tcPr>
            <w:tcW w:w="1097" w:type="dxa"/>
            <w:shd w:val="clear" w:color="auto" w:fill="auto"/>
            <w:noWrap/>
            <w:vAlign w:val="center"/>
          </w:tcPr>
          <w:p w:rsidR="00AC40FC" w:rsidRPr="00251DB2" w:rsidRDefault="00AC40FC" w:rsidP="00581946">
            <w:pPr>
              <w:spacing w:after="0"/>
              <w:jc w:val="center"/>
              <w:rPr>
                <w:b/>
              </w:rPr>
            </w:pPr>
            <w:r w:rsidRPr="00251DB2">
              <w:rPr>
                <w:b/>
              </w:rPr>
              <w:t>-30</w:t>
            </w:r>
          </w:p>
        </w:tc>
      </w:tr>
      <w:tr w:rsidR="00AC40FC" w:rsidRPr="00251DB2" w:rsidTr="00581946">
        <w:trPr>
          <w:cantSplit/>
          <w:trHeight w:val="300"/>
          <w:jc w:val="center"/>
        </w:trPr>
        <w:tc>
          <w:tcPr>
            <w:tcW w:w="7997" w:type="dxa"/>
            <w:gridSpan w:val="5"/>
            <w:shd w:val="clear" w:color="auto" w:fill="auto"/>
            <w:noWrap/>
            <w:vAlign w:val="center"/>
          </w:tcPr>
          <w:p w:rsidR="00AC40FC" w:rsidRPr="00251DB2" w:rsidRDefault="00AC40FC" w:rsidP="00581946">
            <w:pPr>
              <w:spacing w:after="0"/>
              <w:jc w:val="left"/>
              <w:rPr>
                <w:b/>
              </w:rPr>
            </w:pPr>
            <w:r w:rsidRPr="003D4DD5">
              <w:t>Source:  DN 18-001-C</w:t>
            </w:r>
          </w:p>
        </w:tc>
      </w:tr>
    </w:tbl>
    <w:p w:rsidR="00AC40FC" w:rsidRDefault="00AC40FC" w:rsidP="00581946">
      <w:pPr>
        <w:pStyle w:val="Normal-aftertable"/>
      </w:pPr>
      <w:r>
        <w:t>Customer Experience staffing decreased by 30 positions, nearly 12%, between 2014 and 2015.  Customer Contact Center staffing (call center CSRs) was the largest contributor by far, representing an 11% reduction in CSRs and about 73% of the total reduction in Customer Experience positions.</w:t>
      </w:r>
    </w:p>
    <w:p w:rsidR="00AC40FC" w:rsidRDefault="00AC40FC" w:rsidP="00581946">
      <w:r w:rsidRPr="00AC299F">
        <w:rPr>
          <w:b/>
        </w:rPr>
        <w:t>2015 and 2016 Employee and Contractor Changes</w:t>
      </w:r>
      <w:r>
        <w:rPr>
          <w:b/>
        </w:rPr>
        <w:t>.</w:t>
      </w:r>
      <w:r w:rsidRPr="00D00DAD">
        <w:t xml:space="preserve">  </w:t>
      </w:r>
      <w:r>
        <w:t>This Call Center Headcount Model forecasts employee and contractor CSR needs by month.</w:t>
      </w:r>
    </w:p>
    <w:p w:rsidR="00AC40FC" w:rsidRDefault="00AC40FC" w:rsidP="00581946">
      <w:r w:rsidRPr="009A76D5">
        <w:rPr>
          <w:b/>
        </w:rPr>
        <w:t>Future Employee and Contractor Changes</w:t>
      </w:r>
      <w:r>
        <w:rPr>
          <w:b/>
        </w:rPr>
        <w:t>.</w:t>
      </w:r>
      <w:r w:rsidRPr="00D00DAD">
        <w:t xml:space="preserve">  </w:t>
      </w:r>
      <w:r>
        <w:t xml:space="preserve">The following data for CSRs (Job Code 004200) </w:t>
      </w:r>
      <w:r w:rsidRPr="000550EE">
        <w:t xml:space="preserve">are based on </w:t>
      </w:r>
      <w:r>
        <w:t>staffing projections</w:t>
      </w:r>
      <w:r w:rsidRPr="000550EE">
        <w:t xml:space="preserve"> used in the </w:t>
      </w:r>
      <w:r>
        <w:t xml:space="preserve">2015 Business Plan. </w:t>
      </w:r>
    </w:p>
    <w:p w:rsidR="00AC40FC" w:rsidRDefault="00AC40FC" w:rsidP="00B306CB">
      <w:pPr>
        <w:pStyle w:val="Caption"/>
      </w:pPr>
      <w:bookmarkStart w:id="380" w:name="_Toc462648497"/>
      <w:bookmarkStart w:id="381" w:name="_Toc464553119"/>
      <w:r>
        <w:t xml:space="preserve">Exhibit </w:t>
      </w:r>
      <w:fldSimple w:instr=" STYLEREF 1 \s ">
        <w:r w:rsidR="00A24205">
          <w:rPr>
            <w:noProof/>
          </w:rPr>
          <w:t>XV</w:t>
        </w:r>
      </w:fldSimple>
      <w:r w:rsidR="00264A1B">
        <w:noBreakHyphen/>
      </w:r>
      <w:fldSimple w:instr=" SEQ Exhibit \* ARABIC \s 1 ">
        <w:r w:rsidR="00A24205">
          <w:rPr>
            <w:noProof/>
          </w:rPr>
          <w:t>11</w:t>
        </w:r>
      </w:fldSimple>
      <w:r>
        <w:br/>
        <w:t>PPL EU Customer Service Representatives – 2015 Business Plan Forecast</w:t>
      </w:r>
      <w:bookmarkEnd w:id="380"/>
      <w:bookmarkEnd w:id="381"/>
    </w:p>
    <w:tbl>
      <w:tblPr>
        <w:tblW w:w="0" w:type="auto"/>
        <w:jc w:val="center"/>
        <w:tblCellMar>
          <w:top w:w="14" w:type="dxa"/>
          <w:left w:w="72" w:type="dxa"/>
          <w:bottom w:w="14" w:type="dxa"/>
          <w:right w:w="72" w:type="dxa"/>
        </w:tblCellMar>
        <w:tblLook w:val="04A0"/>
      </w:tblPr>
      <w:tblGrid>
        <w:gridCol w:w="1942"/>
        <w:gridCol w:w="634"/>
        <w:gridCol w:w="634"/>
        <w:gridCol w:w="634"/>
        <w:gridCol w:w="634"/>
        <w:gridCol w:w="634"/>
        <w:gridCol w:w="634"/>
      </w:tblGrid>
      <w:tr w:rsidR="00AC40FC" w:rsidRPr="00FF362D" w:rsidTr="00D6083E">
        <w:trPr>
          <w:trHeight w:val="170"/>
          <w:tblHeader/>
          <w:jc w:val="center"/>
        </w:trPr>
        <w:tc>
          <w:tcPr>
            <w:tcW w:w="0" w:type="auto"/>
            <w:vMerge w:val="restart"/>
            <w:tcBorders>
              <w:top w:val="single" w:sz="4" w:space="0" w:color="auto"/>
              <w:left w:val="single" w:sz="4" w:space="0" w:color="auto"/>
              <w:right w:val="nil"/>
            </w:tcBorders>
            <w:shd w:val="clear" w:color="auto" w:fill="A5CD7E"/>
            <w:noWrap/>
            <w:vAlign w:val="center"/>
            <w:hideMark/>
          </w:tcPr>
          <w:p w:rsidR="00AC40FC" w:rsidRPr="00FF362D" w:rsidRDefault="00AC40FC" w:rsidP="00D6083E">
            <w:pPr>
              <w:spacing w:before="80" w:after="80"/>
              <w:jc w:val="center"/>
              <w:rPr>
                <w:rFonts w:cs="Arial"/>
                <w:sz w:val="22"/>
              </w:rPr>
            </w:pPr>
            <w:r w:rsidRPr="00D168F8">
              <w:rPr>
                <w:rFonts w:cs="Arial"/>
                <w:b/>
                <w:sz w:val="22"/>
              </w:rPr>
              <w:t>Job Code</w:t>
            </w:r>
            <w:r>
              <w:rPr>
                <w:rFonts w:cs="Arial"/>
                <w:b/>
                <w:sz w:val="22"/>
              </w:rPr>
              <w:t xml:space="preserve"> 004200</w:t>
            </w:r>
          </w:p>
        </w:tc>
        <w:tc>
          <w:tcPr>
            <w:tcW w:w="0" w:type="auto"/>
            <w:gridSpan w:val="6"/>
            <w:tcBorders>
              <w:top w:val="single" w:sz="4" w:space="0" w:color="auto"/>
              <w:left w:val="single" w:sz="4" w:space="0" w:color="000000"/>
              <w:bottom w:val="nil"/>
              <w:right w:val="single" w:sz="4" w:space="0" w:color="auto"/>
            </w:tcBorders>
            <w:shd w:val="clear" w:color="auto" w:fill="A5CD7E"/>
            <w:noWrap/>
            <w:vAlign w:val="center"/>
            <w:hideMark/>
          </w:tcPr>
          <w:p w:rsidR="00AC40FC" w:rsidRPr="00FF362D" w:rsidRDefault="00AC40FC" w:rsidP="00D6083E">
            <w:pPr>
              <w:spacing w:before="80" w:after="80"/>
              <w:jc w:val="center"/>
              <w:rPr>
                <w:rFonts w:cs="Arial"/>
                <w:b/>
                <w:bCs/>
                <w:color w:val="000000"/>
                <w:sz w:val="22"/>
              </w:rPr>
            </w:pPr>
            <w:r w:rsidRPr="00FF362D">
              <w:rPr>
                <w:rFonts w:cs="Arial"/>
                <w:b/>
                <w:bCs/>
                <w:color w:val="000000"/>
                <w:sz w:val="22"/>
              </w:rPr>
              <w:t>Year End</w:t>
            </w:r>
          </w:p>
        </w:tc>
      </w:tr>
      <w:tr w:rsidR="00AC40FC" w:rsidRPr="00FF362D" w:rsidTr="00D6083E">
        <w:trPr>
          <w:trHeight w:val="197"/>
          <w:tblHeader/>
          <w:jc w:val="center"/>
        </w:trPr>
        <w:tc>
          <w:tcPr>
            <w:tcW w:w="0" w:type="auto"/>
            <w:vMerge/>
            <w:tcBorders>
              <w:left w:val="single" w:sz="4" w:space="0" w:color="auto"/>
              <w:right w:val="nil"/>
            </w:tcBorders>
            <w:shd w:val="clear" w:color="auto" w:fill="A5CD7E"/>
            <w:noWrap/>
            <w:vAlign w:val="center"/>
            <w:hideMark/>
          </w:tcPr>
          <w:p w:rsidR="00AC40FC" w:rsidRPr="00D168F8" w:rsidRDefault="00AC40FC" w:rsidP="00D6083E">
            <w:pPr>
              <w:spacing w:before="80" w:after="80"/>
              <w:jc w:val="center"/>
              <w:rPr>
                <w:rFonts w:cs="Arial"/>
                <w:b/>
                <w:sz w:val="22"/>
              </w:rPr>
            </w:pPr>
          </w:p>
        </w:tc>
        <w:tc>
          <w:tcPr>
            <w:tcW w:w="0" w:type="auto"/>
            <w:gridSpan w:val="2"/>
            <w:tcBorders>
              <w:top w:val="single" w:sz="4" w:space="0" w:color="auto"/>
              <w:left w:val="single" w:sz="4" w:space="0" w:color="auto"/>
              <w:bottom w:val="single" w:sz="4" w:space="0" w:color="auto"/>
              <w:right w:val="single" w:sz="4" w:space="0" w:color="000000"/>
            </w:tcBorders>
            <w:shd w:val="clear" w:color="auto" w:fill="A5CD7E"/>
            <w:noWrap/>
            <w:vAlign w:val="center"/>
            <w:hideMark/>
          </w:tcPr>
          <w:p w:rsidR="00AC40FC" w:rsidRPr="00FF362D" w:rsidRDefault="00AC40FC" w:rsidP="00D6083E">
            <w:pPr>
              <w:spacing w:before="80" w:after="80"/>
              <w:jc w:val="center"/>
              <w:rPr>
                <w:rFonts w:cs="Arial"/>
                <w:b/>
                <w:bCs/>
                <w:color w:val="000000"/>
                <w:sz w:val="22"/>
              </w:rPr>
            </w:pPr>
            <w:r w:rsidRPr="00FF362D">
              <w:rPr>
                <w:rFonts w:cs="Arial"/>
                <w:b/>
                <w:bCs/>
                <w:color w:val="000000"/>
                <w:sz w:val="22"/>
              </w:rPr>
              <w:t>Actual</w:t>
            </w:r>
          </w:p>
        </w:tc>
        <w:tc>
          <w:tcPr>
            <w:tcW w:w="0" w:type="auto"/>
            <w:gridSpan w:val="4"/>
            <w:tcBorders>
              <w:top w:val="single" w:sz="4" w:space="0" w:color="auto"/>
              <w:left w:val="nil"/>
              <w:bottom w:val="single" w:sz="4" w:space="0" w:color="auto"/>
              <w:right w:val="single" w:sz="4" w:space="0" w:color="auto"/>
            </w:tcBorders>
            <w:shd w:val="clear" w:color="auto" w:fill="A5CD7E"/>
            <w:noWrap/>
            <w:vAlign w:val="center"/>
            <w:hideMark/>
          </w:tcPr>
          <w:p w:rsidR="00AC40FC" w:rsidRPr="00FF362D" w:rsidRDefault="00AC40FC" w:rsidP="00D6083E">
            <w:pPr>
              <w:spacing w:before="80" w:after="80"/>
              <w:jc w:val="center"/>
              <w:rPr>
                <w:rFonts w:cs="Arial"/>
                <w:b/>
                <w:bCs/>
                <w:color w:val="000000"/>
                <w:sz w:val="22"/>
              </w:rPr>
            </w:pPr>
            <w:r w:rsidRPr="00FF362D">
              <w:rPr>
                <w:rFonts w:cs="Arial"/>
                <w:b/>
                <w:bCs/>
                <w:color w:val="000000"/>
                <w:sz w:val="22"/>
              </w:rPr>
              <w:t>2015 Business Plan</w:t>
            </w:r>
          </w:p>
        </w:tc>
      </w:tr>
      <w:tr w:rsidR="00AC40FC" w:rsidRPr="00FF362D" w:rsidTr="00D6083E">
        <w:trPr>
          <w:trHeight w:val="143"/>
          <w:tblHeader/>
          <w:jc w:val="center"/>
        </w:trPr>
        <w:tc>
          <w:tcPr>
            <w:tcW w:w="0" w:type="auto"/>
            <w:vMerge/>
            <w:tcBorders>
              <w:left w:val="single" w:sz="4" w:space="0" w:color="auto"/>
              <w:bottom w:val="single" w:sz="4" w:space="0" w:color="auto"/>
              <w:right w:val="nil"/>
            </w:tcBorders>
            <w:shd w:val="clear" w:color="auto" w:fill="A5CD7E"/>
            <w:noWrap/>
            <w:vAlign w:val="center"/>
            <w:hideMark/>
          </w:tcPr>
          <w:p w:rsidR="00AC40FC" w:rsidRPr="00FF362D" w:rsidRDefault="00AC40FC" w:rsidP="00D6083E">
            <w:pPr>
              <w:spacing w:before="80" w:after="80"/>
              <w:jc w:val="center"/>
              <w:rPr>
                <w:rFonts w:cs="Arial"/>
                <w:b/>
                <w:bCs/>
                <w:color w:val="000000"/>
                <w:sz w:val="22"/>
              </w:rPr>
            </w:pPr>
          </w:p>
        </w:tc>
        <w:tc>
          <w:tcPr>
            <w:tcW w:w="0" w:type="auto"/>
            <w:tcBorders>
              <w:top w:val="nil"/>
              <w:left w:val="single" w:sz="4" w:space="0" w:color="000000"/>
              <w:bottom w:val="single" w:sz="4" w:space="0" w:color="auto"/>
              <w:right w:val="nil"/>
            </w:tcBorders>
            <w:shd w:val="clear" w:color="auto" w:fill="A5CD7E"/>
            <w:noWrap/>
            <w:vAlign w:val="center"/>
            <w:hideMark/>
          </w:tcPr>
          <w:p w:rsidR="00AC40FC" w:rsidRPr="00FF362D" w:rsidRDefault="00AC40FC" w:rsidP="00D6083E">
            <w:pPr>
              <w:spacing w:before="80" w:after="80"/>
              <w:jc w:val="center"/>
              <w:rPr>
                <w:rFonts w:cs="Arial"/>
                <w:b/>
                <w:bCs/>
                <w:color w:val="000000"/>
                <w:sz w:val="22"/>
              </w:rPr>
            </w:pPr>
            <w:r w:rsidRPr="00FF362D">
              <w:rPr>
                <w:rFonts w:cs="Arial"/>
                <w:b/>
                <w:bCs/>
                <w:color w:val="000000"/>
                <w:sz w:val="22"/>
              </w:rPr>
              <w:t>2014</w:t>
            </w:r>
          </w:p>
        </w:tc>
        <w:tc>
          <w:tcPr>
            <w:tcW w:w="0" w:type="auto"/>
            <w:tcBorders>
              <w:top w:val="nil"/>
              <w:left w:val="single" w:sz="4" w:space="0" w:color="000000"/>
              <w:bottom w:val="single" w:sz="4" w:space="0" w:color="auto"/>
              <w:right w:val="nil"/>
            </w:tcBorders>
            <w:shd w:val="clear" w:color="auto" w:fill="A5CD7E"/>
            <w:noWrap/>
            <w:vAlign w:val="center"/>
            <w:hideMark/>
          </w:tcPr>
          <w:p w:rsidR="00AC40FC" w:rsidRPr="00FF362D" w:rsidRDefault="00AC40FC" w:rsidP="00D6083E">
            <w:pPr>
              <w:spacing w:before="80" w:after="80"/>
              <w:jc w:val="center"/>
              <w:rPr>
                <w:rFonts w:cs="Arial"/>
                <w:b/>
                <w:bCs/>
                <w:color w:val="000000"/>
                <w:sz w:val="22"/>
              </w:rPr>
            </w:pPr>
            <w:r w:rsidRPr="00FF362D">
              <w:rPr>
                <w:rFonts w:cs="Arial"/>
                <w:b/>
                <w:bCs/>
                <w:color w:val="000000"/>
                <w:sz w:val="22"/>
              </w:rPr>
              <w:t>2015</w:t>
            </w:r>
          </w:p>
        </w:tc>
        <w:tc>
          <w:tcPr>
            <w:tcW w:w="0" w:type="auto"/>
            <w:tcBorders>
              <w:top w:val="nil"/>
              <w:left w:val="single" w:sz="4" w:space="0" w:color="000000"/>
              <w:bottom w:val="single" w:sz="4" w:space="0" w:color="auto"/>
              <w:right w:val="nil"/>
            </w:tcBorders>
            <w:shd w:val="clear" w:color="auto" w:fill="A5CD7E"/>
            <w:noWrap/>
            <w:vAlign w:val="center"/>
            <w:hideMark/>
          </w:tcPr>
          <w:p w:rsidR="00AC40FC" w:rsidRPr="00FF362D" w:rsidRDefault="00AC40FC" w:rsidP="00D6083E">
            <w:pPr>
              <w:spacing w:before="80" w:after="80"/>
              <w:jc w:val="center"/>
              <w:rPr>
                <w:rFonts w:cs="Arial"/>
                <w:b/>
                <w:bCs/>
                <w:color w:val="000000"/>
                <w:sz w:val="22"/>
              </w:rPr>
            </w:pPr>
            <w:r w:rsidRPr="00FF362D">
              <w:rPr>
                <w:rFonts w:cs="Arial"/>
                <w:b/>
                <w:bCs/>
                <w:color w:val="000000"/>
                <w:sz w:val="22"/>
              </w:rPr>
              <w:t>2016</w:t>
            </w:r>
          </w:p>
        </w:tc>
        <w:tc>
          <w:tcPr>
            <w:tcW w:w="0" w:type="auto"/>
            <w:tcBorders>
              <w:top w:val="nil"/>
              <w:left w:val="single" w:sz="4" w:space="0" w:color="000000"/>
              <w:bottom w:val="single" w:sz="4" w:space="0" w:color="auto"/>
              <w:right w:val="nil"/>
            </w:tcBorders>
            <w:shd w:val="clear" w:color="auto" w:fill="A5CD7E"/>
            <w:noWrap/>
            <w:vAlign w:val="center"/>
            <w:hideMark/>
          </w:tcPr>
          <w:p w:rsidR="00AC40FC" w:rsidRPr="00FF362D" w:rsidRDefault="00AC40FC" w:rsidP="00D6083E">
            <w:pPr>
              <w:spacing w:before="80" w:after="80"/>
              <w:jc w:val="center"/>
              <w:rPr>
                <w:rFonts w:cs="Arial"/>
                <w:b/>
                <w:bCs/>
                <w:color w:val="000000"/>
                <w:sz w:val="22"/>
              </w:rPr>
            </w:pPr>
            <w:r w:rsidRPr="00FF362D">
              <w:rPr>
                <w:rFonts w:cs="Arial"/>
                <w:b/>
                <w:bCs/>
                <w:color w:val="000000"/>
                <w:sz w:val="22"/>
              </w:rPr>
              <w:t>2017</w:t>
            </w:r>
          </w:p>
        </w:tc>
        <w:tc>
          <w:tcPr>
            <w:tcW w:w="0" w:type="auto"/>
            <w:tcBorders>
              <w:top w:val="nil"/>
              <w:left w:val="single" w:sz="4" w:space="0" w:color="000000"/>
              <w:bottom w:val="single" w:sz="4" w:space="0" w:color="auto"/>
              <w:right w:val="nil"/>
            </w:tcBorders>
            <w:shd w:val="clear" w:color="auto" w:fill="A5CD7E"/>
            <w:noWrap/>
            <w:vAlign w:val="center"/>
            <w:hideMark/>
          </w:tcPr>
          <w:p w:rsidR="00AC40FC" w:rsidRPr="00FF362D" w:rsidRDefault="00AC40FC" w:rsidP="00D6083E">
            <w:pPr>
              <w:spacing w:before="80" w:after="80"/>
              <w:jc w:val="center"/>
              <w:rPr>
                <w:rFonts w:cs="Arial"/>
                <w:b/>
                <w:bCs/>
                <w:color w:val="000000"/>
                <w:sz w:val="22"/>
              </w:rPr>
            </w:pPr>
            <w:r w:rsidRPr="00FF362D">
              <w:rPr>
                <w:rFonts w:cs="Arial"/>
                <w:b/>
                <w:bCs/>
                <w:color w:val="000000"/>
                <w:sz w:val="22"/>
              </w:rPr>
              <w:t>2018</w:t>
            </w:r>
          </w:p>
        </w:tc>
        <w:tc>
          <w:tcPr>
            <w:tcW w:w="0" w:type="auto"/>
            <w:tcBorders>
              <w:top w:val="nil"/>
              <w:left w:val="single" w:sz="4" w:space="0" w:color="000000"/>
              <w:bottom w:val="single" w:sz="4" w:space="0" w:color="auto"/>
              <w:right w:val="single" w:sz="4" w:space="0" w:color="auto"/>
            </w:tcBorders>
            <w:shd w:val="clear" w:color="auto" w:fill="A5CD7E"/>
            <w:noWrap/>
            <w:vAlign w:val="center"/>
            <w:hideMark/>
          </w:tcPr>
          <w:p w:rsidR="00AC40FC" w:rsidRPr="00FF362D" w:rsidRDefault="00AC40FC" w:rsidP="00D6083E">
            <w:pPr>
              <w:spacing w:before="80" w:after="80"/>
              <w:jc w:val="center"/>
              <w:rPr>
                <w:rFonts w:cs="Arial"/>
                <w:b/>
                <w:bCs/>
                <w:color w:val="000000"/>
                <w:sz w:val="22"/>
              </w:rPr>
            </w:pPr>
            <w:r w:rsidRPr="00FF362D">
              <w:rPr>
                <w:rFonts w:cs="Arial"/>
                <w:b/>
                <w:bCs/>
                <w:color w:val="000000"/>
                <w:sz w:val="22"/>
              </w:rPr>
              <w:t>2019</w:t>
            </w:r>
          </w:p>
        </w:tc>
      </w:tr>
      <w:tr w:rsidR="00AC40FC" w:rsidRPr="00FF362D" w:rsidTr="00D6083E">
        <w:trPr>
          <w:trHeight w:val="233"/>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C40FC" w:rsidRPr="00FF362D" w:rsidRDefault="00AC40FC" w:rsidP="00581946">
            <w:pPr>
              <w:spacing w:after="0"/>
              <w:jc w:val="center"/>
              <w:rPr>
                <w:rFonts w:cs="Arial"/>
                <w:color w:val="000000"/>
                <w:sz w:val="22"/>
              </w:rPr>
            </w:pPr>
            <w:r w:rsidRPr="00FF362D">
              <w:rPr>
                <w:rFonts w:cs="Arial"/>
                <w:color w:val="000000"/>
                <w:sz w:val="22"/>
              </w:rPr>
              <w:t>CSRs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40FC" w:rsidRPr="00FF362D" w:rsidRDefault="00AC40FC" w:rsidP="00581946">
            <w:pPr>
              <w:spacing w:after="0"/>
              <w:jc w:val="center"/>
              <w:rPr>
                <w:rFonts w:cs="Arial"/>
                <w:color w:val="000000"/>
                <w:sz w:val="22"/>
              </w:rPr>
            </w:pPr>
            <w:r w:rsidRPr="00FF362D">
              <w:rPr>
                <w:rFonts w:cs="Arial"/>
                <w:color w:val="000000"/>
                <w:sz w:val="22"/>
              </w:rPr>
              <w:t>114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40FC" w:rsidRPr="00FF362D" w:rsidRDefault="00AC40FC" w:rsidP="00581946">
            <w:pPr>
              <w:spacing w:after="0"/>
              <w:jc w:val="center"/>
              <w:rPr>
                <w:rFonts w:cs="Arial"/>
                <w:color w:val="000000"/>
                <w:sz w:val="22"/>
              </w:rPr>
            </w:pPr>
            <w:r w:rsidRPr="00FF362D">
              <w:rPr>
                <w:rFonts w:cs="Arial"/>
                <w:color w:val="000000"/>
                <w:sz w:val="22"/>
              </w:rPr>
              <w:t>105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40FC" w:rsidRPr="00FF362D" w:rsidRDefault="00AC40FC" w:rsidP="00581946">
            <w:pPr>
              <w:spacing w:after="0"/>
              <w:jc w:val="center"/>
              <w:rPr>
                <w:rFonts w:cs="Arial"/>
                <w:color w:val="000000"/>
                <w:sz w:val="22"/>
              </w:rPr>
            </w:pPr>
            <w:r w:rsidRPr="00FF362D">
              <w:rPr>
                <w:rFonts w:cs="Arial"/>
                <w:color w:val="000000"/>
                <w:sz w:val="22"/>
              </w:rPr>
              <w:t>108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40FC" w:rsidRPr="00FF362D" w:rsidRDefault="00AC40FC" w:rsidP="00581946">
            <w:pPr>
              <w:spacing w:after="0"/>
              <w:jc w:val="center"/>
              <w:rPr>
                <w:rFonts w:cs="Arial"/>
                <w:color w:val="000000"/>
                <w:sz w:val="22"/>
              </w:rPr>
            </w:pPr>
            <w:r w:rsidRPr="00FF362D">
              <w:rPr>
                <w:rFonts w:cs="Arial"/>
                <w:color w:val="000000"/>
                <w:sz w:val="22"/>
              </w:rPr>
              <w:t>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40FC" w:rsidRPr="00FF362D" w:rsidRDefault="00AC40FC" w:rsidP="00581946">
            <w:pPr>
              <w:spacing w:after="0"/>
              <w:jc w:val="center"/>
              <w:rPr>
                <w:rFonts w:cs="Arial"/>
                <w:color w:val="000000"/>
                <w:sz w:val="22"/>
              </w:rPr>
            </w:pPr>
            <w:r w:rsidRPr="00FF362D">
              <w:rPr>
                <w:rFonts w:cs="Arial"/>
                <w:color w:val="000000"/>
                <w:sz w:val="22"/>
              </w:rPr>
              <w:t>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40FC" w:rsidRPr="00FF362D" w:rsidRDefault="00AC40FC" w:rsidP="00581946">
            <w:pPr>
              <w:spacing w:after="0"/>
              <w:jc w:val="center"/>
              <w:rPr>
                <w:rFonts w:cs="Arial"/>
                <w:color w:val="000000"/>
                <w:sz w:val="22"/>
              </w:rPr>
            </w:pPr>
            <w:r w:rsidRPr="00FF362D">
              <w:rPr>
                <w:rFonts w:cs="Arial"/>
                <w:color w:val="000000"/>
                <w:sz w:val="22"/>
              </w:rPr>
              <w:t>60</w:t>
            </w:r>
          </w:p>
        </w:tc>
      </w:tr>
      <w:tr w:rsidR="00AC40FC" w:rsidRPr="00FF362D" w:rsidTr="00D6083E">
        <w:trPr>
          <w:trHeight w:val="7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C40FC" w:rsidRPr="00FF362D" w:rsidRDefault="00AC40FC" w:rsidP="00581946">
            <w:pPr>
              <w:spacing w:after="0"/>
              <w:jc w:val="center"/>
              <w:rPr>
                <w:rFonts w:cs="Arial"/>
                <w:color w:val="000000"/>
                <w:sz w:val="22"/>
              </w:rPr>
            </w:pPr>
            <w:r>
              <w:rPr>
                <w:rFonts w:cs="Arial"/>
                <w:color w:val="000000"/>
                <w:sz w:val="22"/>
              </w:rPr>
              <w:t>Change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C40FC" w:rsidRPr="00FF362D" w:rsidRDefault="00AC40FC" w:rsidP="00581946">
            <w:pPr>
              <w:spacing w:after="0"/>
              <w:jc w:val="center"/>
              <w:rPr>
                <w:rFonts w:cs="Arial"/>
                <w:color w:val="000000"/>
                <w:sz w:val="22"/>
              </w:rPr>
            </w:pPr>
            <w:r>
              <w:rPr>
                <w:rFonts w:cs="Arial"/>
                <w:color w:val="000000"/>
                <w:sz w:val="22"/>
              </w:rPr>
              <w:t>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C40FC" w:rsidRPr="00FF362D" w:rsidRDefault="00AC40FC" w:rsidP="00581946">
            <w:pPr>
              <w:spacing w:after="0"/>
              <w:jc w:val="center"/>
              <w:rPr>
                <w:rFonts w:cs="Arial"/>
                <w:color w:val="000000"/>
                <w:sz w:val="22"/>
              </w:rPr>
            </w:pPr>
            <w:r>
              <w:rPr>
                <w:rFonts w:cs="Arial"/>
                <w:color w:val="000000"/>
                <w:sz w:val="22"/>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C40FC" w:rsidRPr="00FF362D" w:rsidRDefault="00AC40FC" w:rsidP="00581946">
            <w:pPr>
              <w:spacing w:after="0"/>
              <w:jc w:val="center"/>
              <w:rPr>
                <w:rFonts w:cs="Arial"/>
                <w:color w:val="000000"/>
                <w:sz w:val="22"/>
              </w:rPr>
            </w:pPr>
            <w:r>
              <w:rPr>
                <w:rFonts w:cs="Arial"/>
                <w:color w:val="000000"/>
                <w:sz w:val="22"/>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C40FC" w:rsidRPr="00FF362D" w:rsidRDefault="00AC40FC" w:rsidP="00581946">
            <w:pPr>
              <w:spacing w:after="0"/>
              <w:jc w:val="center"/>
              <w:rPr>
                <w:rFonts w:cs="Arial"/>
                <w:color w:val="000000"/>
                <w:sz w:val="22"/>
              </w:rPr>
            </w:pPr>
            <w:r>
              <w:rPr>
                <w:rFonts w:cs="Arial"/>
                <w:color w:val="000000"/>
                <w:sz w:val="22"/>
              </w:rPr>
              <w:t>-28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C40FC" w:rsidRPr="00FF362D" w:rsidRDefault="00AC40FC" w:rsidP="00581946">
            <w:pPr>
              <w:spacing w:after="0"/>
              <w:jc w:val="center"/>
              <w:rPr>
                <w:rFonts w:cs="Arial"/>
                <w:color w:val="000000"/>
                <w:sz w:val="22"/>
              </w:rPr>
            </w:pPr>
            <w:r>
              <w:rPr>
                <w:rFonts w:cs="Arial"/>
                <w:color w:val="000000"/>
                <w:sz w:val="22"/>
              </w:rPr>
              <w:t>-20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C40FC" w:rsidRPr="00FF362D" w:rsidRDefault="00AC40FC" w:rsidP="00581946">
            <w:pPr>
              <w:spacing w:after="0"/>
              <w:jc w:val="center"/>
              <w:rPr>
                <w:rFonts w:cs="Arial"/>
                <w:color w:val="000000"/>
                <w:sz w:val="22"/>
              </w:rPr>
            </w:pPr>
            <w:r>
              <w:rPr>
                <w:rFonts w:cs="Arial"/>
                <w:color w:val="000000"/>
                <w:sz w:val="22"/>
              </w:rPr>
              <w:t>0</w:t>
            </w:r>
          </w:p>
        </w:tc>
      </w:tr>
      <w:tr w:rsidR="00AC40FC" w:rsidRPr="00FF362D" w:rsidTr="00D6083E">
        <w:trPr>
          <w:trHeight w:val="320"/>
          <w:jc w:val="center"/>
        </w:trPr>
        <w:tc>
          <w:tcPr>
            <w:tcW w:w="0" w:type="auto"/>
            <w:gridSpan w:val="7"/>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AC40FC" w:rsidRPr="00FF362D" w:rsidRDefault="00AC40FC" w:rsidP="00581946">
            <w:pPr>
              <w:spacing w:after="0"/>
              <w:rPr>
                <w:rFonts w:cs="Arial"/>
                <w:color w:val="000000"/>
                <w:sz w:val="22"/>
              </w:rPr>
            </w:pPr>
            <w:r w:rsidRPr="00FF362D">
              <w:rPr>
                <w:rFonts w:cs="Arial"/>
                <w:color w:val="000000"/>
                <w:sz w:val="22"/>
              </w:rPr>
              <w:t>S</w:t>
            </w:r>
            <w:r>
              <w:rPr>
                <w:rFonts w:cs="Arial"/>
                <w:color w:val="000000"/>
                <w:sz w:val="22"/>
              </w:rPr>
              <w:t>ource:  DN 18-003-C</w:t>
            </w:r>
          </w:p>
        </w:tc>
      </w:tr>
    </w:tbl>
    <w:p w:rsidR="00AC40FC" w:rsidRDefault="00AC40FC" w:rsidP="00581946">
      <w:pPr>
        <w:pStyle w:val="Normal-aftertable"/>
        <w:rPr>
          <w:rFonts w:cs="Arial"/>
        </w:rPr>
      </w:pPr>
      <w:r>
        <w:t>This forecast anticipates a significant reduction of PPL EU call center CSRs from 2014 through 2019</w:t>
      </w:r>
      <w:r>
        <w:rPr>
          <w:rFonts w:cs="Arial"/>
        </w:rPr>
        <w:t xml:space="preserve">. During this period a total reduction of 54 positions, or about 47% is anticipated. </w:t>
      </w:r>
    </w:p>
    <w:p w:rsidR="00AC40FC" w:rsidRDefault="00AC40FC" w:rsidP="00581946">
      <w:r>
        <w:t xml:space="preserve">Customer Services attributes the previous and continuing reduction in </w:t>
      </w:r>
      <w:r w:rsidRPr="00FA3041">
        <w:t>PPL EU CSRs</w:t>
      </w:r>
      <w:r>
        <w:t xml:space="preserve"> to:</w:t>
      </w:r>
    </w:p>
    <w:p w:rsidR="00AC40FC" w:rsidRPr="006058BF" w:rsidRDefault="00AC40FC" w:rsidP="004F00E5">
      <w:pPr>
        <w:pStyle w:val="Numbering"/>
        <w:numPr>
          <w:ilvl w:val="0"/>
          <w:numId w:val="93"/>
        </w:numPr>
        <w:ind w:left="720"/>
      </w:pPr>
      <w:r w:rsidRPr="006058BF">
        <w:t>Work management improvements have increased call center capacity by 30 FTEs.</w:t>
      </w:r>
    </w:p>
    <w:p w:rsidR="00AC40FC" w:rsidRPr="006058BF" w:rsidRDefault="00AC40FC" w:rsidP="006058BF">
      <w:pPr>
        <w:pStyle w:val="Numbering"/>
      </w:pPr>
      <w:r w:rsidRPr="006058BF">
        <w:t xml:space="preserve">Reducing After Call Handle Time through improved supervision and the “Win Monday, Win the Week” program. </w:t>
      </w:r>
    </w:p>
    <w:p w:rsidR="00AC40FC" w:rsidRPr="006058BF" w:rsidRDefault="00AC40FC" w:rsidP="006058BF">
      <w:pPr>
        <w:pStyle w:val="Numbering"/>
      </w:pPr>
      <w:r w:rsidRPr="006058BF">
        <w:t>Reducing calls from construction contractors by 30,000 calls per year by installing the Low-Income Energy Assistance Programs (LEAP) Web portal self-service system for Low Income Home Energy Assistance Program (LIHEAP)-related low-income agency and contractor self-service access.</w:t>
      </w:r>
    </w:p>
    <w:p w:rsidR="00AC40FC" w:rsidRPr="00AC299F" w:rsidRDefault="00AC40FC" w:rsidP="006058BF">
      <w:pPr>
        <w:pStyle w:val="Numbering"/>
        <w:rPr>
          <w:rFonts w:cs="Arial"/>
          <w:szCs w:val="24"/>
        </w:rPr>
      </w:pPr>
      <w:r w:rsidRPr="006058BF">
        <w:lastRenderedPageBreak/>
        <w:t>New web portal for construction contractors who want to initiate new service allowing self-serve and</w:t>
      </w:r>
      <w:r>
        <w:t xml:space="preserve"> further reducing call volumes.  </w:t>
      </w:r>
    </w:p>
    <w:p w:rsidR="00AC40FC" w:rsidRPr="00AC299F" w:rsidRDefault="00AC40FC" w:rsidP="00581946">
      <w:pPr>
        <w:pStyle w:val="Normal-aftertable"/>
        <w:rPr>
          <w:rFonts w:cs="Arial"/>
          <w:szCs w:val="24"/>
        </w:rPr>
      </w:pPr>
      <w:r>
        <w:t>About</w:t>
      </w:r>
      <w:r w:rsidRPr="00800232">
        <w:t xml:space="preserve"> 40 FTEs</w:t>
      </w:r>
      <w:r>
        <w:t xml:space="preserve"> will be reduced</w:t>
      </w:r>
      <w:r w:rsidRPr="00800232">
        <w:t xml:space="preserve"> through attrition, about half from management and half from the bargaining units</w:t>
      </w:r>
      <w:r>
        <w:t>,</w:t>
      </w:r>
      <w:r w:rsidRPr="00800232">
        <w:t xml:space="preserve"> while performance</w:t>
      </w:r>
      <w:r>
        <w:t xml:space="preserve"> is expected to improve</w:t>
      </w:r>
      <w:r w:rsidRPr="00800232">
        <w:t>.</w:t>
      </w:r>
    </w:p>
    <w:p w:rsidR="00AC40FC" w:rsidRDefault="00AC40FC" w:rsidP="00581946">
      <w:r>
        <w:t xml:space="preserve">Customer Services attributes improved </w:t>
      </w:r>
      <w:r w:rsidRPr="00B0682E">
        <w:t>contractor</w:t>
      </w:r>
      <w:r>
        <w:t xml:space="preserve"> CSR productivity and service level performance to: </w:t>
      </w:r>
    </w:p>
    <w:p w:rsidR="00AC40FC" w:rsidRDefault="00AC40FC" w:rsidP="004F00E5">
      <w:pPr>
        <w:pStyle w:val="Numbering"/>
        <w:numPr>
          <w:ilvl w:val="0"/>
          <w:numId w:val="114"/>
        </w:numPr>
      </w:pPr>
      <w:r w:rsidRPr="006058BF">
        <w:t xml:space="preserve">Contract terms and the service levels agreement (SLA) with the non-affiliated call center contractor put at risk for as much as 50% of billings related to five specific metrics (10% additive for each) </w:t>
      </w:r>
    </w:p>
    <w:p w:rsidR="00AC40FC" w:rsidRPr="006058BF" w:rsidRDefault="00AC40FC" w:rsidP="004F00E5">
      <w:pPr>
        <w:pStyle w:val="Numbering"/>
        <w:numPr>
          <w:ilvl w:val="0"/>
          <w:numId w:val="114"/>
        </w:numPr>
      </w:pPr>
      <w:r w:rsidRPr="006058BF">
        <w:t>Improved monitoring and direct day-to-day supervision of the PPLSolutions and non-affiliated call centers</w:t>
      </w:r>
    </w:p>
    <w:p w:rsidR="00AC40FC" w:rsidRDefault="00AC40FC" w:rsidP="00581946">
      <w:pPr>
        <w:pStyle w:val="Heading40"/>
      </w:pPr>
      <w:r>
        <w:t>Customer Services Operations</w:t>
      </w:r>
    </w:p>
    <w:p w:rsidR="00AC40FC" w:rsidRDefault="00AC40FC" w:rsidP="00581946">
      <w:pPr>
        <w:rPr>
          <w:rFonts w:cs="Arial"/>
        </w:rPr>
      </w:pPr>
      <w:r>
        <w:t xml:space="preserve">The Customer Services Operations (CS Ops) group is a support unit for the call centers and is responsible for performing staffing studies for the call centers.  </w:t>
      </w:r>
      <w:r>
        <w:rPr>
          <w:rFonts w:cs="Arial"/>
        </w:rPr>
        <w:t>Through 2015, CS Ops had 22 employees and focused on call center operations,</w:t>
      </w:r>
      <w:r w:rsidRPr="00E006DD">
        <w:rPr>
          <w:rFonts w:cs="Arial"/>
        </w:rPr>
        <w:t xml:space="preserve"> workforce management</w:t>
      </w:r>
      <w:r>
        <w:rPr>
          <w:rFonts w:cs="Arial"/>
        </w:rPr>
        <w:t xml:space="preserve">, </w:t>
      </w:r>
      <w:r w:rsidRPr="00E006DD">
        <w:rPr>
          <w:rFonts w:cs="Arial"/>
        </w:rPr>
        <w:t>productivity, head count and FTE forecasting, and performance indicator and metric development.</w:t>
      </w:r>
      <w:r>
        <w:rPr>
          <w:rFonts w:cs="Arial"/>
        </w:rPr>
        <w:t xml:space="preserve">  The group is also responsible for managing the performance and contract compliance for the PPLSolutions call center and the non-affiliated third-party call center.</w:t>
      </w:r>
    </w:p>
    <w:p w:rsidR="00AC40FC" w:rsidRDefault="00AC40FC" w:rsidP="00581946">
      <w:pPr>
        <w:rPr>
          <w:rFonts w:cs="Arial"/>
        </w:rPr>
      </w:pPr>
      <w:r>
        <w:t>CS Ops restructured its group in early November 2015 and created a dedicated Workforce Management Team.  The position of Planner was added to help develop a long-term forecasting model based on historical information as well as including new developments within the business.</w:t>
      </w:r>
    </w:p>
    <w:p w:rsidR="00AC40FC" w:rsidRPr="000A560A" w:rsidRDefault="00AC40FC" w:rsidP="00581946">
      <w:r>
        <w:t>The staffing numbers for 2014 and 2015, by SRC titles, are as follows:</w:t>
      </w:r>
    </w:p>
    <w:p w:rsidR="00AC40FC" w:rsidRPr="0069508A" w:rsidRDefault="00AC40FC" w:rsidP="00B306CB">
      <w:pPr>
        <w:pStyle w:val="Caption"/>
      </w:pPr>
      <w:bookmarkStart w:id="382" w:name="_Toc462648498"/>
      <w:bookmarkStart w:id="383" w:name="_Toc464553120"/>
      <w:r>
        <w:t xml:space="preserve">Exhibit </w:t>
      </w:r>
      <w:fldSimple w:instr=" STYLEREF 1 \s ">
        <w:r w:rsidR="00A24205">
          <w:rPr>
            <w:noProof/>
          </w:rPr>
          <w:t>XV</w:t>
        </w:r>
      </w:fldSimple>
      <w:r w:rsidR="00264A1B">
        <w:noBreakHyphen/>
      </w:r>
      <w:fldSimple w:instr=" SEQ Exhibit \* ARABIC \s 1 ">
        <w:r w:rsidR="00A24205">
          <w:rPr>
            <w:noProof/>
          </w:rPr>
          <w:t>12</w:t>
        </w:r>
      </w:fldSimple>
      <w:r>
        <w:br/>
        <w:t>PPL EU Customer Services Operations Employee Staffing Changes 2014–2015</w:t>
      </w:r>
      <w:bookmarkEnd w:id="382"/>
      <w:bookmarkEnd w:id="3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7"/>
        <w:gridCol w:w="3175"/>
        <w:gridCol w:w="900"/>
        <w:gridCol w:w="810"/>
        <w:gridCol w:w="1097"/>
      </w:tblGrid>
      <w:tr w:rsidR="00AC40FC" w:rsidRPr="001B05C8" w:rsidTr="00581946">
        <w:trPr>
          <w:cantSplit/>
          <w:trHeight w:val="300"/>
          <w:tblHeader/>
          <w:jc w:val="center"/>
        </w:trPr>
        <w:tc>
          <w:tcPr>
            <w:tcW w:w="1017" w:type="dxa"/>
            <w:shd w:val="clear" w:color="auto" w:fill="A6CD7F"/>
            <w:noWrap/>
            <w:vAlign w:val="center"/>
          </w:tcPr>
          <w:p w:rsidR="00AC40FC" w:rsidRPr="001B05C8" w:rsidRDefault="00AC40FC" w:rsidP="00D6083E">
            <w:pPr>
              <w:spacing w:before="120"/>
              <w:jc w:val="center"/>
              <w:rPr>
                <w:b/>
                <w:bCs/>
              </w:rPr>
            </w:pPr>
            <w:r>
              <w:rPr>
                <w:b/>
                <w:bCs/>
              </w:rPr>
              <w:t>S</w:t>
            </w:r>
            <w:r w:rsidRPr="001B05C8">
              <w:rPr>
                <w:b/>
                <w:bCs/>
              </w:rPr>
              <w:t>RC</w:t>
            </w:r>
          </w:p>
        </w:tc>
        <w:tc>
          <w:tcPr>
            <w:tcW w:w="3175" w:type="dxa"/>
            <w:shd w:val="clear" w:color="auto" w:fill="A6CD7F"/>
            <w:noWrap/>
            <w:vAlign w:val="center"/>
          </w:tcPr>
          <w:p w:rsidR="00AC40FC" w:rsidRPr="001B05C8" w:rsidRDefault="00AC40FC" w:rsidP="00D6083E">
            <w:pPr>
              <w:spacing w:before="120"/>
              <w:jc w:val="center"/>
              <w:rPr>
                <w:b/>
                <w:bCs/>
              </w:rPr>
            </w:pPr>
            <w:r w:rsidRPr="001B05C8">
              <w:rPr>
                <w:b/>
                <w:bCs/>
              </w:rPr>
              <w:t>Title</w:t>
            </w:r>
          </w:p>
        </w:tc>
        <w:tc>
          <w:tcPr>
            <w:tcW w:w="900" w:type="dxa"/>
            <w:shd w:val="clear" w:color="auto" w:fill="A6CD7F"/>
            <w:noWrap/>
            <w:vAlign w:val="center"/>
          </w:tcPr>
          <w:p w:rsidR="00AC40FC" w:rsidRPr="001B05C8" w:rsidRDefault="00AC40FC" w:rsidP="00D6083E">
            <w:pPr>
              <w:spacing w:before="120"/>
              <w:jc w:val="center"/>
              <w:rPr>
                <w:b/>
                <w:bCs/>
              </w:rPr>
            </w:pPr>
            <w:r w:rsidRPr="001B05C8">
              <w:rPr>
                <w:b/>
                <w:bCs/>
              </w:rPr>
              <w:t>2014</w:t>
            </w:r>
          </w:p>
        </w:tc>
        <w:tc>
          <w:tcPr>
            <w:tcW w:w="810" w:type="dxa"/>
            <w:shd w:val="clear" w:color="auto" w:fill="A6CD7F"/>
            <w:noWrap/>
            <w:vAlign w:val="center"/>
          </w:tcPr>
          <w:p w:rsidR="00AC40FC" w:rsidRPr="001B05C8" w:rsidRDefault="00AC40FC" w:rsidP="00D6083E">
            <w:pPr>
              <w:spacing w:before="120"/>
              <w:jc w:val="center"/>
              <w:rPr>
                <w:b/>
                <w:bCs/>
              </w:rPr>
            </w:pPr>
            <w:r w:rsidRPr="001B05C8">
              <w:rPr>
                <w:b/>
                <w:bCs/>
              </w:rPr>
              <w:t>2015</w:t>
            </w:r>
          </w:p>
        </w:tc>
        <w:tc>
          <w:tcPr>
            <w:tcW w:w="990" w:type="dxa"/>
            <w:shd w:val="clear" w:color="auto" w:fill="A6CD7F"/>
            <w:noWrap/>
            <w:vAlign w:val="center"/>
          </w:tcPr>
          <w:p w:rsidR="00AC40FC" w:rsidRPr="001B05C8" w:rsidRDefault="00AC40FC" w:rsidP="00D6083E">
            <w:pPr>
              <w:spacing w:before="120"/>
              <w:jc w:val="center"/>
              <w:rPr>
                <w:b/>
                <w:bCs/>
              </w:rPr>
            </w:pPr>
            <w:r>
              <w:rPr>
                <w:b/>
                <w:bCs/>
              </w:rPr>
              <w:t>Change</w:t>
            </w:r>
          </w:p>
        </w:tc>
      </w:tr>
      <w:tr w:rsidR="00AC40FC" w:rsidRPr="00382030" w:rsidTr="00581946">
        <w:trPr>
          <w:cantSplit/>
          <w:trHeight w:val="300"/>
          <w:jc w:val="center"/>
        </w:trPr>
        <w:tc>
          <w:tcPr>
            <w:tcW w:w="1017" w:type="dxa"/>
            <w:shd w:val="clear" w:color="auto" w:fill="auto"/>
            <w:noWrap/>
            <w:vAlign w:val="center"/>
            <w:hideMark/>
          </w:tcPr>
          <w:p w:rsidR="00AC40FC" w:rsidRPr="00382030" w:rsidRDefault="00AC40FC" w:rsidP="00581946">
            <w:pPr>
              <w:spacing w:after="0"/>
              <w:jc w:val="center"/>
            </w:pPr>
            <w:r w:rsidRPr="00382030">
              <w:t>0705</w:t>
            </w:r>
          </w:p>
        </w:tc>
        <w:tc>
          <w:tcPr>
            <w:tcW w:w="3175" w:type="dxa"/>
            <w:shd w:val="clear" w:color="auto" w:fill="auto"/>
            <w:noWrap/>
            <w:vAlign w:val="center"/>
            <w:hideMark/>
          </w:tcPr>
          <w:p w:rsidR="00AC40FC" w:rsidRPr="00382030" w:rsidRDefault="00AC40FC" w:rsidP="00581946">
            <w:pPr>
              <w:spacing w:after="0"/>
              <w:jc w:val="left"/>
            </w:pPr>
            <w:r w:rsidRPr="00382030">
              <w:t>Customer Services</w:t>
            </w:r>
            <w:r w:rsidRPr="00FE57E3">
              <w:rPr>
                <w:vertAlign w:val="superscript"/>
              </w:rPr>
              <w:t>1</w:t>
            </w:r>
            <w:r>
              <w:t xml:space="preserve"> </w:t>
            </w:r>
          </w:p>
        </w:tc>
        <w:tc>
          <w:tcPr>
            <w:tcW w:w="900" w:type="dxa"/>
            <w:shd w:val="clear" w:color="auto" w:fill="auto"/>
            <w:noWrap/>
            <w:vAlign w:val="center"/>
            <w:hideMark/>
          </w:tcPr>
          <w:p w:rsidR="00AC40FC" w:rsidRPr="00382030" w:rsidRDefault="00AC40FC" w:rsidP="00581946">
            <w:pPr>
              <w:spacing w:after="0"/>
              <w:jc w:val="center"/>
            </w:pPr>
            <w:r w:rsidRPr="00382030">
              <w:t>2</w:t>
            </w:r>
          </w:p>
        </w:tc>
        <w:tc>
          <w:tcPr>
            <w:tcW w:w="810" w:type="dxa"/>
            <w:shd w:val="clear" w:color="auto" w:fill="auto"/>
            <w:noWrap/>
            <w:vAlign w:val="center"/>
            <w:hideMark/>
          </w:tcPr>
          <w:p w:rsidR="00AC40FC" w:rsidRPr="00382030" w:rsidRDefault="00AC40FC" w:rsidP="00581946">
            <w:pPr>
              <w:spacing w:after="0"/>
              <w:jc w:val="center"/>
            </w:pPr>
            <w:r w:rsidRPr="00382030">
              <w:t>5</w:t>
            </w:r>
          </w:p>
        </w:tc>
        <w:tc>
          <w:tcPr>
            <w:tcW w:w="990" w:type="dxa"/>
            <w:shd w:val="clear" w:color="auto" w:fill="auto"/>
            <w:noWrap/>
            <w:vAlign w:val="center"/>
            <w:hideMark/>
          </w:tcPr>
          <w:p w:rsidR="00AC40FC" w:rsidRPr="00382030" w:rsidRDefault="00AC40FC" w:rsidP="00581946">
            <w:pPr>
              <w:spacing w:after="0"/>
              <w:jc w:val="center"/>
            </w:pPr>
            <w:r w:rsidRPr="00382030">
              <w:t>+3</w:t>
            </w:r>
          </w:p>
        </w:tc>
      </w:tr>
      <w:tr w:rsidR="00AC40FC" w:rsidRPr="00382030" w:rsidTr="00581946">
        <w:trPr>
          <w:cantSplit/>
          <w:trHeight w:val="300"/>
          <w:jc w:val="center"/>
        </w:trPr>
        <w:tc>
          <w:tcPr>
            <w:tcW w:w="1017" w:type="dxa"/>
            <w:shd w:val="clear" w:color="auto" w:fill="auto"/>
            <w:noWrap/>
            <w:vAlign w:val="center"/>
          </w:tcPr>
          <w:p w:rsidR="00AC40FC" w:rsidRPr="00382030" w:rsidRDefault="00AC40FC" w:rsidP="00581946">
            <w:pPr>
              <w:spacing w:after="0"/>
              <w:jc w:val="center"/>
            </w:pPr>
            <w:r>
              <w:t>0770</w:t>
            </w:r>
          </w:p>
        </w:tc>
        <w:tc>
          <w:tcPr>
            <w:tcW w:w="3175" w:type="dxa"/>
            <w:shd w:val="clear" w:color="auto" w:fill="auto"/>
            <w:noWrap/>
            <w:vAlign w:val="center"/>
          </w:tcPr>
          <w:p w:rsidR="00AC40FC" w:rsidRPr="00382030" w:rsidRDefault="00AC40FC" w:rsidP="00581946">
            <w:pPr>
              <w:spacing w:after="0"/>
              <w:jc w:val="left"/>
            </w:pPr>
            <w:r w:rsidRPr="00382030">
              <w:t>Customer Op</w:t>
            </w:r>
            <w:r>
              <w:t>eration</w:t>
            </w:r>
            <w:r w:rsidRPr="00382030">
              <w:t xml:space="preserve">s </w:t>
            </w:r>
            <w:r>
              <w:t>and</w:t>
            </w:r>
            <w:r w:rsidRPr="00382030">
              <w:t xml:space="preserve"> Bus</w:t>
            </w:r>
            <w:r>
              <w:t>iness</w:t>
            </w:r>
            <w:r w:rsidRPr="00382030">
              <w:t xml:space="preserve"> Improve</w:t>
            </w:r>
            <w:r>
              <w:t>ment</w:t>
            </w:r>
          </w:p>
        </w:tc>
        <w:tc>
          <w:tcPr>
            <w:tcW w:w="900" w:type="dxa"/>
            <w:shd w:val="clear" w:color="auto" w:fill="auto"/>
            <w:noWrap/>
            <w:vAlign w:val="center"/>
          </w:tcPr>
          <w:p w:rsidR="00AC40FC" w:rsidRPr="00382030" w:rsidRDefault="00AC40FC" w:rsidP="00581946">
            <w:pPr>
              <w:spacing w:after="0"/>
              <w:jc w:val="center"/>
            </w:pPr>
            <w:r>
              <w:t>14</w:t>
            </w:r>
          </w:p>
        </w:tc>
        <w:tc>
          <w:tcPr>
            <w:tcW w:w="810" w:type="dxa"/>
            <w:shd w:val="clear" w:color="auto" w:fill="auto"/>
            <w:noWrap/>
            <w:vAlign w:val="center"/>
          </w:tcPr>
          <w:p w:rsidR="00AC40FC" w:rsidRPr="00382030" w:rsidRDefault="00AC40FC" w:rsidP="00581946">
            <w:pPr>
              <w:spacing w:after="0"/>
              <w:jc w:val="center"/>
            </w:pPr>
            <w:r>
              <w:t>21</w:t>
            </w:r>
          </w:p>
        </w:tc>
        <w:tc>
          <w:tcPr>
            <w:tcW w:w="990" w:type="dxa"/>
            <w:shd w:val="clear" w:color="auto" w:fill="auto"/>
            <w:noWrap/>
            <w:vAlign w:val="center"/>
          </w:tcPr>
          <w:p w:rsidR="00AC40FC" w:rsidRPr="00382030" w:rsidRDefault="00AC40FC" w:rsidP="00581946">
            <w:pPr>
              <w:spacing w:after="0"/>
              <w:jc w:val="center"/>
            </w:pPr>
            <w:r>
              <w:t>+7</w:t>
            </w:r>
          </w:p>
        </w:tc>
      </w:tr>
      <w:tr w:rsidR="00AC40FC" w:rsidRPr="002D6A9E" w:rsidTr="00581946">
        <w:trPr>
          <w:cantSplit/>
          <w:trHeight w:val="300"/>
          <w:jc w:val="center"/>
        </w:trPr>
        <w:tc>
          <w:tcPr>
            <w:tcW w:w="1017" w:type="dxa"/>
            <w:shd w:val="clear" w:color="auto" w:fill="auto"/>
            <w:noWrap/>
            <w:vAlign w:val="center"/>
            <w:hideMark/>
          </w:tcPr>
          <w:p w:rsidR="00AC40FC" w:rsidRPr="00382030" w:rsidRDefault="00AC40FC" w:rsidP="00581946">
            <w:pPr>
              <w:spacing w:after="0"/>
              <w:jc w:val="center"/>
            </w:pPr>
          </w:p>
        </w:tc>
        <w:tc>
          <w:tcPr>
            <w:tcW w:w="3175" w:type="dxa"/>
            <w:shd w:val="clear" w:color="auto" w:fill="auto"/>
            <w:noWrap/>
            <w:vAlign w:val="center"/>
            <w:hideMark/>
          </w:tcPr>
          <w:p w:rsidR="00AC40FC" w:rsidRPr="00A32DE2" w:rsidRDefault="00AC40FC" w:rsidP="00581946">
            <w:pPr>
              <w:spacing w:after="0"/>
              <w:jc w:val="center"/>
              <w:rPr>
                <w:b/>
              </w:rPr>
            </w:pPr>
            <w:r>
              <w:rPr>
                <w:b/>
              </w:rPr>
              <w:t>T</w:t>
            </w:r>
            <w:r w:rsidRPr="00A32DE2">
              <w:rPr>
                <w:b/>
              </w:rPr>
              <w:t>otal</w:t>
            </w:r>
            <w:r>
              <w:rPr>
                <w:b/>
              </w:rPr>
              <w:t>s</w:t>
            </w:r>
          </w:p>
        </w:tc>
        <w:tc>
          <w:tcPr>
            <w:tcW w:w="900" w:type="dxa"/>
            <w:shd w:val="clear" w:color="auto" w:fill="auto"/>
            <w:noWrap/>
            <w:vAlign w:val="center"/>
            <w:hideMark/>
          </w:tcPr>
          <w:p w:rsidR="00AC40FC" w:rsidRPr="002D6A9E" w:rsidRDefault="00AC40FC" w:rsidP="00581946">
            <w:pPr>
              <w:spacing w:after="0"/>
              <w:jc w:val="center"/>
              <w:rPr>
                <w:b/>
              </w:rPr>
            </w:pPr>
            <w:r w:rsidRPr="002D6A9E">
              <w:rPr>
                <w:b/>
              </w:rPr>
              <w:t>16</w:t>
            </w:r>
          </w:p>
        </w:tc>
        <w:tc>
          <w:tcPr>
            <w:tcW w:w="810" w:type="dxa"/>
            <w:shd w:val="clear" w:color="auto" w:fill="auto"/>
            <w:noWrap/>
            <w:vAlign w:val="center"/>
            <w:hideMark/>
          </w:tcPr>
          <w:p w:rsidR="00AC40FC" w:rsidRPr="002D6A9E" w:rsidRDefault="00AC40FC" w:rsidP="00581946">
            <w:pPr>
              <w:spacing w:after="0"/>
              <w:jc w:val="center"/>
              <w:rPr>
                <w:b/>
              </w:rPr>
            </w:pPr>
            <w:r w:rsidRPr="002D6A9E">
              <w:rPr>
                <w:b/>
              </w:rPr>
              <w:t>26</w:t>
            </w:r>
          </w:p>
        </w:tc>
        <w:tc>
          <w:tcPr>
            <w:tcW w:w="990" w:type="dxa"/>
            <w:shd w:val="clear" w:color="auto" w:fill="auto"/>
            <w:noWrap/>
            <w:vAlign w:val="center"/>
            <w:hideMark/>
          </w:tcPr>
          <w:p w:rsidR="00AC40FC" w:rsidRPr="002D6A9E" w:rsidRDefault="00AC40FC" w:rsidP="00581946">
            <w:pPr>
              <w:spacing w:after="0"/>
              <w:jc w:val="center"/>
              <w:rPr>
                <w:b/>
              </w:rPr>
            </w:pPr>
            <w:r w:rsidRPr="002D6A9E">
              <w:rPr>
                <w:b/>
              </w:rPr>
              <w:t>+10</w:t>
            </w:r>
          </w:p>
        </w:tc>
      </w:tr>
      <w:tr w:rsidR="00AC40FC" w:rsidRPr="002D6A9E" w:rsidTr="00581946">
        <w:trPr>
          <w:cantSplit/>
          <w:trHeight w:val="323"/>
          <w:jc w:val="center"/>
        </w:trPr>
        <w:tc>
          <w:tcPr>
            <w:tcW w:w="6892" w:type="dxa"/>
            <w:gridSpan w:val="5"/>
            <w:shd w:val="clear" w:color="auto" w:fill="auto"/>
            <w:noWrap/>
            <w:vAlign w:val="center"/>
          </w:tcPr>
          <w:p w:rsidR="00AC40FC" w:rsidRPr="00030390" w:rsidRDefault="00AC40FC" w:rsidP="00581946">
            <w:pPr>
              <w:spacing w:after="0"/>
              <w:jc w:val="left"/>
            </w:pPr>
            <w:r w:rsidRPr="00F52736">
              <w:rPr>
                <w:vertAlign w:val="superscript"/>
              </w:rPr>
              <w:t>1</w:t>
            </w:r>
            <w:r>
              <w:t xml:space="preserve"> </w:t>
            </w:r>
            <w:r>
              <w:rPr>
                <w:bCs/>
              </w:rPr>
              <w:t>Includes three positions in VP's Office for 2015</w:t>
            </w:r>
          </w:p>
        </w:tc>
      </w:tr>
      <w:tr w:rsidR="00AC40FC" w:rsidRPr="002D6A9E" w:rsidTr="00581946">
        <w:trPr>
          <w:cantSplit/>
          <w:trHeight w:val="300"/>
          <w:jc w:val="center"/>
        </w:trPr>
        <w:tc>
          <w:tcPr>
            <w:tcW w:w="6892" w:type="dxa"/>
            <w:gridSpan w:val="5"/>
            <w:shd w:val="clear" w:color="auto" w:fill="auto"/>
            <w:noWrap/>
            <w:vAlign w:val="center"/>
          </w:tcPr>
          <w:p w:rsidR="00AC40FC" w:rsidRPr="00A40F57" w:rsidRDefault="00AC40FC" w:rsidP="00581946">
            <w:pPr>
              <w:spacing w:after="0"/>
              <w:jc w:val="left"/>
            </w:pPr>
            <w:r w:rsidRPr="00A40F57">
              <w:t>Source:  DN 18-011-C</w:t>
            </w:r>
          </w:p>
        </w:tc>
      </w:tr>
    </w:tbl>
    <w:p w:rsidR="00AC40FC" w:rsidRPr="00AE4DE7" w:rsidRDefault="00AC40FC" w:rsidP="00581946">
      <w:pPr>
        <w:pStyle w:val="Normal-aftertable"/>
      </w:pPr>
      <w:r>
        <w:t xml:space="preserve">The CS Ops group staffing grew from 16 to 26, an increase of 10, about 63%.  The increase is explained because the group was newly formed and reconfigured during 2015 to provide additional performance support to the call centers.  Although the CS Ops group performs staffing studies for the Customer Experience Call Centers and the contractor call centers, it </w:t>
      </w:r>
      <w:r w:rsidRPr="00652B77">
        <w:t xml:space="preserve">does not </w:t>
      </w:r>
      <w:r>
        <w:t xml:space="preserve">perform staffing studies or </w:t>
      </w:r>
      <w:r w:rsidRPr="00652B77">
        <w:t>have a formal</w:t>
      </w:r>
      <w:r>
        <w:t xml:space="preserve"> multi-year</w:t>
      </w:r>
      <w:r w:rsidRPr="00652B77">
        <w:t xml:space="preserve"> planning </w:t>
      </w:r>
      <w:r>
        <w:t>process of its own.</w:t>
      </w:r>
    </w:p>
    <w:p w:rsidR="00AC40FC" w:rsidRDefault="00AC40FC" w:rsidP="00581946">
      <w:pPr>
        <w:pStyle w:val="Heading40"/>
      </w:pPr>
      <w:r>
        <w:lastRenderedPageBreak/>
        <w:t>Regulatory Programs and Business Services</w:t>
      </w:r>
    </w:p>
    <w:p w:rsidR="00AC40FC" w:rsidRDefault="00AC40FC" w:rsidP="00581946">
      <w:r>
        <w:t xml:space="preserve">Regulatory Programs and Business Services is responsible for compliance, low-income customer assistance programs, including OnTrack and the Winter Relief Assistance Program (WRAP).  The group is relatively small at 22 employees and is responsible for managing contractors to implement its programs. </w:t>
      </w:r>
    </w:p>
    <w:p w:rsidR="00AC40FC" w:rsidRDefault="00AC40FC" w:rsidP="00581946">
      <w:r>
        <w:t>The staffing numbers for 2014 and 2015, by SRC title, are as follows:</w:t>
      </w:r>
    </w:p>
    <w:p w:rsidR="00AC40FC" w:rsidRDefault="00AC40FC" w:rsidP="00B306CB">
      <w:pPr>
        <w:pStyle w:val="Caption"/>
      </w:pPr>
      <w:bookmarkStart w:id="384" w:name="_Toc462648499"/>
      <w:bookmarkStart w:id="385" w:name="_Toc464553121"/>
      <w:r>
        <w:t xml:space="preserve">Exhibit </w:t>
      </w:r>
      <w:fldSimple w:instr=" STYLEREF 1 \s ">
        <w:r w:rsidR="00A24205">
          <w:rPr>
            <w:noProof/>
          </w:rPr>
          <w:t>XV</w:t>
        </w:r>
      </w:fldSimple>
      <w:r w:rsidR="00264A1B">
        <w:noBreakHyphen/>
      </w:r>
      <w:fldSimple w:instr=" SEQ Exhibit \* ARABIC \s 1 ">
        <w:r w:rsidR="00A24205">
          <w:rPr>
            <w:noProof/>
          </w:rPr>
          <w:t>13</w:t>
        </w:r>
      </w:fldSimple>
      <w:r>
        <w:br/>
        <w:t>PPL EU Regulatory Programs Employee Staffing Changes 2014–2015</w:t>
      </w:r>
      <w:bookmarkEnd w:id="384"/>
      <w:bookmarkEnd w:id="3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4"/>
        <w:gridCol w:w="4989"/>
        <w:gridCol w:w="765"/>
        <w:gridCol w:w="750"/>
        <w:gridCol w:w="1097"/>
      </w:tblGrid>
      <w:tr w:rsidR="00AC40FC" w:rsidRPr="00D6083E" w:rsidTr="00581946">
        <w:trPr>
          <w:cantSplit/>
          <w:trHeight w:val="314"/>
          <w:tblHeader/>
          <w:jc w:val="center"/>
        </w:trPr>
        <w:tc>
          <w:tcPr>
            <w:tcW w:w="1044" w:type="dxa"/>
            <w:shd w:val="clear" w:color="auto" w:fill="A6CD7F"/>
            <w:noWrap/>
            <w:vAlign w:val="center"/>
          </w:tcPr>
          <w:p w:rsidR="00AC40FC" w:rsidRPr="00D6083E" w:rsidRDefault="00AC40FC" w:rsidP="00D6083E">
            <w:pPr>
              <w:spacing w:before="120"/>
              <w:jc w:val="center"/>
              <w:rPr>
                <w:b/>
                <w:bCs/>
              </w:rPr>
            </w:pPr>
            <w:r>
              <w:rPr>
                <w:b/>
                <w:bCs/>
              </w:rPr>
              <w:t>S</w:t>
            </w:r>
            <w:r w:rsidRPr="001B05C8">
              <w:rPr>
                <w:b/>
                <w:bCs/>
              </w:rPr>
              <w:t>RC</w:t>
            </w:r>
          </w:p>
        </w:tc>
        <w:tc>
          <w:tcPr>
            <w:tcW w:w="4989" w:type="dxa"/>
            <w:shd w:val="clear" w:color="auto" w:fill="A6CD7F"/>
            <w:noWrap/>
            <w:vAlign w:val="center"/>
          </w:tcPr>
          <w:p w:rsidR="00AC40FC" w:rsidRPr="00D6083E" w:rsidRDefault="00AC40FC" w:rsidP="00D6083E">
            <w:pPr>
              <w:spacing w:before="120"/>
              <w:jc w:val="center"/>
              <w:rPr>
                <w:b/>
                <w:bCs/>
              </w:rPr>
            </w:pPr>
            <w:r w:rsidRPr="001B05C8">
              <w:rPr>
                <w:b/>
                <w:bCs/>
              </w:rPr>
              <w:t>Title</w:t>
            </w:r>
          </w:p>
        </w:tc>
        <w:tc>
          <w:tcPr>
            <w:tcW w:w="765" w:type="dxa"/>
            <w:shd w:val="clear" w:color="auto" w:fill="A6CD7F"/>
            <w:noWrap/>
            <w:vAlign w:val="center"/>
          </w:tcPr>
          <w:p w:rsidR="00AC40FC" w:rsidRPr="00D6083E" w:rsidRDefault="00AC40FC" w:rsidP="00D6083E">
            <w:pPr>
              <w:spacing w:before="120"/>
              <w:jc w:val="center"/>
              <w:rPr>
                <w:b/>
                <w:bCs/>
              </w:rPr>
            </w:pPr>
            <w:r w:rsidRPr="001B05C8">
              <w:rPr>
                <w:b/>
                <w:bCs/>
              </w:rPr>
              <w:t>2014</w:t>
            </w:r>
          </w:p>
        </w:tc>
        <w:tc>
          <w:tcPr>
            <w:tcW w:w="750" w:type="dxa"/>
            <w:shd w:val="clear" w:color="auto" w:fill="A6CD7F"/>
            <w:noWrap/>
            <w:vAlign w:val="center"/>
          </w:tcPr>
          <w:p w:rsidR="00AC40FC" w:rsidRPr="00D6083E" w:rsidRDefault="00AC40FC" w:rsidP="00D6083E">
            <w:pPr>
              <w:spacing w:before="120"/>
              <w:jc w:val="center"/>
              <w:rPr>
                <w:b/>
                <w:bCs/>
              </w:rPr>
            </w:pPr>
            <w:r w:rsidRPr="001B05C8">
              <w:rPr>
                <w:b/>
                <w:bCs/>
              </w:rPr>
              <w:t>2015</w:t>
            </w:r>
          </w:p>
        </w:tc>
        <w:tc>
          <w:tcPr>
            <w:tcW w:w="1005" w:type="dxa"/>
            <w:shd w:val="clear" w:color="auto" w:fill="A6CD7F"/>
            <w:noWrap/>
            <w:vAlign w:val="center"/>
          </w:tcPr>
          <w:p w:rsidR="00AC40FC" w:rsidRPr="00D6083E" w:rsidRDefault="00AC40FC" w:rsidP="00D6083E">
            <w:pPr>
              <w:spacing w:before="120"/>
              <w:jc w:val="center"/>
              <w:rPr>
                <w:b/>
                <w:bCs/>
              </w:rPr>
            </w:pPr>
            <w:r>
              <w:rPr>
                <w:b/>
                <w:bCs/>
              </w:rPr>
              <w:t>Change</w:t>
            </w:r>
          </w:p>
        </w:tc>
      </w:tr>
      <w:tr w:rsidR="00AC40FC" w:rsidRPr="00212350" w:rsidTr="00581946">
        <w:trPr>
          <w:cantSplit/>
          <w:trHeight w:val="350"/>
          <w:jc w:val="center"/>
        </w:trPr>
        <w:tc>
          <w:tcPr>
            <w:tcW w:w="1044" w:type="dxa"/>
            <w:shd w:val="clear" w:color="auto" w:fill="auto"/>
            <w:noWrap/>
            <w:vAlign w:val="center"/>
          </w:tcPr>
          <w:p w:rsidR="00AC40FC" w:rsidRPr="00382030" w:rsidRDefault="00AC40FC" w:rsidP="00581946">
            <w:pPr>
              <w:spacing w:after="0"/>
              <w:jc w:val="center"/>
            </w:pPr>
            <w:r>
              <w:t>0701</w:t>
            </w:r>
          </w:p>
        </w:tc>
        <w:tc>
          <w:tcPr>
            <w:tcW w:w="4989" w:type="dxa"/>
            <w:shd w:val="clear" w:color="auto" w:fill="auto"/>
            <w:noWrap/>
            <w:vAlign w:val="center"/>
          </w:tcPr>
          <w:p w:rsidR="00AC40FC" w:rsidRPr="00A40F57" w:rsidRDefault="00AC40FC" w:rsidP="00581946">
            <w:pPr>
              <w:spacing w:after="0"/>
              <w:jc w:val="left"/>
            </w:pPr>
            <w:r w:rsidRPr="00A40F57">
              <w:t>Regulatory Programs and Business Services</w:t>
            </w:r>
          </w:p>
        </w:tc>
        <w:tc>
          <w:tcPr>
            <w:tcW w:w="765" w:type="dxa"/>
            <w:shd w:val="clear" w:color="auto" w:fill="auto"/>
            <w:noWrap/>
            <w:vAlign w:val="center"/>
          </w:tcPr>
          <w:p w:rsidR="00AC40FC" w:rsidRPr="00212350" w:rsidRDefault="00AC40FC" w:rsidP="00581946">
            <w:pPr>
              <w:spacing w:after="0"/>
              <w:jc w:val="center"/>
              <w:rPr>
                <w:b/>
              </w:rPr>
            </w:pPr>
            <w:r w:rsidRPr="00212350">
              <w:rPr>
                <w:b/>
              </w:rPr>
              <w:t>21</w:t>
            </w:r>
          </w:p>
        </w:tc>
        <w:tc>
          <w:tcPr>
            <w:tcW w:w="750" w:type="dxa"/>
            <w:shd w:val="clear" w:color="auto" w:fill="auto"/>
            <w:noWrap/>
            <w:vAlign w:val="center"/>
          </w:tcPr>
          <w:p w:rsidR="00AC40FC" w:rsidRPr="00212350" w:rsidRDefault="00AC40FC" w:rsidP="00581946">
            <w:pPr>
              <w:spacing w:after="0"/>
              <w:jc w:val="center"/>
              <w:rPr>
                <w:b/>
              </w:rPr>
            </w:pPr>
            <w:r w:rsidRPr="00212350">
              <w:rPr>
                <w:b/>
              </w:rPr>
              <w:t>22</w:t>
            </w:r>
          </w:p>
        </w:tc>
        <w:tc>
          <w:tcPr>
            <w:tcW w:w="1005" w:type="dxa"/>
            <w:shd w:val="clear" w:color="auto" w:fill="auto"/>
            <w:noWrap/>
            <w:vAlign w:val="center"/>
          </w:tcPr>
          <w:p w:rsidR="00AC40FC" w:rsidRPr="00212350" w:rsidRDefault="00AC40FC" w:rsidP="00581946">
            <w:pPr>
              <w:spacing w:after="0"/>
              <w:jc w:val="center"/>
              <w:rPr>
                <w:b/>
              </w:rPr>
            </w:pPr>
            <w:r w:rsidRPr="00212350">
              <w:rPr>
                <w:b/>
              </w:rPr>
              <w:t>+1</w:t>
            </w:r>
          </w:p>
        </w:tc>
      </w:tr>
      <w:tr w:rsidR="00AC40FC" w:rsidRPr="00212350" w:rsidTr="00581946">
        <w:trPr>
          <w:cantSplit/>
          <w:trHeight w:val="260"/>
          <w:jc w:val="center"/>
        </w:trPr>
        <w:tc>
          <w:tcPr>
            <w:tcW w:w="8553" w:type="dxa"/>
            <w:gridSpan w:val="5"/>
            <w:shd w:val="clear" w:color="auto" w:fill="auto"/>
            <w:noWrap/>
            <w:vAlign w:val="center"/>
          </w:tcPr>
          <w:p w:rsidR="00AC40FC" w:rsidRPr="00A40F57" w:rsidRDefault="00AC40FC" w:rsidP="00581946">
            <w:pPr>
              <w:spacing w:after="0"/>
              <w:jc w:val="left"/>
            </w:pPr>
            <w:r w:rsidRPr="00A40F57">
              <w:t>Source:  DN 18-001-C</w:t>
            </w:r>
          </w:p>
        </w:tc>
      </w:tr>
    </w:tbl>
    <w:p w:rsidR="00AC40FC" w:rsidRDefault="00AC40FC" w:rsidP="00581946">
      <w:pPr>
        <w:pStyle w:val="Normal-aftertable"/>
      </w:pPr>
      <w:r>
        <w:t>Regulatory Programs staffing increased by one position.  During 2015, a new Manager was hired to replace the retiring Manager, and both were in the group during a transition period.  The staffing level will likely reduce to 21 during 2016.</w:t>
      </w:r>
      <w:r w:rsidRPr="00860317">
        <w:t xml:space="preserve"> </w:t>
      </w:r>
      <w:r>
        <w:t xml:space="preserve"> </w:t>
      </w:r>
    </w:p>
    <w:p w:rsidR="00AC40FC" w:rsidRDefault="00AC40FC" w:rsidP="00581946">
      <w:r w:rsidRPr="009A76D5">
        <w:rPr>
          <w:b/>
        </w:rPr>
        <w:t>2015 and 2016 Employee and Contractor Changes</w:t>
      </w:r>
      <w:r>
        <w:rPr>
          <w:b/>
        </w:rPr>
        <w:t xml:space="preserve">.  </w:t>
      </w:r>
      <w:r>
        <w:t xml:space="preserve">Since 2015, Regulatory Programs has eliminated two of the ten contractors that provide enrollment services for the OnTrack program.  </w:t>
      </w:r>
    </w:p>
    <w:p w:rsidR="00AC40FC" w:rsidRDefault="00AC40FC" w:rsidP="00581946">
      <w:r w:rsidRPr="009A76D5">
        <w:rPr>
          <w:b/>
        </w:rPr>
        <w:t>Future Employee and Contractor Changes</w:t>
      </w:r>
      <w:r>
        <w:rPr>
          <w:b/>
        </w:rPr>
        <w:t xml:space="preserve">.  </w:t>
      </w:r>
      <w:r>
        <w:t xml:space="preserve">The Regulatory Programs group is planning to reduce costs and improve productivity.  </w:t>
      </w:r>
      <w:r w:rsidRPr="000C13EC">
        <w:t xml:space="preserve">The </w:t>
      </w:r>
      <w:r>
        <w:t>group plans</w:t>
      </w:r>
      <w:r w:rsidRPr="000C13EC">
        <w:t xml:space="preserve"> a reduction </w:t>
      </w:r>
      <w:r>
        <w:t xml:space="preserve">by January 1, 2017 </w:t>
      </w:r>
      <w:r w:rsidRPr="000C13EC">
        <w:t xml:space="preserve">of three Universal Services Representatives (USRs) who have been performing work to support </w:t>
      </w:r>
      <w:r>
        <w:t>the Act 129</w:t>
      </w:r>
      <w:r w:rsidRPr="000C13EC">
        <w:t xml:space="preserve">-related programs, including </w:t>
      </w:r>
      <w:r>
        <w:t>WRAP</w:t>
      </w:r>
      <w:r w:rsidRPr="000C13EC">
        <w:t xml:space="preserve">.  </w:t>
      </w:r>
      <w:r>
        <w:t>The USRs' tasks will be transferred to a contractor.  The contractor is referred to as a Conservation Service Provider "authorized to perform the services and approved and registered" by the PUC.</w:t>
      </w:r>
    </w:p>
    <w:p w:rsidR="00AC40FC" w:rsidRDefault="00AC40FC" w:rsidP="00581946">
      <w:r>
        <w:t>Consideration is being given to moving toward a single professional call center contractor to replace the existing community-based organizations for the On-Track program enrollment or to develop an on-line application for the OnTrack program that would reduce the community-based organizations’ workloads.  See Chapter X, Customer Assistance Programs for more discussion on this topic.</w:t>
      </w:r>
    </w:p>
    <w:p w:rsidR="00AC40FC" w:rsidRDefault="00AC40FC" w:rsidP="00581946">
      <w:pPr>
        <w:pStyle w:val="Heading40"/>
      </w:pPr>
      <w:r>
        <w:t>Advanced Metering and Data Operations</w:t>
      </w:r>
    </w:p>
    <w:p w:rsidR="00AC40FC" w:rsidRDefault="00AC40FC" w:rsidP="00581946">
      <w:r>
        <w:t xml:space="preserve">Advanced Metering and Data Operations is responsible for the existing metering system and for managing the on-going MeterVision 20/20 project that will replace the Power Line Carrier metering system with a Radio Frequency Mesh system.  </w:t>
      </w:r>
    </w:p>
    <w:p w:rsidR="00AC40FC" w:rsidRDefault="00AC40FC" w:rsidP="00581946">
      <w:r>
        <w:t>The staffing numbers for 2014 and 2015, by SRC titles, are as follows:</w:t>
      </w:r>
    </w:p>
    <w:p w:rsidR="00AC40FC" w:rsidRPr="00B716BA" w:rsidRDefault="00AC40FC" w:rsidP="00BB7765">
      <w:pPr>
        <w:pStyle w:val="Caption"/>
        <w:pageBreakBefore/>
      </w:pPr>
      <w:bookmarkStart w:id="386" w:name="_Toc462648500"/>
      <w:bookmarkStart w:id="387" w:name="_Toc464553122"/>
      <w:r>
        <w:lastRenderedPageBreak/>
        <w:t xml:space="preserve">Exhibit </w:t>
      </w:r>
      <w:fldSimple w:instr=" STYLEREF 1 \s ">
        <w:r w:rsidR="00A24205">
          <w:rPr>
            <w:noProof/>
          </w:rPr>
          <w:t>XV</w:t>
        </w:r>
      </w:fldSimple>
      <w:r w:rsidR="00264A1B">
        <w:noBreakHyphen/>
      </w:r>
      <w:fldSimple w:instr=" SEQ Exhibit \* ARABIC \s 1 ">
        <w:r w:rsidR="00A24205">
          <w:rPr>
            <w:noProof/>
          </w:rPr>
          <w:t>14</w:t>
        </w:r>
      </w:fldSimple>
      <w:r>
        <w:br/>
        <w:t>PPL EU Advanced Metering and Data Operations Employee Staffing Changes 2014–2015</w:t>
      </w:r>
      <w:bookmarkEnd w:id="386"/>
      <w:bookmarkEnd w:id="3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4"/>
        <w:gridCol w:w="4107"/>
        <w:gridCol w:w="750"/>
        <w:gridCol w:w="750"/>
        <w:gridCol w:w="1097"/>
      </w:tblGrid>
      <w:tr w:rsidR="00AC40FC" w:rsidRPr="00D6083E" w:rsidTr="00581946">
        <w:trPr>
          <w:cantSplit/>
          <w:trHeight w:val="300"/>
          <w:tblHeader/>
          <w:jc w:val="center"/>
        </w:trPr>
        <w:tc>
          <w:tcPr>
            <w:tcW w:w="1044" w:type="dxa"/>
            <w:shd w:val="clear" w:color="auto" w:fill="A6CD7F"/>
            <w:noWrap/>
            <w:vAlign w:val="center"/>
          </w:tcPr>
          <w:p w:rsidR="00AC40FC" w:rsidRPr="00D6083E" w:rsidRDefault="00AC40FC" w:rsidP="00D6083E">
            <w:pPr>
              <w:spacing w:before="120"/>
              <w:jc w:val="center"/>
              <w:rPr>
                <w:b/>
                <w:bCs/>
              </w:rPr>
            </w:pPr>
            <w:r>
              <w:rPr>
                <w:b/>
                <w:bCs/>
              </w:rPr>
              <w:t>S</w:t>
            </w:r>
            <w:r w:rsidRPr="001B05C8">
              <w:rPr>
                <w:b/>
                <w:bCs/>
              </w:rPr>
              <w:t>RC</w:t>
            </w:r>
          </w:p>
        </w:tc>
        <w:tc>
          <w:tcPr>
            <w:tcW w:w="4107" w:type="dxa"/>
            <w:shd w:val="clear" w:color="auto" w:fill="A6CD7F"/>
            <w:noWrap/>
            <w:vAlign w:val="center"/>
          </w:tcPr>
          <w:p w:rsidR="00AC40FC" w:rsidRPr="00D6083E" w:rsidRDefault="00AC40FC" w:rsidP="00D6083E">
            <w:pPr>
              <w:spacing w:before="120"/>
              <w:jc w:val="center"/>
              <w:rPr>
                <w:b/>
                <w:bCs/>
              </w:rPr>
            </w:pPr>
            <w:r w:rsidRPr="001B05C8">
              <w:rPr>
                <w:b/>
                <w:bCs/>
              </w:rPr>
              <w:t>Title</w:t>
            </w:r>
          </w:p>
        </w:tc>
        <w:tc>
          <w:tcPr>
            <w:tcW w:w="750" w:type="dxa"/>
            <w:shd w:val="clear" w:color="auto" w:fill="A6CD7F"/>
            <w:noWrap/>
            <w:vAlign w:val="center"/>
          </w:tcPr>
          <w:p w:rsidR="00AC40FC" w:rsidRPr="00D6083E" w:rsidRDefault="00AC40FC" w:rsidP="00D6083E">
            <w:pPr>
              <w:spacing w:before="120"/>
              <w:jc w:val="center"/>
              <w:rPr>
                <w:b/>
                <w:bCs/>
              </w:rPr>
            </w:pPr>
            <w:r w:rsidRPr="001B05C8">
              <w:rPr>
                <w:b/>
                <w:bCs/>
              </w:rPr>
              <w:t>2014</w:t>
            </w:r>
          </w:p>
        </w:tc>
        <w:tc>
          <w:tcPr>
            <w:tcW w:w="750" w:type="dxa"/>
            <w:shd w:val="clear" w:color="auto" w:fill="A6CD7F"/>
            <w:noWrap/>
            <w:vAlign w:val="center"/>
          </w:tcPr>
          <w:p w:rsidR="00AC40FC" w:rsidRPr="00D6083E" w:rsidRDefault="00AC40FC" w:rsidP="00D6083E">
            <w:pPr>
              <w:spacing w:before="120"/>
              <w:jc w:val="center"/>
              <w:rPr>
                <w:b/>
                <w:bCs/>
              </w:rPr>
            </w:pPr>
            <w:r w:rsidRPr="001B05C8">
              <w:rPr>
                <w:b/>
                <w:bCs/>
              </w:rPr>
              <w:t>2015</w:t>
            </w:r>
          </w:p>
        </w:tc>
        <w:tc>
          <w:tcPr>
            <w:tcW w:w="680" w:type="dxa"/>
            <w:shd w:val="clear" w:color="auto" w:fill="A6CD7F"/>
            <w:noWrap/>
            <w:vAlign w:val="center"/>
          </w:tcPr>
          <w:p w:rsidR="00AC40FC" w:rsidRPr="00D6083E" w:rsidRDefault="00AC40FC" w:rsidP="00D6083E">
            <w:pPr>
              <w:spacing w:before="120"/>
              <w:jc w:val="center"/>
              <w:rPr>
                <w:b/>
                <w:bCs/>
              </w:rPr>
            </w:pPr>
            <w:r>
              <w:rPr>
                <w:b/>
                <w:bCs/>
              </w:rPr>
              <w:t>Change</w:t>
            </w:r>
          </w:p>
        </w:tc>
      </w:tr>
      <w:tr w:rsidR="00AC40FC" w:rsidRPr="00382030" w:rsidTr="00581946">
        <w:trPr>
          <w:cantSplit/>
          <w:trHeight w:val="300"/>
          <w:jc w:val="center"/>
        </w:trPr>
        <w:tc>
          <w:tcPr>
            <w:tcW w:w="1044" w:type="dxa"/>
            <w:shd w:val="clear" w:color="auto" w:fill="auto"/>
            <w:noWrap/>
            <w:vAlign w:val="center"/>
            <w:hideMark/>
          </w:tcPr>
          <w:p w:rsidR="00AC40FC" w:rsidRPr="00382030" w:rsidRDefault="00AC40FC" w:rsidP="00581946">
            <w:pPr>
              <w:spacing w:after="0"/>
              <w:jc w:val="center"/>
            </w:pPr>
            <w:r w:rsidRPr="00382030">
              <w:t>0709</w:t>
            </w:r>
          </w:p>
        </w:tc>
        <w:tc>
          <w:tcPr>
            <w:tcW w:w="4107" w:type="dxa"/>
            <w:shd w:val="clear" w:color="auto" w:fill="auto"/>
            <w:noWrap/>
            <w:vAlign w:val="center"/>
            <w:hideMark/>
          </w:tcPr>
          <w:p w:rsidR="00AC40FC" w:rsidRPr="00382030" w:rsidRDefault="00AC40FC" w:rsidP="00581946">
            <w:pPr>
              <w:spacing w:after="0"/>
              <w:jc w:val="center"/>
            </w:pPr>
            <w:r w:rsidRPr="00382030">
              <w:t>Advanced Metering</w:t>
            </w:r>
          </w:p>
        </w:tc>
        <w:tc>
          <w:tcPr>
            <w:tcW w:w="750" w:type="dxa"/>
            <w:shd w:val="clear" w:color="auto" w:fill="auto"/>
            <w:noWrap/>
            <w:vAlign w:val="center"/>
            <w:hideMark/>
          </w:tcPr>
          <w:p w:rsidR="00AC40FC" w:rsidRPr="00382030" w:rsidRDefault="00AC40FC" w:rsidP="00581946">
            <w:pPr>
              <w:spacing w:after="0"/>
              <w:jc w:val="center"/>
            </w:pPr>
            <w:r w:rsidRPr="00382030">
              <w:t>11</w:t>
            </w:r>
          </w:p>
        </w:tc>
        <w:tc>
          <w:tcPr>
            <w:tcW w:w="750" w:type="dxa"/>
            <w:shd w:val="clear" w:color="auto" w:fill="auto"/>
            <w:noWrap/>
            <w:vAlign w:val="center"/>
            <w:hideMark/>
          </w:tcPr>
          <w:p w:rsidR="00AC40FC" w:rsidRPr="00382030" w:rsidRDefault="00AC40FC" w:rsidP="00581946">
            <w:pPr>
              <w:spacing w:after="0"/>
              <w:jc w:val="center"/>
            </w:pPr>
            <w:r w:rsidRPr="00382030">
              <w:t>12</w:t>
            </w:r>
          </w:p>
        </w:tc>
        <w:tc>
          <w:tcPr>
            <w:tcW w:w="680" w:type="dxa"/>
            <w:shd w:val="clear" w:color="auto" w:fill="auto"/>
            <w:noWrap/>
            <w:vAlign w:val="center"/>
            <w:hideMark/>
          </w:tcPr>
          <w:p w:rsidR="00AC40FC" w:rsidRPr="00382030" w:rsidRDefault="00AC40FC" w:rsidP="00581946">
            <w:pPr>
              <w:spacing w:after="0"/>
              <w:jc w:val="center"/>
            </w:pPr>
            <w:r w:rsidRPr="00382030">
              <w:t>+1</w:t>
            </w:r>
          </w:p>
        </w:tc>
      </w:tr>
      <w:tr w:rsidR="00AC40FC" w:rsidRPr="00382030" w:rsidTr="00581946">
        <w:trPr>
          <w:cantSplit/>
          <w:trHeight w:val="300"/>
          <w:jc w:val="center"/>
        </w:trPr>
        <w:tc>
          <w:tcPr>
            <w:tcW w:w="1044" w:type="dxa"/>
            <w:shd w:val="clear" w:color="auto" w:fill="auto"/>
            <w:noWrap/>
            <w:vAlign w:val="center"/>
            <w:hideMark/>
          </w:tcPr>
          <w:p w:rsidR="00AC40FC" w:rsidRPr="00382030" w:rsidRDefault="00AC40FC" w:rsidP="00581946">
            <w:pPr>
              <w:spacing w:after="0"/>
              <w:jc w:val="center"/>
            </w:pPr>
            <w:r>
              <w:t>0727</w:t>
            </w:r>
          </w:p>
        </w:tc>
        <w:tc>
          <w:tcPr>
            <w:tcW w:w="4107" w:type="dxa"/>
            <w:shd w:val="clear" w:color="auto" w:fill="auto"/>
            <w:noWrap/>
            <w:vAlign w:val="center"/>
            <w:hideMark/>
          </w:tcPr>
          <w:p w:rsidR="00AC40FC" w:rsidRPr="00382030" w:rsidRDefault="00AC40FC" w:rsidP="00581946">
            <w:pPr>
              <w:spacing w:after="0"/>
              <w:jc w:val="center"/>
            </w:pPr>
            <w:r w:rsidRPr="00382030">
              <w:t>Smart Meter Plan</w:t>
            </w:r>
          </w:p>
        </w:tc>
        <w:tc>
          <w:tcPr>
            <w:tcW w:w="750" w:type="dxa"/>
            <w:shd w:val="clear" w:color="auto" w:fill="auto"/>
            <w:noWrap/>
            <w:vAlign w:val="center"/>
            <w:hideMark/>
          </w:tcPr>
          <w:p w:rsidR="00AC40FC" w:rsidRPr="00382030" w:rsidRDefault="00AC40FC" w:rsidP="00581946">
            <w:pPr>
              <w:spacing w:after="0"/>
              <w:jc w:val="center"/>
            </w:pPr>
            <w:r>
              <w:t>15</w:t>
            </w:r>
          </w:p>
        </w:tc>
        <w:tc>
          <w:tcPr>
            <w:tcW w:w="750" w:type="dxa"/>
            <w:shd w:val="clear" w:color="auto" w:fill="auto"/>
            <w:noWrap/>
            <w:vAlign w:val="center"/>
            <w:hideMark/>
          </w:tcPr>
          <w:p w:rsidR="00AC40FC" w:rsidRPr="00382030" w:rsidRDefault="00AC40FC" w:rsidP="00581946">
            <w:pPr>
              <w:spacing w:after="0"/>
              <w:jc w:val="center"/>
            </w:pPr>
            <w:r>
              <w:t>11</w:t>
            </w:r>
          </w:p>
        </w:tc>
        <w:tc>
          <w:tcPr>
            <w:tcW w:w="680" w:type="dxa"/>
            <w:shd w:val="clear" w:color="auto" w:fill="auto"/>
            <w:noWrap/>
            <w:vAlign w:val="center"/>
            <w:hideMark/>
          </w:tcPr>
          <w:p w:rsidR="00AC40FC" w:rsidRPr="00382030" w:rsidRDefault="00AC40FC" w:rsidP="00581946">
            <w:pPr>
              <w:spacing w:after="0"/>
              <w:jc w:val="center"/>
            </w:pPr>
            <w:r>
              <w:t>-4</w:t>
            </w:r>
          </w:p>
        </w:tc>
      </w:tr>
      <w:tr w:rsidR="00AC40FC" w:rsidRPr="00382030" w:rsidTr="00581946">
        <w:trPr>
          <w:cantSplit/>
          <w:trHeight w:val="300"/>
          <w:jc w:val="center"/>
        </w:trPr>
        <w:tc>
          <w:tcPr>
            <w:tcW w:w="1044" w:type="dxa"/>
            <w:shd w:val="clear" w:color="auto" w:fill="auto"/>
            <w:noWrap/>
            <w:vAlign w:val="center"/>
          </w:tcPr>
          <w:p w:rsidR="00AC40FC" w:rsidRDefault="00AC40FC" w:rsidP="00581946">
            <w:pPr>
              <w:spacing w:after="0"/>
              <w:jc w:val="center"/>
            </w:pPr>
            <w:r w:rsidRPr="00864BA3">
              <w:t>0733</w:t>
            </w:r>
          </w:p>
        </w:tc>
        <w:tc>
          <w:tcPr>
            <w:tcW w:w="4107" w:type="dxa"/>
            <w:shd w:val="clear" w:color="auto" w:fill="auto"/>
            <w:noWrap/>
            <w:vAlign w:val="center"/>
          </w:tcPr>
          <w:p w:rsidR="00AC40FC" w:rsidRPr="00382030" w:rsidRDefault="00AC40FC" w:rsidP="00581946">
            <w:pPr>
              <w:spacing w:after="0"/>
              <w:jc w:val="center"/>
            </w:pPr>
            <w:r w:rsidRPr="00382030">
              <w:t xml:space="preserve">Metering Support </w:t>
            </w:r>
            <w:r>
              <w:t>and</w:t>
            </w:r>
            <w:r w:rsidRPr="00382030">
              <w:t xml:space="preserve"> Large P</w:t>
            </w:r>
            <w:r>
              <w:t>o</w:t>
            </w:r>
            <w:r w:rsidRPr="00382030">
              <w:t>w</w:t>
            </w:r>
            <w:r>
              <w:t>e</w:t>
            </w:r>
            <w:r w:rsidRPr="00382030">
              <w:t>r</w:t>
            </w:r>
          </w:p>
        </w:tc>
        <w:tc>
          <w:tcPr>
            <w:tcW w:w="750" w:type="dxa"/>
            <w:shd w:val="clear" w:color="auto" w:fill="auto"/>
            <w:noWrap/>
            <w:vAlign w:val="center"/>
          </w:tcPr>
          <w:p w:rsidR="00AC40FC" w:rsidRPr="00382030" w:rsidRDefault="00AC40FC" w:rsidP="00581946">
            <w:pPr>
              <w:spacing w:after="0"/>
              <w:jc w:val="center"/>
            </w:pPr>
            <w:r>
              <w:t>17</w:t>
            </w:r>
          </w:p>
        </w:tc>
        <w:tc>
          <w:tcPr>
            <w:tcW w:w="750" w:type="dxa"/>
            <w:shd w:val="clear" w:color="auto" w:fill="auto"/>
            <w:noWrap/>
            <w:vAlign w:val="center"/>
          </w:tcPr>
          <w:p w:rsidR="00AC40FC" w:rsidRPr="00382030" w:rsidRDefault="00AC40FC" w:rsidP="00581946">
            <w:pPr>
              <w:spacing w:after="0"/>
              <w:jc w:val="center"/>
            </w:pPr>
            <w:r>
              <w:t>17</w:t>
            </w:r>
          </w:p>
        </w:tc>
        <w:tc>
          <w:tcPr>
            <w:tcW w:w="680" w:type="dxa"/>
            <w:shd w:val="clear" w:color="auto" w:fill="auto"/>
            <w:noWrap/>
            <w:vAlign w:val="center"/>
          </w:tcPr>
          <w:p w:rsidR="00AC40FC" w:rsidRPr="00382030" w:rsidRDefault="00AC40FC" w:rsidP="00581946">
            <w:pPr>
              <w:spacing w:after="0"/>
              <w:jc w:val="center"/>
            </w:pPr>
            <w:r>
              <w:t>0</w:t>
            </w:r>
          </w:p>
        </w:tc>
      </w:tr>
      <w:tr w:rsidR="00AC40FC" w:rsidRPr="00212350" w:rsidTr="00581946">
        <w:trPr>
          <w:cantSplit/>
          <w:trHeight w:val="300"/>
          <w:jc w:val="center"/>
        </w:trPr>
        <w:tc>
          <w:tcPr>
            <w:tcW w:w="1044" w:type="dxa"/>
            <w:shd w:val="clear" w:color="auto" w:fill="auto"/>
            <w:noWrap/>
            <w:vAlign w:val="center"/>
            <w:hideMark/>
          </w:tcPr>
          <w:p w:rsidR="00AC40FC" w:rsidRPr="00382030" w:rsidRDefault="00AC40FC" w:rsidP="00581946">
            <w:pPr>
              <w:spacing w:after="0"/>
              <w:jc w:val="center"/>
            </w:pPr>
          </w:p>
        </w:tc>
        <w:tc>
          <w:tcPr>
            <w:tcW w:w="4107" w:type="dxa"/>
            <w:shd w:val="clear" w:color="auto" w:fill="auto"/>
            <w:noWrap/>
            <w:vAlign w:val="center"/>
            <w:hideMark/>
          </w:tcPr>
          <w:p w:rsidR="00AC40FC" w:rsidRPr="0006404D" w:rsidRDefault="00AC40FC" w:rsidP="00581946">
            <w:pPr>
              <w:spacing w:after="0"/>
              <w:jc w:val="center"/>
              <w:rPr>
                <w:b/>
              </w:rPr>
            </w:pPr>
            <w:r>
              <w:rPr>
                <w:b/>
              </w:rPr>
              <w:t>T</w:t>
            </w:r>
            <w:r w:rsidRPr="0006404D">
              <w:rPr>
                <w:b/>
              </w:rPr>
              <w:t>otal</w:t>
            </w:r>
            <w:r>
              <w:rPr>
                <w:b/>
              </w:rPr>
              <w:t>s</w:t>
            </w:r>
          </w:p>
        </w:tc>
        <w:tc>
          <w:tcPr>
            <w:tcW w:w="750" w:type="dxa"/>
            <w:shd w:val="clear" w:color="auto" w:fill="auto"/>
            <w:noWrap/>
            <w:vAlign w:val="center"/>
            <w:hideMark/>
          </w:tcPr>
          <w:p w:rsidR="00AC40FC" w:rsidRPr="00212350" w:rsidRDefault="00AC40FC" w:rsidP="00581946">
            <w:pPr>
              <w:spacing w:after="0"/>
              <w:jc w:val="center"/>
              <w:rPr>
                <w:b/>
              </w:rPr>
            </w:pPr>
            <w:r>
              <w:rPr>
                <w:b/>
              </w:rPr>
              <w:t>43</w:t>
            </w:r>
          </w:p>
        </w:tc>
        <w:tc>
          <w:tcPr>
            <w:tcW w:w="750" w:type="dxa"/>
            <w:shd w:val="clear" w:color="auto" w:fill="auto"/>
            <w:noWrap/>
            <w:vAlign w:val="center"/>
            <w:hideMark/>
          </w:tcPr>
          <w:p w:rsidR="00AC40FC" w:rsidRPr="00212350" w:rsidRDefault="00AC40FC" w:rsidP="00581946">
            <w:pPr>
              <w:spacing w:after="0"/>
              <w:jc w:val="center"/>
              <w:rPr>
                <w:b/>
              </w:rPr>
            </w:pPr>
            <w:r>
              <w:rPr>
                <w:b/>
              </w:rPr>
              <w:t>40</w:t>
            </w:r>
          </w:p>
        </w:tc>
        <w:tc>
          <w:tcPr>
            <w:tcW w:w="680" w:type="dxa"/>
            <w:shd w:val="clear" w:color="auto" w:fill="auto"/>
            <w:noWrap/>
            <w:vAlign w:val="center"/>
            <w:hideMark/>
          </w:tcPr>
          <w:p w:rsidR="00AC40FC" w:rsidRPr="00212350" w:rsidRDefault="00AC40FC" w:rsidP="00581946">
            <w:pPr>
              <w:spacing w:after="0"/>
              <w:jc w:val="center"/>
              <w:rPr>
                <w:b/>
              </w:rPr>
            </w:pPr>
            <w:r w:rsidRPr="00212350">
              <w:rPr>
                <w:b/>
              </w:rPr>
              <w:t>-</w:t>
            </w:r>
            <w:r>
              <w:rPr>
                <w:b/>
              </w:rPr>
              <w:t>3</w:t>
            </w:r>
          </w:p>
        </w:tc>
      </w:tr>
      <w:tr w:rsidR="00AC40FC" w:rsidRPr="00212350" w:rsidTr="00581946">
        <w:trPr>
          <w:cantSplit/>
          <w:trHeight w:val="300"/>
          <w:jc w:val="center"/>
        </w:trPr>
        <w:tc>
          <w:tcPr>
            <w:tcW w:w="7331" w:type="dxa"/>
            <w:gridSpan w:val="5"/>
            <w:shd w:val="clear" w:color="auto" w:fill="auto"/>
            <w:noWrap/>
            <w:vAlign w:val="center"/>
          </w:tcPr>
          <w:p w:rsidR="00AC40FC" w:rsidRPr="00212350" w:rsidRDefault="00AC40FC" w:rsidP="00581946">
            <w:pPr>
              <w:spacing w:after="0"/>
              <w:jc w:val="left"/>
              <w:rPr>
                <w:b/>
              </w:rPr>
            </w:pPr>
            <w:r w:rsidRPr="00304ABD">
              <w:t>Source:  DN 18-001-C</w:t>
            </w:r>
          </w:p>
        </w:tc>
      </w:tr>
    </w:tbl>
    <w:p w:rsidR="00AC40FC" w:rsidRDefault="00AC40FC" w:rsidP="00581946">
      <w:pPr>
        <w:pStyle w:val="Normal-aftertable"/>
      </w:pPr>
      <w:r>
        <w:t>The table shows a small staffing decrease of less than 10% from 2014 to 2015.</w:t>
      </w:r>
    </w:p>
    <w:p w:rsidR="00AC40FC" w:rsidRDefault="00AC40FC" w:rsidP="00581946">
      <w:r w:rsidRPr="009A76D5">
        <w:rPr>
          <w:b/>
        </w:rPr>
        <w:t>Future Employee and Contractor Changes</w:t>
      </w:r>
      <w:r>
        <w:rPr>
          <w:b/>
        </w:rPr>
        <w:t>.</w:t>
      </w:r>
      <w:r w:rsidRPr="008A2A38">
        <w:t xml:space="preserve">  </w:t>
      </w:r>
      <w:r>
        <w:t>As discussed in Chapter IX, Customer Services, PPL EU is implementing the new MeterVision 20/20 project that will replace the existing Power Line Carrier metering system with a Radio Frequency Mesh system.  The MeterVision 20/20 project has a resource plan for in-house and contractor employees beginning in 2015 through 2020. The resource plan has taken into consideration the requirements of existing employees and the training needed for the conversion to the new metering system and back-office operations. The plan identifies FTE needs through 2020 on a calendar quarter basis for each of the following organizations:</w:t>
      </w:r>
    </w:p>
    <w:p w:rsidR="00AC40FC" w:rsidRDefault="00AC40FC" w:rsidP="00581946">
      <w:pPr>
        <w:pStyle w:val="Bullet"/>
      </w:pPr>
      <w:r>
        <w:t>PPL EU (Advanced Metering and Data Communications group)</w:t>
      </w:r>
    </w:p>
    <w:p w:rsidR="00AC40FC" w:rsidRDefault="00AC40FC" w:rsidP="00581946">
      <w:pPr>
        <w:pStyle w:val="Bullet"/>
      </w:pPr>
      <w:r>
        <w:t>PPL SC IT</w:t>
      </w:r>
    </w:p>
    <w:p w:rsidR="00AC40FC" w:rsidRDefault="00AC40FC" w:rsidP="00581946">
      <w:pPr>
        <w:pStyle w:val="Bullet"/>
      </w:pPr>
      <w:r>
        <w:t>PPL EU (subject matter experts)</w:t>
      </w:r>
    </w:p>
    <w:p w:rsidR="00AC40FC" w:rsidRDefault="00AC40FC" w:rsidP="00581946">
      <w:pPr>
        <w:pStyle w:val="Bullet"/>
      </w:pPr>
      <w:r>
        <w:t>Contractor A</w:t>
      </w:r>
    </w:p>
    <w:p w:rsidR="00AC40FC" w:rsidRDefault="00AC40FC" w:rsidP="00581946">
      <w:pPr>
        <w:pStyle w:val="Bullet"/>
      </w:pPr>
      <w:r>
        <w:t>Contractor B</w:t>
      </w:r>
    </w:p>
    <w:p w:rsidR="00AC40FC" w:rsidRDefault="00AC40FC" w:rsidP="00581946">
      <w:pPr>
        <w:pStyle w:val="Bullet"/>
      </w:pPr>
      <w:r>
        <w:t>Contractor C</w:t>
      </w:r>
    </w:p>
    <w:p w:rsidR="00AC40FC" w:rsidRDefault="00AC40FC" w:rsidP="00581946">
      <w:pPr>
        <w:pStyle w:val="Bullet"/>
      </w:pPr>
      <w:r>
        <w:t>Contractor D</w:t>
      </w:r>
    </w:p>
    <w:p w:rsidR="00AC40FC" w:rsidRDefault="00AC40FC" w:rsidP="00581946">
      <w:pPr>
        <w:pStyle w:val="Normal-aftertable"/>
      </w:pPr>
      <w:r>
        <w:t>The MeterVision 20/20 Project Resource Plan anticipates that the total resources will grow from 37.1 FTEs in Q1 2015 to a peak of 161.7 FTEs in Q1 2017, and fall to 16.0 FTEs in Q2 2020.  Contractor B, responsible for installing meters, accounts for the largest portion in each quarter, peaking at 97.0 FTEs, or about 62%, in Q2 2017.</w:t>
      </w:r>
    </w:p>
    <w:p w:rsidR="00AC40FC" w:rsidRDefault="00AC40FC" w:rsidP="00581946">
      <w:r>
        <w:t>In addition, PPL EU has an Organizational Change Management Plan that includes a PPL EU staff training section, designed "to ensure that employees have the skills and knowledge required to successfully adopt the organizational, process and technology changes associated with each release of the project."  The training process is comprised of a training needs assessment, a training plan, training design, and train-the-trainer sessions.</w:t>
      </w:r>
    </w:p>
    <w:p w:rsidR="00AC40FC" w:rsidRDefault="00AC40FC" w:rsidP="00581946">
      <w:r w:rsidRPr="009A76D5">
        <w:rPr>
          <w:b/>
        </w:rPr>
        <w:t>Employee and Contractor Staffing Planning Criteria and Process</w:t>
      </w:r>
      <w:r>
        <w:rPr>
          <w:b/>
        </w:rPr>
        <w:t xml:space="preserve">.  </w:t>
      </w:r>
      <w:r>
        <w:t>The MeterVision 20/20 Project Resource Plan is predicated on criteria for augmenting in-house staff with project-specific and temporary staffing, for contractor consultants from the vendors who are supplying equipment, and for other contractor services.</w:t>
      </w:r>
    </w:p>
    <w:p w:rsidR="00AC40FC" w:rsidRDefault="00AC40FC" w:rsidP="00581946">
      <w:pPr>
        <w:pStyle w:val="Heading40"/>
      </w:pPr>
      <w:r w:rsidRPr="00CD74D0">
        <w:lastRenderedPageBreak/>
        <w:t>Revenue Operations</w:t>
      </w:r>
    </w:p>
    <w:p w:rsidR="00AC40FC" w:rsidRDefault="00AC40FC" w:rsidP="00581946">
      <w:r>
        <w:t>The Revenue Operations group consists of four units:  Regional Metering Operations, Revenue Protection, Billing Operations, and Credit and Collections.  This group has the second largest number of employees within Customer Services, after the call centers.  Two of the units, Regional Metering Operations and Revenue Protection, have field metering employees and account for a majority of the employees in the Revenue Operations group.  Regional Metering Operations uses field contractors to perform seasonal field work.  Billing Operations and Credit and Collections use contractors to perform billing-related services and credit and collection services.</w:t>
      </w:r>
      <w:r w:rsidRPr="00D62EBC">
        <w:t xml:space="preserve"> </w:t>
      </w:r>
    </w:p>
    <w:p w:rsidR="00AC40FC" w:rsidRDefault="00AC40FC" w:rsidP="00581946">
      <w:r>
        <w:t>The staffing numbers for 2014 and 2015, by SRC titles, are as follows:</w:t>
      </w:r>
    </w:p>
    <w:p w:rsidR="00AC40FC" w:rsidRPr="002A5ABE" w:rsidRDefault="00AC40FC" w:rsidP="00B306CB">
      <w:pPr>
        <w:pStyle w:val="Caption"/>
      </w:pPr>
      <w:bookmarkStart w:id="388" w:name="_Toc462648501"/>
      <w:bookmarkStart w:id="389" w:name="_Toc464553123"/>
      <w:r>
        <w:t xml:space="preserve">Exhibit </w:t>
      </w:r>
      <w:fldSimple w:instr=" STYLEREF 1 \s ">
        <w:r w:rsidR="00A24205">
          <w:rPr>
            <w:noProof/>
          </w:rPr>
          <w:t>XV</w:t>
        </w:r>
      </w:fldSimple>
      <w:r w:rsidR="00264A1B">
        <w:noBreakHyphen/>
      </w:r>
      <w:fldSimple w:instr=" SEQ Exhibit \* ARABIC \s 1 ">
        <w:r w:rsidR="00A24205">
          <w:rPr>
            <w:noProof/>
          </w:rPr>
          <w:t>15</w:t>
        </w:r>
      </w:fldSimple>
      <w:r>
        <w:br/>
        <w:t>PPL EU Revenue Operations Employee Staffing Changes 2014–2015</w:t>
      </w:r>
      <w:bookmarkEnd w:id="388"/>
      <w:bookmarkEnd w:id="3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4"/>
        <w:gridCol w:w="4107"/>
        <w:gridCol w:w="750"/>
        <w:gridCol w:w="750"/>
        <w:gridCol w:w="1097"/>
      </w:tblGrid>
      <w:tr w:rsidR="00AC40FC" w:rsidRPr="00D6083E" w:rsidTr="00581946">
        <w:trPr>
          <w:cantSplit/>
          <w:trHeight w:val="300"/>
          <w:tblHeader/>
          <w:jc w:val="center"/>
        </w:trPr>
        <w:tc>
          <w:tcPr>
            <w:tcW w:w="1044" w:type="dxa"/>
            <w:shd w:val="clear" w:color="auto" w:fill="A6CD7F"/>
            <w:noWrap/>
            <w:vAlign w:val="center"/>
          </w:tcPr>
          <w:p w:rsidR="00AC40FC" w:rsidRPr="00D6083E" w:rsidRDefault="00AC40FC" w:rsidP="00D6083E">
            <w:pPr>
              <w:spacing w:before="120"/>
              <w:jc w:val="center"/>
              <w:rPr>
                <w:b/>
                <w:bCs/>
              </w:rPr>
            </w:pPr>
            <w:r>
              <w:rPr>
                <w:b/>
                <w:bCs/>
              </w:rPr>
              <w:t>S</w:t>
            </w:r>
            <w:r w:rsidRPr="001B05C8">
              <w:rPr>
                <w:b/>
                <w:bCs/>
              </w:rPr>
              <w:t>RC</w:t>
            </w:r>
          </w:p>
        </w:tc>
        <w:tc>
          <w:tcPr>
            <w:tcW w:w="4107" w:type="dxa"/>
            <w:shd w:val="clear" w:color="auto" w:fill="A6CD7F"/>
            <w:noWrap/>
            <w:vAlign w:val="center"/>
          </w:tcPr>
          <w:p w:rsidR="00AC40FC" w:rsidRPr="00D6083E" w:rsidRDefault="00AC40FC" w:rsidP="00D6083E">
            <w:pPr>
              <w:spacing w:before="120"/>
              <w:jc w:val="center"/>
              <w:rPr>
                <w:b/>
                <w:bCs/>
              </w:rPr>
            </w:pPr>
            <w:r w:rsidRPr="001B05C8">
              <w:rPr>
                <w:b/>
                <w:bCs/>
              </w:rPr>
              <w:t>Title</w:t>
            </w:r>
          </w:p>
        </w:tc>
        <w:tc>
          <w:tcPr>
            <w:tcW w:w="750" w:type="dxa"/>
            <w:shd w:val="clear" w:color="auto" w:fill="A6CD7F"/>
            <w:noWrap/>
            <w:vAlign w:val="center"/>
          </w:tcPr>
          <w:p w:rsidR="00AC40FC" w:rsidRPr="00D6083E" w:rsidRDefault="00AC40FC" w:rsidP="00D6083E">
            <w:pPr>
              <w:spacing w:before="120"/>
              <w:jc w:val="center"/>
              <w:rPr>
                <w:b/>
                <w:bCs/>
              </w:rPr>
            </w:pPr>
            <w:r w:rsidRPr="001B05C8">
              <w:rPr>
                <w:b/>
                <w:bCs/>
              </w:rPr>
              <w:t>2014</w:t>
            </w:r>
          </w:p>
        </w:tc>
        <w:tc>
          <w:tcPr>
            <w:tcW w:w="750" w:type="dxa"/>
            <w:shd w:val="clear" w:color="auto" w:fill="A6CD7F"/>
            <w:noWrap/>
            <w:vAlign w:val="center"/>
          </w:tcPr>
          <w:p w:rsidR="00AC40FC" w:rsidRPr="00D6083E" w:rsidRDefault="00AC40FC" w:rsidP="00D6083E">
            <w:pPr>
              <w:spacing w:before="120"/>
              <w:jc w:val="center"/>
              <w:rPr>
                <w:b/>
                <w:bCs/>
              </w:rPr>
            </w:pPr>
            <w:r w:rsidRPr="001B05C8">
              <w:rPr>
                <w:b/>
                <w:bCs/>
              </w:rPr>
              <w:t>2015</w:t>
            </w:r>
          </w:p>
        </w:tc>
        <w:tc>
          <w:tcPr>
            <w:tcW w:w="970" w:type="dxa"/>
            <w:shd w:val="clear" w:color="auto" w:fill="A6CD7F"/>
            <w:noWrap/>
            <w:vAlign w:val="center"/>
          </w:tcPr>
          <w:p w:rsidR="00AC40FC" w:rsidRPr="00D6083E" w:rsidRDefault="00AC40FC" w:rsidP="00D6083E">
            <w:pPr>
              <w:spacing w:before="120"/>
              <w:jc w:val="center"/>
              <w:rPr>
                <w:b/>
                <w:bCs/>
              </w:rPr>
            </w:pPr>
            <w:r>
              <w:rPr>
                <w:b/>
                <w:bCs/>
              </w:rPr>
              <w:t>Change</w:t>
            </w:r>
          </w:p>
        </w:tc>
      </w:tr>
      <w:tr w:rsidR="00AC40FC" w:rsidRPr="00382030" w:rsidTr="00581946">
        <w:trPr>
          <w:cantSplit/>
          <w:trHeight w:val="300"/>
          <w:jc w:val="center"/>
        </w:trPr>
        <w:tc>
          <w:tcPr>
            <w:tcW w:w="1044" w:type="dxa"/>
            <w:shd w:val="clear" w:color="auto" w:fill="auto"/>
            <w:noWrap/>
            <w:vAlign w:val="center"/>
            <w:hideMark/>
          </w:tcPr>
          <w:p w:rsidR="00AC40FC" w:rsidRPr="00382030" w:rsidRDefault="00AC40FC" w:rsidP="00581946">
            <w:pPr>
              <w:spacing w:after="0"/>
              <w:jc w:val="center"/>
            </w:pPr>
            <w:r w:rsidRPr="00382030">
              <w:t>0725</w:t>
            </w:r>
          </w:p>
        </w:tc>
        <w:tc>
          <w:tcPr>
            <w:tcW w:w="4107" w:type="dxa"/>
            <w:shd w:val="clear" w:color="auto" w:fill="auto"/>
            <w:noWrap/>
            <w:vAlign w:val="center"/>
            <w:hideMark/>
          </w:tcPr>
          <w:p w:rsidR="00AC40FC" w:rsidRPr="00382030" w:rsidRDefault="00AC40FC" w:rsidP="00581946">
            <w:pPr>
              <w:spacing w:after="0"/>
              <w:jc w:val="center"/>
            </w:pPr>
            <w:r w:rsidRPr="00382030">
              <w:t>Revenue Protection</w:t>
            </w:r>
          </w:p>
        </w:tc>
        <w:tc>
          <w:tcPr>
            <w:tcW w:w="750" w:type="dxa"/>
            <w:shd w:val="clear" w:color="auto" w:fill="auto"/>
            <w:noWrap/>
            <w:vAlign w:val="center"/>
            <w:hideMark/>
          </w:tcPr>
          <w:p w:rsidR="00AC40FC" w:rsidRPr="00382030" w:rsidRDefault="00AC40FC" w:rsidP="00581946">
            <w:pPr>
              <w:spacing w:after="0"/>
              <w:jc w:val="center"/>
            </w:pPr>
            <w:r w:rsidRPr="00382030">
              <w:t>21</w:t>
            </w:r>
          </w:p>
        </w:tc>
        <w:tc>
          <w:tcPr>
            <w:tcW w:w="750" w:type="dxa"/>
            <w:shd w:val="clear" w:color="auto" w:fill="auto"/>
            <w:noWrap/>
            <w:vAlign w:val="center"/>
            <w:hideMark/>
          </w:tcPr>
          <w:p w:rsidR="00AC40FC" w:rsidRPr="00382030" w:rsidRDefault="00AC40FC" w:rsidP="00581946">
            <w:pPr>
              <w:spacing w:after="0"/>
              <w:jc w:val="center"/>
            </w:pPr>
            <w:r w:rsidRPr="00382030">
              <w:t>30</w:t>
            </w:r>
          </w:p>
        </w:tc>
        <w:tc>
          <w:tcPr>
            <w:tcW w:w="970" w:type="dxa"/>
            <w:shd w:val="clear" w:color="auto" w:fill="auto"/>
            <w:noWrap/>
            <w:vAlign w:val="center"/>
            <w:hideMark/>
          </w:tcPr>
          <w:p w:rsidR="00AC40FC" w:rsidRPr="00382030" w:rsidRDefault="00AC40FC" w:rsidP="00581946">
            <w:pPr>
              <w:spacing w:after="0"/>
              <w:jc w:val="center"/>
            </w:pPr>
            <w:r w:rsidRPr="00382030">
              <w:t>+9</w:t>
            </w:r>
          </w:p>
        </w:tc>
      </w:tr>
      <w:tr w:rsidR="00AC40FC" w:rsidRPr="00382030" w:rsidTr="00581946">
        <w:trPr>
          <w:cantSplit/>
          <w:trHeight w:val="300"/>
          <w:jc w:val="center"/>
        </w:trPr>
        <w:tc>
          <w:tcPr>
            <w:tcW w:w="1044" w:type="dxa"/>
            <w:shd w:val="clear" w:color="auto" w:fill="auto"/>
            <w:noWrap/>
            <w:vAlign w:val="center"/>
            <w:hideMark/>
          </w:tcPr>
          <w:p w:rsidR="00AC40FC" w:rsidRPr="00382030" w:rsidRDefault="00AC40FC" w:rsidP="00581946">
            <w:pPr>
              <w:spacing w:after="0"/>
              <w:jc w:val="center"/>
            </w:pPr>
            <w:r w:rsidRPr="00382030">
              <w:t>0736</w:t>
            </w:r>
          </w:p>
        </w:tc>
        <w:tc>
          <w:tcPr>
            <w:tcW w:w="4107" w:type="dxa"/>
            <w:shd w:val="clear" w:color="auto" w:fill="auto"/>
            <w:noWrap/>
            <w:vAlign w:val="center"/>
            <w:hideMark/>
          </w:tcPr>
          <w:p w:rsidR="00AC40FC" w:rsidRPr="00382030" w:rsidRDefault="00AC40FC" w:rsidP="00581946">
            <w:pPr>
              <w:spacing w:after="0"/>
              <w:jc w:val="center"/>
            </w:pPr>
            <w:r w:rsidRPr="00382030">
              <w:t>Revenue Operations</w:t>
            </w:r>
          </w:p>
        </w:tc>
        <w:tc>
          <w:tcPr>
            <w:tcW w:w="750" w:type="dxa"/>
            <w:shd w:val="clear" w:color="auto" w:fill="auto"/>
            <w:noWrap/>
            <w:vAlign w:val="center"/>
            <w:hideMark/>
          </w:tcPr>
          <w:p w:rsidR="00AC40FC" w:rsidRPr="00382030" w:rsidRDefault="00AC40FC" w:rsidP="00581946">
            <w:pPr>
              <w:spacing w:after="0"/>
              <w:jc w:val="center"/>
            </w:pPr>
            <w:r w:rsidRPr="00382030">
              <w:t>10</w:t>
            </w:r>
          </w:p>
        </w:tc>
        <w:tc>
          <w:tcPr>
            <w:tcW w:w="750" w:type="dxa"/>
            <w:shd w:val="clear" w:color="auto" w:fill="auto"/>
            <w:noWrap/>
            <w:vAlign w:val="center"/>
            <w:hideMark/>
          </w:tcPr>
          <w:p w:rsidR="00AC40FC" w:rsidRPr="00382030" w:rsidRDefault="00AC40FC" w:rsidP="00581946">
            <w:pPr>
              <w:spacing w:after="0"/>
              <w:jc w:val="center"/>
            </w:pPr>
            <w:r w:rsidRPr="00382030">
              <w:t>9</w:t>
            </w:r>
          </w:p>
        </w:tc>
        <w:tc>
          <w:tcPr>
            <w:tcW w:w="970" w:type="dxa"/>
            <w:shd w:val="clear" w:color="auto" w:fill="auto"/>
            <w:noWrap/>
            <w:vAlign w:val="center"/>
            <w:hideMark/>
          </w:tcPr>
          <w:p w:rsidR="00AC40FC" w:rsidRPr="00382030" w:rsidRDefault="00AC40FC" w:rsidP="00581946">
            <w:pPr>
              <w:spacing w:after="0"/>
              <w:jc w:val="center"/>
            </w:pPr>
            <w:r w:rsidRPr="00382030">
              <w:t>-1</w:t>
            </w:r>
          </w:p>
        </w:tc>
      </w:tr>
      <w:tr w:rsidR="00AC40FC" w:rsidRPr="00382030" w:rsidTr="00581946">
        <w:trPr>
          <w:cantSplit/>
          <w:trHeight w:val="300"/>
          <w:jc w:val="center"/>
        </w:trPr>
        <w:tc>
          <w:tcPr>
            <w:tcW w:w="1044" w:type="dxa"/>
            <w:shd w:val="clear" w:color="auto" w:fill="auto"/>
            <w:noWrap/>
            <w:vAlign w:val="center"/>
            <w:hideMark/>
          </w:tcPr>
          <w:p w:rsidR="00AC40FC" w:rsidRPr="00382030" w:rsidRDefault="00AC40FC" w:rsidP="00581946">
            <w:pPr>
              <w:spacing w:after="0"/>
              <w:jc w:val="center"/>
            </w:pPr>
            <w:r>
              <w:t>073</w:t>
            </w:r>
            <w:r w:rsidRPr="00382030">
              <w:t>3</w:t>
            </w:r>
          </w:p>
        </w:tc>
        <w:tc>
          <w:tcPr>
            <w:tcW w:w="4107" w:type="dxa"/>
            <w:shd w:val="clear" w:color="auto" w:fill="auto"/>
            <w:noWrap/>
            <w:vAlign w:val="center"/>
            <w:hideMark/>
          </w:tcPr>
          <w:p w:rsidR="00AC40FC" w:rsidRPr="00382030" w:rsidRDefault="00AC40FC" w:rsidP="00581946">
            <w:pPr>
              <w:spacing w:after="0"/>
              <w:jc w:val="center"/>
            </w:pPr>
            <w:r w:rsidRPr="00382030">
              <w:t>Regional Metering Operations</w:t>
            </w:r>
          </w:p>
        </w:tc>
        <w:tc>
          <w:tcPr>
            <w:tcW w:w="750" w:type="dxa"/>
            <w:shd w:val="clear" w:color="auto" w:fill="auto"/>
            <w:noWrap/>
            <w:vAlign w:val="center"/>
            <w:hideMark/>
          </w:tcPr>
          <w:p w:rsidR="00AC40FC" w:rsidRPr="00382030" w:rsidRDefault="00AC40FC" w:rsidP="00581946">
            <w:pPr>
              <w:spacing w:after="0"/>
              <w:jc w:val="center"/>
            </w:pPr>
            <w:r w:rsidRPr="00382030">
              <w:t>106</w:t>
            </w:r>
          </w:p>
        </w:tc>
        <w:tc>
          <w:tcPr>
            <w:tcW w:w="750" w:type="dxa"/>
            <w:shd w:val="clear" w:color="auto" w:fill="auto"/>
            <w:noWrap/>
            <w:vAlign w:val="center"/>
            <w:hideMark/>
          </w:tcPr>
          <w:p w:rsidR="00AC40FC" w:rsidRPr="00382030" w:rsidRDefault="00AC40FC" w:rsidP="00581946">
            <w:pPr>
              <w:spacing w:after="0"/>
              <w:jc w:val="center"/>
            </w:pPr>
            <w:r w:rsidRPr="00382030">
              <w:t>83</w:t>
            </w:r>
          </w:p>
        </w:tc>
        <w:tc>
          <w:tcPr>
            <w:tcW w:w="970" w:type="dxa"/>
            <w:shd w:val="clear" w:color="auto" w:fill="auto"/>
            <w:noWrap/>
            <w:vAlign w:val="center"/>
            <w:hideMark/>
          </w:tcPr>
          <w:p w:rsidR="00AC40FC" w:rsidRPr="00382030" w:rsidRDefault="00AC40FC" w:rsidP="00581946">
            <w:pPr>
              <w:spacing w:after="0"/>
              <w:jc w:val="center"/>
            </w:pPr>
            <w:r w:rsidRPr="00382030">
              <w:t>-23</w:t>
            </w:r>
          </w:p>
        </w:tc>
      </w:tr>
      <w:tr w:rsidR="00AC40FC" w:rsidRPr="00212350" w:rsidTr="00581946">
        <w:trPr>
          <w:cantSplit/>
          <w:trHeight w:val="300"/>
          <w:jc w:val="center"/>
        </w:trPr>
        <w:tc>
          <w:tcPr>
            <w:tcW w:w="1044" w:type="dxa"/>
            <w:shd w:val="clear" w:color="auto" w:fill="auto"/>
            <w:noWrap/>
            <w:vAlign w:val="center"/>
          </w:tcPr>
          <w:p w:rsidR="00AC40FC" w:rsidRPr="00382030" w:rsidRDefault="00AC40FC" w:rsidP="00581946">
            <w:pPr>
              <w:spacing w:after="0"/>
              <w:jc w:val="center"/>
            </w:pPr>
          </w:p>
        </w:tc>
        <w:tc>
          <w:tcPr>
            <w:tcW w:w="4107" w:type="dxa"/>
            <w:shd w:val="clear" w:color="auto" w:fill="auto"/>
            <w:noWrap/>
            <w:vAlign w:val="center"/>
          </w:tcPr>
          <w:p w:rsidR="00AC40FC" w:rsidRPr="0006404D" w:rsidRDefault="00AC40FC" w:rsidP="00581946">
            <w:pPr>
              <w:spacing w:after="0"/>
              <w:jc w:val="center"/>
              <w:rPr>
                <w:b/>
              </w:rPr>
            </w:pPr>
            <w:r>
              <w:rPr>
                <w:b/>
              </w:rPr>
              <w:t>T</w:t>
            </w:r>
            <w:r w:rsidRPr="0006404D">
              <w:rPr>
                <w:b/>
              </w:rPr>
              <w:t>otal</w:t>
            </w:r>
            <w:r>
              <w:rPr>
                <w:b/>
              </w:rPr>
              <w:t>s</w:t>
            </w:r>
          </w:p>
        </w:tc>
        <w:tc>
          <w:tcPr>
            <w:tcW w:w="750" w:type="dxa"/>
            <w:shd w:val="clear" w:color="auto" w:fill="auto"/>
            <w:noWrap/>
            <w:vAlign w:val="center"/>
          </w:tcPr>
          <w:p w:rsidR="00AC40FC" w:rsidRPr="00212350" w:rsidRDefault="00AC40FC" w:rsidP="00581946">
            <w:pPr>
              <w:spacing w:after="0"/>
              <w:jc w:val="center"/>
              <w:rPr>
                <w:b/>
              </w:rPr>
            </w:pPr>
            <w:r w:rsidRPr="00212350">
              <w:rPr>
                <w:b/>
              </w:rPr>
              <w:t>137</w:t>
            </w:r>
          </w:p>
        </w:tc>
        <w:tc>
          <w:tcPr>
            <w:tcW w:w="750" w:type="dxa"/>
            <w:shd w:val="clear" w:color="auto" w:fill="auto"/>
            <w:noWrap/>
            <w:vAlign w:val="center"/>
          </w:tcPr>
          <w:p w:rsidR="00AC40FC" w:rsidRPr="00212350" w:rsidRDefault="00AC40FC" w:rsidP="00581946">
            <w:pPr>
              <w:spacing w:after="0"/>
              <w:jc w:val="center"/>
              <w:rPr>
                <w:b/>
              </w:rPr>
            </w:pPr>
            <w:r w:rsidRPr="00212350">
              <w:rPr>
                <w:b/>
              </w:rPr>
              <w:t>122</w:t>
            </w:r>
          </w:p>
        </w:tc>
        <w:tc>
          <w:tcPr>
            <w:tcW w:w="970" w:type="dxa"/>
            <w:shd w:val="clear" w:color="auto" w:fill="auto"/>
            <w:noWrap/>
            <w:vAlign w:val="center"/>
          </w:tcPr>
          <w:p w:rsidR="00AC40FC" w:rsidRPr="00212350" w:rsidRDefault="00AC40FC" w:rsidP="00581946">
            <w:pPr>
              <w:spacing w:after="0"/>
              <w:jc w:val="center"/>
              <w:rPr>
                <w:b/>
              </w:rPr>
            </w:pPr>
            <w:r w:rsidRPr="00212350">
              <w:rPr>
                <w:b/>
              </w:rPr>
              <w:t>-15</w:t>
            </w:r>
          </w:p>
        </w:tc>
      </w:tr>
      <w:tr w:rsidR="00AC40FC" w:rsidRPr="00212350" w:rsidTr="00581946">
        <w:trPr>
          <w:cantSplit/>
          <w:trHeight w:val="300"/>
          <w:jc w:val="center"/>
        </w:trPr>
        <w:tc>
          <w:tcPr>
            <w:tcW w:w="7621" w:type="dxa"/>
            <w:gridSpan w:val="5"/>
            <w:shd w:val="clear" w:color="auto" w:fill="auto"/>
            <w:noWrap/>
            <w:vAlign w:val="center"/>
          </w:tcPr>
          <w:p w:rsidR="00AC40FC" w:rsidRPr="00212350" w:rsidRDefault="00AC40FC" w:rsidP="00581946">
            <w:pPr>
              <w:spacing w:after="0"/>
              <w:jc w:val="left"/>
              <w:rPr>
                <w:b/>
              </w:rPr>
            </w:pPr>
            <w:r w:rsidRPr="00304ABD">
              <w:t>Source:  DN 18-001-C</w:t>
            </w:r>
          </w:p>
        </w:tc>
      </w:tr>
    </w:tbl>
    <w:p w:rsidR="00AC40FC" w:rsidRDefault="00AC40FC" w:rsidP="00581946">
      <w:pPr>
        <w:pStyle w:val="Normal-aftertable"/>
      </w:pPr>
      <w:r>
        <w:t>Revenue Operations experienced a reduction of 15 staff, about 11% from 2014 to 2015.</w:t>
      </w:r>
      <w:r>
        <w:tab/>
        <w:t xml:space="preserve">  </w:t>
      </w:r>
    </w:p>
    <w:p w:rsidR="00AC40FC" w:rsidRPr="009F2A68" w:rsidRDefault="00AC40FC" w:rsidP="00581946">
      <w:pPr>
        <w:rPr>
          <w:rFonts w:cs="Arial"/>
        </w:rPr>
      </w:pPr>
      <w:r w:rsidRPr="009A76D5">
        <w:rPr>
          <w:b/>
        </w:rPr>
        <w:t>Future Employee and Contractor Changes</w:t>
      </w:r>
      <w:r>
        <w:rPr>
          <w:b/>
        </w:rPr>
        <w:t xml:space="preserve">.  </w:t>
      </w:r>
    </w:p>
    <w:p w:rsidR="00AC40FC" w:rsidRDefault="00AC40FC" w:rsidP="00581946">
      <w:r>
        <w:t xml:space="preserve">As discussed in Chapter XVI, Merger Synergies, Revenue Operations and the PPL Corporation Kentucky utilities are in the process of selecting contractors for joint primary and secondary credit and collection services.  </w:t>
      </w:r>
      <w:r w:rsidRPr="000A1320">
        <w:t xml:space="preserve">There </w:t>
      </w:r>
      <w:r>
        <w:t xml:space="preserve">were also </w:t>
      </w:r>
      <w:r w:rsidRPr="000A1320">
        <w:t xml:space="preserve">discussions </w:t>
      </w:r>
      <w:r>
        <w:t xml:space="preserve">between Metering </w:t>
      </w:r>
      <w:r w:rsidRPr="000A1320">
        <w:t xml:space="preserve">Operations </w:t>
      </w:r>
      <w:r>
        <w:t xml:space="preserve">and Revenue Protection </w:t>
      </w:r>
      <w:r w:rsidRPr="000A1320">
        <w:t>with respect to possible commonality of meter-related functions</w:t>
      </w:r>
      <w:r>
        <w:t xml:space="preserve"> that may lead to reduced FTE requirements within PPL EU</w:t>
      </w:r>
      <w:r w:rsidRPr="000A1320">
        <w:t>.</w:t>
      </w:r>
      <w:r>
        <w:t xml:space="preserve">  </w:t>
      </w:r>
    </w:p>
    <w:p w:rsidR="00AC40FC" w:rsidRDefault="00AC40FC" w:rsidP="00581946">
      <w:r>
        <w:t xml:space="preserve">PPL EU </w:t>
      </w:r>
      <w:r w:rsidRPr="000A1320">
        <w:t xml:space="preserve">submitted </w:t>
      </w:r>
      <w:r>
        <w:t xml:space="preserve">a request to the PUC </w:t>
      </w:r>
      <w:r w:rsidRPr="000A1320">
        <w:t>in January 2016 for implementation of remote meter turn-on</w:t>
      </w:r>
      <w:r>
        <w:t>s</w:t>
      </w:r>
      <w:r w:rsidRPr="000A1320">
        <w:t xml:space="preserve"> and turn-offs</w:t>
      </w:r>
      <w:r>
        <w:t xml:space="preserve"> relating to late or non-payments, a feature of the MeterVision 20/20 system.  If the PUC approves the</w:t>
      </w:r>
      <w:r w:rsidRPr="000A1320">
        <w:t xml:space="preserve"> request</w:t>
      </w:r>
      <w:r>
        <w:t>,</w:t>
      </w:r>
      <w:r w:rsidRPr="000A1320">
        <w:t xml:space="preserve"> </w:t>
      </w:r>
      <w:r>
        <w:t xml:space="preserve">which is </w:t>
      </w:r>
      <w:r w:rsidRPr="000A1320">
        <w:t>expected in</w:t>
      </w:r>
      <w:r>
        <w:t xml:space="preserve"> the third</w:t>
      </w:r>
      <w:r w:rsidRPr="000A1320">
        <w:t xml:space="preserve"> quarter</w:t>
      </w:r>
      <w:r>
        <w:t xml:space="preserve"> of</w:t>
      </w:r>
      <w:r w:rsidRPr="000A1320">
        <w:t xml:space="preserve"> 2016, </w:t>
      </w:r>
      <w:r>
        <w:t xml:space="preserve">the volume of Metering Operations' manual field turn-on and turn-off work will be reduced.  </w:t>
      </w:r>
    </w:p>
    <w:p w:rsidR="00AC40FC" w:rsidRDefault="00AC40FC" w:rsidP="00581946">
      <w:pPr>
        <w:rPr>
          <w:rFonts w:cs="Arial"/>
          <w:szCs w:val="24"/>
        </w:rPr>
      </w:pPr>
      <w:r>
        <w:t xml:space="preserve">There were also discussions between the Advanced </w:t>
      </w:r>
      <w:r w:rsidRPr="000A1320">
        <w:t xml:space="preserve">Metering and Data Operations </w:t>
      </w:r>
      <w:r>
        <w:t>and the Revenue Operations groups related to reduction in Regional Metering Operations staffing requirements.  Work volumes of normal day-to-day meter installations and turn-on and turn-offs will reduce as the MeterVision 20/20 system is deployed and as the new automated features become available.</w:t>
      </w:r>
      <w:r>
        <w:rPr>
          <w:rFonts w:cs="Arial"/>
          <w:szCs w:val="24"/>
        </w:rPr>
        <w:t xml:space="preserve"> </w:t>
      </w:r>
    </w:p>
    <w:p w:rsidR="00AC40FC" w:rsidRDefault="00AC40FC" w:rsidP="00BB7765">
      <w:pPr>
        <w:pStyle w:val="Heading-forToC"/>
        <w:pageBreakBefore/>
      </w:pPr>
      <w:bookmarkStart w:id="390" w:name="_Toc462647910"/>
      <w:bookmarkStart w:id="391" w:name="_Toc464552149"/>
      <w:r>
        <w:lastRenderedPageBreak/>
        <w:t>findings</w:t>
      </w:r>
      <w:bookmarkEnd w:id="390"/>
      <w:bookmarkEnd w:id="391"/>
    </w:p>
    <w:p w:rsidR="00AC40FC" w:rsidRPr="00ED11DE" w:rsidRDefault="00AC40FC" w:rsidP="004F00E5">
      <w:pPr>
        <w:pStyle w:val="Findings"/>
        <w:numPr>
          <w:ilvl w:val="0"/>
          <w:numId w:val="139"/>
        </w:numPr>
      </w:pPr>
      <w:r w:rsidRPr="00ED11DE">
        <w:t>Customer Services has developed a well-structured and appropriate one-year call center staffing and contractor forecasting model for the CSRs and is planning to extend the model to a multi-year time horizon.</w:t>
      </w:r>
    </w:p>
    <w:p w:rsidR="00AC40FC" w:rsidRDefault="00AC40FC" w:rsidP="00581946">
      <w:r>
        <w:t>Customer Services Operations (CS Ops) developed a monthly staffing forecast model for its PPL EU and contractor call centers for 2016.  The model incorporated historic call volume seasonality to predict future call volume variations.  This was achieved by reviewing call volume by month over the last five years to determine a monthly seasonality factor.  The factor determined the monthly call volume forecast.  Call center metrics like Average Handle Time, Occupancy, Shrinkage, and Hours in a Month were applied against an in-house-developed staffing model to determine the number of required FTEs to support call center work volumes.</w:t>
      </w:r>
    </w:p>
    <w:p w:rsidR="00AC40FC" w:rsidRPr="00ED11DE" w:rsidRDefault="00AC40FC" w:rsidP="00B306CB">
      <w:pPr>
        <w:pStyle w:val="Findings"/>
        <w:keepNext/>
      </w:pPr>
      <w:r w:rsidRPr="002708E8">
        <w:t>Customer</w:t>
      </w:r>
      <w:r w:rsidRPr="00ED11DE">
        <w:t xml:space="preserve"> Services has not performed formal </w:t>
      </w:r>
      <w:r>
        <w:t xml:space="preserve">multi-year </w:t>
      </w:r>
      <w:r w:rsidRPr="00ED11DE">
        <w:t>staffing studies over the</w:t>
      </w:r>
      <w:r>
        <w:t xml:space="preserve"> last ten years</w:t>
      </w:r>
      <w:r w:rsidRPr="00ED11DE">
        <w:t>.</w:t>
      </w:r>
    </w:p>
    <w:p w:rsidR="00AC40FC" w:rsidRDefault="00AC40FC" w:rsidP="00581946">
      <w:r>
        <w:t xml:space="preserve">The Customer Services Operations group developed a one-year forecasted monthly staffing requirements model for the two PPL EU call centers, the PPLSolutions call center, and the non-affiliated contractor call center.  The Model forecasts the CSR FTEs for each of the call centers.  However, it does not perform integrated work-driver and performance-based staffing studies that identify optimal employee and contractor requirements over a multi-year time horizon.  </w:t>
      </w:r>
    </w:p>
    <w:p w:rsidR="00AC40FC" w:rsidRDefault="00AC40FC" w:rsidP="00581946">
      <w:r>
        <w:t>Both the Regional Metering Operations and Revenue Protection units have metering-related functions and significant numbers of field employees that would justify a formal integrated staffing study and multi-year staffing contractor requirements forecast.  Although t</w:t>
      </w:r>
      <w:r w:rsidRPr="000A1320">
        <w:t xml:space="preserve">here are no specific plans for </w:t>
      </w:r>
      <w:r>
        <w:t>staffing changes in Regional Metering O</w:t>
      </w:r>
      <w:r w:rsidRPr="000A1320">
        <w:t xml:space="preserve">perations, there is an expectation for fewer </w:t>
      </w:r>
      <w:r>
        <w:t xml:space="preserve">required </w:t>
      </w:r>
      <w:r w:rsidRPr="000A1320">
        <w:t xml:space="preserve">FTEs </w:t>
      </w:r>
      <w:r>
        <w:t xml:space="preserve">and that reductions will be achieved </w:t>
      </w:r>
      <w:r w:rsidRPr="000A1320">
        <w:t>through attrition.</w:t>
      </w:r>
    </w:p>
    <w:p w:rsidR="00AC40FC" w:rsidRDefault="00AC40FC" w:rsidP="00581946">
      <w:r>
        <w:t>The Regulatory Programs, Advanced Metering and Data Operations, and Revenue Operations groups have not performed any internal or external benchmarking or other studies related to staffing over the last ten years and do</w:t>
      </w:r>
      <w:r w:rsidRPr="00652B77">
        <w:t xml:space="preserve"> not have a formal </w:t>
      </w:r>
      <w:r>
        <w:t xml:space="preserve">multi-year </w:t>
      </w:r>
      <w:r w:rsidRPr="00652B77">
        <w:t>planning process for</w:t>
      </w:r>
      <w:r>
        <w:t xml:space="preserve"> </w:t>
      </w:r>
      <w:r w:rsidRPr="00652B77">
        <w:t xml:space="preserve">staffing </w:t>
      </w:r>
      <w:r>
        <w:t xml:space="preserve">and contractor </w:t>
      </w:r>
      <w:r w:rsidRPr="00652B77">
        <w:t>forecasts.</w:t>
      </w:r>
    </w:p>
    <w:p w:rsidR="00AC40FC" w:rsidRPr="007B6E67" w:rsidRDefault="00AC40FC" w:rsidP="002708E8">
      <w:pPr>
        <w:pStyle w:val="Findings"/>
      </w:pPr>
      <w:r>
        <w:t>T</w:t>
      </w:r>
      <w:r w:rsidRPr="007B6E67">
        <w:t xml:space="preserve">he </w:t>
      </w:r>
      <w:r>
        <w:t xml:space="preserve">staffing positions associated with the </w:t>
      </w:r>
      <w:r w:rsidRPr="007B6E67">
        <w:t xml:space="preserve">PPL </w:t>
      </w:r>
      <w:r>
        <w:t xml:space="preserve">EU Business Plan Job Codes and the SRC codes are not </w:t>
      </w:r>
      <w:r w:rsidRPr="007B6E67">
        <w:t>readily correlated with the five Customer Services' organizational group</w:t>
      </w:r>
      <w:r>
        <w:t>s</w:t>
      </w:r>
      <w:r w:rsidRPr="007B6E67">
        <w:t>.</w:t>
      </w:r>
    </w:p>
    <w:p w:rsidR="00AC40FC" w:rsidRPr="000A1320" w:rsidRDefault="00AC40FC" w:rsidP="00581946">
      <w:r>
        <w:t>The Job Codes and SRC codes were created for Human Resources and budgeting purposes and, although they may serve those purposes, they do not facilitate staff planning and forecasting.</w:t>
      </w:r>
      <w:r>
        <w:rPr>
          <w:rFonts w:cs="Arial"/>
        </w:rPr>
        <w:t xml:space="preserve">  These codes are not linked to the current reconfigured Customer Services organization and the five reporting groups.</w:t>
      </w:r>
    </w:p>
    <w:p w:rsidR="00AC40FC" w:rsidRDefault="00AC40FC" w:rsidP="002708E8">
      <w:pPr>
        <w:pStyle w:val="Findings"/>
      </w:pPr>
      <w:r>
        <w:t xml:space="preserve">The </w:t>
      </w:r>
      <w:r w:rsidRPr="002708E8">
        <w:t>Advanced</w:t>
      </w:r>
      <w:r>
        <w:t xml:space="preserve"> Metering and Data Operations unit has an appropriate and comprehensive multi-year resource plan for its MeterVision 20/20 project.  </w:t>
      </w:r>
    </w:p>
    <w:p w:rsidR="00AC40FC" w:rsidRDefault="00AC40FC" w:rsidP="00581946">
      <w:pPr>
        <w:rPr>
          <w:highlight w:val="yellow"/>
        </w:rPr>
      </w:pPr>
      <w:r>
        <w:t xml:space="preserve">Overall, the Project Resource Plan encompasses, in addition to PPL EU, resources supplied by PPL SC IT employees and external contractors.  There is appropriate detail, including: (1) Identifying individual employees and contractor and sub-contractor </w:t>
      </w:r>
      <w:r>
        <w:lastRenderedPageBreak/>
        <w:t>personnel resources, (2) Assigning resources to specific project work packages, and (3) Scheduling resources on a month-to-month basis.</w:t>
      </w:r>
    </w:p>
    <w:p w:rsidR="00AC40FC" w:rsidRDefault="00AC40FC" w:rsidP="00581946">
      <w:r w:rsidRPr="00F673F0">
        <w:t>For example, the Plan's work packages and resource identifications for the meter installation contractor include</w:t>
      </w:r>
      <w:r>
        <w:t xml:space="preserve">: </w:t>
      </w:r>
      <w:r w:rsidRPr="00F673F0">
        <w:t xml:space="preserve"> (1) Work Stream designations (MDM, AMI, Development, and Deployment), (2) Title/Role (PPL EU and contractor functional titles), (3) Specific</w:t>
      </w:r>
      <w:r>
        <w:t xml:space="preserve"> resource names, and (4) Resource function/affiliation (MDM Accelerated Development, MDM Implementation and Data Migration, MDM Run Ops, Command center Integration and Business Process Support, Command Center Run Ops, Meter Installation Subcontractor, and Network Installation subcontractor.)</w:t>
      </w:r>
    </w:p>
    <w:p w:rsidR="00AC40FC" w:rsidRDefault="00AC40FC" w:rsidP="00B306CB">
      <w:pPr>
        <w:pStyle w:val="Findings"/>
        <w:keepNext/>
      </w:pPr>
      <w:r w:rsidRPr="002708E8">
        <w:t>Selective</w:t>
      </w:r>
      <w:r>
        <w:t xml:space="preserve"> elimination of employees and increasing use of contractor personnel and services do not seem to be affecting core competencies and institutional knowledge.</w:t>
      </w:r>
    </w:p>
    <w:p w:rsidR="00AC40FC" w:rsidRDefault="00AC40FC" w:rsidP="00581946">
      <w:r>
        <w:t>The reduction in employees and staffing FTEs are occurring at a measured and controlled pace through attrition and other forms of voluntary separation.  No evidence was found that there has been a negative impact on core competencies or significant loss of institutional knowledge.  Customer Services has continued to provide training and improved supervision to ensure that service levels and other performance metrics are not diminished.</w:t>
      </w:r>
    </w:p>
    <w:p w:rsidR="00AC40FC" w:rsidRDefault="00AC40FC" w:rsidP="00BB665B">
      <w:pPr>
        <w:pStyle w:val="Heading-forToC"/>
      </w:pPr>
      <w:bookmarkStart w:id="392" w:name="_Toc462647911"/>
      <w:bookmarkStart w:id="393" w:name="_Toc464552150"/>
      <w:r>
        <w:t>Recommendations</w:t>
      </w:r>
      <w:bookmarkEnd w:id="392"/>
      <w:bookmarkEnd w:id="393"/>
    </w:p>
    <w:p w:rsidR="00AC40FC" w:rsidRDefault="00AC40FC" w:rsidP="004F00E5">
      <w:pPr>
        <w:pStyle w:val="Findings"/>
        <w:numPr>
          <w:ilvl w:val="0"/>
          <w:numId w:val="140"/>
        </w:numPr>
      </w:pPr>
      <w:r>
        <w:t>Expand staffing and contractor personnel forecasting models for the call centers from a one-year to a five-year time horizon.  (See Finding 1)</w:t>
      </w:r>
    </w:p>
    <w:p w:rsidR="00AC40FC" w:rsidRDefault="00AC40FC" w:rsidP="00581946">
      <w:r>
        <w:t>Multi-year resource forecasting models will help Customer Services anticipate resource requirements and ensure sufficient lead times to forecast employee attrition, transfer or hire new employees, develop and train employees to achieve the necessary skill sets, determine contractor requirements, and renegotiate contracts as needed.  A five-year forecasting model would coincide with the corporate budgeting process and result in more accurate budget forecasts.</w:t>
      </w:r>
    </w:p>
    <w:p w:rsidR="00AC40FC" w:rsidRDefault="00AC40FC" w:rsidP="002708E8">
      <w:pPr>
        <w:pStyle w:val="Findings"/>
      </w:pPr>
      <w:r w:rsidRPr="002708E8">
        <w:t>Develop</w:t>
      </w:r>
      <w:r>
        <w:t xml:space="preserve"> resource forecasting models for each Customer Services group with significant employee and contractor resources.  (See Finding 2)</w:t>
      </w:r>
    </w:p>
    <w:p w:rsidR="00AC40FC" w:rsidRDefault="00AC40FC" w:rsidP="00581946">
      <w:r>
        <w:t>Customer Services should develop multi-year resource forecasting models for other non-call center organizational functions, beginning with Regional Metering Operations and Revenue Protection field employees and contractors.  Although the nature of field work makes the application of work management practices more challenging compared to call center operations, these metering activities should generate sufficient information to define consistent and standardized work tasks, estimate average task completion times, anticipate work load and employee availability, schedule week-to-week, supervise and track metrics, assess work quality, forecast work load/units, and optimize employee and contractor FTEs on month-to-month and year-to-year bases.</w:t>
      </w:r>
    </w:p>
    <w:p w:rsidR="00AC40FC" w:rsidRPr="00DF79B4" w:rsidRDefault="00AC40FC" w:rsidP="00BB7765">
      <w:pPr>
        <w:pStyle w:val="Findings"/>
        <w:keepNext/>
      </w:pPr>
      <w:r w:rsidRPr="002708E8">
        <w:lastRenderedPageBreak/>
        <w:t>Link</w:t>
      </w:r>
      <w:r>
        <w:t xml:space="preserve"> and correlate Customer Services' Job Codes and SRC codes to the existing organizational groups to facilitate staffing studies and requirements forecasting. (See Finding 3)</w:t>
      </w:r>
    </w:p>
    <w:p w:rsidR="00AC40FC" w:rsidRDefault="00AC40FC" w:rsidP="00581946">
      <w:r>
        <w:t>Linking and correlating the budgeting codes will enable Customer Services to match the job and skills requirements with available resources, determine the gaps, and act to hire, reallocate, and train employees as necessary to meet future needs.  These actions will also improve the accuracy and value of budget forecasts.</w:t>
      </w:r>
    </w:p>
    <w:p w:rsidR="00AC40FC" w:rsidRDefault="00AC40FC" w:rsidP="004F00E5">
      <w:pPr>
        <w:pStyle w:val="Heading2"/>
        <w:numPr>
          <w:ilvl w:val="0"/>
          <w:numId w:val="113"/>
        </w:numPr>
      </w:pPr>
      <w:bookmarkStart w:id="394" w:name="_Toc462647912"/>
      <w:bookmarkStart w:id="395" w:name="_Toc464552151"/>
      <w:r>
        <w:t>finance, accounting, and audit</w:t>
      </w:r>
      <w:bookmarkEnd w:id="394"/>
      <w:bookmarkEnd w:id="395"/>
    </w:p>
    <w:p w:rsidR="00AC40FC" w:rsidRDefault="00AC40FC" w:rsidP="00BB665B">
      <w:pPr>
        <w:pStyle w:val="Heading-forToC"/>
      </w:pPr>
      <w:bookmarkStart w:id="396" w:name="_Toc462647913"/>
      <w:bookmarkStart w:id="397" w:name="_Toc464552152"/>
      <w:r>
        <w:t>Background</w:t>
      </w:r>
      <w:bookmarkEnd w:id="396"/>
      <w:bookmarkEnd w:id="397"/>
    </w:p>
    <w:p w:rsidR="00AC40FC" w:rsidRPr="00282179" w:rsidRDefault="00AC40FC" w:rsidP="00581946">
      <w:pPr>
        <w:rPr>
          <w:rFonts w:cs="Arial"/>
          <w:szCs w:val="24"/>
        </w:rPr>
      </w:pPr>
      <w:r w:rsidRPr="00282179">
        <w:rPr>
          <w:rFonts w:cs="Arial"/>
          <w:szCs w:val="24"/>
        </w:rPr>
        <w:t xml:space="preserve">This section </w:t>
      </w:r>
      <w:r>
        <w:rPr>
          <w:rFonts w:cs="Arial"/>
          <w:szCs w:val="24"/>
        </w:rPr>
        <w:t>discusses</w:t>
      </w:r>
      <w:r w:rsidRPr="00282179">
        <w:rPr>
          <w:rFonts w:cs="Arial"/>
          <w:szCs w:val="24"/>
        </w:rPr>
        <w:t xml:space="preserve"> staffing in s</w:t>
      </w:r>
      <w:r>
        <w:rPr>
          <w:rFonts w:cs="Arial"/>
          <w:szCs w:val="24"/>
        </w:rPr>
        <w:t>ervice departments that provide</w:t>
      </w:r>
      <w:r w:rsidRPr="00282179">
        <w:rPr>
          <w:rFonts w:cs="Arial"/>
          <w:szCs w:val="24"/>
        </w:rPr>
        <w:t xml:space="preserve"> finance, accounting, and audit services to PPL EU.  Financial and accounting services are provided to PPL EU by</w:t>
      </w:r>
      <w:r>
        <w:rPr>
          <w:rFonts w:cs="Arial"/>
          <w:szCs w:val="24"/>
        </w:rPr>
        <w:t xml:space="preserve"> both PPL SC</w:t>
      </w:r>
      <w:r w:rsidRPr="00282179">
        <w:rPr>
          <w:rFonts w:cs="Arial"/>
          <w:szCs w:val="24"/>
        </w:rPr>
        <w:t xml:space="preserve"> a</w:t>
      </w:r>
      <w:r>
        <w:rPr>
          <w:rFonts w:cs="Arial"/>
          <w:szCs w:val="24"/>
        </w:rPr>
        <w:t>nd PPL EUS</w:t>
      </w:r>
      <w:r w:rsidRPr="00282179">
        <w:rPr>
          <w:rFonts w:cs="Arial"/>
          <w:szCs w:val="24"/>
        </w:rPr>
        <w:t>.  PPL SC provides certain finance and accountin</w:t>
      </w:r>
      <w:r>
        <w:rPr>
          <w:rFonts w:cs="Arial"/>
          <w:szCs w:val="24"/>
        </w:rPr>
        <w:t>g services</w:t>
      </w:r>
      <w:r w:rsidRPr="00282179">
        <w:rPr>
          <w:rFonts w:cs="Arial"/>
          <w:szCs w:val="24"/>
        </w:rPr>
        <w:t xml:space="preserve"> to the entire PPL Corporation US domestic family of companies, including PPL EU.  </w:t>
      </w:r>
      <w:r>
        <w:rPr>
          <w:rFonts w:cs="Arial"/>
          <w:szCs w:val="24"/>
        </w:rPr>
        <w:t xml:space="preserve">The PPL SC audit function provides audit services to PPL Corporation Pennsylvania subsidiaries, including PPL EU.  </w:t>
      </w:r>
      <w:r w:rsidRPr="00282179">
        <w:rPr>
          <w:rFonts w:cs="Arial"/>
          <w:szCs w:val="24"/>
        </w:rPr>
        <w:t>The PPL EUS Regulatory Affairs organization and the Accounting, Planning, and Reporting organization provide</w:t>
      </w:r>
      <w:r>
        <w:rPr>
          <w:rFonts w:cs="Arial"/>
          <w:szCs w:val="24"/>
        </w:rPr>
        <w:t>s</w:t>
      </w:r>
      <w:r w:rsidRPr="00282179">
        <w:rPr>
          <w:rFonts w:cs="Arial"/>
          <w:szCs w:val="24"/>
        </w:rPr>
        <w:t xml:space="preserve"> finance and accounting services only to PPL EU.</w:t>
      </w:r>
      <w:r>
        <w:rPr>
          <w:rFonts w:cs="Arial"/>
          <w:szCs w:val="24"/>
        </w:rPr>
        <w:t xml:space="preserve"> </w:t>
      </w:r>
      <w:r w:rsidRPr="00282179">
        <w:rPr>
          <w:rFonts w:cs="Arial"/>
          <w:szCs w:val="24"/>
        </w:rPr>
        <w:t xml:space="preserve"> Staffing issues covered in the following paragraphs are organized by the departments in PPL SC and PPL EUS that provide finance, accounting, and audit services to PPL EU.  These include:</w:t>
      </w:r>
    </w:p>
    <w:p w:rsidR="00AC40FC" w:rsidRPr="0008433E" w:rsidRDefault="00AC40FC" w:rsidP="00581946">
      <w:pPr>
        <w:pStyle w:val="Bullet"/>
      </w:pPr>
      <w:r>
        <w:t>PPL SC</w:t>
      </w:r>
    </w:p>
    <w:p w:rsidR="00AC40FC" w:rsidRPr="0008433E" w:rsidRDefault="00AC40FC" w:rsidP="00581946">
      <w:pPr>
        <w:pStyle w:val="Bullet-indent1"/>
      </w:pPr>
      <w:r w:rsidRPr="0008433E">
        <w:t>Investor Relations and Financial Planning</w:t>
      </w:r>
    </w:p>
    <w:p w:rsidR="00AC40FC" w:rsidRPr="0008433E" w:rsidRDefault="00AC40FC" w:rsidP="00581946">
      <w:pPr>
        <w:pStyle w:val="Bullet-indent1"/>
      </w:pPr>
      <w:r w:rsidRPr="0008433E">
        <w:t>Controller</w:t>
      </w:r>
    </w:p>
    <w:p w:rsidR="00AC40FC" w:rsidRPr="0008433E" w:rsidRDefault="00AC40FC" w:rsidP="00581946">
      <w:pPr>
        <w:pStyle w:val="Bullet-indent1"/>
      </w:pPr>
      <w:r w:rsidRPr="0008433E">
        <w:t>Tax</w:t>
      </w:r>
    </w:p>
    <w:p w:rsidR="00AC40FC" w:rsidRPr="0008433E" w:rsidRDefault="00AC40FC" w:rsidP="00581946">
      <w:pPr>
        <w:pStyle w:val="Bullet-indent1"/>
      </w:pPr>
      <w:r w:rsidRPr="0008433E">
        <w:t>Treasury and Risk</w:t>
      </w:r>
    </w:p>
    <w:p w:rsidR="00AC40FC" w:rsidRPr="0008433E" w:rsidRDefault="00AC40FC" w:rsidP="00581946">
      <w:pPr>
        <w:pStyle w:val="Bullet-indent1"/>
      </w:pPr>
      <w:r w:rsidRPr="0008433E">
        <w:t>Corporate Audit and Business Ethics</w:t>
      </w:r>
    </w:p>
    <w:p w:rsidR="00AC40FC" w:rsidRPr="0008433E" w:rsidRDefault="00AC40FC" w:rsidP="00581946">
      <w:pPr>
        <w:pStyle w:val="Bullet"/>
      </w:pPr>
      <w:r w:rsidRPr="0008433E">
        <w:t>PPL EUS</w:t>
      </w:r>
    </w:p>
    <w:p w:rsidR="00AC40FC" w:rsidRPr="0008433E" w:rsidRDefault="00AC40FC" w:rsidP="00581946">
      <w:pPr>
        <w:pStyle w:val="Bullet-indent1"/>
      </w:pPr>
      <w:r w:rsidRPr="0008433E">
        <w:t>Regulatory Affairs</w:t>
      </w:r>
    </w:p>
    <w:p w:rsidR="00AC40FC" w:rsidRPr="0008433E" w:rsidRDefault="00AC40FC" w:rsidP="00581946">
      <w:pPr>
        <w:pStyle w:val="Bullet-indent1"/>
      </w:pPr>
      <w:r w:rsidRPr="0008433E">
        <w:t>Accounting and Financial Reporting</w:t>
      </w:r>
    </w:p>
    <w:p w:rsidR="00AC40FC" w:rsidRDefault="00AC40FC" w:rsidP="00BB665B">
      <w:pPr>
        <w:pStyle w:val="Heading40"/>
      </w:pPr>
      <w:r w:rsidRPr="00AA54A9">
        <w:t>Staffing Studies</w:t>
      </w:r>
    </w:p>
    <w:p w:rsidR="00AC40FC" w:rsidRPr="007079AA" w:rsidRDefault="00AC40FC" w:rsidP="00BB665B">
      <w:pPr>
        <w:pStyle w:val="Heading40"/>
        <w:rPr>
          <w:b w:val="0"/>
        </w:rPr>
      </w:pPr>
      <w:r>
        <w:t xml:space="preserve">PPL SC Organizations.  </w:t>
      </w:r>
      <w:r w:rsidRPr="007079AA">
        <w:rPr>
          <w:b w:val="0"/>
        </w:rPr>
        <w:t>There were no staffing studies performed prior to the formation of PPL EUS or the spinoff of PPL Corporation’s competitive generation business operations into Talen.  For the finance and accounting functions, any change in staffing because of the Talen spinoff was tied to the work load identified with PPL Supply.  All employees (in PPL SC and PPL EUS) had to reapply for positions in connection with the reorganization and re-staffing prompted by the Talen spinoff.  Existing employees were encouraged to apply for multiple positions in the new and revised organizations.</w:t>
      </w:r>
    </w:p>
    <w:p w:rsidR="00AC40FC" w:rsidRPr="00AA54A9" w:rsidRDefault="00AC40FC" w:rsidP="00581946">
      <w:pPr>
        <w:rPr>
          <w:rFonts w:cs="Arial"/>
          <w:szCs w:val="24"/>
        </w:rPr>
      </w:pPr>
      <w:r>
        <w:rPr>
          <w:rFonts w:cs="Arial"/>
          <w:szCs w:val="24"/>
        </w:rPr>
        <w:t>Also, from 2014 to 2015 in preparation for</w:t>
      </w:r>
      <w:r w:rsidRPr="00AA54A9">
        <w:rPr>
          <w:rFonts w:cs="Arial"/>
          <w:szCs w:val="24"/>
        </w:rPr>
        <w:t xml:space="preserve"> </w:t>
      </w:r>
      <w:r>
        <w:rPr>
          <w:rFonts w:cs="Arial"/>
          <w:szCs w:val="24"/>
        </w:rPr>
        <w:t xml:space="preserve">the </w:t>
      </w:r>
      <w:r w:rsidRPr="00AA54A9">
        <w:rPr>
          <w:rFonts w:cs="Arial"/>
          <w:szCs w:val="24"/>
        </w:rPr>
        <w:t xml:space="preserve">Talen </w:t>
      </w:r>
      <w:r>
        <w:rPr>
          <w:rFonts w:cs="Arial"/>
          <w:szCs w:val="24"/>
        </w:rPr>
        <w:t>spinoff, PPL hired an outside consultant</w:t>
      </w:r>
      <w:r w:rsidRPr="00AA54A9">
        <w:rPr>
          <w:rFonts w:cs="Arial"/>
          <w:szCs w:val="24"/>
        </w:rPr>
        <w:t xml:space="preserve"> to advise them on </w:t>
      </w:r>
      <w:r>
        <w:rPr>
          <w:rFonts w:cs="Arial"/>
          <w:szCs w:val="24"/>
        </w:rPr>
        <w:t xml:space="preserve">the </w:t>
      </w:r>
      <w:r w:rsidRPr="00AA54A9">
        <w:rPr>
          <w:rFonts w:cs="Arial"/>
          <w:szCs w:val="24"/>
        </w:rPr>
        <w:t xml:space="preserve">separation of the PPL </w:t>
      </w:r>
      <w:r>
        <w:rPr>
          <w:rFonts w:cs="Arial"/>
          <w:szCs w:val="24"/>
        </w:rPr>
        <w:t xml:space="preserve">Corporation </w:t>
      </w:r>
      <w:r w:rsidRPr="00AA54A9">
        <w:rPr>
          <w:rFonts w:cs="Arial"/>
          <w:szCs w:val="24"/>
        </w:rPr>
        <w:t>organization and span</w:t>
      </w:r>
      <w:r>
        <w:rPr>
          <w:rFonts w:cs="Arial"/>
          <w:szCs w:val="24"/>
        </w:rPr>
        <w:t>s</w:t>
      </w:r>
      <w:r w:rsidRPr="00AA54A9">
        <w:rPr>
          <w:rFonts w:cs="Arial"/>
          <w:szCs w:val="24"/>
        </w:rPr>
        <w:t xml:space="preserve"> of con</w:t>
      </w:r>
      <w:r>
        <w:rPr>
          <w:rFonts w:cs="Arial"/>
          <w:szCs w:val="24"/>
        </w:rPr>
        <w:t>trol, and to provide some bench</w:t>
      </w:r>
      <w:r w:rsidRPr="00AA54A9">
        <w:rPr>
          <w:rFonts w:cs="Arial"/>
          <w:szCs w:val="24"/>
        </w:rPr>
        <w:t>mark information.</w:t>
      </w:r>
    </w:p>
    <w:p w:rsidR="00AC40FC" w:rsidRDefault="00AC40FC" w:rsidP="005740A9">
      <w:pPr>
        <w:pStyle w:val="Heading40"/>
      </w:pPr>
      <w:r w:rsidRPr="00694160">
        <w:lastRenderedPageBreak/>
        <w:t>PPL EUS Organizations</w:t>
      </w:r>
      <w:r>
        <w:t xml:space="preserve">  </w:t>
      </w:r>
    </w:p>
    <w:p w:rsidR="00AC40FC" w:rsidRPr="00632892" w:rsidRDefault="00AC40FC" w:rsidP="00581946">
      <w:r>
        <w:t xml:space="preserve">PPL EUS was formed in 2014 and staffed in 2015 with personnel from PPL EU and PPL SC.  </w:t>
      </w:r>
      <w:r w:rsidRPr="0049643D">
        <w:t>There were no staffing studies performed prior to the formation of PPL EUS and the spinoff of the supply organization to Talen.</w:t>
      </w:r>
      <w:r>
        <w:t xml:space="preserve">  </w:t>
      </w:r>
    </w:p>
    <w:p w:rsidR="00AC40FC" w:rsidRDefault="00AC40FC" w:rsidP="00BB665B">
      <w:pPr>
        <w:pStyle w:val="Heading40"/>
      </w:pPr>
      <w:r w:rsidRPr="00694160">
        <w:t>2015 and 2016 Employee and Contractor Changes</w:t>
      </w:r>
      <w:r>
        <w:t xml:space="preserve">  </w:t>
      </w:r>
    </w:p>
    <w:p w:rsidR="00AC40FC" w:rsidRDefault="00AC40FC" w:rsidP="00581946">
      <w:r w:rsidRPr="005E0480">
        <w:rPr>
          <w:b/>
        </w:rPr>
        <w:t>PPL SC Organizations.</w:t>
      </w:r>
      <w:r>
        <w:t xml:space="preserve">  </w:t>
      </w:r>
      <w:r w:rsidRPr="0049643D">
        <w:t>The number of PPL SC staffing ch</w:t>
      </w:r>
      <w:r>
        <w:t>anges by SRC</w:t>
      </w:r>
      <w:r w:rsidRPr="0049643D">
        <w:t xml:space="preserve"> number and title from the end of 2014 to the end of 2015 is shown on the following table.</w:t>
      </w:r>
    </w:p>
    <w:p w:rsidR="00AC40FC" w:rsidRDefault="00AC40FC" w:rsidP="00B306CB">
      <w:pPr>
        <w:pStyle w:val="Caption"/>
      </w:pPr>
      <w:bookmarkStart w:id="398" w:name="_Toc462648502"/>
      <w:bookmarkStart w:id="399" w:name="_Toc464553124"/>
      <w:r>
        <w:t xml:space="preserve">Exhibit </w:t>
      </w:r>
      <w:fldSimple w:instr=" STYLEREF 1 \s ">
        <w:r w:rsidR="00A24205">
          <w:rPr>
            <w:noProof/>
          </w:rPr>
          <w:t>XV</w:t>
        </w:r>
      </w:fldSimple>
      <w:r w:rsidR="00264A1B">
        <w:noBreakHyphen/>
      </w:r>
      <w:fldSimple w:instr=" SEQ Exhibit \* ARABIC \s 1 ">
        <w:r w:rsidR="00A24205">
          <w:rPr>
            <w:noProof/>
          </w:rPr>
          <w:t>16</w:t>
        </w:r>
      </w:fldSimple>
      <w:r>
        <w:br/>
      </w:r>
      <w:r w:rsidRPr="00F17825">
        <w:t>PPL SC Finance and Accounting Employee Staffing Changes 2014–2015</w:t>
      </w:r>
      <w:bookmarkEnd w:id="398"/>
      <w:bookmarkEnd w:id="3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3506"/>
        <w:gridCol w:w="810"/>
        <w:gridCol w:w="810"/>
        <w:gridCol w:w="1097"/>
      </w:tblGrid>
      <w:tr w:rsidR="00AC40FC" w:rsidRPr="00D6083E" w:rsidTr="00581946">
        <w:trPr>
          <w:cantSplit/>
          <w:trHeight w:val="300"/>
          <w:tblHeader/>
          <w:jc w:val="center"/>
        </w:trPr>
        <w:tc>
          <w:tcPr>
            <w:tcW w:w="960" w:type="dxa"/>
            <w:shd w:val="clear" w:color="auto" w:fill="A5CD7E"/>
            <w:noWrap/>
            <w:vAlign w:val="center"/>
            <w:hideMark/>
          </w:tcPr>
          <w:p w:rsidR="00AC40FC" w:rsidRPr="00D6083E" w:rsidRDefault="00AC40FC" w:rsidP="00D6083E">
            <w:pPr>
              <w:spacing w:before="120"/>
              <w:jc w:val="center"/>
              <w:rPr>
                <w:b/>
                <w:bCs/>
              </w:rPr>
            </w:pPr>
            <w:r w:rsidRPr="00D6083E">
              <w:rPr>
                <w:b/>
                <w:bCs/>
              </w:rPr>
              <w:t>SRC</w:t>
            </w:r>
          </w:p>
        </w:tc>
        <w:tc>
          <w:tcPr>
            <w:tcW w:w="3506" w:type="dxa"/>
            <w:shd w:val="clear" w:color="auto" w:fill="A5CD7E"/>
            <w:noWrap/>
            <w:vAlign w:val="center"/>
            <w:hideMark/>
          </w:tcPr>
          <w:p w:rsidR="00AC40FC" w:rsidRPr="00D6083E" w:rsidRDefault="00AC40FC" w:rsidP="00D6083E">
            <w:pPr>
              <w:spacing w:before="120"/>
              <w:jc w:val="center"/>
              <w:rPr>
                <w:b/>
                <w:bCs/>
              </w:rPr>
            </w:pPr>
            <w:r w:rsidRPr="00D6083E">
              <w:rPr>
                <w:b/>
                <w:bCs/>
              </w:rPr>
              <w:t>Title</w:t>
            </w:r>
          </w:p>
        </w:tc>
        <w:tc>
          <w:tcPr>
            <w:tcW w:w="810" w:type="dxa"/>
            <w:shd w:val="clear" w:color="auto" w:fill="A5CD7E"/>
            <w:noWrap/>
            <w:vAlign w:val="center"/>
            <w:hideMark/>
          </w:tcPr>
          <w:p w:rsidR="00AC40FC" w:rsidRPr="00D6083E" w:rsidRDefault="00AC40FC" w:rsidP="00D6083E">
            <w:pPr>
              <w:spacing w:before="120"/>
              <w:jc w:val="center"/>
              <w:rPr>
                <w:b/>
                <w:bCs/>
              </w:rPr>
            </w:pPr>
            <w:r w:rsidRPr="00D6083E">
              <w:rPr>
                <w:b/>
                <w:bCs/>
              </w:rPr>
              <w:t>2014</w:t>
            </w:r>
          </w:p>
        </w:tc>
        <w:tc>
          <w:tcPr>
            <w:tcW w:w="810" w:type="dxa"/>
            <w:shd w:val="clear" w:color="auto" w:fill="A5CD7E"/>
            <w:noWrap/>
            <w:vAlign w:val="center"/>
            <w:hideMark/>
          </w:tcPr>
          <w:p w:rsidR="00AC40FC" w:rsidRPr="00D6083E" w:rsidRDefault="00AC40FC" w:rsidP="00D6083E">
            <w:pPr>
              <w:spacing w:before="120"/>
              <w:jc w:val="center"/>
              <w:rPr>
                <w:b/>
                <w:bCs/>
              </w:rPr>
            </w:pPr>
            <w:r w:rsidRPr="00D6083E">
              <w:rPr>
                <w:b/>
                <w:bCs/>
              </w:rPr>
              <w:t>2015</w:t>
            </w:r>
          </w:p>
        </w:tc>
        <w:tc>
          <w:tcPr>
            <w:tcW w:w="1097" w:type="dxa"/>
            <w:shd w:val="clear" w:color="auto" w:fill="A5CD7E"/>
            <w:noWrap/>
            <w:vAlign w:val="center"/>
            <w:hideMark/>
          </w:tcPr>
          <w:p w:rsidR="00AC40FC" w:rsidRPr="00D6083E" w:rsidRDefault="00AC40FC" w:rsidP="00D6083E">
            <w:pPr>
              <w:spacing w:before="120"/>
              <w:jc w:val="center"/>
              <w:rPr>
                <w:b/>
                <w:bCs/>
              </w:rPr>
            </w:pPr>
            <w:r w:rsidRPr="00D6083E">
              <w:rPr>
                <w:b/>
                <w:bCs/>
              </w:rPr>
              <w:t>Change</w:t>
            </w:r>
          </w:p>
        </w:tc>
      </w:tr>
      <w:tr w:rsidR="00AC40FC" w:rsidRPr="00F17825" w:rsidTr="00581946">
        <w:trPr>
          <w:trHeight w:val="300"/>
          <w:jc w:val="center"/>
        </w:trPr>
        <w:tc>
          <w:tcPr>
            <w:tcW w:w="7183" w:type="dxa"/>
            <w:gridSpan w:val="5"/>
            <w:shd w:val="clear" w:color="auto" w:fill="auto"/>
            <w:noWrap/>
            <w:vAlign w:val="center"/>
          </w:tcPr>
          <w:p w:rsidR="00AC40FC" w:rsidRPr="00243232" w:rsidRDefault="00AC40FC" w:rsidP="00581946">
            <w:pPr>
              <w:spacing w:after="0"/>
              <w:jc w:val="left"/>
              <w:rPr>
                <w:rFonts w:cs="Arial"/>
                <w:b/>
                <w:szCs w:val="24"/>
              </w:rPr>
            </w:pPr>
            <w:r w:rsidRPr="00243232">
              <w:rPr>
                <w:rFonts w:cs="Arial"/>
                <w:b/>
                <w:szCs w:val="24"/>
              </w:rPr>
              <w:t>Financial Administration</w:t>
            </w:r>
          </w:p>
        </w:tc>
      </w:tr>
      <w:tr w:rsidR="00AC40FC" w:rsidRPr="00F17825" w:rsidTr="00581946">
        <w:trPr>
          <w:trHeight w:val="300"/>
          <w:jc w:val="center"/>
        </w:trPr>
        <w:tc>
          <w:tcPr>
            <w:tcW w:w="960" w:type="dxa"/>
            <w:shd w:val="clear" w:color="auto" w:fill="auto"/>
            <w:noWrap/>
            <w:vAlign w:val="center"/>
          </w:tcPr>
          <w:p w:rsidR="00AC40FC" w:rsidRPr="00F17825" w:rsidRDefault="00AC40FC" w:rsidP="00581946">
            <w:pPr>
              <w:spacing w:after="0"/>
              <w:jc w:val="center"/>
              <w:rPr>
                <w:rFonts w:cs="Arial"/>
                <w:szCs w:val="24"/>
              </w:rPr>
            </w:pPr>
            <w:r w:rsidRPr="00F17825">
              <w:rPr>
                <w:rFonts w:cs="Arial"/>
                <w:szCs w:val="24"/>
              </w:rPr>
              <w:t>0100</w:t>
            </w:r>
          </w:p>
        </w:tc>
        <w:tc>
          <w:tcPr>
            <w:tcW w:w="3506" w:type="dxa"/>
            <w:shd w:val="clear" w:color="auto" w:fill="auto"/>
            <w:noWrap/>
            <w:vAlign w:val="center"/>
          </w:tcPr>
          <w:p w:rsidR="00AC40FC" w:rsidRPr="00F17825" w:rsidRDefault="00AC40FC" w:rsidP="00581946">
            <w:pPr>
              <w:spacing w:after="0"/>
              <w:jc w:val="left"/>
              <w:rPr>
                <w:rFonts w:cs="Arial"/>
                <w:szCs w:val="24"/>
              </w:rPr>
            </w:pPr>
            <w:r w:rsidRPr="00F17825">
              <w:rPr>
                <w:rFonts w:cs="Arial"/>
                <w:szCs w:val="24"/>
              </w:rPr>
              <w:t>Financial</w:t>
            </w:r>
          </w:p>
        </w:tc>
        <w:tc>
          <w:tcPr>
            <w:tcW w:w="810" w:type="dxa"/>
            <w:shd w:val="clear" w:color="auto" w:fill="auto"/>
            <w:noWrap/>
            <w:vAlign w:val="bottom"/>
          </w:tcPr>
          <w:p w:rsidR="00AC40FC" w:rsidRPr="00F17825" w:rsidRDefault="00AC40FC" w:rsidP="00581946">
            <w:pPr>
              <w:spacing w:after="0"/>
              <w:jc w:val="center"/>
              <w:rPr>
                <w:rFonts w:cs="Arial"/>
                <w:szCs w:val="24"/>
              </w:rPr>
            </w:pPr>
            <w:r w:rsidRPr="00F17825">
              <w:rPr>
                <w:rFonts w:cs="Arial"/>
                <w:szCs w:val="24"/>
              </w:rPr>
              <w:t>3</w:t>
            </w:r>
          </w:p>
        </w:tc>
        <w:tc>
          <w:tcPr>
            <w:tcW w:w="810" w:type="dxa"/>
            <w:shd w:val="clear" w:color="auto" w:fill="auto"/>
            <w:noWrap/>
            <w:vAlign w:val="bottom"/>
          </w:tcPr>
          <w:p w:rsidR="00AC40FC" w:rsidRPr="00F17825" w:rsidRDefault="00AC40FC" w:rsidP="00581946">
            <w:pPr>
              <w:spacing w:after="0"/>
              <w:jc w:val="center"/>
              <w:rPr>
                <w:rFonts w:cs="Arial"/>
                <w:szCs w:val="24"/>
              </w:rPr>
            </w:pPr>
            <w:r w:rsidRPr="00F17825">
              <w:rPr>
                <w:rFonts w:cs="Arial"/>
                <w:szCs w:val="24"/>
              </w:rPr>
              <w:t>2</w:t>
            </w:r>
          </w:p>
        </w:tc>
        <w:tc>
          <w:tcPr>
            <w:tcW w:w="1097" w:type="dxa"/>
            <w:shd w:val="clear" w:color="auto" w:fill="auto"/>
            <w:noWrap/>
            <w:vAlign w:val="bottom"/>
          </w:tcPr>
          <w:p w:rsidR="00AC40FC" w:rsidRPr="00F17825" w:rsidRDefault="00AC40FC" w:rsidP="00581946">
            <w:pPr>
              <w:spacing w:after="0"/>
              <w:jc w:val="center"/>
              <w:rPr>
                <w:rFonts w:cs="Arial"/>
                <w:szCs w:val="24"/>
              </w:rPr>
            </w:pPr>
            <w:r w:rsidRPr="00F17825">
              <w:rPr>
                <w:rFonts w:cs="Arial"/>
                <w:szCs w:val="24"/>
              </w:rPr>
              <w:t>-1</w:t>
            </w:r>
          </w:p>
        </w:tc>
      </w:tr>
      <w:tr w:rsidR="00AC40FC" w:rsidRPr="00F17825" w:rsidTr="00581946">
        <w:trPr>
          <w:trHeight w:val="300"/>
          <w:jc w:val="center"/>
        </w:trPr>
        <w:tc>
          <w:tcPr>
            <w:tcW w:w="960" w:type="dxa"/>
            <w:shd w:val="clear" w:color="auto" w:fill="auto"/>
            <w:noWrap/>
            <w:vAlign w:val="center"/>
          </w:tcPr>
          <w:p w:rsidR="00AC40FC" w:rsidRPr="00F17825" w:rsidRDefault="00AC40FC" w:rsidP="00581946">
            <w:pPr>
              <w:spacing w:after="0"/>
              <w:jc w:val="center"/>
              <w:rPr>
                <w:rFonts w:cs="Arial"/>
                <w:szCs w:val="24"/>
              </w:rPr>
            </w:pPr>
            <w:r w:rsidRPr="00F17825">
              <w:rPr>
                <w:rFonts w:cs="Arial"/>
                <w:szCs w:val="24"/>
              </w:rPr>
              <w:t>1199</w:t>
            </w:r>
          </w:p>
        </w:tc>
        <w:tc>
          <w:tcPr>
            <w:tcW w:w="3506" w:type="dxa"/>
            <w:shd w:val="clear" w:color="auto" w:fill="auto"/>
            <w:noWrap/>
            <w:vAlign w:val="center"/>
          </w:tcPr>
          <w:p w:rsidR="00AC40FC" w:rsidRPr="00F17825" w:rsidRDefault="00AC40FC" w:rsidP="00581946">
            <w:pPr>
              <w:spacing w:after="0"/>
              <w:jc w:val="left"/>
              <w:rPr>
                <w:rFonts w:cs="Arial"/>
                <w:szCs w:val="24"/>
              </w:rPr>
            </w:pPr>
            <w:r w:rsidRPr="00F17825">
              <w:rPr>
                <w:rFonts w:cs="Arial"/>
                <w:szCs w:val="24"/>
              </w:rPr>
              <w:t>TSA Financial</w:t>
            </w:r>
          </w:p>
        </w:tc>
        <w:tc>
          <w:tcPr>
            <w:tcW w:w="810" w:type="dxa"/>
            <w:shd w:val="clear" w:color="auto" w:fill="auto"/>
            <w:noWrap/>
            <w:vAlign w:val="bottom"/>
          </w:tcPr>
          <w:p w:rsidR="00AC40FC" w:rsidRPr="00F17825" w:rsidRDefault="00AC40FC" w:rsidP="00581946">
            <w:pPr>
              <w:spacing w:after="0"/>
              <w:jc w:val="center"/>
              <w:rPr>
                <w:rFonts w:cs="Arial"/>
                <w:szCs w:val="24"/>
              </w:rPr>
            </w:pPr>
            <w:r w:rsidRPr="00F17825">
              <w:rPr>
                <w:rFonts w:cs="Arial"/>
                <w:szCs w:val="24"/>
              </w:rPr>
              <w:t>8</w:t>
            </w:r>
          </w:p>
        </w:tc>
        <w:tc>
          <w:tcPr>
            <w:tcW w:w="810" w:type="dxa"/>
            <w:shd w:val="clear" w:color="auto" w:fill="auto"/>
            <w:noWrap/>
            <w:vAlign w:val="bottom"/>
          </w:tcPr>
          <w:p w:rsidR="00AC40FC" w:rsidRPr="00F17825" w:rsidRDefault="00AC40FC" w:rsidP="00581946">
            <w:pPr>
              <w:spacing w:after="0"/>
              <w:jc w:val="center"/>
              <w:rPr>
                <w:rFonts w:cs="Arial"/>
                <w:szCs w:val="24"/>
              </w:rPr>
            </w:pPr>
            <w:r w:rsidRPr="00F17825">
              <w:rPr>
                <w:rFonts w:cs="Arial"/>
                <w:szCs w:val="24"/>
              </w:rPr>
              <w:t>9</w:t>
            </w:r>
          </w:p>
        </w:tc>
        <w:tc>
          <w:tcPr>
            <w:tcW w:w="1097" w:type="dxa"/>
            <w:shd w:val="clear" w:color="auto" w:fill="auto"/>
            <w:noWrap/>
            <w:vAlign w:val="bottom"/>
          </w:tcPr>
          <w:p w:rsidR="00AC40FC" w:rsidRPr="00F17825" w:rsidRDefault="00AC40FC" w:rsidP="00581946">
            <w:pPr>
              <w:spacing w:after="0"/>
              <w:jc w:val="center"/>
              <w:rPr>
                <w:rFonts w:cs="Arial"/>
                <w:szCs w:val="24"/>
              </w:rPr>
            </w:pPr>
            <w:r w:rsidRPr="00F17825">
              <w:rPr>
                <w:rFonts w:cs="Arial"/>
                <w:szCs w:val="24"/>
              </w:rPr>
              <w:t>1</w:t>
            </w:r>
          </w:p>
        </w:tc>
      </w:tr>
      <w:tr w:rsidR="00AC40FC" w:rsidRPr="00F17825" w:rsidTr="00581946">
        <w:trPr>
          <w:trHeight w:val="300"/>
          <w:jc w:val="center"/>
        </w:trPr>
        <w:tc>
          <w:tcPr>
            <w:tcW w:w="960" w:type="dxa"/>
            <w:shd w:val="clear" w:color="auto" w:fill="auto"/>
            <w:noWrap/>
            <w:vAlign w:val="center"/>
          </w:tcPr>
          <w:p w:rsidR="00AC40FC" w:rsidRPr="00F17825" w:rsidRDefault="00AC40FC" w:rsidP="00581946">
            <w:pPr>
              <w:spacing w:after="0"/>
              <w:jc w:val="center"/>
              <w:rPr>
                <w:rFonts w:cs="Arial"/>
                <w:szCs w:val="24"/>
              </w:rPr>
            </w:pPr>
          </w:p>
        </w:tc>
        <w:tc>
          <w:tcPr>
            <w:tcW w:w="3506" w:type="dxa"/>
            <w:shd w:val="clear" w:color="auto" w:fill="auto"/>
            <w:noWrap/>
            <w:vAlign w:val="center"/>
          </w:tcPr>
          <w:p w:rsidR="00AC40FC" w:rsidRPr="00F17825" w:rsidRDefault="00AC40FC" w:rsidP="00581946">
            <w:pPr>
              <w:spacing w:after="0"/>
              <w:jc w:val="center"/>
              <w:rPr>
                <w:rFonts w:cs="Arial"/>
                <w:szCs w:val="24"/>
              </w:rPr>
            </w:pPr>
            <w:r>
              <w:rPr>
                <w:rFonts w:cs="Arial"/>
                <w:szCs w:val="24"/>
              </w:rPr>
              <w:t>Sub-total</w:t>
            </w:r>
          </w:p>
        </w:tc>
        <w:tc>
          <w:tcPr>
            <w:tcW w:w="810" w:type="dxa"/>
            <w:shd w:val="clear" w:color="auto" w:fill="auto"/>
            <w:noWrap/>
            <w:vAlign w:val="bottom"/>
          </w:tcPr>
          <w:p w:rsidR="00AC40FC" w:rsidRPr="00F17825" w:rsidRDefault="00AC40FC" w:rsidP="00581946">
            <w:pPr>
              <w:spacing w:after="0"/>
              <w:jc w:val="center"/>
              <w:rPr>
                <w:rFonts w:cs="Arial"/>
                <w:szCs w:val="24"/>
              </w:rPr>
            </w:pPr>
            <w:r>
              <w:rPr>
                <w:rFonts w:cs="Arial"/>
                <w:szCs w:val="24"/>
              </w:rPr>
              <w:t>11</w:t>
            </w:r>
          </w:p>
        </w:tc>
        <w:tc>
          <w:tcPr>
            <w:tcW w:w="810" w:type="dxa"/>
            <w:shd w:val="clear" w:color="auto" w:fill="auto"/>
            <w:noWrap/>
            <w:vAlign w:val="bottom"/>
          </w:tcPr>
          <w:p w:rsidR="00AC40FC" w:rsidRPr="00F17825" w:rsidRDefault="00AC40FC" w:rsidP="00581946">
            <w:pPr>
              <w:spacing w:after="0"/>
              <w:jc w:val="center"/>
              <w:rPr>
                <w:rFonts w:cs="Arial"/>
                <w:szCs w:val="24"/>
              </w:rPr>
            </w:pPr>
            <w:r>
              <w:rPr>
                <w:rFonts w:cs="Arial"/>
                <w:szCs w:val="24"/>
              </w:rPr>
              <w:t>11</w:t>
            </w:r>
          </w:p>
        </w:tc>
        <w:tc>
          <w:tcPr>
            <w:tcW w:w="1097" w:type="dxa"/>
            <w:shd w:val="clear" w:color="auto" w:fill="auto"/>
            <w:noWrap/>
            <w:vAlign w:val="bottom"/>
          </w:tcPr>
          <w:p w:rsidR="00AC40FC" w:rsidRPr="00F17825" w:rsidRDefault="00AC40FC" w:rsidP="00581946">
            <w:pPr>
              <w:spacing w:after="0"/>
              <w:jc w:val="center"/>
              <w:rPr>
                <w:rFonts w:cs="Arial"/>
                <w:szCs w:val="24"/>
              </w:rPr>
            </w:pPr>
            <w:r>
              <w:rPr>
                <w:rFonts w:cs="Arial"/>
                <w:szCs w:val="24"/>
              </w:rPr>
              <w:t>0</w:t>
            </w:r>
          </w:p>
        </w:tc>
      </w:tr>
      <w:tr w:rsidR="00AC40FC" w:rsidRPr="00F17825" w:rsidTr="00581946">
        <w:trPr>
          <w:trHeight w:val="300"/>
          <w:jc w:val="center"/>
        </w:trPr>
        <w:tc>
          <w:tcPr>
            <w:tcW w:w="7183" w:type="dxa"/>
            <w:gridSpan w:val="5"/>
            <w:shd w:val="clear" w:color="auto" w:fill="auto"/>
            <w:noWrap/>
            <w:vAlign w:val="center"/>
          </w:tcPr>
          <w:p w:rsidR="00AC40FC" w:rsidRPr="00243232" w:rsidRDefault="00AC40FC" w:rsidP="00581946">
            <w:pPr>
              <w:spacing w:after="0"/>
              <w:jc w:val="left"/>
              <w:rPr>
                <w:rFonts w:cs="Arial"/>
                <w:b/>
                <w:szCs w:val="24"/>
              </w:rPr>
            </w:pPr>
            <w:r w:rsidRPr="00243232">
              <w:rPr>
                <w:rFonts w:cs="Arial"/>
                <w:b/>
                <w:szCs w:val="24"/>
              </w:rPr>
              <w:t>Investor Relations &amp; Financial Planning</w:t>
            </w:r>
          </w:p>
        </w:tc>
      </w:tr>
      <w:tr w:rsidR="00AC40FC" w:rsidRPr="00F17825" w:rsidTr="00581946">
        <w:trPr>
          <w:trHeight w:val="300"/>
          <w:jc w:val="center"/>
        </w:trPr>
        <w:tc>
          <w:tcPr>
            <w:tcW w:w="960" w:type="dxa"/>
            <w:shd w:val="clear" w:color="auto" w:fill="auto"/>
            <w:noWrap/>
            <w:vAlign w:val="center"/>
          </w:tcPr>
          <w:p w:rsidR="00AC40FC" w:rsidRPr="00F17825" w:rsidRDefault="00AC40FC" w:rsidP="00581946">
            <w:pPr>
              <w:spacing w:after="0"/>
              <w:jc w:val="center"/>
              <w:rPr>
                <w:rFonts w:cs="Arial"/>
                <w:szCs w:val="24"/>
              </w:rPr>
            </w:pPr>
            <w:r w:rsidRPr="00F17825">
              <w:rPr>
                <w:rFonts w:cs="Arial"/>
                <w:szCs w:val="24"/>
              </w:rPr>
              <w:t>0130</w:t>
            </w:r>
          </w:p>
        </w:tc>
        <w:tc>
          <w:tcPr>
            <w:tcW w:w="3506" w:type="dxa"/>
            <w:shd w:val="clear" w:color="auto" w:fill="auto"/>
            <w:noWrap/>
            <w:vAlign w:val="center"/>
          </w:tcPr>
          <w:p w:rsidR="00AC40FC" w:rsidRPr="00F17825" w:rsidRDefault="00AC40FC" w:rsidP="00581946">
            <w:pPr>
              <w:spacing w:after="0"/>
              <w:jc w:val="left"/>
              <w:rPr>
                <w:rFonts w:cs="Arial"/>
                <w:szCs w:val="24"/>
              </w:rPr>
            </w:pPr>
            <w:r w:rsidRPr="00F17825">
              <w:rPr>
                <w:rFonts w:cs="Arial"/>
                <w:szCs w:val="24"/>
              </w:rPr>
              <w:t>Financial Planning</w:t>
            </w:r>
          </w:p>
        </w:tc>
        <w:tc>
          <w:tcPr>
            <w:tcW w:w="810" w:type="dxa"/>
            <w:shd w:val="clear" w:color="auto" w:fill="auto"/>
            <w:noWrap/>
            <w:vAlign w:val="bottom"/>
          </w:tcPr>
          <w:p w:rsidR="00AC40FC" w:rsidRPr="00F17825" w:rsidRDefault="00AC40FC" w:rsidP="00581946">
            <w:pPr>
              <w:spacing w:after="0"/>
              <w:jc w:val="center"/>
              <w:rPr>
                <w:rFonts w:cs="Arial"/>
                <w:szCs w:val="24"/>
              </w:rPr>
            </w:pPr>
            <w:r w:rsidRPr="00F17825">
              <w:rPr>
                <w:rFonts w:cs="Arial"/>
                <w:szCs w:val="24"/>
              </w:rPr>
              <w:t>8</w:t>
            </w:r>
          </w:p>
        </w:tc>
        <w:tc>
          <w:tcPr>
            <w:tcW w:w="810" w:type="dxa"/>
            <w:shd w:val="clear" w:color="auto" w:fill="auto"/>
            <w:noWrap/>
            <w:vAlign w:val="bottom"/>
          </w:tcPr>
          <w:p w:rsidR="00AC40FC" w:rsidRPr="00F17825" w:rsidRDefault="00AC40FC" w:rsidP="00581946">
            <w:pPr>
              <w:spacing w:after="0"/>
              <w:jc w:val="center"/>
              <w:rPr>
                <w:rFonts w:cs="Arial"/>
                <w:szCs w:val="24"/>
              </w:rPr>
            </w:pPr>
            <w:r w:rsidRPr="00F17825">
              <w:rPr>
                <w:rFonts w:cs="Arial"/>
                <w:szCs w:val="24"/>
              </w:rPr>
              <w:t>8</w:t>
            </w:r>
          </w:p>
        </w:tc>
        <w:tc>
          <w:tcPr>
            <w:tcW w:w="1097" w:type="dxa"/>
            <w:shd w:val="clear" w:color="auto" w:fill="auto"/>
            <w:noWrap/>
            <w:vAlign w:val="bottom"/>
          </w:tcPr>
          <w:p w:rsidR="00AC40FC" w:rsidRPr="00F17825" w:rsidRDefault="00AC40FC" w:rsidP="00581946">
            <w:pPr>
              <w:spacing w:after="0"/>
              <w:jc w:val="center"/>
              <w:rPr>
                <w:rFonts w:cs="Arial"/>
                <w:szCs w:val="24"/>
              </w:rPr>
            </w:pPr>
            <w:r w:rsidRPr="00F17825">
              <w:rPr>
                <w:rFonts w:cs="Arial"/>
                <w:szCs w:val="24"/>
              </w:rPr>
              <w:t>0</w:t>
            </w:r>
          </w:p>
        </w:tc>
      </w:tr>
      <w:tr w:rsidR="00AC40FC" w:rsidRPr="00F17825" w:rsidTr="00581946">
        <w:trPr>
          <w:trHeight w:val="300"/>
          <w:jc w:val="center"/>
        </w:trPr>
        <w:tc>
          <w:tcPr>
            <w:tcW w:w="960" w:type="dxa"/>
            <w:shd w:val="clear" w:color="auto" w:fill="auto"/>
            <w:noWrap/>
            <w:vAlign w:val="center"/>
          </w:tcPr>
          <w:p w:rsidR="00AC40FC" w:rsidRPr="00F17825" w:rsidRDefault="00AC40FC" w:rsidP="00581946">
            <w:pPr>
              <w:spacing w:after="0"/>
              <w:jc w:val="center"/>
              <w:rPr>
                <w:rFonts w:cs="Arial"/>
                <w:szCs w:val="24"/>
              </w:rPr>
            </w:pPr>
            <w:r w:rsidRPr="00F17825">
              <w:rPr>
                <w:rFonts w:cs="Arial"/>
                <w:szCs w:val="24"/>
              </w:rPr>
              <w:t>0198</w:t>
            </w:r>
          </w:p>
        </w:tc>
        <w:tc>
          <w:tcPr>
            <w:tcW w:w="3506" w:type="dxa"/>
            <w:shd w:val="clear" w:color="auto" w:fill="auto"/>
            <w:noWrap/>
            <w:vAlign w:val="center"/>
          </w:tcPr>
          <w:p w:rsidR="00AC40FC" w:rsidRPr="00F17825" w:rsidRDefault="00AC40FC" w:rsidP="00581946">
            <w:pPr>
              <w:spacing w:after="0"/>
              <w:jc w:val="left"/>
              <w:rPr>
                <w:rFonts w:cs="Arial"/>
                <w:szCs w:val="24"/>
              </w:rPr>
            </w:pPr>
            <w:r w:rsidRPr="00F17825">
              <w:rPr>
                <w:rFonts w:cs="Arial"/>
                <w:szCs w:val="24"/>
              </w:rPr>
              <w:t>Investor Relations</w:t>
            </w:r>
          </w:p>
        </w:tc>
        <w:tc>
          <w:tcPr>
            <w:tcW w:w="810" w:type="dxa"/>
            <w:shd w:val="clear" w:color="auto" w:fill="auto"/>
            <w:noWrap/>
            <w:vAlign w:val="bottom"/>
          </w:tcPr>
          <w:p w:rsidR="00AC40FC" w:rsidRPr="00F17825" w:rsidRDefault="00AC40FC" w:rsidP="00581946">
            <w:pPr>
              <w:spacing w:after="0"/>
              <w:jc w:val="center"/>
              <w:rPr>
                <w:rFonts w:cs="Arial"/>
                <w:szCs w:val="24"/>
              </w:rPr>
            </w:pPr>
            <w:r w:rsidRPr="00F17825">
              <w:rPr>
                <w:rFonts w:cs="Arial"/>
                <w:szCs w:val="24"/>
              </w:rPr>
              <w:t>3</w:t>
            </w:r>
          </w:p>
        </w:tc>
        <w:tc>
          <w:tcPr>
            <w:tcW w:w="810" w:type="dxa"/>
            <w:shd w:val="clear" w:color="auto" w:fill="auto"/>
            <w:noWrap/>
            <w:vAlign w:val="bottom"/>
          </w:tcPr>
          <w:p w:rsidR="00AC40FC" w:rsidRPr="00F17825" w:rsidRDefault="00AC40FC" w:rsidP="00581946">
            <w:pPr>
              <w:spacing w:after="0"/>
              <w:jc w:val="center"/>
              <w:rPr>
                <w:rFonts w:cs="Arial"/>
                <w:szCs w:val="24"/>
              </w:rPr>
            </w:pPr>
            <w:r w:rsidRPr="00F17825">
              <w:rPr>
                <w:rFonts w:cs="Arial"/>
                <w:szCs w:val="24"/>
              </w:rPr>
              <w:t>2</w:t>
            </w:r>
          </w:p>
        </w:tc>
        <w:tc>
          <w:tcPr>
            <w:tcW w:w="1097" w:type="dxa"/>
            <w:shd w:val="clear" w:color="auto" w:fill="auto"/>
            <w:noWrap/>
            <w:vAlign w:val="bottom"/>
          </w:tcPr>
          <w:p w:rsidR="00AC40FC" w:rsidRPr="00F17825" w:rsidRDefault="00AC40FC" w:rsidP="00581946">
            <w:pPr>
              <w:spacing w:after="0"/>
              <w:jc w:val="center"/>
              <w:rPr>
                <w:rFonts w:cs="Arial"/>
                <w:szCs w:val="24"/>
              </w:rPr>
            </w:pPr>
            <w:r w:rsidRPr="00F17825">
              <w:rPr>
                <w:rFonts w:cs="Arial"/>
                <w:szCs w:val="24"/>
              </w:rPr>
              <w:t>-1</w:t>
            </w:r>
          </w:p>
        </w:tc>
      </w:tr>
      <w:tr w:rsidR="00AC40FC" w:rsidRPr="00F17825" w:rsidTr="00581946">
        <w:trPr>
          <w:trHeight w:val="300"/>
          <w:jc w:val="center"/>
        </w:trPr>
        <w:tc>
          <w:tcPr>
            <w:tcW w:w="960" w:type="dxa"/>
            <w:shd w:val="clear" w:color="auto" w:fill="auto"/>
            <w:noWrap/>
            <w:vAlign w:val="center"/>
          </w:tcPr>
          <w:p w:rsidR="00AC40FC" w:rsidRPr="00F17825" w:rsidRDefault="00AC40FC" w:rsidP="00581946">
            <w:pPr>
              <w:spacing w:after="0"/>
              <w:jc w:val="center"/>
              <w:rPr>
                <w:rFonts w:cs="Arial"/>
                <w:szCs w:val="24"/>
              </w:rPr>
            </w:pPr>
          </w:p>
        </w:tc>
        <w:tc>
          <w:tcPr>
            <w:tcW w:w="3506" w:type="dxa"/>
            <w:shd w:val="clear" w:color="auto" w:fill="auto"/>
            <w:noWrap/>
            <w:vAlign w:val="center"/>
          </w:tcPr>
          <w:p w:rsidR="00AC40FC" w:rsidRPr="00F17825" w:rsidRDefault="00AC40FC" w:rsidP="00581946">
            <w:pPr>
              <w:spacing w:after="0"/>
              <w:jc w:val="center"/>
              <w:rPr>
                <w:rFonts w:cs="Arial"/>
                <w:szCs w:val="24"/>
              </w:rPr>
            </w:pPr>
            <w:r>
              <w:rPr>
                <w:rFonts w:cs="Arial"/>
                <w:szCs w:val="24"/>
              </w:rPr>
              <w:t>Sub-total</w:t>
            </w:r>
          </w:p>
        </w:tc>
        <w:tc>
          <w:tcPr>
            <w:tcW w:w="810" w:type="dxa"/>
            <w:shd w:val="clear" w:color="auto" w:fill="auto"/>
            <w:noWrap/>
            <w:vAlign w:val="bottom"/>
          </w:tcPr>
          <w:p w:rsidR="00AC40FC" w:rsidRPr="00F17825" w:rsidRDefault="00AC40FC" w:rsidP="00581946">
            <w:pPr>
              <w:spacing w:after="0"/>
              <w:jc w:val="center"/>
              <w:rPr>
                <w:rFonts w:cs="Arial"/>
                <w:szCs w:val="24"/>
              </w:rPr>
            </w:pPr>
            <w:r>
              <w:rPr>
                <w:rFonts w:cs="Arial"/>
                <w:szCs w:val="24"/>
              </w:rPr>
              <w:t>11</w:t>
            </w:r>
          </w:p>
        </w:tc>
        <w:tc>
          <w:tcPr>
            <w:tcW w:w="810" w:type="dxa"/>
            <w:shd w:val="clear" w:color="auto" w:fill="auto"/>
            <w:noWrap/>
            <w:vAlign w:val="bottom"/>
          </w:tcPr>
          <w:p w:rsidR="00AC40FC" w:rsidRPr="00F17825" w:rsidRDefault="00AC40FC" w:rsidP="00581946">
            <w:pPr>
              <w:spacing w:after="0"/>
              <w:jc w:val="center"/>
              <w:rPr>
                <w:rFonts w:cs="Arial"/>
                <w:szCs w:val="24"/>
              </w:rPr>
            </w:pPr>
            <w:r>
              <w:rPr>
                <w:rFonts w:cs="Arial"/>
                <w:szCs w:val="24"/>
              </w:rPr>
              <w:t>10</w:t>
            </w:r>
          </w:p>
        </w:tc>
        <w:tc>
          <w:tcPr>
            <w:tcW w:w="1097" w:type="dxa"/>
            <w:shd w:val="clear" w:color="auto" w:fill="auto"/>
            <w:noWrap/>
            <w:vAlign w:val="bottom"/>
          </w:tcPr>
          <w:p w:rsidR="00AC40FC" w:rsidRPr="00F17825" w:rsidRDefault="00AC40FC" w:rsidP="00581946">
            <w:pPr>
              <w:spacing w:after="0"/>
              <w:jc w:val="center"/>
              <w:rPr>
                <w:rFonts w:cs="Arial"/>
                <w:szCs w:val="24"/>
              </w:rPr>
            </w:pPr>
            <w:r>
              <w:rPr>
                <w:rFonts w:cs="Arial"/>
                <w:szCs w:val="24"/>
              </w:rPr>
              <w:t>-1</w:t>
            </w:r>
          </w:p>
        </w:tc>
      </w:tr>
      <w:tr w:rsidR="00AC40FC" w:rsidRPr="00F17825" w:rsidTr="00581946">
        <w:trPr>
          <w:trHeight w:val="300"/>
          <w:jc w:val="center"/>
        </w:trPr>
        <w:tc>
          <w:tcPr>
            <w:tcW w:w="7183" w:type="dxa"/>
            <w:gridSpan w:val="5"/>
            <w:shd w:val="clear" w:color="auto" w:fill="auto"/>
            <w:noWrap/>
            <w:vAlign w:val="center"/>
          </w:tcPr>
          <w:p w:rsidR="00AC40FC" w:rsidRPr="00243232" w:rsidRDefault="00AC40FC" w:rsidP="00581946">
            <w:pPr>
              <w:spacing w:after="0"/>
              <w:jc w:val="left"/>
              <w:rPr>
                <w:rFonts w:cs="Arial"/>
                <w:b/>
                <w:szCs w:val="24"/>
              </w:rPr>
            </w:pPr>
            <w:r w:rsidRPr="00243232">
              <w:rPr>
                <w:rFonts w:cs="Arial"/>
                <w:b/>
                <w:szCs w:val="24"/>
              </w:rPr>
              <w:t>Controller</w:t>
            </w:r>
          </w:p>
        </w:tc>
      </w:tr>
      <w:tr w:rsidR="00AC40FC" w:rsidRPr="00F17825" w:rsidTr="00581946">
        <w:trPr>
          <w:trHeight w:val="300"/>
          <w:jc w:val="center"/>
        </w:trPr>
        <w:tc>
          <w:tcPr>
            <w:tcW w:w="960" w:type="dxa"/>
            <w:shd w:val="clear" w:color="auto" w:fill="auto"/>
            <w:noWrap/>
            <w:vAlign w:val="center"/>
          </w:tcPr>
          <w:p w:rsidR="00AC40FC" w:rsidRPr="00F17825" w:rsidRDefault="00AC40FC" w:rsidP="00581946">
            <w:pPr>
              <w:spacing w:after="0"/>
              <w:jc w:val="center"/>
              <w:rPr>
                <w:rFonts w:cs="Arial"/>
                <w:szCs w:val="24"/>
              </w:rPr>
            </w:pPr>
            <w:r w:rsidRPr="00F17825">
              <w:rPr>
                <w:rFonts w:cs="Arial"/>
                <w:szCs w:val="24"/>
              </w:rPr>
              <w:t>0103</w:t>
            </w:r>
          </w:p>
        </w:tc>
        <w:tc>
          <w:tcPr>
            <w:tcW w:w="3506" w:type="dxa"/>
            <w:shd w:val="clear" w:color="auto" w:fill="auto"/>
            <w:noWrap/>
            <w:vAlign w:val="center"/>
          </w:tcPr>
          <w:p w:rsidR="00AC40FC" w:rsidRPr="00F17825" w:rsidRDefault="00AC40FC" w:rsidP="00581946">
            <w:pPr>
              <w:spacing w:after="0"/>
              <w:jc w:val="left"/>
              <w:rPr>
                <w:rFonts w:cs="Arial"/>
                <w:szCs w:val="24"/>
              </w:rPr>
            </w:pPr>
            <w:r w:rsidRPr="00F17825">
              <w:rPr>
                <w:rFonts w:cs="Arial"/>
                <w:szCs w:val="24"/>
              </w:rPr>
              <w:t>Global Accounting</w:t>
            </w:r>
          </w:p>
        </w:tc>
        <w:tc>
          <w:tcPr>
            <w:tcW w:w="810" w:type="dxa"/>
            <w:shd w:val="clear" w:color="auto" w:fill="auto"/>
            <w:noWrap/>
            <w:vAlign w:val="bottom"/>
          </w:tcPr>
          <w:p w:rsidR="00AC40FC" w:rsidRPr="00F17825" w:rsidRDefault="00AC40FC" w:rsidP="00581946">
            <w:pPr>
              <w:spacing w:after="0"/>
              <w:jc w:val="center"/>
              <w:rPr>
                <w:rFonts w:cs="Arial"/>
                <w:szCs w:val="24"/>
              </w:rPr>
            </w:pPr>
            <w:r w:rsidRPr="00F17825">
              <w:rPr>
                <w:rFonts w:cs="Arial"/>
                <w:szCs w:val="24"/>
              </w:rPr>
              <w:t>3</w:t>
            </w:r>
          </w:p>
        </w:tc>
        <w:tc>
          <w:tcPr>
            <w:tcW w:w="810" w:type="dxa"/>
            <w:shd w:val="clear" w:color="auto" w:fill="auto"/>
            <w:noWrap/>
            <w:vAlign w:val="bottom"/>
          </w:tcPr>
          <w:p w:rsidR="00AC40FC" w:rsidRPr="00F17825" w:rsidRDefault="00AC40FC" w:rsidP="00581946">
            <w:pPr>
              <w:spacing w:after="0"/>
              <w:jc w:val="center"/>
              <w:rPr>
                <w:rFonts w:cs="Arial"/>
                <w:szCs w:val="24"/>
              </w:rPr>
            </w:pPr>
            <w:r w:rsidRPr="00F17825">
              <w:rPr>
                <w:rFonts w:cs="Arial"/>
                <w:szCs w:val="24"/>
              </w:rPr>
              <w:t>4</w:t>
            </w:r>
          </w:p>
        </w:tc>
        <w:tc>
          <w:tcPr>
            <w:tcW w:w="1097" w:type="dxa"/>
            <w:shd w:val="clear" w:color="auto" w:fill="auto"/>
            <w:noWrap/>
            <w:vAlign w:val="bottom"/>
          </w:tcPr>
          <w:p w:rsidR="00AC40FC" w:rsidRPr="00F17825" w:rsidRDefault="00AC40FC" w:rsidP="00581946">
            <w:pPr>
              <w:spacing w:after="0"/>
              <w:jc w:val="center"/>
              <w:rPr>
                <w:rFonts w:cs="Arial"/>
                <w:szCs w:val="24"/>
              </w:rPr>
            </w:pPr>
            <w:r w:rsidRPr="00F17825">
              <w:rPr>
                <w:rFonts w:cs="Arial"/>
                <w:szCs w:val="24"/>
              </w:rPr>
              <w:t>1</w:t>
            </w:r>
          </w:p>
        </w:tc>
      </w:tr>
      <w:tr w:rsidR="00AC40FC" w:rsidRPr="00F17825" w:rsidTr="00581946">
        <w:trPr>
          <w:trHeight w:val="300"/>
          <w:jc w:val="center"/>
        </w:trPr>
        <w:tc>
          <w:tcPr>
            <w:tcW w:w="960" w:type="dxa"/>
            <w:shd w:val="clear" w:color="auto" w:fill="auto"/>
            <w:noWrap/>
            <w:vAlign w:val="center"/>
          </w:tcPr>
          <w:p w:rsidR="00AC40FC" w:rsidRPr="00F17825" w:rsidRDefault="00AC40FC" w:rsidP="00581946">
            <w:pPr>
              <w:spacing w:after="0"/>
              <w:jc w:val="center"/>
              <w:rPr>
                <w:rFonts w:cs="Arial"/>
                <w:szCs w:val="24"/>
              </w:rPr>
            </w:pPr>
            <w:r w:rsidRPr="00F17825">
              <w:rPr>
                <w:rFonts w:cs="Arial"/>
                <w:szCs w:val="24"/>
              </w:rPr>
              <w:t>0105</w:t>
            </w:r>
          </w:p>
        </w:tc>
        <w:tc>
          <w:tcPr>
            <w:tcW w:w="3506" w:type="dxa"/>
            <w:shd w:val="clear" w:color="auto" w:fill="auto"/>
            <w:noWrap/>
            <w:vAlign w:val="center"/>
          </w:tcPr>
          <w:p w:rsidR="00AC40FC" w:rsidRPr="00F17825" w:rsidRDefault="00AC40FC" w:rsidP="00581946">
            <w:pPr>
              <w:spacing w:after="0"/>
              <w:jc w:val="left"/>
              <w:rPr>
                <w:rFonts w:cs="Arial"/>
                <w:szCs w:val="24"/>
              </w:rPr>
            </w:pPr>
            <w:r w:rsidRPr="00F17825">
              <w:rPr>
                <w:rFonts w:cs="Arial"/>
                <w:szCs w:val="24"/>
              </w:rPr>
              <w:t>Controller</w:t>
            </w:r>
          </w:p>
        </w:tc>
        <w:tc>
          <w:tcPr>
            <w:tcW w:w="810" w:type="dxa"/>
            <w:shd w:val="clear" w:color="auto" w:fill="auto"/>
            <w:noWrap/>
            <w:vAlign w:val="bottom"/>
          </w:tcPr>
          <w:p w:rsidR="00AC40FC" w:rsidRPr="00F17825" w:rsidRDefault="00AC40FC" w:rsidP="00581946">
            <w:pPr>
              <w:spacing w:after="0"/>
              <w:jc w:val="center"/>
              <w:rPr>
                <w:rFonts w:cs="Arial"/>
                <w:szCs w:val="24"/>
              </w:rPr>
            </w:pPr>
            <w:r w:rsidRPr="00F17825">
              <w:rPr>
                <w:rFonts w:cs="Arial"/>
                <w:szCs w:val="24"/>
              </w:rPr>
              <w:t>25</w:t>
            </w:r>
          </w:p>
        </w:tc>
        <w:tc>
          <w:tcPr>
            <w:tcW w:w="810" w:type="dxa"/>
            <w:shd w:val="clear" w:color="auto" w:fill="auto"/>
            <w:noWrap/>
            <w:vAlign w:val="bottom"/>
          </w:tcPr>
          <w:p w:rsidR="00AC40FC" w:rsidRPr="00F17825" w:rsidRDefault="00AC40FC" w:rsidP="00581946">
            <w:pPr>
              <w:spacing w:after="0"/>
              <w:jc w:val="center"/>
              <w:rPr>
                <w:rFonts w:cs="Arial"/>
                <w:szCs w:val="24"/>
              </w:rPr>
            </w:pPr>
            <w:r w:rsidRPr="00F17825">
              <w:rPr>
                <w:rFonts w:cs="Arial"/>
                <w:szCs w:val="24"/>
              </w:rPr>
              <w:t>22</w:t>
            </w:r>
          </w:p>
        </w:tc>
        <w:tc>
          <w:tcPr>
            <w:tcW w:w="1097" w:type="dxa"/>
            <w:shd w:val="clear" w:color="auto" w:fill="auto"/>
            <w:noWrap/>
            <w:vAlign w:val="bottom"/>
          </w:tcPr>
          <w:p w:rsidR="00AC40FC" w:rsidRPr="00F17825" w:rsidRDefault="00AC40FC" w:rsidP="00581946">
            <w:pPr>
              <w:spacing w:after="0"/>
              <w:jc w:val="center"/>
              <w:rPr>
                <w:rFonts w:cs="Arial"/>
                <w:szCs w:val="24"/>
              </w:rPr>
            </w:pPr>
            <w:r w:rsidRPr="00F17825">
              <w:rPr>
                <w:rFonts w:cs="Arial"/>
                <w:szCs w:val="24"/>
              </w:rPr>
              <w:t>-3</w:t>
            </w:r>
          </w:p>
        </w:tc>
      </w:tr>
      <w:tr w:rsidR="00AC40FC" w:rsidRPr="00F17825" w:rsidTr="00581946">
        <w:trPr>
          <w:trHeight w:val="300"/>
          <w:jc w:val="center"/>
        </w:trPr>
        <w:tc>
          <w:tcPr>
            <w:tcW w:w="960" w:type="dxa"/>
            <w:shd w:val="clear" w:color="auto" w:fill="auto"/>
            <w:noWrap/>
            <w:vAlign w:val="center"/>
          </w:tcPr>
          <w:p w:rsidR="00AC40FC" w:rsidRPr="00F17825" w:rsidRDefault="00AC40FC" w:rsidP="00581946">
            <w:pPr>
              <w:spacing w:after="0"/>
              <w:jc w:val="center"/>
              <w:rPr>
                <w:rFonts w:cs="Arial"/>
                <w:szCs w:val="24"/>
              </w:rPr>
            </w:pPr>
            <w:r w:rsidRPr="00F17825">
              <w:rPr>
                <w:rFonts w:cs="Arial"/>
                <w:szCs w:val="24"/>
              </w:rPr>
              <w:t>0111</w:t>
            </w:r>
          </w:p>
        </w:tc>
        <w:tc>
          <w:tcPr>
            <w:tcW w:w="3506" w:type="dxa"/>
            <w:shd w:val="clear" w:color="auto" w:fill="auto"/>
            <w:noWrap/>
            <w:vAlign w:val="center"/>
          </w:tcPr>
          <w:p w:rsidR="00AC40FC" w:rsidRPr="00F17825" w:rsidRDefault="00AC40FC" w:rsidP="00581946">
            <w:pPr>
              <w:spacing w:after="0"/>
              <w:jc w:val="left"/>
              <w:rPr>
                <w:rFonts w:cs="Arial"/>
                <w:szCs w:val="24"/>
              </w:rPr>
            </w:pPr>
            <w:r w:rsidRPr="00F17825">
              <w:rPr>
                <w:rFonts w:cs="Arial"/>
                <w:szCs w:val="24"/>
              </w:rPr>
              <w:t>Financial Accounting</w:t>
            </w:r>
          </w:p>
        </w:tc>
        <w:tc>
          <w:tcPr>
            <w:tcW w:w="810" w:type="dxa"/>
            <w:shd w:val="clear" w:color="auto" w:fill="auto"/>
            <w:noWrap/>
            <w:vAlign w:val="bottom"/>
          </w:tcPr>
          <w:p w:rsidR="00AC40FC" w:rsidRPr="00F17825" w:rsidRDefault="00AC40FC" w:rsidP="00581946">
            <w:pPr>
              <w:spacing w:after="0"/>
              <w:jc w:val="center"/>
              <w:rPr>
                <w:rFonts w:cs="Arial"/>
                <w:szCs w:val="24"/>
              </w:rPr>
            </w:pPr>
            <w:r w:rsidRPr="00F17825">
              <w:rPr>
                <w:rFonts w:cs="Arial"/>
                <w:szCs w:val="24"/>
              </w:rPr>
              <w:t>5</w:t>
            </w:r>
          </w:p>
        </w:tc>
        <w:tc>
          <w:tcPr>
            <w:tcW w:w="810" w:type="dxa"/>
            <w:shd w:val="clear" w:color="auto" w:fill="auto"/>
            <w:noWrap/>
            <w:vAlign w:val="bottom"/>
          </w:tcPr>
          <w:p w:rsidR="00AC40FC" w:rsidRPr="00F17825" w:rsidRDefault="00AC40FC" w:rsidP="00581946">
            <w:pPr>
              <w:spacing w:after="0"/>
              <w:jc w:val="center"/>
              <w:rPr>
                <w:rFonts w:cs="Arial"/>
                <w:szCs w:val="24"/>
              </w:rPr>
            </w:pPr>
            <w:r w:rsidRPr="00F17825">
              <w:rPr>
                <w:rFonts w:cs="Arial"/>
                <w:szCs w:val="24"/>
              </w:rPr>
              <w:t>0</w:t>
            </w:r>
          </w:p>
        </w:tc>
        <w:tc>
          <w:tcPr>
            <w:tcW w:w="1097" w:type="dxa"/>
            <w:shd w:val="clear" w:color="auto" w:fill="auto"/>
            <w:noWrap/>
            <w:vAlign w:val="bottom"/>
          </w:tcPr>
          <w:p w:rsidR="00AC40FC" w:rsidRPr="00F17825" w:rsidRDefault="00AC40FC" w:rsidP="00581946">
            <w:pPr>
              <w:spacing w:after="0"/>
              <w:jc w:val="center"/>
              <w:rPr>
                <w:rFonts w:cs="Arial"/>
                <w:szCs w:val="24"/>
              </w:rPr>
            </w:pPr>
            <w:r w:rsidRPr="00F17825">
              <w:rPr>
                <w:rFonts w:cs="Arial"/>
                <w:szCs w:val="24"/>
              </w:rPr>
              <w:t>-5</w:t>
            </w:r>
          </w:p>
        </w:tc>
      </w:tr>
      <w:tr w:rsidR="00AC40FC" w:rsidRPr="00F17825" w:rsidTr="00581946">
        <w:trPr>
          <w:trHeight w:val="300"/>
          <w:jc w:val="center"/>
        </w:trPr>
        <w:tc>
          <w:tcPr>
            <w:tcW w:w="960" w:type="dxa"/>
            <w:shd w:val="clear" w:color="auto" w:fill="auto"/>
            <w:noWrap/>
            <w:vAlign w:val="center"/>
          </w:tcPr>
          <w:p w:rsidR="00AC40FC" w:rsidRPr="00F17825" w:rsidRDefault="00AC40FC" w:rsidP="00581946">
            <w:pPr>
              <w:spacing w:after="0"/>
              <w:jc w:val="center"/>
              <w:rPr>
                <w:rFonts w:cs="Arial"/>
                <w:szCs w:val="24"/>
              </w:rPr>
            </w:pPr>
          </w:p>
        </w:tc>
        <w:tc>
          <w:tcPr>
            <w:tcW w:w="3506" w:type="dxa"/>
            <w:shd w:val="clear" w:color="auto" w:fill="auto"/>
            <w:noWrap/>
            <w:vAlign w:val="center"/>
          </w:tcPr>
          <w:p w:rsidR="00AC40FC" w:rsidRPr="00F17825" w:rsidRDefault="00AC40FC" w:rsidP="00581946">
            <w:pPr>
              <w:spacing w:after="0"/>
              <w:jc w:val="center"/>
              <w:rPr>
                <w:rFonts w:cs="Arial"/>
                <w:szCs w:val="24"/>
              </w:rPr>
            </w:pPr>
            <w:r>
              <w:rPr>
                <w:rFonts w:cs="Arial"/>
                <w:szCs w:val="24"/>
              </w:rPr>
              <w:t>Sub-total</w:t>
            </w:r>
          </w:p>
        </w:tc>
        <w:tc>
          <w:tcPr>
            <w:tcW w:w="810" w:type="dxa"/>
            <w:shd w:val="clear" w:color="auto" w:fill="auto"/>
            <w:noWrap/>
            <w:vAlign w:val="bottom"/>
          </w:tcPr>
          <w:p w:rsidR="00AC40FC" w:rsidRPr="00F17825" w:rsidRDefault="00AC40FC" w:rsidP="00581946">
            <w:pPr>
              <w:spacing w:after="0"/>
              <w:jc w:val="center"/>
              <w:rPr>
                <w:rFonts w:cs="Arial"/>
                <w:szCs w:val="24"/>
              </w:rPr>
            </w:pPr>
            <w:r>
              <w:rPr>
                <w:rFonts w:cs="Arial"/>
                <w:szCs w:val="24"/>
              </w:rPr>
              <w:t>33</w:t>
            </w:r>
          </w:p>
        </w:tc>
        <w:tc>
          <w:tcPr>
            <w:tcW w:w="810" w:type="dxa"/>
            <w:shd w:val="clear" w:color="auto" w:fill="auto"/>
            <w:noWrap/>
            <w:vAlign w:val="bottom"/>
          </w:tcPr>
          <w:p w:rsidR="00AC40FC" w:rsidRPr="00F17825" w:rsidRDefault="00AC40FC" w:rsidP="00581946">
            <w:pPr>
              <w:spacing w:after="0"/>
              <w:jc w:val="center"/>
              <w:rPr>
                <w:rFonts w:cs="Arial"/>
                <w:szCs w:val="24"/>
              </w:rPr>
            </w:pPr>
            <w:r>
              <w:rPr>
                <w:rFonts w:cs="Arial"/>
                <w:szCs w:val="24"/>
              </w:rPr>
              <w:t>26</w:t>
            </w:r>
          </w:p>
        </w:tc>
        <w:tc>
          <w:tcPr>
            <w:tcW w:w="1097" w:type="dxa"/>
            <w:shd w:val="clear" w:color="auto" w:fill="auto"/>
            <w:noWrap/>
            <w:vAlign w:val="bottom"/>
          </w:tcPr>
          <w:p w:rsidR="00AC40FC" w:rsidRPr="00F17825" w:rsidRDefault="00AC40FC" w:rsidP="00581946">
            <w:pPr>
              <w:spacing w:after="0"/>
              <w:jc w:val="center"/>
              <w:rPr>
                <w:rFonts w:cs="Arial"/>
                <w:szCs w:val="24"/>
              </w:rPr>
            </w:pPr>
            <w:r>
              <w:rPr>
                <w:rFonts w:cs="Arial"/>
                <w:szCs w:val="24"/>
              </w:rPr>
              <w:t>-7</w:t>
            </w:r>
          </w:p>
        </w:tc>
      </w:tr>
      <w:tr w:rsidR="00AC40FC" w:rsidRPr="00F17825" w:rsidTr="00581946">
        <w:trPr>
          <w:trHeight w:val="300"/>
          <w:jc w:val="center"/>
        </w:trPr>
        <w:tc>
          <w:tcPr>
            <w:tcW w:w="7183" w:type="dxa"/>
            <w:gridSpan w:val="5"/>
            <w:shd w:val="clear" w:color="auto" w:fill="auto"/>
            <w:noWrap/>
            <w:vAlign w:val="center"/>
          </w:tcPr>
          <w:p w:rsidR="00AC40FC" w:rsidRPr="00243232" w:rsidRDefault="00AC40FC" w:rsidP="00581946">
            <w:pPr>
              <w:spacing w:after="0"/>
              <w:jc w:val="left"/>
              <w:rPr>
                <w:rFonts w:cs="Arial"/>
                <w:b/>
                <w:szCs w:val="24"/>
              </w:rPr>
            </w:pPr>
            <w:r>
              <w:rPr>
                <w:rFonts w:cs="Arial"/>
                <w:b/>
                <w:szCs w:val="24"/>
              </w:rPr>
              <w:t>Tax</w:t>
            </w:r>
          </w:p>
        </w:tc>
      </w:tr>
      <w:tr w:rsidR="00AC40FC" w:rsidRPr="00F17825" w:rsidTr="00581946">
        <w:trPr>
          <w:trHeight w:val="300"/>
          <w:jc w:val="center"/>
        </w:trPr>
        <w:tc>
          <w:tcPr>
            <w:tcW w:w="960" w:type="dxa"/>
            <w:shd w:val="clear" w:color="auto" w:fill="auto"/>
            <w:noWrap/>
            <w:vAlign w:val="center"/>
          </w:tcPr>
          <w:p w:rsidR="00AC40FC" w:rsidRPr="00F17825" w:rsidRDefault="00AC40FC" w:rsidP="00581946">
            <w:pPr>
              <w:spacing w:after="0"/>
              <w:jc w:val="center"/>
              <w:rPr>
                <w:rFonts w:cs="Arial"/>
                <w:szCs w:val="24"/>
              </w:rPr>
            </w:pPr>
            <w:r w:rsidRPr="00F17825">
              <w:rPr>
                <w:rFonts w:cs="Arial"/>
                <w:szCs w:val="24"/>
              </w:rPr>
              <w:t>0135</w:t>
            </w:r>
          </w:p>
        </w:tc>
        <w:tc>
          <w:tcPr>
            <w:tcW w:w="3506" w:type="dxa"/>
            <w:shd w:val="clear" w:color="auto" w:fill="auto"/>
            <w:noWrap/>
            <w:vAlign w:val="center"/>
          </w:tcPr>
          <w:p w:rsidR="00AC40FC" w:rsidRPr="00F17825" w:rsidRDefault="00AC40FC" w:rsidP="00581946">
            <w:pPr>
              <w:spacing w:after="0"/>
              <w:jc w:val="left"/>
              <w:rPr>
                <w:rFonts w:cs="Arial"/>
                <w:szCs w:val="24"/>
              </w:rPr>
            </w:pPr>
            <w:r>
              <w:rPr>
                <w:rFonts w:cs="Arial"/>
                <w:szCs w:val="24"/>
              </w:rPr>
              <w:t>Tax</w:t>
            </w:r>
          </w:p>
        </w:tc>
        <w:tc>
          <w:tcPr>
            <w:tcW w:w="810" w:type="dxa"/>
            <w:shd w:val="clear" w:color="auto" w:fill="auto"/>
            <w:noWrap/>
            <w:vAlign w:val="bottom"/>
          </w:tcPr>
          <w:p w:rsidR="00AC40FC" w:rsidRPr="00F17825" w:rsidRDefault="00AC40FC" w:rsidP="00581946">
            <w:pPr>
              <w:spacing w:after="0"/>
              <w:jc w:val="center"/>
              <w:rPr>
                <w:rFonts w:cs="Arial"/>
                <w:szCs w:val="24"/>
              </w:rPr>
            </w:pPr>
            <w:r w:rsidRPr="00F17825">
              <w:rPr>
                <w:rFonts w:cs="Arial"/>
                <w:szCs w:val="24"/>
              </w:rPr>
              <w:t>22</w:t>
            </w:r>
          </w:p>
        </w:tc>
        <w:tc>
          <w:tcPr>
            <w:tcW w:w="810" w:type="dxa"/>
            <w:shd w:val="clear" w:color="auto" w:fill="auto"/>
            <w:noWrap/>
            <w:vAlign w:val="bottom"/>
          </w:tcPr>
          <w:p w:rsidR="00AC40FC" w:rsidRPr="00F17825" w:rsidRDefault="00AC40FC" w:rsidP="00581946">
            <w:pPr>
              <w:spacing w:after="0"/>
              <w:jc w:val="center"/>
              <w:rPr>
                <w:rFonts w:cs="Arial"/>
                <w:szCs w:val="24"/>
              </w:rPr>
            </w:pPr>
            <w:r w:rsidRPr="00F17825">
              <w:rPr>
                <w:rFonts w:cs="Arial"/>
                <w:szCs w:val="24"/>
              </w:rPr>
              <w:t>13</w:t>
            </w:r>
          </w:p>
        </w:tc>
        <w:tc>
          <w:tcPr>
            <w:tcW w:w="1097" w:type="dxa"/>
            <w:shd w:val="clear" w:color="auto" w:fill="auto"/>
            <w:noWrap/>
            <w:vAlign w:val="bottom"/>
          </w:tcPr>
          <w:p w:rsidR="00AC40FC" w:rsidRPr="00F17825" w:rsidRDefault="00AC40FC" w:rsidP="00581946">
            <w:pPr>
              <w:spacing w:after="0"/>
              <w:jc w:val="center"/>
              <w:rPr>
                <w:rFonts w:cs="Arial"/>
                <w:szCs w:val="24"/>
              </w:rPr>
            </w:pPr>
            <w:r w:rsidRPr="00F17825">
              <w:rPr>
                <w:rFonts w:cs="Arial"/>
                <w:szCs w:val="24"/>
              </w:rPr>
              <w:t>-9</w:t>
            </w:r>
          </w:p>
        </w:tc>
      </w:tr>
      <w:tr w:rsidR="00AC40FC" w:rsidRPr="00F17825" w:rsidTr="00581946">
        <w:trPr>
          <w:trHeight w:val="300"/>
          <w:jc w:val="center"/>
        </w:trPr>
        <w:tc>
          <w:tcPr>
            <w:tcW w:w="7183" w:type="dxa"/>
            <w:gridSpan w:val="5"/>
            <w:shd w:val="clear" w:color="auto" w:fill="auto"/>
            <w:noWrap/>
            <w:vAlign w:val="center"/>
          </w:tcPr>
          <w:p w:rsidR="00AC40FC" w:rsidRPr="00243232" w:rsidRDefault="00AC40FC" w:rsidP="00581946">
            <w:pPr>
              <w:spacing w:after="0"/>
              <w:jc w:val="left"/>
              <w:rPr>
                <w:rFonts w:cs="Arial"/>
                <w:b/>
                <w:szCs w:val="24"/>
              </w:rPr>
            </w:pPr>
            <w:r w:rsidRPr="00243232">
              <w:rPr>
                <w:rFonts w:cs="Arial"/>
                <w:b/>
                <w:szCs w:val="24"/>
              </w:rPr>
              <w:t>Finance and Treasury</w:t>
            </w:r>
          </w:p>
        </w:tc>
      </w:tr>
      <w:tr w:rsidR="00AC40FC" w:rsidRPr="00F17825" w:rsidTr="00581946">
        <w:trPr>
          <w:trHeight w:val="300"/>
          <w:jc w:val="center"/>
        </w:trPr>
        <w:tc>
          <w:tcPr>
            <w:tcW w:w="960" w:type="dxa"/>
            <w:shd w:val="clear" w:color="auto" w:fill="auto"/>
            <w:noWrap/>
            <w:vAlign w:val="center"/>
          </w:tcPr>
          <w:p w:rsidR="00AC40FC" w:rsidRPr="00F17825" w:rsidRDefault="00AC40FC" w:rsidP="00581946">
            <w:pPr>
              <w:spacing w:after="0"/>
              <w:jc w:val="center"/>
              <w:rPr>
                <w:rFonts w:cs="Arial"/>
                <w:szCs w:val="24"/>
              </w:rPr>
            </w:pPr>
            <w:r w:rsidRPr="00F17825">
              <w:rPr>
                <w:rFonts w:cs="Arial"/>
                <w:szCs w:val="24"/>
              </w:rPr>
              <w:t>0042</w:t>
            </w:r>
          </w:p>
        </w:tc>
        <w:tc>
          <w:tcPr>
            <w:tcW w:w="3506" w:type="dxa"/>
            <w:shd w:val="clear" w:color="auto" w:fill="auto"/>
            <w:noWrap/>
            <w:vAlign w:val="center"/>
          </w:tcPr>
          <w:p w:rsidR="00AC40FC" w:rsidRPr="00F17825" w:rsidRDefault="00AC40FC" w:rsidP="00581946">
            <w:pPr>
              <w:spacing w:after="0"/>
              <w:jc w:val="left"/>
              <w:rPr>
                <w:rFonts w:cs="Arial"/>
                <w:szCs w:val="24"/>
              </w:rPr>
            </w:pPr>
            <w:r w:rsidRPr="00F17825">
              <w:rPr>
                <w:rFonts w:cs="Arial"/>
                <w:szCs w:val="24"/>
              </w:rPr>
              <w:t>Risk Management</w:t>
            </w:r>
          </w:p>
        </w:tc>
        <w:tc>
          <w:tcPr>
            <w:tcW w:w="810" w:type="dxa"/>
            <w:shd w:val="clear" w:color="auto" w:fill="auto"/>
            <w:noWrap/>
            <w:vAlign w:val="bottom"/>
          </w:tcPr>
          <w:p w:rsidR="00AC40FC" w:rsidRPr="00F17825" w:rsidRDefault="00AC40FC" w:rsidP="00581946">
            <w:pPr>
              <w:spacing w:after="0"/>
              <w:jc w:val="center"/>
              <w:rPr>
                <w:rFonts w:cs="Arial"/>
                <w:szCs w:val="24"/>
              </w:rPr>
            </w:pPr>
            <w:r w:rsidRPr="00F17825">
              <w:rPr>
                <w:rFonts w:cs="Arial"/>
                <w:szCs w:val="24"/>
              </w:rPr>
              <w:t>2</w:t>
            </w:r>
          </w:p>
        </w:tc>
        <w:tc>
          <w:tcPr>
            <w:tcW w:w="810" w:type="dxa"/>
            <w:shd w:val="clear" w:color="auto" w:fill="auto"/>
            <w:noWrap/>
            <w:vAlign w:val="bottom"/>
          </w:tcPr>
          <w:p w:rsidR="00AC40FC" w:rsidRPr="00F17825" w:rsidRDefault="00AC40FC" w:rsidP="00581946">
            <w:pPr>
              <w:spacing w:after="0"/>
              <w:jc w:val="center"/>
              <w:rPr>
                <w:rFonts w:cs="Arial"/>
                <w:szCs w:val="24"/>
              </w:rPr>
            </w:pPr>
            <w:r w:rsidRPr="00F17825">
              <w:rPr>
                <w:rFonts w:cs="Arial"/>
                <w:szCs w:val="24"/>
              </w:rPr>
              <w:t>3</w:t>
            </w:r>
          </w:p>
        </w:tc>
        <w:tc>
          <w:tcPr>
            <w:tcW w:w="1097" w:type="dxa"/>
            <w:shd w:val="clear" w:color="auto" w:fill="auto"/>
            <w:noWrap/>
            <w:vAlign w:val="bottom"/>
          </w:tcPr>
          <w:p w:rsidR="00AC40FC" w:rsidRPr="00F17825" w:rsidRDefault="00AC40FC" w:rsidP="00581946">
            <w:pPr>
              <w:spacing w:after="0"/>
              <w:jc w:val="center"/>
              <w:rPr>
                <w:rFonts w:cs="Arial"/>
                <w:szCs w:val="24"/>
              </w:rPr>
            </w:pPr>
            <w:r w:rsidRPr="00F17825">
              <w:rPr>
                <w:rFonts w:cs="Arial"/>
                <w:szCs w:val="24"/>
              </w:rPr>
              <w:t>1</w:t>
            </w:r>
          </w:p>
        </w:tc>
      </w:tr>
      <w:tr w:rsidR="00AC40FC" w:rsidRPr="00F17825" w:rsidTr="00581946">
        <w:trPr>
          <w:trHeight w:val="300"/>
          <w:jc w:val="center"/>
        </w:trPr>
        <w:tc>
          <w:tcPr>
            <w:tcW w:w="960" w:type="dxa"/>
            <w:shd w:val="clear" w:color="auto" w:fill="auto"/>
            <w:noWrap/>
            <w:vAlign w:val="center"/>
          </w:tcPr>
          <w:p w:rsidR="00AC40FC" w:rsidRPr="00F17825" w:rsidRDefault="00AC40FC" w:rsidP="00581946">
            <w:pPr>
              <w:spacing w:after="0"/>
              <w:jc w:val="center"/>
              <w:rPr>
                <w:rFonts w:cs="Arial"/>
                <w:szCs w:val="24"/>
              </w:rPr>
            </w:pPr>
            <w:r w:rsidRPr="00F17825">
              <w:rPr>
                <w:rFonts w:cs="Arial"/>
                <w:szCs w:val="24"/>
              </w:rPr>
              <w:t>0102</w:t>
            </w:r>
          </w:p>
        </w:tc>
        <w:tc>
          <w:tcPr>
            <w:tcW w:w="3506" w:type="dxa"/>
            <w:shd w:val="clear" w:color="auto" w:fill="auto"/>
            <w:noWrap/>
            <w:vAlign w:val="center"/>
          </w:tcPr>
          <w:p w:rsidR="00AC40FC" w:rsidRPr="00F17825" w:rsidRDefault="00AC40FC" w:rsidP="00581946">
            <w:pPr>
              <w:spacing w:after="0"/>
              <w:jc w:val="left"/>
              <w:rPr>
                <w:rFonts w:cs="Arial"/>
                <w:szCs w:val="24"/>
              </w:rPr>
            </w:pPr>
            <w:r w:rsidRPr="00F17825">
              <w:rPr>
                <w:rFonts w:cs="Arial"/>
                <w:szCs w:val="24"/>
              </w:rPr>
              <w:t>Trading Con</w:t>
            </w:r>
            <w:r>
              <w:rPr>
                <w:rFonts w:cs="Arial"/>
                <w:szCs w:val="24"/>
              </w:rPr>
              <w:t>t</w:t>
            </w:r>
            <w:r w:rsidRPr="00F17825">
              <w:rPr>
                <w:rFonts w:cs="Arial"/>
                <w:szCs w:val="24"/>
              </w:rPr>
              <w:t>rols</w:t>
            </w:r>
          </w:p>
        </w:tc>
        <w:tc>
          <w:tcPr>
            <w:tcW w:w="810" w:type="dxa"/>
            <w:shd w:val="clear" w:color="auto" w:fill="auto"/>
            <w:noWrap/>
            <w:vAlign w:val="bottom"/>
          </w:tcPr>
          <w:p w:rsidR="00AC40FC" w:rsidRPr="00F17825" w:rsidRDefault="00AC40FC" w:rsidP="00581946">
            <w:pPr>
              <w:spacing w:after="0"/>
              <w:jc w:val="center"/>
              <w:rPr>
                <w:rFonts w:cs="Arial"/>
                <w:szCs w:val="24"/>
              </w:rPr>
            </w:pPr>
            <w:r w:rsidRPr="00F17825">
              <w:rPr>
                <w:rFonts w:cs="Arial"/>
                <w:szCs w:val="24"/>
              </w:rPr>
              <w:t>3</w:t>
            </w:r>
          </w:p>
        </w:tc>
        <w:tc>
          <w:tcPr>
            <w:tcW w:w="810" w:type="dxa"/>
            <w:shd w:val="clear" w:color="auto" w:fill="auto"/>
            <w:noWrap/>
            <w:vAlign w:val="bottom"/>
          </w:tcPr>
          <w:p w:rsidR="00AC40FC" w:rsidRPr="00F17825" w:rsidRDefault="00AC40FC" w:rsidP="00581946">
            <w:pPr>
              <w:spacing w:after="0"/>
              <w:jc w:val="center"/>
              <w:rPr>
                <w:rFonts w:cs="Arial"/>
                <w:szCs w:val="24"/>
              </w:rPr>
            </w:pPr>
            <w:r w:rsidRPr="00F17825">
              <w:rPr>
                <w:rFonts w:cs="Arial"/>
                <w:szCs w:val="24"/>
              </w:rPr>
              <w:t>0</w:t>
            </w:r>
          </w:p>
        </w:tc>
        <w:tc>
          <w:tcPr>
            <w:tcW w:w="1097" w:type="dxa"/>
            <w:shd w:val="clear" w:color="auto" w:fill="auto"/>
            <w:noWrap/>
            <w:vAlign w:val="bottom"/>
          </w:tcPr>
          <w:p w:rsidR="00AC40FC" w:rsidRPr="00F17825" w:rsidRDefault="00AC40FC" w:rsidP="00581946">
            <w:pPr>
              <w:spacing w:after="0"/>
              <w:jc w:val="center"/>
              <w:rPr>
                <w:rFonts w:cs="Arial"/>
                <w:szCs w:val="24"/>
              </w:rPr>
            </w:pPr>
            <w:r w:rsidRPr="00F17825">
              <w:rPr>
                <w:rFonts w:cs="Arial"/>
                <w:szCs w:val="24"/>
              </w:rPr>
              <w:t>-3</w:t>
            </w:r>
          </w:p>
        </w:tc>
      </w:tr>
      <w:tr w:rsidR="00AC40FC" w:rsidRPr="00F17825" w:rsidTr="00581946">
        <w:trPr>
          <w:trHeight w:val="300"/>
          <w:jc w:val="center"/>
        </w:trPr>
        <w:tc>
          <w:tcPr>
            <w:tcW w:w="960" w:type="dxa"/>
            <w:shd w:val="clear" w:color="auto" w:fill="auto"/>
            <w:noWrap/>
            <w:vAlign w:val="center"/>
          </w:tcPr>
          <w:p w:rsidR="00AC40FC" w:rsidRPr="00F17825" w:rsidRDefault="00AC40FC" w:rsidP="00581946">
            <w:pPr>
              <w:spacing w:after="0"/>
              <w:jc w:val="center"/>
              <w:rPr>
                <w:rFonts w:cs="Arial"/>
                <w:szCs w:val="24"/>
              </w:rPr>
            </w:pPr>
            <w:r w:rsidRPr="00F17825">
              <w:rPr>
                <w:rFonts w:cs="Arial"/>
                <w:szCs w:val="24"/>
              </w:rPr>
              <w:t>0191</w:t>
            </w:r>
          </w:p>
        </w:tc>
        <w:tc>
          <w:tcPr>
            <w:tcW w:w="3506" w:type="dxa"/>
            <w:shd w:val="clear" w:color="auto" w:fill="auto"/>
            <w:noWrap/>
            <w:vAlign w:val="center"/>
          </w:tcPr>
          <w:p w:rsidR="00AC40FC" w:rsidRPr="00F17825" w:rsidRDefault="00AC40FC" w:rsidP="00581946">
            <w:pPr>
              <w:spacing w:after="0"/>
              <w:jc w:val="left"/>
              <w:rPr>
                <w:rFonts w:cs="Arial"/>
                <w:szCs w:val="24"/>
              </w:rPr>
            </w:pPr>
            <w:r w:rsidRPr="00F17825">
              <w:rPr>
                <w:rFonts w:cs="Arial"/>
                <w:szCs w:val="24"/>
              </w:rPr>
              <w:t xml:space="preserve">Finance </w:t>
            </w:r>
            <w:r>
              <w:rPr>
                <w:rFonts w:cs="Arial"/>
                <w:szCs w:val="24"/>
              </w:rPr>
              <w:t>and</w:t>
            </w:r>
            <w:r w:rsidRPr="00F17825">
              <w:rPr>
                <w:rFonts w:cs="Arial"/>
                <w:szCs w:val="24"/>
              </w:rPr>
              <w:t xml:space="preserve"> Treasury</w:t>
            </w:r>
          </w:p>
        </w:tc>
        <w:tc>
          <w:tcPr>
            <w:tcW w:w="810" w:type="dxa"/>
            <w:shd w:val="clear" w:color="auto" w:fill="auto"/>
            <w:noWrap/>
            <w:vAlign w:val="bottom"/>
          </w:tcPr>
          <w:p w:rsidR="00AC40FC" w:rsidRPr="00F17825" w:rsidRDefault="00AC40FC" w:rsidP="00581946">
            <w:pPr>
              <w:spacing w:after="0"/>
              <w:jc w:val="center"/>
              <w:rPr>
                <w:rFonts w:cs="Arial"/>
                <w:szCs w:val="24"/>
              </w:rPr>
            </w:pPr>
            <w:r w:rsidRPr="00F17825">
              <w:rPr>
                <w:rFonts w:cs="Arial"/>
                <w:szCs w:val="24"/>
              </w:rPr>
              <w:t>8</w:t>
            </w:r>
          </w:p>
        </w:tc>
        <w:tc>
          <w:tcPr>
            <w:tcW w:w="810" w:type="dxa"/>
            <w:shd w:val="clear" w:color="auto" w:fill="auto"/>
            <w:noWrap/>
            <w:vAlign w:val="bottom"/>
          </w:tcPr>
          <w:p w:rsidR="00AC40FC" w:rsidRPr="00F17825" w:rsidRDefault="00AC40FC" w:rsidP="00581946">
            <w:pPr>
              <w:spacing w:after="0"/>
              <w:jc w:val="center"/>
              <w:rPr>
                <w:rFonts w:cs="Arial"/>
                <w:szCs w:val="24"/>
              </w:rPr>
            </w:pPr>
            <w:r w:rsidRPr="00F17825">
              <w:rPr>
                <w:rFonts w:cs="Arial"/>
                <w:szCs w:val="24"/>
              </w:rPr>
              <w:t>7</w:t>
            </w:r>
          </w:p>
        </w:tc>
        <w:tc>
          <w:tcPr>
            <w:tcW w:w="1097" w:type="dxa"/>
            <w:shd w:val="clear" w:color="auto" w:fill="auto"/>
            <w:noWrap/>
            <w:vAlign w:val="bottom"/>
          </w:tcPr>
          <w:p w:rsidR="00AC40FC" w:rsidRPr="00F17825" w:rsidRDefault="00AC40FC" w:rsidP="00581946">
            <w:pPr>
              <w:spacing w:after="0"/>
              <w:jc w:val="center"/>
              <w:rPr>
                <w:rFonts w:cs="Arial"/>
                <w:szCs w:val="24"/>
              </w:rPr>
            </w:pPr>
            <w:r w:rsidRPr="00F17825">
              <w:rPr>
                <w:rFonts w:cs="Arial"/>
                <w:szCs w:val="24"/>
              </w:rPr>
              <w:t>-1</w:t>
            </w:r>
          </w:p>
        </w:tc>
      </w:tr>
      <w:tr w:rsidR="00AC40FC" w:rsidRPr="00F17825" w:rsidTr="00581946">
        <w:trPr>
          <w:trHeight w:val="300"/>
          <w:jc w:val="center"/>
        </w:trPr>
        <w:tc>
          <w:tcPr>
            <w:tcW w:w="960" w:type="dxa"/>
            <w:shd w:val="clear" w:color="auto" w:fill="auto"/>
            <w:noWrap/>
            <w:vAlign w:val="center"/>
          </w:tcPr>
          <w:p w:rsidR="00AC40FC" w:rsidRPr="00F17825" w:rsidRDefault="00AC40FC" w:rsidP="00581946">
            <w:pPr>
              <w:spacing w:after="0"/>
              <w:jc w:val="center"/>
              <w:rPr>
                <w:rFonts w:cs="Arial"/>
                <w:szCs w:val="24"/>
              </w:rPr>
            </w:pPr>
            <w:r w:rsidRPr="00F17825">
              <w:rPr>
                <w:rFonts w:cs="Arial"/>
                <w:szCs w:val="24"/>
              </w:rPr>
              <w:t>0194</w:t>
            </w:r>
          </w:p>
        </w:tc>
        <w:tc>
          <w:tcPr>
            <w:tcW w:w="3506" w:type="dxa"/>
            <w:shd w:val="clear" w:color="auto" w:fill="auto"/>
            <w:noWrap/>
            <w:vAlign w:val="center"/>
          </w:tcPr>
          <w:p w:rsidR="00AC40FC" w:rsidRPr="00F17825" w:rsidRDefault="00AC40FC" w:rsidP="00581946">
            <w:pPr>
              <w:spacing w:after="0"/>
              <w:jc w:val="left"/>
              <w:rPr>
                <w:rFonts w:cs="Arial"/>
                <w:szCs w:val="24"/>
              </w:rPr>
            </w:pPr>
            <w:r w:rsidRPr="00F17825">
              <w:rPr>
                <w:rFonts w:cs="Arial"/>
                <w:szCs w:val="24"/>
              </w:rPr>
              <w:t>Cash Operations</w:t>
            </w:r>
          </w:p>
        </w:tc>
        <w:tc>
          <w:tcPr>
            <w:tcW w:w="810" w:type="dxa"/>
            <w:shd w:val="clear" w:color="auto" w:fill="auto"/>
            <w:noWrap/>
            <w:vAlign w:val="bottom"/>
          </w:tcPr>
          <w:p w:rsidR="00AC40FC" w:rsidRPr="00F17825" w:rsidRDefault="00AC40FC" w:rsidP="00581946">
            <w:pPr>
              <w:spacing w:after="0"/>
              <w:jc w:val="center"/>
              <w:rPr>
                <w:rFonts w:cs="Arial"/>
                <w:szCs w:val="24"/>
              </w:rPr>
            </w:pPr>
            <w:r w:rsidRPr="00F17825">
              <w:rPr>
                <w:rFonts w:cs="Arial"/>
                <w:szCs w:val="24"/>
              </w:rPr>
              <w:t>39</w:t>
            </w:r>
          </w:p>
        </w:tc>
        <w:tc>
          <w:tcPr>
            <w:tcW w:w="810" w:type="dxa"/>
            <w:shd w:val="clear" w:color="auto" w:fill="auto"/>
            <w:noWrap/>
            <w:vAlign w:val="bottom"/>
          </w:tcPr>
          <w:p w:rsidR="00AC40FC" w:rsidRPr="00F17825" w:rsidRDefault="00AC40FC" w:rsidP="00581946">
            <w:pPr>
              <w:spacing w:after="0"/>
              <w:jc w:val="center"/>
              <w:rPr>
                <w:rFonts w:cs="Arial"/>
                <w:szCs w:val="24"/>
              </w:rPr>
            </w:pPr>
            <w:r w:rsidRPr="00F17825">
              <w:rPr>
                <w:rFonts w:cs="Arial"/>
                <w:szCs w:val="24"/>
              </w:rPr>
              <w:t>39</w:t>
            </w:r>
          </w:p>
        </w:tc>
        <w:tc>
          <w:tcPr>
            <w:tcW w:w="1097" w:type="dxa"/>
            <w:shd w:val="clear" w:color="auto" w:fill="auto"/>
            <w:noWrap/>
            <w:vAlign w:val="bottom"/>
          </w:tcPr>
          <w:p w:rsidR="00AC40FC" w:rsidRPr="00F17825" w:rsidRDefault="00AC40FC" w:rsidP="00581946">
            <w:pPr>
              <w:spacing w:after="0"/>
              <w:jc w:val="center"/>
              <w:rPr>
                <w:rFonts w:cs="Arial"/>
                <w:szCs w:val="24"/>
              </w:rPr>
            </w:pPr>
            <w:r w:rsidRPr="00F17825">
              <w:rPr>
                <w:rFonts w:cs="Arial"/>
                <w:szCs w:val="24"/>
              </w:rPr>
              <w:t>0</w:t>
            </w:r>
          </w:p>
        </w:tc>
      </w:tr>
      <w:tr w:rsidR="00AC40FC" w:rsidRPr="00F17825" w:rsidTr="00581946">
        <w:trPr>
          <w:trHeight w:val="300"/>
          <w:jc w:val="center"/>
        </w:trPr>
        <w:tc>
          <w:tcPr>
            <w:tcW w:w="960" w:type="dxa"/>
            <w:shd w:val="clear" w:color="auto" w:fill="auto"/>
            <w:noWrap/>
            <w:vAlign w:val="center"/>
          </w:tcPr>
          <w:p w:rsidR="00AC40FC" w:rsidRPr="00F17825" w:rsidRDefault="00AC40FC" w:rsidP="00581946">
            <w:pPr>
              <w:spacing w:after="0"/>
              <w:jc w:val="center"/>
              <w:rPr>
                <w:rFonts w:cs="Arial"/>
                <w:szCs w:val="24"/>
              </w:rPr>
            </w:pPr>
            <w:r w:rsidRPr="00F17825">
              <w:rPr>
                <w:rFonts w:cs="Arial"/>
                <w:szCs w:val="24"/>
              </w:rPr>
              <w:t>0197</w:t>
            </w:r>
          </w:p>
        </w:tc>
        <w:tc>
          <w:tcPr>
            <w:tcW w:w="3506" w:type="dxa"/>
            <w:shd w:val="clear" w:color="auto" w:fill="auto"/>
            <w:noWrap/>
            <w:vAlign w:val="center"/>
          </w:tcPr>
          <w:p w:rsidR="00AC40FC" w:rsidRPr="00F17825" w:rsidRDefault="00AC40FC" w:rsidP="00581946">
            <w:pPr>
              <w:spacing w:after="0"/>
              <w:jc w:val="left"/>
              <w:rPr>
                <w:rFonts w:cs="Arial"/>
                <w:szCs w:val="24"/>
              </w:rPr>
            </w:pPr>
            <w:r w:rsidRPr="00F17825">
              <w:rPr>
                <w:rFonts w:cs="Arial"/>
                <w:szCs w:val="24"/>
              </w:rPr>
              <w:t>Risk Management (Insurance)</w:t>
            </w:r>
          </w:p>
        </w:tc>
        <w:tc>
          <w:tcPr>
            <w:tcW w:w="810" w:type="dxa"/>
            <w:shd w:val="clear" w:color="auto" w:fill="auto"/>
            <w:noWrap/>
            <w:vAlign w:val="bottom"/>
          </w:tcPr>
          <w:p w:rsidR="00AC40FC" w:rsidRPr="00F17825" w:rsidRDefault="00AC40FC" w:rsidP="00581946">
            <w:pPr>
              <w:spacing w:after="0"/>
              <w:jc w:val="center"/>
              <w:rPr>
                <w:rFonts w:cs="Arial"/>
                <w:szCs w:val="24"/>
              </w:rPr>
            </w:pPr>
            <w:r w:rsidRPr="00F17825">
              <w:rPr>
                <w:rFonts w:cs="Arial"/>
                <w:szCs w:val="24"/>
              </w:rPr>
              <w:t>3</w:t>
            </w:r>
          </w:p>
        </w:tc>
        <w:tc>
          <w:tcPr>
            <w:tcW w:w="810" w:type="dxa"/>
            <w:shd w:val="clear" w:color="auto" w:fill="auto"/>
            <w:noWrap/>
            <w:vAlign w:val="bottom"/>
          </w:tcPr>
          <w:p w:rsidR="00AC40FC" w:rsidRPr="00F17825" w:rsidRDefault="00AC40FC" w:rsidP="00581946">
            <w:pPr>
              <w:spacing w:after="0"/>
              <w:jc w:val="center"/>
              <w:rPr>
                <w:rFonts w:cs="Arial"/>
                <w:szCs w:val="24"/>
              </w:rPr>
            </w:pPr>
            <w:r w:rsidRPr="00F17825">
              <w:rPr>
                <w:rFonts w:cs="Arial"/>
                <w:szCs w:val="24"/>
              </w:rPr>
              <w:t>2</w:t>
            </w:r>
          </w:p>
        </w:tc>
        <w:tc>
          <w:tcPr>
            <w:tcW w:w="1097" w:type="dxa"/>
            <w:shd w:val="clear" w:color="auto" w:fill="auto"/>
            <w:noWrap/>
            <w:vAlign w:val="bottom"/>
          </w:tcPr>
          <w:p w:rsidR="00AC40FC" w:rsidRPr="00F17825" w:rsidRDefault="00AC40FC" w:rsidP="00581946">
            <w:pPr>
              <w:spacing w:after="0"/>
              <w:jc w:val="center"/>
              <w:rPr>
                <w:rFonts w:cs="Arial"/>
                <w:szCs w:val="24"/>
              </w:rPr>
            </w:pPr>
            <w:r w:rsidRPr="00F17825">
              <w:rPr>
                <w:rFonts w:cs="Arial"/>
                <w:szCs w:val="24"/>
              </w:rPr>
              <w:t>-1</w:t>
            </w:r>
          </w:p>
        </w:tc>
      </w:tr>
      <w:tr w:rsidR="00AC40FC" w:rsidRPr="00F17825" w:rsidTr="00581946">
        <w:trPr>
          <w:trHeight w:val="300"/>
          <w:jc w:val="center"/>
        </w:trPr>
        <w:tc>
          <w:tcPr>
            <w:tcW w:w="960" w:type="dxa"/>
            <w:shd w:val="clear" w:color="auto" w:fill="auto"/>
            <w:noWrap/>
            <w:vAlign w:val="center"/>
          </w:tcPr>
          <w:p w:rsidR="00AC40FC" w:rsidRPr="00F17825" w:rsidRDefault="00AC40FC" w:rsidP="00581946">
            <w:pPr>
              <w:spacing w:after="0"/>
              <w:jc w:val="center"/>
              <w:rPr>
                <w:rFonts w:cs="Arial"/>
                <w:szCs w:val="24"/>
              </w:rPr>
            </w:pPr>
          </w:p>
        </w:tc>
        <w:tc>
          <w:tcPr>
            <w:tcW w:w="3506" w:type="dxa"/>
            <w:shd w:val="clear" w:color="auto" w:fill="auto"/>
            <w:noWrap/>
            <w:vAlign w:val="center"/>
          </w:tcPr>
          <w:p w:rsidR="00AC40FC" w:rsidRPr="00F17825" w:rsidRDefault="00AC40FC" w:rsidP="00581946">
            <w:pPr>
              <w:spacing w:after="0"/>
              <w:jc w:val="center"/>
              <w:rPr>
                <w:rFonts w:cs="Arial"/>
                <w:szCs w:val="24"/>
              </w:rPr>
            </w:pPr>
            <w:r>
              <w:rPr>
                <w:rFonts w:cs="Arial"/>
                <w:szCs w:val="24"/>
              </w:rPr>
              <w:t>Sub-total</w:t>
            </w:r>
          </w:p>
        </w:tc>
        <w:tc>
          <w:tcPr>
            <w:tcW w:w="810" w:type="dxa"/>
            <w:shd w:val="clear" w:color="auto" w:fill="auto"/>
            <w:noWrap/>
            <w:vAlign w:val="bottom"/>
          </w:tcPr>
          <w:p w:rsidR="00AC40FC" w:rsidRPr="00F17825" w:rsidRDefault="00AC40FC" w:rsidP="00581946">
            <w:pPr>
              <w:spacing w:after="0"/>
              <w:jc w:val="center"/>
              <w:rPr>
                <w:rFonts w:cs="Arial"/>
                <w:szCs w:val="24"/>
              </w:rPr>
            </w:pPr>
            <w:r>
              <w:rPr>
                <w:rFonts w:cs="Arial"/>
                <w:szCs w:val="24"/>
              </w:rPr>
              <w:t>55</w:t>
            </w:r>
          </w:p>
        </w:tc>
        <w:tc>
          <w:tcPr>
            <w:tcW w:w="810" w:type="dxa"/>
            <w:shd w:val="clear" w:color="auto" w:fill="auto"/>
            <w:noWrap/>
            <w:vAlign w:val="bottom"/>
          </w:tcPr>
          <w:p w:rsidR="00AC40FC" w:rsidRPr="00F17825" w:rsidRDefault="00AC40FC" w:rsidP="00581946">
            <w:pPr>
              <w:spacing w:after="0"/>
              <w:jc w:val="center"/>
              <w:rPr>
                <w:rFonts w:cs="Arial"/>
                <w:szCs w:val="24"/>
              </w:rPr>
            </w:pPr>
            <w:r>
              <w:rPr>
                <w:rFonts w:cs="Arial"/>
                <w:szCs w:val="24"/>
              </w:rPr>
              <w:t>51</w:t>
            </w:r>
          </w:p>
        </w:tc>
        <w:tc>
          <w:tcPr>
            <w:tcW w:w="1097" w:type="dxa"/>
            <w:shd w:val="clear" w:color="auto" w:fill="auto"/>
            <w:noWrap/>
            <w:vAlign w:val="bottom"/>
          </w:tcPr>
          <w:p w:rsidR="00AC40FC" w:rsidRPr="00F17825" w:rsidRDefault="00AC40FC" w:rsidP="00581946">
            <w:pPr>
              <w:spacing w:after="0"/>
              <w:jc w:val="center"/>
              <w:rPr>
                <w:rFonts w:cs="Arial"/>
                <w:szCs w:val="24"/>
              </w:rPr>
            </w:pPr>
            <w:r>
              <w:rPr>
                <w:rFonts w:cs="Arial"/>
                <w:szCs w:val="24"/>
              </w:rPr>
              <w:t>-4</w:t>
            </w:r>
          </w:p>
        </w:tc>
      </w:tr>
      <w:tr w:rsidR="00AC40FC" w:rsidRPr="00F17825" w:rsidTr="00581946">
        <w:trPr>
          <w:trHeight w:val="300"/>
          <w:jc w:val="center"/>
        </w:trPr>
        <w:tc>
          <w:tcPr>
            <w:tcW w:w="7183" w:type="dxa"/>
            <w:gridSpan w:val="5"/>
            <w:shd w:val="clear" w:color="auto" w:fill="auto"/>
            <w:noWrap/>
            <w:vAlign w:val="center"/>
          </w:tcPr>
          <w:p w:rsidR="00AC40FC" w:rsidRPr="00243232" w:rsidRDefault="00AC40FC" w:rsidP="00581946">
            <w:pPr>
              <w:spacing w:after="0"/>
              <w:jc w:val="left"/>
              <w:rPr>
                <w:rFonts w:cs="Arial"/>
                <w:b/>
                <w:szCs w:val="24"/>
              </w:rPr>
            </w:pPr>
            <w:r w:rsidRPr="00243232">
              <w:rPr>
                <w:rFonts w:cs="Arial"/>
                <w:b/>
                <w:szCs w:val="24"/>
              </w:rPr>
              <w:t>Corporate Audit and Business Ethics</w:t>
            </w:r>
          </w:p>
        </w:tc>
      </w:tr>
      <w:tr w:rsidR="00AC40FC" w:rsidRPr="00F17825" w:rsidTr="00581946">
        <w:trPr>
          <w:trHeight w:val="300"/>
          <w:jc w:val="center"/>
        </w:trPr>
        <w:tc>
          <w:tcPr>
            <w:tcW w:w="960" w:type="dxa"/>
            <w:shd w:val="clear" w:color="auto" w:fill="auto"/>
            <w:noWrap/>
            <w:vAlign w:val="center"/>
          </w:tcPr>
          <w:p w:rsidR="00AC40FC" w:rsidRPr="00F17825" w:rsidRDefault="00AC40FC" w:rsidP="00581946">
            <w:pPr>
              <w:spacing w:after="0"/>
              <w:jc w:val="center"/>
              <w:rPr>
                <w:rFonts w:cs="Arial"/>
                <w:szCs w:val="24"/>
              </w:rPr>
            </w:pPr>
            <w:r w:rsidRPr="00F17825">
              <w:rPr>
                <w:rFonts w:cs="Arial"/>
                <w:szCs w:val="24"/>
              </w:rPr>
              <w:t>0005</w:t>
            </w:r>
          </w:p>
        </w:tc>
        <w:tc>
          <w:tcPr>
            <w:tcW w:w="3506" w:type="dxa"/>
            <w:shd w:val="clear" w:color="auto" w:fill="auto"/>
            <w:noWrap/>
            <w:vAlign w:val="center"/>
          </w:tcPr>
          <w:p w:rsidR="00AC40FC" w:rsidRPr="00F17825" w:rsidRDefault="00AC40FC" w:rsidP="00581946">
            <w:pPr>
              <w:spacing w:after="0"/>
              <w:jc w:val="left"/>
              <w:rPr>
                <w:rFonts w:cs="Arial"/>
                <w:szCs w:val="24"/>
              </w:rPr>
            </w:pPr>
            <w:r w:rsidRPr="00F17825">
              <w:rPr>
                <w:rFonts w:cs="Arial"/>
                <w:szCs w:val="24"/>
              </w:rPr>
              <w:t xml:space="preserve">Corp Audit </w:t>
            </w:r>
            <w:r>
              <w:rPr>
                <w:rFonts w:cs="Arial"/>
                <w:szCs w:val="24"/>
              </w:rPr>
              <w:t>and</w:t>
            </w:r>
            <w:r w:rsidRPr="00F17825">
              <w:rPr>
                <w:rFonts w:cs="Arial"/>
                <w:szCs w:val="24"/>
              </w:rPr>
              <w:t xml:space="preserve"> Bus Ethics</w:t>
            </w:r>
          </w:p>
        </w:tc>
        <w:tc>
          <w:tcPr>
            <w:tcW w:w="810" w:type="dxa"/>
            <w:shd w:val="clear" w:color="auto" w:fill="auto"/>
            <w:noWrap/>
            <w:vAlign w:val="bottom"/>
          </w:tcPr>
          <w:p w:rsidR="00AC40FC" w:rsidRPr="00F17825" w:rsidRDefault="00AC40FC" w:rsidP="00581946">
            <w:pPr>
              <w:spacing w:after="0"/>
              <w:jc w:val="center"/>
              <w:rPr>
                <w:rFonts w:cs="Arial"/>
                <w:szCs w:val="24"/>
              </w:rPr>
            </w:pPr>
            <w:r w:rsidRPr="00F17825">
              <w:rPr>
                <w:rFonts w:cs="Arial"/>
                <w:szCs w:val="24"/>
              </w:rPr>
              <w:t>12</w:t>
            </w:r>
          </w:p>
        </w:tc>
        <w:tc>
          <w:tcPr>
            <w:tcW w:w="810" w:type="dxa"/>
            <w:shd w:val="clear" w:color="auto" w:fill="auto"/>
            <w:noWrap/>
            <w:vAlign w:val="bottom"/>
          </w:tcPr>
          <w:p w:rsidR="00AC40FC" w:rsidRPr="00F17825" w:rsidRDefault="00AC40FC" w:rsidP="00581946">
            <w:pPr>
              <w:spacing w:after="0"/>
              <w:jc w:val="center"/>
              <w:rPr>
                <w:rFonts w:cs="Arial"/>
                <w:szCs w:val="24"/>
              </w:rPr>
            </w:pPr>
            <w:r w:rsidRPr="00F17825">
              <w:rPr>
                <w:rFonts w:cs="Arial"/>
                <w:szCs w:val="24"/>
              </w:rPr>
              <w:t>11</w:t>
            </w:r>
          </w:p>
        </w:tc>
        <w:tc>
          <w:tcPr>
            <w:tcW w:w="1097" w:type="dxa"/>
            <w:shd w:val="clear" w:color="auto" w:fill="auto"/>
            <w:noWrap/>
            <w:vAlign w:val="bottom"/>
          </w:tcPr>
          <w:p w:rsidR="00AC40FC" w:rsidRPr="00F17825" w:rsidRDefault="00AC40FC" w:rsidP="00581946">
            <w:pPr>
              <w:spacing w:after="0"/>
              <w:jc w:val="center"/>
              <w:rPr>
                <w:rFonts w:cs="Arial"/>
                <w:szCs w:val="24"/>
              </w:rPr>
            </w:pPr>
            <w:r w:rsidRPr="00F17825">
              <w:rPr>
                <w:rFonts w:cs="Arial"/>
                <w:szCs w:val="24"/>
              </w:rPr>
              <w:t>-1</w:t>
            </w:r>
          </w:p>
        </w:tc>
      </w:tr>
      <w:tr w:rsidR="00AC40FC" w:rsidRPr="00F17825" w:rsidTr="00581946">
        <w:trPr>
          <w:trHeight w:val="300"/>
          <w:jc w:val="center"/>
        </w:trPr>
        <w:tc>
          <w:tcPr>
            <w:tcW w:w="960" w:type="dxa"/>
            <w:shd w:val="clear" w:color="auto" w:fill="auto"/>
            <w:noWrap/>
            <w:hideMark/>
          </w:tcPr>
          <w:p w:rsidR="00AC40FC" w:rsidRPr="00F17825" w:rsidRDefault="00AC40FC" w:rsidP="00581946">
            <w:pPr>
              <w:spacing w:after="0"/>
              <w:rPr>
                <w:rFonts w:cs="Arial"/>
                <w:szCs w:val="24"/>
              </w:rPr>
            </w:pPr>
          </w:p>
        </w:tc>
        <w:tc>
          <w:tcPr>
            <w:tcW w:w="3506" w:type="dxa"/>
            <w:shd w:val="clear" w:color="auto" w:fill="auto"/>
            <w:noWrap/>
            <w:vAlign w:val="center"/>
            <w:hideMark/>
          </w:tcPr>
          <w:p w:rsidR="00AC40FC" w:rsidRPr="00F17825" w:rsidRDefault="00AC40FC" w:rsidP="00581946">
            <w:pPr>
              <w:spacing w:after="0"/>
              <w:jc w:val="center"/>
              <w:rPr>
                <w:rFonts w:cs="Arial"/>
                <w:b/>
                <w:szCs w:val="24"/>
              </w:rPr>
            </w:pPr>
            <w:r w:rsidRPr="00F17825">
              <w:rPr>
                <w:rFonts w:cs="Arial"/>
                <w:b/>
                <w:szCs w:val="24"/>
              </w:rPr>
              <w:t>T</w:t>
            </w:r>
            <w:r>
              <w:rPr>
                <w:rFonts w:cs="Arial"/>
                <w:b/>
                <w:szCs w:val="24"/>
              </w:rPr>
              <w:t>otals</w:t>
            </w:r>
          </w:p>
        </w:tc>
        <w:tc>
          <w:tcPr>
            <w:tcW w:w="810" w:type="dxa"/>
            <w:shd w:val="clear" w:color="auto" w:fill="auto"/>
            <w:noWrap/>
            <w:vAlign w:val="bottom"/>
          </w:tcPr>
          <w:p w:rsidR="00AC40FC" w:rsidRPr="00F17825" w:rsidRDefault="00AC40FC" w:rsidP="00581946">
            <w:pPr>
              <w:spacing w:after="0"/>
              <w:jc w:val="center"/>
              <w:rPr>
                <w:rFonts w:cs="Arial"/>
                <w:b/>
                <w:szCs w:val="24"/>
              </w:rPr>
            </w:pPr>
            <w:r w:rsidRPr="00F17825">
              <w:rPr>
                <w:rFonts w:cs="Arial"/>
                <w:b/>
                <w:szCs w:val="24"/>
              </w:rPr>
              <w:t>144</w:t>
            </w:r>
          </w:p>
        </w:tc>
        <w:tc>
          <w:tcPr>
            <w:tcW w:w="810" w:type="dxa"/>
            <w:shd w:val="clear" w:color="auto" w:fill="auto"/>
            <w:noWrap/>
            <w:vAlign w:val="bottom"/>
          </w:tcPr>
          <w:p w:rsidR="00AC40FC" w:rsidRPr="00F17825" w:rsidRDefault="00AC40FC" w:rsidP="00581946">
            <w:pPr>
              <w:spacing w:after="0"/>
              <w:jc w:val="center"/>
              <w:rPr>
                <w:rFonts w:cs="Arial"/>
                <w:b/>
                <w:szCs w:val="24"/>
              </w:rPr>
            </w:pPr>
            <w:r w:rsidRPr="00F17825">
              <w:rPr>
                <w:rFonts w:cs="Arial"/>
                <w:b/>
                <w:szCs w:val="24"/>
              </w:rPr>
              <w:t>122</w:t>
            </w:r>
          </w:p>
        </w:tc>
        <w:tc>
          <w:tcPr>
            <w:tcW w:w="1097" w:type="dxa"/>
            <w:shd w:val="clear" w:color="auto" w:fill="auto"/>
            <w:noWrap/>
            <w:vAlign w:val="bottom"/>
          </w:tcPr>
          <w:p w:rsidR="00AC40FC" w:rsidRPr="00F17825" w:rsidRDefault="00AC40FC" w:rsidP="00581946">
            <w:pPr>
              <w:spacing w:after="0"/>
              <w:jc w:val="center"/>
              <w:rPr>
                <w:rFonts w:cs="Arial"/>
                <w:b/>
                <w:szCs w:val="24"/>
              </w:rPr>
            </w:pPr>
            <w:r w:rsidRPr="00F17825">
              <w:rPr>
                <w:rFonts w:cs="Arial"/>
                <w:b/>
                <w:szCs w:val="24"/>
              </w:rPr>
              <w:t>-22</w:t>
            </w:r>
          </w:p>
        </w:tc>
      </w:tr>
      <w:tr w:rsidR="00AC40FC" w:rsidRPr="00F17825" w:rsidTr="00581946">
        <w:trPr>
          <w:trHeight w:val="300"/>
          <w:jc w:val="center"/>
        </w:trPr>
        <w:tc>
          <w:tcPr>
            <w:tcW w:w="7183" w:type="dxa"/>
            <w:gridSpan w:val="5"/>
            <w:shd w:val="clear" w:color="auto" w:fill="auto"/>
            <w:noWrap/>
            <w:vAlign w:val="center"/>
          </w:tcPr>
          <w:p w:rsidR="00AC40FC" w:rsidRPr="00F17825" w:rsidRDefault="00AC40FC" w:rsidP="00581946">
            <w:pPr>
              <w:spacing w:after="0"/>
              <w:rPr>
                <w:rFonts w:cs="Arial"/>
                <w:bCs/>
                <w:szCs w:val="24"/>
              </w:rPr>
            </w:pPr>
            <w:r w:rsidRPr="00F17825">
              <w:rPr>
                <w:rFonts w:cs="Arial"/>
                <w:bCs/>
                <w:szCs w:val="24"/>
              </w:rPr>
              <w:t xml:space="preserve">Sources: DN 01-072; </w:t>
            </w:r>
            <w:r>
              <w:rPr>
                <w:rFonts w:cs="Arial"/>
                <w:bCs/>
                <w:szCs w:val="24"/>
              </w:rPr>
              <w:t>DN 18-002-C</w:t>
            </w:r>
          </w:p>
        </w:tc>
      </w:tr>
    </w:tbl>
    <w:p w:rsidR="00AC40FC" w:rsidRDefault="00AC40FC" w:rsidP="00581946">
      <w:pPr>
        <w:pStyle w:val="Normal-aftertable"/>
      </w:pPr>
      <w:r w:rsidRPr="0049643D">
        <w:t xml:space="preserve">The number of staff in PPL SC work units that provided finance, accounting, and audit services to PPL EU was reduced by 15% in 2015, from 144 to 122.  </w:t>
      </w:r>
    </w:p>
    <w:p w:rsidR="00AC40FC" w:rsidRPr="00AA54A9" w:rsidRDefault="00AC40FC" w:rsidP="00581946">
      <w:r w:rsidRPr="00AA54A9">
        <w:lastRenderedPageBreak/>
        <w:t>In 2015</w:t>
      </w:r>
      <w:r>
        <w:t>,</w:t>
      </w:r>
      <w:r w:rsidRPr="00AA54A9">
        <w:t xml:space="preserve"> with the announced retirement of the head of PPL Global, the PPL Global</w:t>
      </w:r>
      <w:r>
        <w:t xml:space="preserve"> organization</w:t>
      </w:r>
      <w:r w:rsidRPr="00AA54A9">
        <w:t xml:space="preserve"> resources were brought into the CFO’s group and placed under the Treasurer.  At the end of 2015 it was decided to combine the Treasurer position with the Investor Relations and Financial Planning work group</w:t>
      </w:r>
      <w:r>
        <w:t>. T</w:t>
      </w:r>
      <w:r w:rsidRPr="00AA54A9">
        <w:t xml:space="preserve">he </w:t>
      </w:r>
      <w:r>
        <w:t xml:space="preserve">individual who was in the Treasurer position in 2015 </w:t>
      </w:r>
      <w:r w:rsidRPr="00AA54A9">
        <w:t xml:space="preserve">left the company </w:t>
      </w:r>
      <w:r>
        <w:t xml:space="preserve">on </w:t>
      </w:r>
      <w:r w:rsidRPr="00AA54A9">
        <w:t xml:space="preserve">January 31, 2016.  </w:t>
      </w:r>
    </w:p>
    <w:p w:rsidR="00AC40FC" w:rsidRPr="00AA54A9" w:rsidRDefault="00AC40FC" w:rsidP="00581946">
      <w:pPr>
        <w:rPr>
          <w:rFonts w:cs="Arial"/>
          <w:szCs w:val="24"/>
        </w:rPr>
      </w:pPr>
      <w:r>
        <w:rPr>
          <w:rFonts w:cs="Arial"/>
          <w:szCs w:val="24"/>
        </w:rPr>
        <w:t>Also, on January 1, 2016,</w:t>
      </w:r>
      <w:r w:rsidRPr="00AA54A9">
        <w:rPr>
          <w:rFonts w:cs="Arial"/>
          <w:szCs w:val="24"/>
        </w:rPr>
        <w:t xml:space="preserve"> the PPL Global </w:t>
      </w:r>
      <w:r>
        <w:rPr>
          <w:rFonts w:cs="Arial"/>
          <w:szCs w:val="24"/>
        </w:rPr>
        <w:t>employee resources were redeployed to other units</w:t>
      </w:r>
      <w:r w:rsidRPr="00AA54A9">
        <w:rPr>
          <w:rFonts w:cs="Arial"/>
          <w:szCs w:val="24"/>
        </w:rPr>
        <w:t xml:space="preserve">.  The accounting staff from this group </w:t>
      </w:r>
      <w:r>
        <w:rPr>
          <w:rFonts w:cs="Arial"/>
          <w:szCs w:val="24"/>
        </w:rPr>
        <w:t>remained with</w:t>
      </w:r>
      <w:r w:rsidRPr="00AA54A9">
        <w:rPr>
          <w:rFonts w:cs="Arial"/>
          <w:szCs w:val="24"/>
        </w:rPr>
        <w:t xml:space="preserve"> the Controller’s group</w:t>
      </w:r>
      <w:r>
        <w:rPr>
          <w:rFonts w:cs="Arial"/>
          <w:szCs w:val="24"/>
        </w:rPr>
        <w:t>; t</w:t>
      </w:r>
      <w:r w:rsidRPr="00AA54A9">
        <w:rPr>
          <w:rFonts w:cs="Arial"/>
          <w:szCs w:val="24"/>
        </w:rPr>
        <w:t>he business planning s</w:t>
      </w:r>
      <w:r>
        <w:rPr>
          <w:rFonts w:cs="Arial"/>
          <w:szCs w:val="24"/>
        </w:rPr>
        <w:t xml:space="preserve">taff went to the Investor Relations and </w:t>
      </w:r>
      <w:r w:rsidRPr="00AA54A9">
        <w:rPr>
          <w:rFonts w:cs="Arial"/>
          <w:szCs w:val="24"/>
        </w:rPr>
        <w:t>Financial Planning</w:t>
      </w:r>
      <w:r>
        <w:rPr>
          <w:rFonts w:cs="Arial"/>
          <w:szCs w:val="24"/>
        </w:rPr>
        <w:t xml:space="preserve"> group;</w:t>
      </w:r>
      <w:r w:rsidRPr="00AA54A9">
        <w:rPr>
          <w:rFonts w:cs="Arial"/>
          <w:szCs w:val="24"/>
        </w:rPr>
        <w:t xml:space="preserve"> </w:t>
      </w:r>
      <w:r>
        <w:rPr>
          <w:rFonts w:cs="Arial"/>
          <w:szCs w:val="24"/>
        </w:rPr>
        <w:t>t</w:t>
      </w:r>
      <w:r w:rsidRPr="00AA54A9">
        <w:rPr>
          <w:rFonts w:cs="Arial"/>
          <w:szCs w:val="24"/>
        </w:rPr>
        <w:t xml:space="preserve">he compliance </w:t>
      </w:r>
      <w:r>
        <w:rPr>
          <w:rFonts w:cs="Arial"/>
          <w:szCs w:val="24"/>
        </w:rPr>
        <w:t>function</w:t>
      </w:r>
      <w:r w:rsidRPr="00AA54A9">
        <w:rPr>
          <w:rFonts w:cs="Arial"/>
          <w:szCs w:val="24"/>
        </w:rPr>
        <w:t xml:space="preserve"> went to the Office of the General Coun</w:t>
      </w:r>
      <w:r>
        <w:rPr>
          <w:rFonts w:cs="Arial"/>
          <w:szCs w:val="24"/>
        </w:rPr>
        <w:t>sel</w:t>
      </w:r>
      <w:r w:rsidRPr="00AA54A9">
        <w:rPr>
          <w:rFonts w:cs="Arial"/>
          <w:szCs w:val="24"/>
        </w:rPr>
        <w:t xml:space="preserve"> (OGC)</w:t>
      </w:r>
      <w:r>
        <w:rPr>
          <w:rFonts w:cs="Arial"/>
          <w:szCs w:val="24"/>
        </w:rPr>
        <w:t>; and the</w:t>
      </w:r>
      <w:r w:rsidRPr="00AA54A9">
        <w:rPr>
          <w:rFonts w:cs="Arial"/>
          <w:szCs w:val="24"/>
        </w:rPr>
        <w:t xml:space="preserve"> risk management personnel went to Corporate Risk Management.</w:t>
      </w:r>
    </w:p>
    <w:p w:rsidR="00AC40FC" w:rsidRPr="00AA54A9" w:rsidRDefault="00AC40FC" w:rsidP="00581946">
      <w:pPr>
        <w:rPr>
          <w:rFonts w:cs="Arial"/>
          <w:szCs w:val="24"/>
        </w:rPr>
      </w:pPr>
      <w:r>
        <w:rPr>
          <w:rFonts w:cs="Arial"/>
          <w:szCs w:val="24"/>
        </w:rPr>
        <w:t>At the same time, the PPLSolutions personnel who</w:t>
      </w:r>
      <w:r w:rsidRPr="00AA54A9">
        <w:rPr>
          <w:rFonts w:cs="Arial"/>
          <w:szCs w:val="24"/>
        </w:rPr>
        <w:t xml:space="preserve"> had been reporting to the Treasurer were temporarily assigned to the Senior Director, Strategic Business Development</w:t>
      </w:r>
      <w:r>
        <w:rPr>
          <w:rFonts w:cs="Arial"/>
          <w:szCs w:val="24"/>
        </w:rPr>
        <w:t xml:space="preserve"> pending the divestiture of PPL</w:t>
      </w:r>
      <w:r w:rsidRPr="00AA54A9">
        <w:rPr>
          <w:rFonts w:cs="Arial"/>
          <w:szCs w:val="24"/>
        </w:rPr>
        <w:t xml:space="preserve">Solutions.  </w:t>
      </w:r>
      <w:r>
        <w:rPr>
          <w:rFonts w:cs="Arial"/>
          <w:szCs w:val="24"/>
        </w:rPr>
        <w:t>Likewise, t</w:t>
      </w:r>
      <w:r w:rsidRPr="00AA54A9">
        <w:rPr>
          <w:rFonts w:cs="Arial"/>
          <w:szCs w:val="24"/>
        </w:rPr>
        <w:t xml:space="preserve">he </w:t>
      </w:r>
      <w:r>
        <w:rPr>
          <w:rFonts w:cs="Arial"/>
          <w:szCs w:val="24"/>
        </w:rPr>
        <w:t>PPL Infrastructure personnel who</w:t>
      </w:r>
      <w:r w:rsidRPr="00AA54A9">
        <w:rPr>
          <w:rFonts w:cs="Arial"/>
          <w:szCs w:val="24"/>
        </w:rPr>
        <w:t xml:space="preserve"> had reported to the Treasurer were reassigned to the Transmission Department.</w:t>
      </w:r>
    </w:p>
    <w:p w:rsidR="00AC40FC" w:rsidRPr="00AA54A9" w:rsidRDefault="00AC40FC" w:rsidP="00581946">
      <w:pPr>
        <w:rPr>
          <w:rFonts w:cs="Arial"/>
          <w:szCs w:val="24"/>
        </w:rPr>
      </w:pPr>
      <w:r w:rsidRPr="00AA54A9">
        <w:rPr>
          <w:rFonts w:cs="Arial"/>
          <w:szCs w:val="24"/>
        </w:rPr>
        <w:t xml:space="preserve">The Director, Corporate Finance, who had been reporting to the Treasurer, became the Assistant Treasurer and assumed responsibility for Cash Management as well as long-term financing.  The </w:t>
      </w:r>
      <w:r>
        <w:rPr>
          <w:rFonts w:cs="Arial"/>
          <w:szCs w:val="24"/>
        </w:rPr>
        <w:t>Assistant Treasurer</w:t>
      </w:r>
      <w:r w:rsidRPr="00AA54A9">
        <w:rPr>
          <w:rFonts w:cs="Arial"/>
          <w:szCs w:val="24"/>
        </w:rPr>
        <w:t xml:space="preserve"> now reports to the VP, Investor Relations, Financial Planning</w:t>
      </w:r>
      <w:r>
        <w:rPr>
          <w:rFonts w:cs="Arial"/>
          <w:szCs w:val="24"/>
        </w:rPr>
        <w:t>,</w:t>
      </w:r>
      <w:r w:rsidRPr="00AA54A9">
        <w:rPr>
          <w:rFonts w:cs="Arial"/>
          <w:szCs w:val="24"/>
        </w:rPr>
        <w:t xml:space="preserve"> and Treasurer.</w:t>
      </w:r>
      <w:r>
        <w:rPr>
          <w:rFonts w:cs="Arial"/>
          <w:szCs w:val="24"/>
        </w:rPr>
        <w:t xml:space="preserve"> </w:t>
      </w:r>
      <w:r w:rsidRPr="00AA54A9">
        <w:rPr>
          <w:rFonts w:cs="Arial"/>
          <w:szCs w:val="24"/>
        </w:rPr>
        <w:t>The Director, Risk Management, who had been reporting to the Treasurer, now reports directly to the CFO.</w:t>
      </w:r>
    </w:p>
    <w:p w:rsidR="00AC40FC" w:rsidRPr="00AA54A9" w:rsidRDefault="00AC40FC" w:rsidP="00581946">
      <w:pPr>
        <w:rPr>
          <w:rFonts w:cs="Arial"/>
          <w:szCs w:val="24"/>
        </w:rPr>
      </w:pPr>
      <w:r w:rsidRPr="00AA54A9">
        <w:rPr>
          <w:rFonts w:cs="Arial"/>
          <w:szCs w:val="24"/>
        </w:rPr>
        <w:t xml:space="preserve">There are no planned staffing changes for 2016.  Changes that were announced or begun in 2015 will be completed during </w:t>
      </w:r>
      <w:r>
        <w:rPr>
          <w:rFonts w:cs="Arial"/>
          <w:szCs w:val="24"/>
        </w:rPr>
        <w:t>2016</w:t>
      </w:r>
      <w:r w:rsidRPr="00AA54A9">
        <w:rPr>
          <w:rFonts w:cs="Arial"/>
          <w:szCs w:val="24"/>
        </w:rPr>
        <w:t>.  Contractors will be used to cover long-term open positions.  The Strat</w:t>
      </w:r>
      <w:r>
        <w:rPr>
          <w:rFonts w:cs="Arial"/>
          <w:szCs w:val="24"/>
        </w:rPr>
        <w:t>egic Development work group</w:t>
      </w:r>
      <w:r w:rsidRPr="00AA54A9">
        <w:rPr>
          <w:rFonts w:cs="Arial"/>
          <w:szCs w:val="24"/>
        </w:rPr>
        <w:t xml:space="preserve"> use</w:t>
      </w:r>
      <w:r>
        <w:rPr>
          <w:rFonts w:cs="Arial"/>
          <w:szCs w:val="24"/>
        </w:rPr>
        <w:t>s</w:t>
      </w:r>
      <w:r w:rsidRPr="00AA54A9">
        <w:rPr>
          <w:rFonts w:cs="Arial"/>
          <w:szCs w:val="24"/>
        </w:rPr>
        <w:t xml:space="preserve"> bank</w:t>
      </w:r>
      <w:r>
        <w:rPr>
          <w:rFonts w:cs="Arial"/>
          <w:szCs w:val="24"/>
        </w:rPr>
        <w:t xml:space="preserve"> consultants </w:t>
      </w:r>
      <w:r w:rsidRPr="00AA54A9">
        <w:rPr>
          <w:rFonts w:cs="Arial"/>
          <w:szCs w:val="24"/>
        </w:rPr>
        <w:t>for strategic initiati</w:t>
      </w:r>
      <w:r>
        <w:rPr>
          <w:rFonts w:cs="Arial"/>
          <w:szCs w:val="24"/>
        </w:rPr>
        <w:t>ves and the Tax work group</w:t>
      </w:r>
      <w:r w:rsidRPr="00AA54A9">
        <w:rPr>
          <w:rFonts w:cs="Arial"/>
          <w:szCs w:val="24"/>
        </w:rPr>
        <w:t xml:space="preserve"> use</w:t>
      </w:r>
      <w:r>
        <w:rPr>
          <w:rFonts w:cs="Arial"/>
          <w:szCs w:val="24"/>
        </w:rPr>
        <w:t>s</w:t>
      </w:r>
      <w:r w:rsidRPr="00AA54A9">
        <w:rPr>
          <w:rFonts w:cs="Arial"/>
          <w:szCs w:val="24"/>
        </w:rPr>
        <w:t xml:space="preserve"> tax personnel from the Big Four accounting firms on occasion.</w:t>
      </w:r>
    </w:p>
    <w:p w:rsidR="00AC40FC" w:rsidRDefault="00AC40FC" w:rsidP="00581946">
      <w:r w:rsidRPr="0048107E">
        <w:rPr>
          <w:b/>
        </w:rPr>
        <w:t>Investor Relations and Financial Planning.</w:t>
      </w:r>
      <w:r>
        <w:t xml:space="preserve">  </w:t>
      </w:r>
      <w:r w:rsidRPr="006740AB">
        <w:t xml:space="preserve">As of January 1, 2016, the Treasury function was added to the Investor Relations and Financial Planning work group.  This new addition included the Corporate Finance and Cash Management functions and organizations, but not the Risk Management function, which reports directly to the CFO.  </w:t>
      </w:r>
    </w:p>
    <w:p w:rsidR="00AC40FC" w:rsidRPr="00AA54A9" w:rsidRDefault="00AC40FC" w:rsidP="00581946">
      <w:pPr>
        <w:rPr>
          <w:rFonts w:cs="Arial"/>
          <w:szCs w:val="24"/>
        </w:rPr>
      </w:pPr>
      <w:r w:rsidRPr="006740AB">
        <w:t>Ad</w:t>
      </w:r>
      <w:r>
        <w:t>ditionally, the PPL Global work</w:t>
      </w:r>
      <w:r w:rsidRPr="006740AB">
        <w:t>force was broken up, with the accounting function and personnel assigned to the PPL</w:t>
      </w:r>
      <w:r>
        <w:t xml:space="preserve"> SC</w:t>
      </w:r>
      <w:r w:rsidRPr="006740AB">
        <w:t xml:space="preserve"> Controller and the planning function and its three staff reporting to the </w:t>
      </w:r>
      <w:r>
        <w:t xml:space="preserve">PPL SC </w:t>
      </w:r>
      <w:r w:rsidRPr="006740AB">
        <w:t>VP, Investor Relations, Financial Planning</w:t>
      </w:r>
      <w:r>
        <w:t>,</w:t>
      </w:r>
      <w:r w:rsidRPr="006740AB">
        <w:t xml:space="preserve"> and Treasury.  These former PPL Global personnel are responsible for coordinating and managing the U</w:t>
      </w:r>
      <w:r>
        <w:t xml:space="preserve">nited </w:t>
      </w:r>
      <w:r w:rsidRPr="006740AB">
        <w:t>K</w:t>
      </w:r>
      <w:r>
        <w:t>ingdom Western Power Division</w:t>
      </w:r>
      <w:r w:rsidRPr="006740AB">
        <w:t xml:space="preserve"> (</w:t>
      </w:r>
      <w:r>
        <w:t>WPD Midlands</w:t>
      </w:r>
      <w:r w:rsidRPr="006740AB">
        <w:t xml:space="preserve">) planning function.  The actual planning is done by </w:t>
      </w:r>
      <w:r>
        <w:t>WPD Midlands</w:t>
      </w:r>
      <w:r w:rsidRPr="006740AB">
        <w:t xml:space="preserve"> and is consolidated in this work group for inclusion in the PPL</w:t>
      </w:r>
      <w:r>
        <w:t xml:space="preserve"> Corporation</w:t>
      </w:r>
      <w:r w:rsidRPr="006740AB">
        <w:t xml:space="preserve"> plans.  </w:t>
      </w:r>
      <w:r>
        <w:t>WPD Midlands</w:t>
      </w:r>
      <w:r w:rsidRPr="006740AB">
        <w:t xml:space="preserve"> is regulated by UK authorities and develops an eight-year plan</w:t>
      </w:r>
      <w:r>
        <w:t>.  The</w:t>
      </w:r>
      <w:r w:rsidRPr="006740AB">
        <w:t xml:space="preserve"> current </w:t>
      </w:r>
      <w:r>
        <w:t xml:space="preserve">WPD Midlands </w:t>
      </w:r>
      <w:r w:rsidRPr="006740AB">
        <w:t xml:space="preserve">plan covers the period, April 1, 2015 through March 31, 2023. </w:t>
      </w:r>
    </w:p>
    <w:p w:rsidR="00AC40FC" w:rsidRPr="006740AB" w:rsidRDefault="00AC40FC" w:rsidP="00581946">
      <w:r w:rsidRPr="0048107E">
        <w:rPr>
          <w:b/>
        </w:rPr>
        <w:t>Controller.</w:t>
      </w:r>
      <w:r>
        <w:t xml:space="preserve">  </w:t>
      </w:r>
      <w:r w:rsidRPr="006740AB">
        <w:t xml:space="preserve">In 2015, this work group </w:t>
      </w:r>
      <w:r w:rsidRPr="00F7526C">
        <w:t xml:space="preserve">lost three direct report positions and added a shared resource. </w:t>
      </w:r>
      <w:r>
        <w:t xml:space="preserve"> </w:t>
      </w:r>
      <w:r w:rsidRPr="00F7526C">
        <w:t>The three positions l</w:t>
      </w:r>
      <w:r w:rsidRPr="006740AB">
        <w:t xml:space="preserve">ost were the Assistant Controller position (retired), Director – Technical Accounting who worked on the TSA and then retired, and the Controller, International and Energy </w:t>
      </w:r>
      <w:r>
        <w:t>Services</w:t>
      </w:r>
      <w:r w:rsidRPr="006740AB">
        <w:t xml:space="preserve"> Accounting</w:t>
      </w:r>
      <w:r>
        <w:t>,</w:t>
      </w:r>
      <w:r w:rsidRPr="006740AB">
        <w:t xml:space="preserve"> whose position was eliminated.  The </w:t>
      </w:r>
      <w:r>
        <w:t>shared resource</w:t>
      </w:r>
      <w:r w:rsidRPr="006740AB">
        <w:t xml:space="preserve"> was a systems person, who will work with both the </w:t>
      </w:r>
      <w:r w:rsidRPr="006740AB">
        <w:lastRenderedPageBreak/>
        <w:t>Pennsylvania and Kentucky operations on tax, treasury, and accounting systems.  There are no plans for staffing changes in 2016.</w:t>
      </w:r>
    </w:p>
    <w:p w:rsidR="00AC40FC" w:rsidRPr="006740AB" w:rsidRDefault="00AC40FC" w:rsidP="00581946">
      <w:pPr>
        <w:rPr>
          <w:rFonts w:cs="Arial"/>
          <w:szCs w:val="24"/>
        </w:rPr>
      </w:pPr>
      <w:r w:rsidRPr="006740AB">
        <w:rPr>
          <w:rFonts w:cs="Arial"/>
          <w:szCs w:val="24"/>
        </w:rPr>
        <w:t>In the early part of the Talen spin off, contractors were used to augment the Controller’s staff because of the additional work load.  Contractors were utilized for approximately two years.</w:t>
      </w:r>
    </w:p>
    <w:p w:rsidR="00AC40FC" w:rsidRPr="00AA54A9" w:rsidRDefault="00AC40FC" w:rsidP="00581946">
      <w:r w:rsidRPr="0048107E">
        <w:rPr>
          <w:b/>
        </w:rPr>
        <w:t>Tax.</w:t>
      </w:r>
      <w:r>
        <w:t xml:space="preserve">  </w:t>
      </w:r>
      <w:r w:rsidRPr="00F7526C">
        <w:t>In 2015, the Tax Department lo</w:t>
      </w:r>
      <w:r>
        <w:t>st one half of its staff</w:t>
      </w:r>
      <w:r w:rsidRPr="00F7526C">
        <w:t xml:space="preserve"> due to reduced workload related to the Talen Energy spinoff.</w:t>
      </w:r>
      <w:r w:rsidRPr="006740AB">
        <w:t xml:space="preserve">  In the latter part of 2015</w:t>
      </w:r>
      <w:r>
        <w:t>,</w:t>
      </w:r>
      <w:r w:rsidRPr="006740AB">
        <w:t xml:space="preserve"> one additional tax staff member retired</w:t>
      </w:r>
      <w:r>
        <w:t xml:space="preserve"> and was not replaced.  </w:t>
      </w:r>
      <w:r w:rsidRPr="006740AB">
        <w:t>In 2016 there have been no changes to date.  There are no plans to increase or decrease staff or contractors at this time.</w:t>
      </w:r>
    </w:p>
    <w:p w:rsidR="00AC40FC" w:rsidRDefault="00AC40FC" w:rsidP="00581946">
      <w:pPr>
        <w:rPr>
          <w:rFonts w:cs="Arial"/>
          <w:szCs w:val="24"/>
        </w:rPr>
      </w:pPr>
      <w:r w:rsidRPr="00AB64AA">
        <w:rPr>
          <w:rFonts w:cs="Arial"/>
          <w:b/>
          <w:szCs w:val="24"/>
        </w:rPr>
        <w:t>Treasury and Risk</w:t>
      </w:r>
      <w:r>
        <w:rPr>
          <w:rFonts w:cs="Arial"/>
          <w:b/>
          <w:szCs w:val="24"/>
        </w:rPr>
        <w:t xml:space="preserve">.  </w:t>
      </w:r>
      <w:r>
        <w:rPr>
          <w:rFonts w:cs="Arial"/>
          <w:szCs w:val="24"/>
        </w:rPr>
        <w:t xml:space="preserve">During </w:t>
      </w:r>
      <w:r w:rsidRPr="00AA54A9">
        <w:rPr>
          <w:rFonts w:cs="Arial"/>
          <w:szCs w:val="24"/>
        </w:rPr>
        <w:t>2015</w:t>
      </w:r>
      <w:r w:rsidRPr="00C4420F">
        <w:rPr>
          <w:rFonts w:cs="Arial"/>
          <w:szCs w:val="24"/>
        </w:rPr>
        <w:t>, management positions</w:t>
      </w:r>
      <w:r>
        <w:rPr>
          <w:rFonts w:cs="Arial"/>
          <w:szCs w:val="24"/>
        </w:rPr>
        <w:t xml:space="preserve"> in the Cash Management work group</w:t>
      </w:r>
      <w:r w:rsidRPr="00C4420F">
        <w:rPr>
          <w:rFonts w:cs="Arial"/>
          <w:szCs w:val="24"/>
        </w:rPr>
        <w:t xml:space="preserve"> were reduced due to the work load associated with PPL Supply going to Talen Energy.  Positions were identified at the end of 2014 and transitioned to Talen</w:t>
      </w:r>
      <w:r>
        <w:rPr>
          <w:rFonts w:cs="Arial"/>
          <w:szCs w:val="24"/>
        </w:rPr>
        <w:t xml:space="preserve"> in the spin off</w:t>
      </w:r>
      <w:r w:rsidRPr="00C4420F">
        <w:rPr>
          <w:rFonts w:cs="Arial"/>
          <w:szCs w:val="24"/>
        </w:rPr>
        <w:t>.</w:t>
      </w:r>
      <w:r w:rsidRPr="00AA54A9">
        <w:rPr>
          <w:rFonts w:cs="Arial"/>
          <w:szCs w:val="24"/>
        </w:rPr>
        <w:t xml:space="preserve">  There was no change i</w:t>
      </w:r>
      <w:r>
        <w:rPr>
          <w:rFonts w:cs="Arial"/>
          <w:szCs w:val="24"/>
        </w:rPr>
        <w:t>n the bargaining unit personnel, and most of the replacement management personnel came from within the Treasury</w:t>
      </w:r>
      <w:r w:rsidRPr="00AA54A9">
        <w:rPr>
          <w:rFonts w:cs="Arial"/>
          <w:szCs w:val="24"/>
        </w:rPr>
        <w:t xml:space="preserve"> work area.</w:t>
      </w:r>
      <w:r>
        <w:rPr>
          <w:rFonts w:cs="Arial"/>
          <w:szCs w:val="24"/>
        </w:rPr>
        <w:t xml:space="preserve">  </w:t>
      </w:r>
      <w:r w:rsidRPr="00AA54A9">
        <w:rPr>
          <w:rFonts w:cs="Arial"/>
          <w:szCs w:val="24"/>
        </w:rPr>
        <w:t>One Remittance Processing</w:t>
      </w:r>
      <w:r>
        <w:rPr>
          <w:rFonts w:cs="Arial"/>
          <w:szCs w:val="24"/>
        </w:rPr>
        <w:t xml:space="preserve"> employee left </w:t>
      </w:r>
      <w:r w:rsidRPr="00AA54A9">
        <w:rPr>
          <w:rFonts w:cs="Arial"/>
          <w:szCs w:val="24"/>
        </w:rPr>
        <w:t>in 2016 due to medical reasons.</w:t>
      </w:r>
      <w:r>
        <w:rPr>
          <w:rFonts w:cs="Arial"/>
          <w:szCs w:val="24"/>
        </w:rPr>
        <w:t xml:space="preserve"> The Corporate </w:t>
      </w:r>
      <w:r w:rsidRPr="00C4420F">
        <w:rPr>
          <w:rFonts w:cs="Arial"/>
          <w:szCs w:val="24"/>
        </w:rPr>
        <w:t>Finance work group staff was reduced in 2015, due to retirement, internship completion, and movement to a TSA assignment.</w:t>
      </w:r>
      <w:r>
        <w:rPr>
          <w:rFonts w:cs="Arial"/>
          <w:szCs w:val="24"/>
        </w:rPr>
        <w:t xml:space="preserve">  The Risk Management work group lost o</w:t>
      </w:r>
      <w:r w:rsidRPr="00AA54A9">
        <w:rPr>
          <w:rFonts w:cs="Arial"/>
          <w:szCs w:val="24"/>
        </w:rPr>
        <w:t>ne Senior Manager</w:t>
      </w:r>
      <w:r>
        <w:rPr>
          <w:rFonts w:cs="Arial"/>
          <w:szCs w:val="24"/>
        </w:rPr>
        <w:t xml:space="preserve"> </w:t>
      </w:r>
      <w:r w:rsidRPr="00AA54A9">
        <w:rPr>
          <w:rFonts w:cs="Arial"/>
          <w:szCs w:val="24"/>
        </w:rPr>
        <w:t>at the end of 2015.</w:t>
      </w:r>
      <w:r>
        <w:rPr>
          <w:rFonts w:cs="Arial"/>
          <w:szCs w:val="24"/>
        </w:rPr>
        <w:t xml:space="preserve">  The Senior Manager position was not refilled.  The Fundamental Market Analyst position was moved to Translink in Q1 2016.</w:t>
      </w:r>
    </w:p>
    <w:p w:rsidR="00AC40FC" w:rsidRDefault="00AC40FC" w:rsidP="00581946">
      <w:pPr>
        <w:rPr>
          <w:rFonts w:cs="Arial"/>
          <w:szCs w:val="24"/>
        </w:rPr>
      </w:pPr>
      <w:r w:rsidRPr="00AA54A9">
        <w:rPr>
          <w:rFonts w:cs="Arial"/>
          <w:szCs w:val="24"/>
        </w:rPr>
        <w:t xml:space="preserve">The only contractor used in </w:t>
      </w:r>
      <w:r>
        <w:rPr>
          <w:rFonts w:cs="Arial"/>
          <w:szCs w:val="24"/>
        </w:rPr>
        <w:t>the Treasury and Risk area</w:t>
      </w:r>
      <w:r w:rsidRPr="00AA54A9">
        <w:rPr>
          <w:rFonts w:cs="Arial"/>
          <w:szCs w:val="24"/>
        </w:rPr>
        <w:t xml:space="preserve"> is the company that is processing </w:t>
      </w:r>
      <w:r>
        <w:rPr>
          <w:rFonts w:cs="Arial"/>
          <w:szCs w:val="24"/>
        </w:rPr>
        <w:t>ten percent</w:t>
      </w:r>
      <w:r w:rsidRPr="00AA54A9">
        <w:rPr>
          <w:rFonts w:cs="Arial"/>
          <w:szCs w:val="24"/>
        </w:rPr>
        <w:t xml:space="preserve"> of PPL EU’s remittances and serves as a backup and disaster recovery means in case of an emergency at the Allentown, Pennsylvania Remittance Center.</w:t>
      </w:r>
      <w:r>
        <w:rPr>
          <w:rFonts w:cs="Arial"/>
          <w:szCs w:val="24"/>
        </w:rPr>
        <w:t xml:space="preserve"> </w:t>
      </w:r>
      <w:r>
        <w:rPr>
          <w:rFonts w:cs="Arial"/>
          <w:szCs w:val="24"/>
          <w:vertAlign w:val="superscript"/>
        </w:rPr>
        <w:t xml:space="preserve"> </w:t>
      </w:r>
      <w:r w:rsidRPr="00AA54A9">
        <w:rPr>
          <w:rFonts w:cs="Arial"/>
          <w:szCs w:val="24"/>
        </w:rPr>
        <w:t>No changes in contractors are planned for 2016.</w:t>
      </w:r>
    </w:p>
    <w:p w:rsidR="00AC40FC" w:rsidRPr="00AA54A9" w:rsidRDefault="00AC40FC" w:rsidP="00581946">
      <w:pPr>
        <w:rPr>
          <w:rFonts w:cs="Arial"/>
          <w:szCs w:val="24"/>
        </w:rPr>
      </w:pPr>
      <w:r>
        <w:rPr>
          <w:rFonts w:cs="Arial"/>
          <w:szCs w:val="24"/>
        </w:rPr>
        <w:t>At the end of</w:t>
      </w:r>
      <w:r w:rsidRPr="00AB64AA">
        <w:rPr>
          <w:rFonts w:cs="Arial"/>
          <w:szCs w:val="24"/>
        </w:rPr>
        <w:t xml:space="preserve"> 2015, the Treasurer’s position was moved and combined with Investor Relations and Financial Planning.  At the same time, Cash Management was </w:t>
      </w:r>
      <w:r w:rsidRPr="000421B9">
        <w:rPr>
          <w:rFonts w:cs="Arial"/>
          <w:szCs w:val="24"/>
        </w:rPr>
        <w:t>placed</w:t>
      </w:r>
      <w:r w:rsidRPr="00AB64AA">
        <w:rPr>
          <w:rFonts w:cs="Arial"/>
          <w:szCs w:val="24"/>
        </w:rPr>
        <w:t xml:space="preserve"> under the Assistant Treasurer.</w:t>
      </w:r>
      <w:r>
        <w:rPr>
          <w:rFonts w:cs="Arial"/>
          <w:szCs w:val="24"/>
        </w:rPr>
        <w:t xml:space="preserve"> </w:t>
      </w:r>
      <w:r w:rsidRPr="00125902">
        <w:rPr>
          <w:rFonts w:cs="Arial"/>
          <w:szCs w:val="24"/>
        </w:rPr>
        <w:t xml:space="preserve"> </w:t>
      </w:r>
      <w:r w:rsidRPr="00F7526C">
        <w:rPr>
          <w:rFonts w:cs="Arial"/>
          <w:szCs w:val="24"/>
        </w:rPr>
        <w:t>Cash Management is scheduled to be moved to PPL EUS in 2016, after the Talen TSA has ended.</w:t>
      </w:r>
      <w:r w:rsidRPr="00AA54A9">
        <w:rPr>
          <w:rFonts w:cs="Arial"/>
          <w:szCs w:val="24"/>
        </w:rPr>
        <w:t xml:space="preserve">  </w:t>
      </w:r>
      <w:r>
        <w:rPr>
          <w:rFonts w:cs="Arial"/>
          <w:szCs w:val="24"/>
        </w:rPr>
        <w:t>Following this expected move, t</w:t>
      </w:r>
      <w:r w:rsidRPr="00AA54A9">
        <w:rPr>
          <w:rFonts w:cs="Arial"/>
          <w:szCs w:val="24"/>
        </w:rPr>
        <w:t>he remainder of this work group will be evaluated to determine the appropriate staffing fo</w:t>
      </w:r>
      <w:r>
        <w:rPr>
          <w:rFonts w:cs="Arial"/>
          <w:szCs w:val="24"/>
        </w:rPr>
        <w:t>r the work load remaining and</w:t>
      </w:r>
      <w:r w:rsidRPr="00AA54A9">
        <w:rPr>
          <w:rFonts w:cs="Arial"/>
          <w:szCs w:val="24"/>
        </w:rPr>
        <w:t xml:space="preserve"> expected.</w:t>
      </w:r>
    </w:p>
    <w:p w:rsidR="00AC40FC" w:rsidRPr="00A315C0" w:rsidRDefault="00AC40FC" w:rsidP="00581946">
      <w:r w:rsidRPr="0048107E">
        <w:rPr>
          <w:b/>
        </w:rPr>
        <w:t>Corporate Audit and Business Ethics.</w:t>
      </w:r>
      <w:r>
        <w:t xml:space="preserve">  </w:t>
      </w:r>
      <w:r w:rsidRPr="00A315C0">
        <w:t xml:space="preserve">In 2015, auditor positions were eliminated due to the Talen spinoff.  One team of investigators that had mostly worked on PPL Supply </w:t>
      </w:r>
      <w:r>
        <w:t>was</w:t>
      </w:r>
      <w:r w:rsidRPr="00A315C0">
        <w:t xml:space="preserve"> no longer necessary, and these personnel were moved to Talen.  Positions</w:t>
      </w:r>
      <w:r>
        <w:t xml:space="preserve"> (two FTEs)</w:t>
      </w:r>
      <w:r w:rsidRPr="00A315C0">
        <w:t xml:space="preserve"> related to Sarbanes Oxley (SOX) work were added in 2015.  This function had been performed by the Controller’s work group and now is the responsibility of Corporate Audit</w:t>
      </w:r>
      <w:r>
        <w:t xml:space="preserve"> and Business Ethics.  Additionally, one FTE</w:t>
      </w:r>
      <w:r w:rsidRPr="00A315C0">
        <w:t xml:space="preserve"> was added</w:t>
      </w:r>
      <w:r>
        <w:t xml:space="preserve"> in 2015</w:t>
      </w:r>
      <w:r w:rsidRPr="00A315C0">
        <w:t xml:space="preserve"> to perform the corporate ethics functions, which includes the </w:t>
      </w:r>
      <w:r>
        <w:t>Ethics Helpline</w:t>
      </w:r>
      <w:r w:rsidRPr="00A315C0">
        <w:t xml:space="preserve">.  Most audit work was done by in-house auditors in 2015.  </w:t>
      </w:r>
    </w:p>
    <w:p w:rsidR="00AC40FC" w:rsidRDefault="00AC40FC" w:rsidP="00581946">
      <w:r w:rsidRPr="00A315C0">
        <w:rPr>
          <w:rFonts w:cs="Arial"/>
          <w:szCs w:val="24"/>
        </w:rPr>
        <w:t xml:space="preserve">In 2016, the staffing level for this work group is 13, as compared to 19 </w:t>
      </w:r>
      <w:r>
        <w:rPr>
          <w:rFonts w:cs="Arial"/>
          <w:szCs w:val="24"/>
        </w:rPr>
        <w:t xml:space="preserve">budgeted </w:t>
      </w:r>
      <w:r w:rsidRPr="00A315C0">
        <w:rPr>
          <w:rFonts w:cs="Arial"/>
          <w:szCs w:val="24"/>
        </w:rPr>
        <w:t>positions</w:t>
      </w:r>
      <w:r>
        <w:rPr>
          <w:rFonts w:cs="Arial"/>
          <w:szCs w:val="24"/>
        </w:rPr>
        <w:t xml:space="preserve"> in 2014</w:t>
      </w:r>
      <w:r w:rsidRPr="00A315C0">
        <w:rPr>
          <w:rFonts w:cs="Arial"/>
          <w:szCs w:val="24"/>
        </w:rPr>
        <w:t>.  There are plans to augment audit and SOX staffing by</w:t>
      </w:r>
      <w:r w:rsidRPr="00AA54A9">
        <w:rPr>
          <w:rFonts w:cs="Arial"/>
          <w:szCs w:val="24"/>
        </w:rPr>
        <w:t xml:space="preserve"> approximately 20% in 2016.  </w:t>
      </w:r>
      <w:r>
        <w:rPr>
          <w:rFonts w:cs="Arial"/>
          <w:szCs w:val="24"/>
        </w:rPr>
        <w:t>Annually, t</w:t>
      </w:r>
      <w:r w:rsidRPr="00AA54A9">
        <w:rPr>
          <w:rFonts w:cs="Arial"/>
          <w:szCs w:val="24"/>
        </w:rPr>
        <w:t xml:space="preserve">he </w:t>
      </w:r>
      <w:r>
        <w:rPr>
          <w:rFonts w:cs="Arial"/>
          <w:szCs w:val="24"/>
        </w:rPr>
        <w:t xml:space="preserve">PPL </w:t>
      </w:r>
      <w:r w:rsidRPr="00AA54A9">
        <w:rPr>
          <w:rFonts w:cs="Arial"/>
          <w:szCs w:val="24"/>
        </w:rPr>
        <w:t>Audit Committee reviews the ad</w:t>
      </w:r>
      <w:r>
        <w:rPr>
          <w:rFonts w:cs="Arial"/>
          <w:szCs w:val="24"/>
        </w:rPr>
        <w:t xml:space="preserve">equacy of the </w:t>
      </w:r>
      <w:r w:rsidRPr="00AA54A9">
        <w:rPr>
          <w:rFonts w:cs="Arial"/>
          <w:szCs w:val="24"/>
        </w:rPr>
        <w:t>staffing level</w:t>
      </w:r>
      <w:r>
        <w:rPr>
          <w:rFonts w:cs="Arial"/>
          <w:szCs w:val="24"/>
        </w:rPr>
        <w:t xml:space="preserve"> of this department</w:t>
      </w:r>
      <w:r w:rsidRPr="00AA54A9">
        <w:rPr>
          <w:rFonts w:cs="Arial"/>
          <w:szCs w:val="24"/>
        </w:rPr>
        <w:t>.</w:t>
      </w:r>
    </w:p>
    <w:p w:rsidR="00AC40FC" w:rsidRDefault="00AC40FC" w:rsidP="00581946">
      <w:pPr>
        <w:pStyle w:val="Heading40"/>
      </w:pPr>
      <w:r w:rsidRPr="00694160">
        <w:lastRenderedPageBreak/>
        <w:t>PPL EUS Organizations</w:t>
      </w:r>
    </w:p>
    <w:p w:rsidR="00AC40FC" w:rsidRDefault="00AC40FC" w:rsidP="00581946">
      <w:pPr>
        <w:rPr>
          <w:rFonts w:cs="Arial"/>
          <w:szCs w:val="24"/>
        </w:rPr>
      </w:pPr>
      <w:r>
        <w:rPr>
          <w:rFonts w:cs="Arial"/>
          <w:szCs w:val="24"/>
        </w:rPr>
        <w:t>PPL EUS was formed in 2014, and the finance and accounting functions serving PPL EU were transferred from PPL EU to PPL EUS.  The number of staffing changes by SRC number and title from the end of 2014 to the end of 2015 is shown on the following table.</w:t>
      </w:r>
    </w:p>
    <w:p w:rsidR="00AC40FC" w:rsidRPr="00682AE8" w:rsidRDefault="00AC40FC" w:rsidP="00B306CB">
      <w:pPr>
        <w:pStyle w:val="Caption"/>
      </w:pPr>
      <w:bookmarkStart w:id="400" w:name="_Toc462648503"/>
      <w:bookmarkStart w:id="401" w:name="_Toc464553125"/>
      <w:r>
        <w:t xml:space="preserve">Exhibit </w:t>
      </w:r>
      <w:fldSimple w:instr=" STYLEREF 1 \s ">
        <w:r w:rsidR="00A24205">
          <w:rPr>
            <w:noProof/>
          </w:rPr>
          <w:t>XV</w:t>
        </w:r>
      </w:fldSimple>
      <w:r w:rsidR="00264A1B">
        <w:noBreakHyphen/>
      </w:r>
      <w:fldSimple w:instr=" SEQ Exhibit \* ARABIC \s 1 ">
        <w:r w:rsidR="00A24205">
          <w:rPr>
            <w:noProof/>
          </w:rPr>
          <w:t>17</w:t>
        </w:r>
      </w:fldSimple>
      <w:r>
        <w:br/>
      </w:r>
      <w:r w:rsidRPr="00682AE8">
        <w:t>PPL EUS Finance and Accounting Employee Staffing Changes 2014–2015</w:t>
      </w:r>
      <w:bookmarkEnd w:id="400"/>
      <w:bookmarkEnd w:id="40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3715"/>
        <w:gridCol w:w="1170"/>
        <w:gridCol w:w="750"/>
        <w:gridCol w:w="1229"/>
      </w:tblGrid>
      <w:tr w:rsidR="00AC40FC" w:rsidRPr="00D6083E" w:rsidTr="00581946">
        <w:trPr>
          <w:cantSplit/>
          <w:trHeight w:val="300"/>
          <w:tblHeader/>
          <w:jc w:val="center"/>
        </w:trPr>
        <w:tc>
          <w:tcPr>
            <w:tcW w:w="960" w:type="dxa"/>
            <w:shd w:val="clear" w:color="auto" w:fill="A5CD7E"/>
            <w:noWrap/>
            <w:vAlign w:val="center"/>
            <w:hideMark/>
          </w:tcPr>
          <w:p w:rsidR="00AC40FC" w:rsidRPr="00D6083E" w:rsidRDefault="00AC40FC" w:rsidP="00D6083E">
            <w:pPr>
              <w:spacing w:before="120"/>
              <w:jc w:val="center"/>
              <w:rPr>
                <w:b/>
                <w:bCs/>
              </w:rPr>
            </w:pPr>
            <w:r w:rsidRPr="00D6083E">
              <w:rPr>
                <w:b/>
                <w:bCs/>
              </w:rPr>
              <w:t>SRC</w:t>
            </w:r>
          </w:p>
        </w:tc>
        <w:tc>
          <w:tcPr>
            <w:tcW w:w="3715" w:type="dxa"/>
            <w:shd w:val="clear" w:color="auto" w:fill="A5CD7E"/>
            <w:noWrap/>
            <w:vAlign w:val="center"/>
            <w:hideMark/>
          </w:tcPr>
          <w:p w:rsidR="00AC40FC" w:rsidRPr="00D6083E" w:rsidRDefault="00AC40FC" w:rsidP="00D6083E">
            <w:pPr>
              <w:spacing w:before="120"/>
              <w:jc w:val="center"/>
              <w:rPr>
                <w:b/>
                <w:bCs/>
              </w:rPr>
            </w:pPr>
            <w:r w:rsidRPr="00D6083E">
              <w:rPr>
                <w:b/>
                <w:bCs/>
              </w:rPr>
              <w:t>Title</w:t>
            </w:r>
          </w:p>
        </w:tc>
        <w:tc>
          <w:tcPr>
            <w:tcW w:w="1170" w:type="dxa"/>
            <w:shd w:val="clear" w:color="auto" w:fill="A5CD7E"/>
            <w:noWrap/>
            <w:vAlign w:val="center"/>
            <w:hideMark/>
          </w:tcPr>
          <w:p w:rsidR="00AC40FC" w:rsidRPr="00D6083E" w:rsidRDefault="00AC40FC" w:rsidP="00D6083E">
            <w:pPr>
              <w:spacing w:before="120"/>
              <w:jc w:val="center"/>
              <w:rPr>
                <w:b/>
                <w:bCs/>
              </w:rPr>
            </w:pPr>
            <w:r w:rsidRPr="00D6083E">
              <w:rPr>
                <w:b/>
                <w:bCs/>
              </w:rPr>
              <w:t>2014</w:t>
            </w:r>
          </w:p>
        </w:tc>
        <w:tc>
          <w:tcPr>
            <w:tcW w:w="750" w:type="dxa"/>
            <w:shd w:val="clear" w:color="auto" w:fill="A5CD7E"/>
            <w:noWrap/>
            <w:vAlign w:val="center"/>
            <w:hideMark/>
          </w:tcPr>
          <w:p w:rsidR="00AC40FC" w:rsidRPr="00D6083E" w:rsidRDefault="00AC40FC" w:rsidP="00D6083E">
            <w:pPr>
              <w:spacing w:before="120"/>
              <w:jc w:val="center"/>
              <w:rPr>
                <w:b/>
                <w:bCs/>
              </w:rPr>
            </w:pPr>
            <w:r w:rsidRPr="00D6083E">
              <w:rPr>
                <w:b/>
                <w:bCs/>
              </w:rPr>
              <w:t>2015</w:t>
            </w:r>
          </w:p>
        </w:tc>
        <w:tc>
          <w:tcPr>
            <w:tcW w:w="1229" w:type="dxa"/>
            <w:shd w:val="clear" w:color="auto" w:fill="A5CD7E"/>
            <w:noWrap/>
            <w:vAlign w:val="center"/>
            <w:hideMark/>
          </w:tcPr>
          <w:p w:rsidR="00AC40FC" w:rsidRPr="00D6083E" w:rsidRDefault="00AC40FC" w:rsidP="00D6083E">
            <w:pPr>
              <w:spacing w:before="120"/>
              <w:jc w:val="center"/>
              <w:rPr>
                <w:b/>
                <w:bCs/>
              </w:rPr>
            </w:pPr>
            <w:r w:rsidRPr="00D6083E">
              <w:rPr>
                <w:b/>
                <w:bCs/>
              </w:rPr>
              <w:t>Change</w:t>
            </w:r>
          </w:p>
        </w:tc>
      </w:tr>
      <w:tr w:rsidR="00AC40FC" w:rsidRPr="00682AE8" w:rsidTr="00581946">
        <w:trPr>
          <w:trHeight w:val="300"/>
          <w:jc w:val="center"/>
        </w:trPr>
        <w:tc>
          <w:tcPr>
            <w:tcW w:w="7824" w:type="dxa"/>
            <w:gridSpan w:val="5"/>
            <w:shd w:val="clear" w:color="auto" w:fill="auto"/>
            <w:noWrap/>
            <w:vAlign w:val="center"/>
          </w:tcPr>
          <w:p w:rsidR="00AC40FC" w:rsidRPr="007F05B6" w:rsidRDefault="00AC40FC" w:rsidP="00581946">
            <w:pPr>
              <w:spacing w:after="0"/>
              <w:jc w:val="left"/>
              <w:rPr>
                <w:rFonts w:cs="Arial"/>
                <w:b/>
                <w:szCs w:val="24"/>
              </w:rPr>
            </w:pPr>
            <w:r w:rsidRPr="007F05B6">
              <w:rPr>
                <w:rFonts w:cs="Arial"/>
                <w:b/>
                <w:szCs w:val="24"/>
              </w:rPr>
              <w:t>Finance Regulatory Affairs (Management and Administration)</w:t>
            </w:r>
          </w:p>
        </w:tc>
      </w:tr>
      <w:tr w:rsidR="00AC40FC" w:rsidRPr="00682AE8" w:rsidTr="00581946">
        <w:trPr>
          <w:trHeight w:val="300"/>
          <w:jc w:val="center"/>
        </w:trPr>
        <w:tc>
          <w:tcPr>
            <w:tcW w:w="960" w:type="dxa"/>
            <w:shd w:val="clear" w:color="auto" w:fill="auto"/>
            <w:noWrap/>
            <w:vAlign w:val="center"/>
          </w:tcPr>
          <w:p w:rsidR="00AC40FC" w:rsidRPr="00682AE8" w:rsidRDefault="00AC40FC" w:rsidP="00581946">
            <w:pPr>
              <w:spacing w:after="0"/>
              <w:jc w:val="center"/>
              <w:rPr>
                <w:rFonts w:cs="Arial"/>
                <w:szCs w:val="24"/>
              </w:rPr>
            </w:pPr>
            <w:r w:rsidRPr="00682AE8">
              <w:rPr>
                <w:rFonts w:cs="Arial"/>
                <w:szCs w:val="24"/>
              </w:rPr>
              <w:t>0825</w:t>
            </w:r>
          </w:p>
        </w:tc>
        <w:tc>
          <w:tcPr>
            <w:tcW w:w="3715" w:type="dxa"/>
            <w:shd w:val="clear" w:color="auto" w:fill="auto"/>
            <w:noWrap/>
          </w:tcPr>
          <w:p w:rsidR="00AC40FC" w:rsidRPr="00682AE8" w:rsidRDefault="00AC40FC" w:rsidP="00581946">
            <w:pPr>
              <w:spacing w:after="0"/>
              <w:rPr>
                <w:rFonts w:cs="Arial"/>
                <w:szCs w:val="24"/>
              </w:rPr>
            </w:pPr>
            <w:r>
              <w:rPr>
                <w:rFonts w:cs="Arial"/>
                <w:szCs w:val="24"/>
              </w:rPr>
              <w:t xml:space="preserve">Finance Regulatory </w:t>
            </w:r>
            <w:r w:rsidRPr="00682AE8">
              <w:rPr>
                <w:rFonts w:cs="Arial"/>
                <w:szCs w:val="24"/>
              </w:rPr>
              <w:t>Affairs</w:t>
            </w:r>
          </w:p>
        </w:tc>
        <w:tc>
          <w:tcPr>
            <w:tcW w:w="1170" w:type="dxa"/>
            <w:shd w:val="clear" w:color="auto" w:fill="auto"/>
            <w:noWrap/>
            <w:vAlign w:val="bottom"/>
          </w:tcPr>
          <w:p w:rsidR="00AC40FC" w:rsidRPr="00682AE8" w:rsidRDefault="00AC40FC" w:rsidP="00581946">
            <w:pPr>
              <w:spacing w:after="0"/>
              <w:jc w:val="center"/>
              <w:rPr>
                <w:rFonts w:cs="Arial"/>
                <w:szCs w:val="24"/>
              </w:rPr>
            </w:pPr>
            <w:r w:rsidRPr="00682AE8">
              <w:rPr>
                <w:rFonts w:cs="Arial"/>
                <w:szCs w:val="24"/>
              </w:rPr>
              <w:t>3</w:t>
            </w:r>
          </w:p>
        </w:tc>
        <w:tc>
          <w:tcPr>
            <w:tcW w:w="750" w:type="dxa"/>
            <w:shd w:val="clear" w:color="auto" w:fill="auto"/>
            <w:noWrap/>
            <w:vAlign w:val="bottom"/>
          </w:tcPr>
          <w:p w:rsidR="00AC40FC" w:rsidRPr="00682AE8" w:rsidRDefault="00AC40FC" w:rsidP="00581946">
            <w:pPr>
              <w:spacing w:after="0"/>
              <w:jc w:val="center"/>
              <w:rPr>
                <w:rFonts w:cs="Arial"/>
                <w:szCs w:val="24"/>
              </w:rPr>
            </w:pPr>
            <w:r w:rsidRPr="00682AE8">
              <w:rPr>
                <w:rFonts w:cs="Arial"/>
                <w:szCs w:val="24"/>
              </w:rPr>
              <w:t>0</w:t>
            </w:r>
          </w:p>
        </w:tc>
        <w:tc>
          <w:tcPr>
            <w:tcW w:w="1229" w:type="dxa"/>
            <w:shd w:val="clear" w:color="auto" w:fill="auto"/>
            <w:noWrap/>
            <w:vAlign w:val="bottom"/>
          </w:tcPr>
          <w:p w:rsidR="00AC40FC" w:rsidRPr="00682AE8" w:rsidRDefault="00AC40FC" w:rsidP="00581946">
            <w:pPr>
              <w:spacing w:after="0"/>
              <w:jc w:val="center"/>
              <w:rPr>
                <w:rFonts w:cs="Arial"/>
                <w:szCs w:val="24"/>
              </w:rPr>
            </w:pPr>
            <w:r w:rsidRPr="00682AE8">
              <w:rPr>
                <w:rFonts w:cs="Arial"/>
                <w:szCs w:val="24"/>
              </w:rPr>
              <w:t>-3</w:t>
            </w:r>
          </w:p>
        </w:tc>
      </w:tr>
      <w:tr w:rsidR="00AC40FC" w:rsidRPr="00682AE8" w:rsidTr="00581946">
        <w:trPr>
          <w:trHeight w:val="300"/>
          <w:jc w:val="center"/>
        </w:trPr>
        <w:tc>
          <w:tcPr>
            <w:tcW w:w="960" w:type="dxa"/>
            <w:shd w:val="clear" w:color="auto" w:fill="auto"/>
            <w:noWrap/>
            <w:vAlign w:val="center"/>
          </w:tcPr>
          <w:p w:rsidR="00AC40FC" w:rsidRPr="00682AE8" w:rsidRDefault="00AC40FC" w:rsidP="00581946">
            <w:pPr>
              <w:spacing w:after="0"/>
              <w:jc w:val="center"/>
              <w:rPr>
                <w:rFonts w:cs="Arial"/>
                <w:szCs w:val="24"/>
              </w:rPr>
            </w:pPr>
            <w:r w:rsidRPr="00682AE8">
              <w:rPr>
                <w:rFonts w:cs="Arial"/>
                <w:szCs w:val="24"/>
              </w:rPr>
              <w:t>0835</w:t>
            </w:r>
          </w:p>
        </w:tc>
        <w:tc>
          <w:tcPr>
            <w:tcW w:w="3715" w:type="dxa"/>
            <w:shd w:val="clear" w:color="auto" w:fill="auto"/>
            <w:noWrap/>
          </w:tcPr>
          <w:p w:rsidR="00AC40FC" w:rsidRPr="00682AE8" w:rsidRDefault="00AC40FC" w:rsidP="00581946">
            <w:pPr>
              <w:spacing w:after="0"/>
              <w:rPr>
                <w:rFonts w:cs="Arial"/>
                <w:szCs w:val="24"/>
              </w:rPr>
            </w:pPr>
            <w:r w:rsidRPr="00682AE8">
              <w:rPr>
                <w:rFonts w:cs="Arial"/>
                <w:szCs w:val="24"/>
              </w:rPr>
              <w:t>Finance Reg</w:t>
            </w:r>
            <w:r>
              <w:rPr>
                <w:rFonts w:cs="Arial"/>
                <w:szCs w:val="24"/>
              </w:rPr>
              <w:t>ulatory</w:t>
            </w:r>
            <w:r w:rsidRPr="00682AE8">
              <w:rPr>
                <w:rFonts w:cs="Arial"/>
                <w:szCs w:val="24"/>
              </w:rPr>
              <w:t xml:space="preserve"> Affairs</w:t>
            </w:r>
          </w:p>
        </w:tc>
        <w:tc>
          <w:tcPr>
            <w:tcW w:w="1170" w:type="dxa"/>
            <w:shd w:val="clear" w:color="auto" w:fill="auto"/>
            <w:noWrap/>
            <w:vAlign w:val="bottom"/>
          </w:tcPr>
          <w:p w:rsidR="00AC40FC" w:rsidRPr="00682AE8" w:rsidRDefault="00AC40FC" w:rsidP="00581946">
            <w:pPr>
              <w:spacing w:after="0"/>
              <w:jc w:val="center"/>
              <w:rPr>
                <w:rFonts w:cs="Arial"/>
                <w:szCs w:val="24"/>
              </w:rPr>
            </w:pPr>
            <w:r w:rsidRPr="00682AE8">
              <w:rPr>
                <w:rFonts w:cs="Arial"/>
                <w:szCs w:val="24"/>
              </w:rPr>
              <w:t>0</w:t>
            </w:r>
          </w:p>
        </w:tc>
        <w:tc>
          <w:tcPr>
            <w:tcW w:w="750" w:type="dxa"/>
            <w:shd w:val="clear" w:color="auto" w:fill="auto"/>
            <w:noWrap/>
            <w:vAlign w:val="bottom"/>
          </w:tcPr>
          <w:p w:rsidR="00AC40FC" w:rsidRPr="00682AE8" w:rsidRDefault="00AC40FC" w:rsidP="00581946">
            <w:pPr>
              <w:spacing w:after="0"/>
              <w:jc w:val="center"/>
              <w:rPr>
                <w:rFonts w:cs="Arial"/>
                <w:szCs w:val="24"/>
              </w:rPr>
            </w:pPr>
            <w:r w:rsidRPr="00682AE8">
              <w:rPr>
                <w:rFonts w:cs="Arial"/>
                <w:szCs w:val="24"/>
              </w:rPr>
              <w:t>7</w:t>
            </w:r>
          </w:p>
        </w:tc>
        <w:tc>
          <w:tcPr>
            <w:tcW w:w="1229" w:type="dxa"/>
            <w:shd w:val="clear" w:color="auto" w:fill="auto"/>
            <w:noWrap/>
            <w:vAlign w:val="bottom"/>
          </w:tcPr>
          <w:p w:rsidR="00AC40FC" w:rsidRPr="00682AE8" w:rsidRDefault="00AC40FC" w:rsidP="00581946">
            <w:pPr>
              <w:spacing w:after="0"/>
              <w:jc w:val="center"/>
              <w:rPr>
                <w:rFonts w:cs="Arial"/>
                <w:szCs w:val="24"/>
              </w:rPr>
            </w:pPr>
            <w:r w:rsidRPr="00682AE8">
              <w:rPr>
                <w:rFonts w:cs="Arial"/>
                <w:szCs w:val="24"/>
              </w:rPr>
              <w:t>+7</w:t>
            </w:r>
          </w:p>
        </w:tc>
      </w:tr>
      <w:tr w:rsidR="00AC40FC" w:rsidRPr="00682AE8" w:rsidTr="00581946">
        <w:trPr>
          <w:trHeight w:val="300"/>
          <w:jc w:val="center"/>
        </w:trPr>
        <w:tc>
          <w:tcPr>
            <w:tcW w:w="960" w:type="dxa"/>
            <w:shd w:val="clear" w:color="auto" w:fill="auto"/>
            <w:noWrap/>
            <w:vAlign w:val="center"/>
          </w:tcPr>
          <w:p w:rsidR="00AC40FC" w:rsidRPr="00682AE8" w:rsidRDefault="00AC40FC" w:rsidP="00581946">
            <w:pPr>
              <w:spacing w:after="0"/>
              <w:jc w:val="center"/>
              <w:rPr>
                <w:rFonts w:cs="Arial"/>
                <w:szCs w:val="24"/>
              </w:rPr>
            </w:pPr>
          </w:p>
        </w:tc>
        <w:tc>
          <w:tcPr>
            <w:tcW w:w="3715" w:type="dxa"/>
            <w:shd w:val="clear" w:color="auto" w:fill="auto"/>
            <w:noWrap/>
            <w:vAlign w:val="center"/>
          </w:tcPr>
          <w:p w:rsidR="00AC40FC" w:rsidRPr="00682AE8" w:rsidRDefault="00AC40FC" w:rsidP="00581946">
            <w:pPr>
              <w:spacing w:after="0"/>
              <w:jc w:val="center"/>
              <w:rPr>
                <w:rFonts w:cs="Arial"/>
                <w:szCs w:val="24"/>
              </w:rPr>
            </w:pPr>
            <w:r>
              <w:rPr>
                <w:rFonts w:cs="Arial"/>
                <w:szCs w:val="24"/>
              </w:rPr>
              <w:t>Sub-total</w:t>
            </w:r>
          </w:p>
        </w:tc>
        <w:tc>
          <w:tcPr>
            <w:tcW w:w="1170" w:type="dxa"/>
            <w:shd w:val="clear" w:color="auto" w:fill="auto"/>
            <w:noWrap/>
            <w:vAlign w:val="center"/>
          </w:tcPr>
          <w:p w:rsidR="00AC40FC" w:rsidRPr="00682AE8" w:rsidRDefault="00AC40FC" w:rsidP="00581946">
            <w:pPr>
              <w:spacing w:after="0"/>
              <w:jc w:val="center"/>
              <w:rPr>
                <w:rFonts w:cs="Arial"/>
                <w:szCs w:val="24"/>
              </w:rPr>
            </w:pPr>
            <w:r>
              <w:rPr>
                <w:rFonts w:cs="Arial"/>
                <w:szCs w:val="24"/>
              </w:rPr>
              <w:t>3</w:t>
            </w:r>
          </w:p>
        </w:tc>
        <w:tc>
          <w:tcPr>
            <w:tcW w:w="750" w:type="dxa"/>
            <w:shd w:val="clear" w:color="auto" w:fill="auto"/>
            <w:noWrap/>
            <w:vAlign w:val="center"/>
          </w:tcPr>
          <w:p w:rsidR="00AC40FC" w:rsidRPr="00682AE8" w:rsidRDefault="00AC40FC" w:rsidP="00581946">
            <w:pPr>
              <w:spacing w:after="0"/>
              <w:jc w:val="center"/>
              <w:rPr>
                <w:rFonts w:cs="Arial"/>
                <w:szCs w:val="24"/>
              </w:rPr>
            </w:pPr>
            <w:r>
              <w:rPr>
                <w:rFonts w:cs="Arial"/>
                <w:szCs w:val="24"/>
              </w:rPr>
              <w:t>7</w:t>
            </w:r>
          </w:p>
        </w:tc>
        <w:tc>
          <w:tcPr>
            <w:tcW w:w="1229" w:type="dxa"/>
            <w:shd w:val="clear" w:color="auto" w:fill="auto"/>
            <w:noWrap/>
            <w:vAlign w:val="center"/>
          </w:tcPr>
          <w:p w:rsidR="00AC40FC" w:rsidRPr="00682AE8" w:rsidRDefault="00AC40FC" w:rsidP="00581946">
            <w:pPr>
              <w:spacing w:after="0"/>
              <w:jc w:val="center"/>
              <w:rPr>
                <w:rFonts w:cs="Arial"/>
                <w:szCs w:val="24"/>
              </w:rPr>
            </w:pPr>
            <w:r>
              <w:rPr>
                <w:rFonts w:cs="Arial"/>
                <w:szCs w:val="24"/>
              </w:rPr>
              <w:t>+4</w:t>
            </w:r>
          </w:p>
        </w:tc>
      </w:tr>
      <w:tr w:rsidR="00AC40FC" w:rsidRPr="00682AE8" w:rsidTr="00581946">
        <w:trPr>
          <w:trHeight w:val="300"/>
          <w:jc w:val="center"/>
        </w:trPr>
        <w:tc>
          <w:tcPr>
            <w:tcW w:w="7824" w:type="dxa"/>
            <w:gridSpan w:val="5"/>
            <w:shd w:val="clear" w:color="auto" w:fill="auto"/>
            <w:noWrap/>
            <w:vAlign w:val="center"/>
          </w:tcPr>
          <w:p w:rsidR="00AC40FC" w:rsidRPr="007F05B6" w:rsidRDefault="00AC40FC" w:rsidP="00581946">
            <w:pPr>
              <w:spacing w:after="0"/>
              <w:jc w:val="left"/>
              <w:rPr>
                <w:rFonts w:cs="Arial"/>
                <w:b/>
                <w:szCs w:val="24"/>
              </w:rPr>
            </w:pPr>
            <w:r w:rsidRPr="007F05B6">
              <w:rPr>
                <w:rFonts w:cs="Arial"/>
                <w:b/>
                <w:szCs w:val="24"/>
              </w:rPr>
              <w:t>Regulatory Affairs</w:t>
            </w:r>
          </w:p>
        </w:tc>
      </w:tr>
      <w:tr w:rsidR="00AC40FC" w:rsidRPr="00682AE8" w:rsidTr="00581946">
        <w:trPr>
          <w:trHeight w:val="300"/>
          <w:jc w:val="center"/>
        </w:trPr>
        <w:tc>
          <w:tcPr>
            <w:tcW w:w="960" w:type="dxa"/>
            <w:shd w:val="clear" w:color="auto" w:fill="auto"/>
            <w:noWrap/>
            <w:vAlign w:val="center"/>
          </w:tcPr>
          <w:p w:rsidR="00AC40FC" w:rsidRPr="00682AE8" w:rsidRDefault="00AC40FC" w:rsidP="00581946">
            <w:pPr>
              <w:spacing w:after="0"/>
              <w:jc w:val="center"/>
              <w:rPr>
                <w:rFonts w:cs="Arial"/>
                <w:szCs w:val="24"/>
              </w:rPr>
            </w:pPr>
            <w:r w:rsidRPr="00682AE8">
              <w:rPr>
                <w:rFonts w:cs="Arial"/>
                <w:szCs w:val="24"/>
              </w:rPr>
              <w:t>0814</w:t>
            </w:r>
          </w:p>
        </w:tc>
        <w:tc>
          <w:tcPr>
            <w:tcW w:w="3715" w:type="dxa"/>
            <w:shd w:val="clear" w:color="auto" w:fill="auto"/>
            <w:noWrap/>
          </w:tcPr>
          <w:p w:rsidR="00AC40FC" w:rsidRPr="00682AE8" w:rsidRDefault="00AC40FC" w:rsidP="00581946">
            <w:pPr>
              <w:spacing w:after="0"/>
              <w:rPr>
                <w:rFonts w:cs="Arial"/>
                <w:szCs w:val="24"/>
              </w:rPr>
            </w:pPr>
            <w:r w:rsidRPr="00682AE8">
              <w:rPr>
                <w:rFonts w:cs="Arial"/>
                <w:szCs w:val="24"/>
              </w:rPr>
              <w:t>Reg</w:t>
            </w:r>
            <w:r>
              <w:rPr>
                <w:rFonts w:cs="Arial"/>
                <w:szCs w:val="24"/>
              </w:rPr>
              <w:t>ulatory</w:t>
            </w:r>
            <w:r w:rsidRPr="00682AE8">
              <w:rPr>
                <w:rFonts w:cs="Arial"/>
                <w:szCs w:val="24"/>
              </w:rPr>
              <w:t xml:space="preserve"> Bus</w:t>
            </w:r>
            <w:r>
              <w:rPr>
                <w:rFonts w:cs="Arial"/>
                <w:szCs w:val="24"/>
              </w:rPr>
              <w:t>iness</w:t>
            </w:r>
            <w:r w:rsidRPr="00682AE8">
              <w:rPr>
                <w:rFonts w:cs="Arial"/>
                <w:szCs w:val="24"/>
              </w:rPr>
              <w:t xml:space="preserve"> Aff</w:t>
            </w:r>
            <w:r>
              <w:rPr>
                <w:rFonts w:cs="Arial"/>
                <w:szCs w:val="24"/>
              </w:rPr>
              <w:t>airs</w:t>
            </w:r>
          </w:p>
        </w:tc>
        <w:tc>
          <w:tcPr>
            <w:tcW w:w="1170" w:type="dxa"/>
            <w:shd w:val="clear" w:color="auto" w:fill="auto"/>
            <w:noWrap/>
            <w:vAlign w:val="bottom"/>
          </w:tcPr>
          <w:p w:rsidR="00AC40FC" w:rsidRPr="00682AE8" w:rsidRDefault="00AC40FC" w:rsidP="00581946">
            <w:pPr>
              <w:spacing w:after="0"/>
              <w:jc w:val="center"/>
              <w:rPr>
                <w:rFonts w:cs="Arial"/>
                <w:szCs w:val="24"/>
              </w:rPr>
            </w:pPr>
            <w:r w:rsidRPr="00682AE8">
              <w:rPr>
                <w:rFonts w:cs="Arial"/>
                <w:szCs w:val="24"/>
              </w:rPr>
              <w:t>17</w:t>
            </w:r>
          </w:p>
        </w:tc>
        <w:tc>
          <w:tcPr>
            <w:tcW w:w="750" w:type="dxa"/>
            <w:shd w:val="clear" w:color="auto" w:fill="auto"/>
            <w:noWrap/>
            <w:vAlign w:val="bottom"/>
          </w:tcPr>
          <w:p w:rsidR="00AC40FC" w:rsidRPr="00682AE8" w:rsidRDefault="00AC40FC" w:rsidP="00581946">
            <w:pPr>
              <w:spacing w:after="0"/>
              <w:jc w:val="center"/>
              <w:rPr>
                <w:rFonts w:cs="Arial"/>
                <w:szCs w:val="24"/>
              </w:rPr>
            </w:pPr>
            <w:r w:rsidRPr="00682AE8">
              <w:rPr>
                <w:rFonts w:cs="Arial"/>
                <w:szCs w:val="24"/>
              </w:rPr>
              <w:t>0</w:t>
            </w:r>
          </w:p>
        </w:tc>
        <w:tc>
          <w:tcPr>
            <w:tcW w:w="1229" w:type="dxa"/>
            <w:shd w:val="clear" w:color="auto" w:fill="auto"/>
            <w:noWrap/>
            <w:vAlign w:val="bottom"/>
          </w:tcPr>
          <w:p w:rsidR="00AC40FC" w:rsidRPr="00682AE8" w:rsidRDefault="00AC40FC" w:rsidP="00581946">
            <w:pPr>
              <w:spacing w:after="0"/>
              <w:jc w:val="center"/>
              <w:rPr>
                <w:rFonts w:cs="Arial"/>
                <w:szCs w:val="24"/>
              </w:rPr>
            </w:pPr>
            <w:r w:rsidRPr="00682AE8">
              <w:rPr>
                <w:rFonts w:cs="Arial"/>
                <w:szCs w:val="24"/>
              </w:rPr>
              <w:t>-17</w:t>
            </w:r>
          </w:p>
        </w:tc>
      </w:tr>
      <w:tr w:rsidR="00AC40FC" w:rsidRPr="00682AE8" w:rsidTr="00581946">
        <w:trPr>
          <w:trHeight w:val="300"/>
          <w:jc w:val="center"/>
        </w:trPr>
        <w:tc>
          <w:tcPr>
            <w:tcW w:w="960" w:type="dxa"/>
            <w:shd w:val="clear" w:color="auto" w:fill="auto"/>
            <w:noWrap/>
            <w:vAlign w:val="center"/>
            <w:hideMark/>
          </w:tcPr>
          <w:p w:rsidR="00AC40FC" w:rsidRPr="00682AE8" w:rsidRDefault="00AC40FC" w:rsidP="00581946">
            <w:pPr>
              <w:spacing w:after="0"/>
              <w:jc w:val="center"/>
              <w:rPr>
                <w:rFonts w:cs="Arial"/>
                <w:szCs w:val="24"/>
              </w:rPr>
            </w:pPr>
            <w:r w:rsidRPr="00682AE8">
              <w:rPr>
                <w:rFonts w:cs="Arial"/>
                <w:szCs w:val="24"/>
              </w:rPr>
              <w:t>0834</w:t>
            </w:r>
          </w:p>
        </w:tc>
        <w:tc>
          <w:tcPr>
            <w:tcW w:w="3715" w:type="dxa"/>
            <w:shd w:val="clear" w:color="auto" w:fill="auto"/>
            <w:noWrap/>
            <w:hideMark/>
          </w:tcPr>
          <w:p w:rsidR="00AC40FC" w:rsidRPr="00682AE8" w:rsidRDefault="00AC40FC" w:rsidP="00581946">
            <w:pPr>
              <w:spacing w:after="0"/>
              <w:rPr>
                <w:rFonts w:cs="Arial"/>
                <w:szCs w:val="24"/>
              </w:rPr>
            </w:pPr>
            <w:r w:rsidRPr="00682AE8">
              <w:rPr>
                <w:rFonts w:cs="Arial"/>
                <w:szCs w:val="24"/>
              </w:rPr>
              <w:t>Regulatory Affairs</w:t>
            </w:r>
          </w:p>
        </w:tc>
        <w:tc>
          <w:tcPr>
            <w:tcW w:w="1170" w:type="dxa"/>
            <w:shd w:val="clear" w:color="auto" w:fill="auto"/>
            <w:noWrap/>
            <w:vAlign w:val="bottom"/>
            <w:hideMark/>
          </w:tcPr>
          <w:p w:rsidR="00AC40FC" w:rsidRPr="00682AE8" w:rsidRDefault="00AC40FC" w:rsidP="00581946">
            <w:pPr>
              <w:spacing w:after="0"/>
              <w:jc w:val="center"/>
              <w:rPr>
                <w:rFonts w:cs="Arial"/>
                <w:szCs w:val="24"/>
              </w:rPr>
            </w:pPr>
            <w:r w:rsidRPr="00682AE8">
              <w:rPr>
                <w:rFonts w:cs="Arial"/>
                <w:szCs w:val="24"/>
              </w:rPr>
              <w:t>0</w:t>
            </w:r>
          </w:p>
        </w:tc>
        <w:tc>
          <w:tcPr>
            <w:tcW w:w="750" w:type="dxa"/>
            <w:shd w:val="clear" w:color="auto" w:fill="auto"/>
            <w:noWrap/>
            <w:vAlign w:val="bottom"/>
            <w:hideMark/>
          </w:tcPr>
          <w:p w:rsidR="00AC40FC" w:rsidRPr="00682AE8" w:rsidRDefault="00AC40FC" w:rsidP="00581946">
            <w:pPr>
              <w:spacing w:after="0"/>
              <w:jc w:val="center"/>
              <w:rPr>
                <w:rFonts w:cs="Arial"/>
                <w:szCs w:val="24"/>
              </w:rPr>
            </w:pPr>
            <w:r w:rsidRPr="00682AE8">
              <w:rPr>
                <w:rFonts w:cs="Arial"/>
                <w:szCs w:val="24"/>
              </w:rPr>
              <w:t>7</w:t>
            </w:r>
          </w:p>
        </w:tc>
        <w:tc>
          <w:tcPr>
            <w:tcW w:w="1229" w:type="dxa"/>
            <w:shd w:val="clear" w:color="auto" w:fill="auto"/>
            <w:noWrap/>
            <w:vAlign w:val="bottom"/>
            <w:hideMark/>
          </w:tcPr>
          <w:p w:rsidR="00AC40FC" w:rsidRPr="00682AE8" w:rsidRDefault="00AC40FC" w:rsidP="00581946">
            <w:pPr>
              <w:spacing w:after="0"/>
              <w:jc w:val="center"/>
              <w:rPr>
                <w:rFonts w:cs="Arial"/>
                <w:szCs w:val="24"/>
              </w:rPr>
            </w:pPr>
            <w:r w:rsidRPr="00682AE8">
              <w:rPr>
                <w:rFonts w:cs="Arial"/>
                <w:szCs w:val="24"/>
              </w:rPr>
              <w:t>+7</w:t>
            </w:r>
          </w:p>
        </w:tc>
      </w:tr>
      <w:tr w:rsidR="00AC40FC" w:rsidRPr="00682AE8" w:rsidTr="00581946">
        <w:trPr>
          <w:trHeight w:val="300"/>
          <w:jc w:val="center"/>
        </w:trPr>
        <w:tc>
          <w:tcPr>
            <w:tcW w:w="960" w:type="dxa"/>
            <w:shd w:val="clear" w:color="auto" w:fill="auto"/>
            <w:noWrap/>
            <w:vAlign w:val="center"/>
          </w:tcPr>
          <w:p w:rsidR="00AC40FC" w:rsidRPr="00682AE8" w:rsidRDefault="00AC40FC" w:rsidP="00581946">
            <w:pPr>
              <w:spacing w:after="0"/>
              <w:jc w:val="center"/>
              <w:rPr>
                <w:rFonts w:cs="Arial"/>
                <w:szCs w:val="24"/>
              </w:rPr>
            </w:pPr>
          </w:p>
        </w:tc>
        <w:tc>
          <w:tcPr>
            <w:tcW w:w="3715" w:type="dxa"/>
            <w:shd w:val="clear" w:color="auto" w:fill="auto"/>
            <w:noWrap/>
            <w:vAlign w:val="center"/>
          </w:tcPr>
          <w:p w:rsidR="00AC40FC" w:rsidRPr="00682AE8" w:rsidRDefault="00AC40FC" w:rsidP="00581946">
            <w:pPr>
              <w:spacing w:after="0"/>
              <w:jc w:val="center"/>
              <w:rPr>
                <w:rFonts w:cs="Arial"/>
                <w:szCs w:val="24"/>
              </w:rPr>
            </w:pPr>
            <w:r>
              <w:rPr>
                <w:rFonts w:cs="Arial"/>
                <w:szCs w:val="24"/>
              </w:rPr>
              <w:t>Sub-total</w:t>
            </w:r>
          </w:p>
        </w:tc>
        <w:tc>
          <w:tcPr>
            <w:tcW w:w="1170" w:type="dxa"/>
            <w:shd w:val="clear" w:color="auto" w:fill="auto"/>
            <w:noWrap/>
            <w:vAlign w:val="center"/>
          </w:tcPr>
          <w:p w:rsidR="00AC40FC" w:rsidRPr="00682AE8" w:rsidRDefault="00AC40FC" w:rsidP="00581946">
            <w:pPr>
              <w:spacing w:after="0"/>
              <w:jc w:val="center"/>
              <w:rPr>
                <w:rFonts w:cs="Arial"/>
                <w:szCs w:val="24"/>
              </w:rPr>
            </w:pPr>
            <w:r>
              <w:rPr>
                <w:rFonts w:cs="Arial"/>
                <w:szCs w:val="24"/>
              </w:rPr>
              <w:t>17</w:t>
            </w:r>
          </w:p>
        </w:tc>
        <w:tc>
          <w:tcPr>
            <w:tcW w:w="750" w:type="dxa"/>
            <w:shd w:val="clear" w:color="auto" w:fill="auto"/>
            <w:noWrap/>
            <w:vAlign w:val="center"/>
          </w:tcPr>
          <w:p w:rsidR="00AC40FC" w:rsidRPr="00682AE8" w:rsidRDefault="00AC40FC" w:rsidP="00581946">
            <w:pPr>
              <w:spacing w:after="0"/>
              <w:jc w:val="center"/>
              <w:rPr>
                <w:rFonts w:cs="Arial"/>
                <w:szCs w:val="24"/>
              </w:rPr>
            </w:pPr>
            <w:r>
              <w:rPr>
                <w:rFonts w:cs="Arial"/>
                <w:szCs w:val="24"/>
              </w:rPr>
              <w:t>7</w:t>
            </w:r>
          </w:p>
        </w:tc>
        <w:tc>
          <w:tcPr>
            <w:tcW w:w="1229" w:type="dxa"/>
            <w:shd w:val="clear" w:color="auto" w:fill="auto"/>
            <w:noWrap/>
            <w:vAlign w:val="center"/>
          </w:tcPr>
          <w:p w:rsidR="00AC40FC" w:rsidRPr="00682AE8" w:rsidRDefault="00AC40FC" w:rsidP="00581946">
            <w:pPr>
              <w:spacing w:after="0"/>
              <w:jc w:val="center"/>
              <w:rPr>
                <w:rFonts w:cs="Arial"/>
                <w:szCs w:val="24"/>
              </w:rPr>
            </w:pPr>
            <w:r>
              <w:rPr>
                <w:rFonts w:cs="Arial"/>
                <w:szCs w:val="24"/>
              </w:rPr>
              <w:t>-10</w:t>
            </w:r>
          </w:p>
        </w:tc>
      </w:tr>
      <w:tr w:rsidR="00AC40FC" w:rsidRPr="00682AE8" w:rsidTr="00581946">
        <w:trPr>
          <w:trHeight w:val="300"/>
          <w:jc w:val="center"/>
        </w:trPr>
        <w:tc>
          <w:tcPr>
            <w:tcW w:w="7824" w:type="dxa"/>
            <w:gridSpan w:val="5"/>
            <w:shd w:val="clear" w:color="auto" w:fill="auto"/>
            <w:noWrap/>
            <w:vAlign w:val="center"/>
          </w:tcPr>
          <w:p w:rsidR="00AC40FC" w:rsidRPr="007F05B6" w:rsidRDefault="00AC40FC" w:rsidP="00581946">
            <w:pPr>
              <w:spacing w:after="0"/>
              <w:jc w:val="left"/>
              <w:rPr>
                <w:rFonts w:cs="Arial"/>
                <w:b/>
                <w:szCs w:val="24"/>
              </w:rPr>
            </w:pPr>
            <w:r w:rsidRPr="007F05B6">
              <w:rPr>
                <w:rFonts w:cs="Arial"/>
                <w:b/>
                <w:szCs w:val="24"/>
              </w:rPr>
              <w:t>Accounting, Planning, &amp; Reporting</w:t>
            </w:r>
          </w:p>
        </w:tc>
      </w:tr>
      <w:tr w:rsidR="00AC40FC" w:rsidRPr="00682AE8" w:rsidTr="00581946">
        <w:trPr>
          <w:trHeight w:val="300"/>
          <w:jc w:val="center"/>
        </w:trPr>
        <w:tc>
          <w:tcPr>
            <w:tcW w:w="960" w:type="dxa"/>
            <w:shd w:val="clear" w:color="auto" w:fill="auto"/>
            <w:noWrap/>
            <w:vAlign w:val="center"/>
          </w:tcPr>
          <w:p w:rsidR="00AC40FC" w:rsidRPr="00682AE8" w:rsidRDefault="00AC40FC" w:rsidP="00581946">
            <w:pPr>
              <w:spacing w:after="0"/>
              <w:jc w:val="center"/>
              <w:rPr>
                <w:rFonts w:cs="Arial"/>
                <w:szCs w:val="24"/>
              </w:rPr>
            </w:pPr>
            <w:r w:rsidRPr="00682AE8">
              <w:rPr>
                <w:rFonts w:cs="Arial"/>
                <w:szCs w:val="24"/>
              </w:rPr>
              <w:t>0830</w:t>
            </w:r>
          </w:p>
        </w:tc>
        <w:tc>
          <w:tcPr>
            <w:tcW w:w="3715" w:type="dxa"/>
            <w:shd w:val="clear" w:color="auto" w:fill="auto"/>
            <w:noWrap/>
            <w:vAlign w:val="bottom"/>
          </w:tcPr>
          <w:p w:rsidR="00AC40FC" w:rsidRPr="00682AE8" w:rsidRDefault="00AC40FC" w:rsidP="00581946">
            <w:pPr>
              <w:spacing w:after="0"/>
              <w:jc w:val="left"/>
              <w:rPr>
                <w:rFonts w:cs="Arial"/>
                <w:szCs w:val="24"/>
              </w:rPr>
            </w:pPr>
            <w:r w:rsidRPr="00682AE8">
              <w:rPr>
                <w:rFonts w:cs="Arial"/>
                <w:szCs w:val="24"/>
              </w:rPr>
              <w:t>Acc</w:t>
            </w:r>
            <w:r>
              <w:rPr>
                <w:rFonts w:cs="Arial"/>
                <w:szCs w:val="24"/>
              </w:rPr>
              <w:t>oun</w:t>
            </w:r>
            <w:r w:rsidRPr="00682AE8">
              <w:rPr>
                <w:rFonts w:cs="Arial"/>
                <w:szCs w:val="24"/>
              </w:rPr>
              <w:t>t</w:t>
            </w:r>
            <w:r>
              <w:rPr>
                <w:rFonts w:cs="Arial"/>
                <w:szCs w:val="24"/>
              </w:rPr>
              <w:t>i</w:t>
            </w:r>
            <w:r w:rsidRPr="00682AE8">
              <w:rPr>
                <w:rFonts w:cs="Arial"/>
                <w:szCs w:val="24"/>
              </w:rPr>
              <w:t>ng Planning Reporting</w:t>
            </w:r>
          </w:p>
        </w:tc>
        <w:tc>
          <w:tcPr>
            <w:tcW w:w="1170" w:type="dxa"/>
            <w:shd w:val="clear" w:color="auto" w:fill="auto"/>
            <w:noWrap/>
            <w:vAlign w:val="bottom"/>
          </w:tcPr>
          <w:p w:rsidR="00AC40FC" w:rsidRPr="00682AE8" w:rsidRDefault="00AC40FC" w:rsidP="00581946">
            <w:pPr>
              <w:spacing w:after="0"/>
              <w:jc w:val="center"/>
              <w:rPr>
                <w:rFonts w:cs="Arial"/>
                <w:szCs w:val="24"/>
              </w:rPr>
            </w:pPr>
            <w:r w:rsidRPr="00682AE8">
              <w:rPr>
                <w:rFonts w:cs="Arial"/>
                <w:szCs w:val="24"/>
              </w:rPr>
              <w:t>13</w:t>
            </w:r>
          </w:p>
        </w:tc>
        <w:tc>
          <w:tcPr>
            <w:tcW w:w="750" w:type="dxa"/>
            <w:shd w:val="clear" w:color="auto" w:fill="auto"/>
            <w:noWrap/>
            <w:vAlign w:val="bottom"/>
          </w:tcPr>
          <w:p w:rsidR="00AC40FC" w:rsidRPr="00682AE8" w:rsidRDefault="00AC40FC" w:rsidP="00581946">
            <w:pPr>
              <w:spacing w:after="0"/>
              <w:jc w:val="center"/>
              <w:rPr>
                <w:rFonts w:cs="Arial"/>
                <w:szCs w:val="24"/>
              </w:rPr>
            </w:pPr>
            <w:r w:rsidRPr="00682AE8">
              <w:rPr>
                <w:rFonts w:cs="Arial"/>
                <w:szCs w:val="24"/>
              </w:rPr>
              <w:t>0</w:t>
            </w:r>
          </w:p>
        </w:tc>
        <w:tc>
          <w:tcPr>
            <w:tcW w:w="1229" w:type="dxa"/>
            <w:shd w:val="clear" w:color="auto" w:fill="auto"/>
            <w:noWrap/>
            <w:vAlign w:val="bottom"/>
          </w:tcPr>
          <w:p w:rsidR="00AC40FC" w:rsidRPr="00682AE8" w:rsidRDefault="00AC40FC" w:rsidP="00581946">
            <w:pPr>
              <w:spacing w:after="0"/>
              <w:jc w:val="center"/>
              <w:rPr>
                <w:rFonts w:cs="Arial"/>
                <w:szCs w:val="24"/>
              </w:rPr>
            </w:pPr>
            <w:r w:rsidRPr="00682AE8">
              <w:rPr>
                <w:rFonts w:cs="Arial"/>
                <w:szCs w:val="24"/>
              </w:rPr>
              <w:t>-13</w:t>
            </w:r>
          </w:p>
        </w:tc>
      </w:tr>
      <w:tr w:rsidR="00AC40FC" w:rsidRPr="00682AE8" w:rsidTr="00581946">
        <w:trPr>
          <w:trHeight w:val="300"/>
          <w:jc w:val="center"/>
        </w:trPr>
        <w:tc>
          <w:tcPr>
            <w:tcW w:w="960" w:type="dxa"/>
            <w:shd w:val="clear" w:color="auto" w:fill="auto"/>
            <w:noWrap/>
            <w:vAlign w:val="center"/>
            <w:hideMark/>
          </w:tcPr>
          <w:p w:rsidR="00AC40FC" w:rsidRPr="00682AE8" w:rsidRDefault="00AC40FC" w:rsidP="00581946">
            <w:pPr>
              <w:spacing w:after="0"/>
              <w:jc w:val="center"/>
              <w:rPr>
                <w:rFonts w:cs="Arial"/>
                <w:szCs w:val="24"/>
              </w:rPr>
            </w:pPr>
            <w:r w:rsidRPr="00682AE8">
              <w:rPr>
                <w:rFonts w:cs="Arial"/>
                <w:szCs w:val="24"/>
              </w:rPr>
              <w:t>0836</w:t>
            </w:r>
          </w:p>
        </w:tc>
        <w:tc>
          <w:tcPr>
            <w:tcW w:w="3715" w:type="dxa"/>
            <w:shd w:val="clear" w:color="auto" w:fill="auto"/>
            <w:noWrap/>
            <w:hideMark/>
          </w:tcPr>
          <w:p w:rsidR="00AC40FC" w:rsidRPr="00682AE8" w:rsidRDefault="00AC40FC" w:rsidP="00581946">
            <w:pPr>
              <w:spacing w:after="0"/>
              <w:rPr>
                <w:rFonts w:cs="Arial"/>
                <w:szCs w:val="24"/>
              </w:rPr>
            </w:pPr>
            <w:r>
              <w:rPr>
                <w:rFonts w:cs="Arial"/>
                <w:szCs w:val="24"/>
              </w:rPr>
              <w:t>Accounti</w:t>
            </w:r>
            <w:r w:rsidRPr="00682AE8">
              <w:rPr>
                <w:rFonts w:cs="Arial"/>
                <w:szCs w:val="24"/>
              </w:rPr>
              <w:t>ng Planning Reporting</w:t>
            </w:r>
          </w:p>
        </w:tc>
        <w:tc>
          <w:tcPr>
            <w:tcW w:w="1170" w:type="dxa"/>
            <w:shd w:val="clear" w:color="auto" w:fill="auto"/>
            <w:noWrap/>
            <w:vAlign w:val="bottom"/>
            <w:hideMark/>
          </w:tcPr>
          <w:p w:rsidR="00AC40FC" w:rsidRPr="00682AE8" w:rsidRDefault="00AC40FC" w:rsidP="00581946">
            <w:pPr>
              <w:spacing w:after="0"/>
              <w:jc w:val="center"/>
              <w:rPr>
                <w:rFonts w:cs="Arial"/>
                <w:szCs w:val="24"/>
              </w:rPr>
            </w:pPr>
            <w:r w:rsidRPr="00682AE8">
              <w:rPr>
                <w:rFonts w:cs="Arial"/>
                <w:szCs w:val="24"/>
              </w:rPr>
              <w:t>0</w:t>
            </w:r>
          </w:p>
        </w:tc>
        <w:tc>
          <w:tcPr>
            <w:tcW w:w="750" w:type="dxa"/>
            <w:shd w:val="clear" w:color="auto" w:fill="auto"/>
            <w:noWrap/>
            <w:vAlign w:val="bottom"/>
            <w:hideMark/>
          </w:tcPr>
          <w:p w:rsidR="00AC40FC" w:rsidRPr="00682AE8" w:rsidRDefault="00AC40FC" w:rsidP="00581946">
            <w:pPr>
              <w:spacing w:after="0"/>
              <w:jc w:val="center"/>
              <w:rPr>
                <w:rFonts w:cs="Arial"/>
                <w:szCs w:val="24"/>
              </w:rPr>
            </w:pPr>
            <w:r w:rsidRPr="00682AE8">
              <w:rPr>
                <w:rFonts w:cs="Arial"/>
                <w:szCs w:val="24"/>
              </w:rPr>
              <w:t>17</w:t>
            </w:r>
          </w:p>
        </w:tc>
        <w:tc>
          <w:tcPr>
            <w:tcW w:w="1229" w:type="dxa"/>
            <w:shd w:val="clear" w:color="auto" w:fill="auto"/>
            <w:noWrap/>
            <w:vAlign w:val="bottom"/>
            <w:hideMark/>
          </w:tcPr>
          <w:p w:rsidR="00AC40FC" w:rsidRPr="00682AE8" w:rsidRDefault="00AC40FC" w:rsidP="00581946">
            <w:pPr>
              <w:spacing w:after="0"/>
              <w:jc w:val="center"/>
              <w:rPr>
                <w:rFonts w:cs="Arial"/>
                <w:szCs w:val="24"/>
              </w:rPr>
            </w:pPr>
            <w:r w:rsidRPr="00682AE8">
              <w:rPr>
                <w:rFonts w:cs="Arial"/>
                <w:szCs w:val="24"/>
              </w:rPr>
              <w:t>+17</w:t>
            </w:r>
          </w:p>
        </w:tc>
      </w:tr>
      <w:tr w:rsidR="00AC40FC" w:rsidRPr="00682AE8" w:rsidTr="00581946">
        <w:trPr>
          <w:trHeight w:val="300"/>
          <w:jc w:val="center"/>
        </w:trPr>
        <w:tc>
          <w:tcPr>
            <w:tcW w:w="960" w:type="dxa"/>
            <w:shd w:val="clear" w:color="auto" w:fill="auto"/>
            <w:noWrap/>
            <w:vAlign w:val="center"/>
            <w:hideMark/>
          </w:tcPr>
          <w:p w:rsidR="00AC40FC" w:rsidRPr="00682AE8" w:rsidRDefault="00AC40FC" w:rsidP="00581946">
            <w:pPr>
              <w:spacing w:after="0"/>
              <w:jc w:val="center"/>
              <w:rPr>
                <w:rFonts w:cs="Arial"/>
                <w:szCs w:val="24"/>
              </w:rPr>
            </w:pPr>
            <w:r w:rsidRPr="00682AE8">
              <w:rPr>
                <w:rFonts w:cs="Arial"/>
                <w:szCs w:val="24"/>
              </w:rPr>
              <w:t>0837</w:t>
            </w:r>
          </w:p>
        </w:tc>
        <w:tc>
          <w:tcPr>
            <w:tcW w:w="3715" w:type="dxa"/>
            <w:shd w:val="clear" w:color="auto" w:fill="auto"/>
            <w:noWrap/>
            <w:hideMark/>
          </w:tcPr>
          <w:p w:rsidR="00AC40FC" w:rsidRPr="00682AE8" w:rsidRDefault="00AC40FC" w:rsidP="00581946">
            <w:pPr>
              <w:spacing w:after="0"/>
              <w:rPr>
                <w:rFonts w:cs="Arial"/>
                <w:szCs w:val="24"/>
              </w:rPr>
            </w:pPr>
            <w:r w:rsidRPr="00682AE8">
              <w:rPr>
                <w:rFonts w:cs="Arial"/>
                <w:szCs w:val="24"/>
              </w:rPr>
              <w:t>Load Forecast</w:t>
            </w:r>
          </w:p>
        </w:tc>
        <w:tc>
          <w:tcPr>
            <w:tcW w:w="1170" w:type="dxa"/>
            <w:shd w:val="clear" w:color="auto" w:fill="auto"/>
            <w:noWrap/>
            <w:vAlign w:val="bottom"/>
            <w:hideMark/>
          </w:tcPr>
          <w:p w:rsidR="00AC40FC" w:rsidRPr="00682AE8" w:rsidRDefault="00AC40FC" w:rsidP="00581946">
            <w:pPr>
              <w:spacing w:after="0"/>
              <w:jc w:val="center"/>
              <w:rPr>
                <w:rFonts w:cs="Arial"/>
                <w:szCs w:val="24"/>
              </w:rPr>
            </w:pPr>
            <w:r w:rsidRPr="00682AE8">
              <w:rPr>
                <w:rFonts w:cs="Arial"/>
                <w:szCs w:val="24"/>
              </w:rPr>
              <w:t>0</w:t>
            </w:r>
          </w:p>
        </w:tc>
        <w:tc>
          <w:tcPr>
            <w:tcW w:w="750" w:type="dxa"/>
            <w:shd w:val="clear" w:color="auto" w:fill="auto"/>
            <w:noWrap/>
            <w:vAlign w:val="bottom"/>
            <w:hideMark/>
          </w:tcPr>
          <w:p w:rsidR="00AC40FC" w:rsidRPr="00682AE8" w:rsidRDefault="00AC40FC" w:rsidP="00581946">
            <w:pPr>
              <w:spacing w:after="0"/>
              <w:jc w:val="center"/>
              <w:rPr>
                <w:rFonts w:cs="Arial"/>
                <w:szCs w:val="24"/>
              </w:rPr>
            </w:pPr>
            <w:r w:rsidRPr="00682AE8">
              <w:rPr>
                <w:rFonts w:cs="Arial"/>
                <w:szCs w:val="24"/>
              </w:rPr>
              <w:t>1</w:t>
            </w:r>
          </w:p>
        </w:tc>
        <w:tc>
          <w:tcPr>
            <w:tcW w:w="1229" w:type="dxa"/>
            <w:shd w:val="clear" w:color="auto" w:fill="auto"/>
            <w:noWrap/>
            <w:vAlign w:val="bottom"/>
            <w:hideMark/>
          </w:tcPr>
          <w:p w:rsidR="00AC40FC" w:rsidRPr="00682AE8" w:rsidRDefault="00AC40FC" w:rsidP="00581946">
            <w:pPr>
              <w:spacing w:after="0"/>
              <w:jc w:val="center"/>
              <w:rPr>
                <w:rFonts w:cs="Arial"/>
                <w:szCs w:val="24"/>
              </w:rPr>
            </w:pPr>
            <w:r w:rsidRPr="00682AE8">
              <w:rPr>
                <w:rFonts w:cs="Arial"/>
                <w:szCs w:val="24"/>
              </w:rPr>
              <w:t>+1</w:t>
            </w:r>
          </w:p>
        </w:tc>
      </w:tr>
      <w:tr w:rsidR="00AC40FC" w:rsidRPr="00682AE8" w:rsidTr="00581946">
        <w:trPr>
          <w:trHeight w:val="300"/>
          <w:jc w:val="center"/>
        </w:trPr>
        <w:tc>
          <w:tcPr>
            <w:tcW w:w="960" w:type="dxa"/>
            <w:shd w:val="clear" w:color="auto" w:fill="auto"/>
            <w:noWrap/>
            <w:vAlign w:val="center"/>
            <w:hideMark/>
          </w:tcPr>
          <w:p w:rsidR="00AC40FC" w:rsidRPr="00682AE8" w:rsidRDefault="00AC40FC" w:rsidP="00581946">
            <w:pPr>
              <w:spacing w:after="0"/>
              <w:jc w:val="center"/>
              <w:rPr>
                <w:rFonts w:cs="Arial"/>
                <w:szCs w:val="24"/>
              </w:rPr>
            </w:pPr>
            <w:r w:rsidRPr="00682AE8">
              <w:rPr>
                <w:rFonts w:cs="Arial"/>
                <w:szCs w:val="24"/>
              </w:rPr>
              <w:t>0838</w:t>
            </w:r>
          </w:p>
        </w:tc>
        <w:tc>
          <w:tcPr>
            <w:tcW w:w="3715" w:type="dxa"/>
            <w:shd w:val="clear" w:color="auto" w:fill="auto"/>
            <w:noWrap/>
            <w:hideMark/>
          </w:tcPr>
          <w:p w:rsidR="00AC40FC" w:rsidRPr="00682AE8" w:rsidRDefault="00AC40FC" w:rsidP="00581946">
            <w:pPr>
              <w:spacing w:after="0"/>
              <w:rPr>
                <w:rFonts w:cs="Arial"/>
                <w:szCs w:val="24"/>
              </w:rPr>
            </w:pPr>
            <w:r w:rsidRPr="00682AE8">
              <w:rPr>
                <w:rFonts w:cs="Arial"/>
                <w:szCs w:val="24"/>
              </w:rPr>
              <w:t>Budget Consolidate Report</w:t>
            </w:r>
          </w:p>
        </w:tc>
        <w:tc>
          <w:tcPr>
            <w:tcW w:w="1170" w:type="dxa"/>
            <w:shd w:val="clear" w:color="auto" w:fill="auto"/>
            <w:noWrap/>
            <w:vAlign w:val="bottom"/>
            <w:hideMark/>
          </w:tcPr>
          <w:p w:rsidR="00AC40FC" w:rsidRPr="00682AE8" w:rsidRDefault="00AC40FC" w:rsidP="00581946">
            <w:pPr>
              <w:spacing w:after="0"/>
              <w:jc w:val="center"/>
              <w:rPr>
                <w:rFonts w:cs="Arial"/>
                <w:szCs w:val="24"/>
              </w:rPr>
            </w:pPr>
            <w:r w:rsidRPr="00682AE8">
              <w:rPr>
                <w:rFonts w:cs="Arial"/>
                <w:szCs w:val="24"/>
              </w:rPr>
              <w:t>0</w:t>
            </w:r>
          </w:p>
        </w:tc>
        <w:tc>
          <w:tcPr>
            <w:tcW w:w="750" w:type="dxa"/>
            <w:shd w:val="clear" w:color="auto" w:fill="auto"/>
            <w:noWrap/>
            <w:vAlign w:val="bottom"/>
            <w:hideMark/>
          </w:tcPr>
          <w:p w:rsidR="00AC40FC" w:rsidRPr="00682AE8" w:rsidRDefault="00AC40FC" w:rsidP="00581946">
            <w:pPr>
              <w:spacing w:after="0"/>
              <w:jc w:val="center"/>
              <w:rPr>
                <w:rFonts w:cs="Arial"/>
                <w:szCs w:val="24"/>
              </w:rPr>
            </w:pPr>
            <w:r w:rsidRPr="00682AE8">
              <w:rPr>
                <w:rFonts w:cs="Arial"/>
                <w:szCs w:val="24"/>
              </w:rPr>
              <w:t>9</w:t>
            </w:r>
          </w:p>
        </w:tc>
        <w:tc>
          <w:tcPr>
            <w:tcW w:w="1229" w:type="dxa"/>
            <w:shd w:val="clear" w:color="auto" w:fill="auto"/>
            <w:noWrap/>
            <w:vAlign w:val="bottom"/>
            <w:hideMark/>
          </w:tcPr>
          <w:p w:rsidR="00AC40FC" w:rsidRPr="00682AE8" w:rsidRDefault="00AC40FC" w:rsidP="00581946">
            <w:pPr>
              <w:spacing w:after="0"/>
              <w:jc w:val="center"/>
              <w:rPr>
                <w:rFonts w:cs="Arial"/>
                <w:szCs w:val="24"/>
              </w:rPr>
            </w:pPr>
            <w:r w:rsidRPr="00682AE8">
              <w:rPr>
                <w:rFonts w:cs="Arial"/>
                <w:szCs w:val="24"/>
              </w:rPr>
              <w:t>+9</w:t>
            </w:r>
          </w:p>
        </w:tc>
      </w:tr>
      <w:tr w:rsidR="00AC40FC" w:rsidRPr="00682AE8" w:rsidTr="00581946">
        <w:trPr>
          <w:trHeight w:val="300"/>
          <w:jc w:val="center"/>
        </w:trPr>
        <w:tc>
          <w:tcPr>
            <w:tcW w:w="960" w:type="dxa"/>
            <w:shd w:val="clear" w:color="auto" w:fill="auto"/>
            <w:noWrap/>
            <w:vAlign w:val="center"/>
          </w:tcPr>
          <w:p w:rsidR="00AC40FC" w:rsidRPr="00682AE8" w:rsidRDefault="00AC40FC" w:rsidP="00581946">
            <w:pPr>
              <w:spacing w:after="0"/>
              <w:rPr>
                <w:rFonts w:cs="Arial"/>
                <w:szCs w:val="24"/>
              </w:rPr>
            </w:pPr>
          </w:p>
        </w:tc>
        <w:tc>
          <w:tcPr>
            <w:tcW w:w="3715" w:type="dxa"/>
            <w:shd w:val="clear" w:color="auto" w:fill="auto"/>
            <w:noWrap/>
            <w:vAlign w:val="center"/>
          </w:tcPr>
          <w:p w:rsidR="00AC40FC" w:rsidRPr="00116B7E" w:rsidRDefault="00AC40FC" w:rsidP="00581946">
            <w:pPr>
              <w:spacing w:after="0"/>
              <w:jc w:val="center"/>
              <w:rPr>
                <w:rFonts w:cs="Arial"/>
                <w:bCs/>
                <w:szCs w:val="24"/>
              </w:rPr>
            </w:pPr>
            <w:r w:rsidRPr="00116B7E">
              <w:rPr>
                <w:rFonts w:cs="Arial"/>
                <w:bCs/>
                <w:szCs w:val="24"/>
              </w:rPr>
              <w:t>Sub-total</w:t>
            </w:r>
          </w:p>
        </w:tc>
        <w:tc>
          <w:tcPr>
            <w:tcW w:w="1170" w:type="dxa"/>
            <w:shd w:val="clear" w:color="auto" w:fill="auto"/>
            <w:noWrap/>
            <w:vAlign w:val="center"/>
          </w:tcPr>
          <w:p w:rsidR="00AC40FC" w:rsidRPr="00116B7E" w:rsidRDefault="00AC40FC" w:rsidP="00581946">
            <w:pPr>
              <w:spacing w:after="0"/>
              <w:jc w:val="center"/>
              <w:rPr>
                <w:rFonts w:cs="Arial"/>
                <w:bCs/>
                <w:szCs w:val="24"/>
              </w:rPr>
            </w:pPr>
            <w:r w:rsidRPr="00116B7E">
              <w:rPr>
                <w:rFonts w:cs="Arial"/>
                <w:bCs/>
                <w:szCs w:val="24"/>
              </w:rPr>
              <w:t>13</w:t>
            </w:r>
          </w:p>
        </w:tc>
        <w:tc>
          <w:tcPr>
            <w:tcW w:w="750" w:type="dxa"/>
            <w:shd w:val="clear" w:color="auto" w:fill="auto"/>
            <w:noWrap/>
            <w:vAlign w:val="center"/>
          </w:tcPr>
          <w:p w:rsidR="00AC40FC" w:rsidRPr="00116B7E" w:rsidRDefault="00AC40FC" w:rsidP="00581946">
            <w:pPr>
              <w:spacing w:after="0"/>
              <w:jc w:val="center"/>
              <w:rPr>
                <w:rFonts w:cs="Arial"/>
                <w:bCs/>
                <w:szCs w:val="24"/>
              </w:rPr>
            </w:pPr>
            <w:r w:rsidRPr="00116B7E">
              <w:rPr>
                <w:rFonts w:cs="Arial"/>
                <w:bCs/>
                <w:szCs w:val="24"/>
              </w:rPr>
              <w:t>27</w:t>
            </w:r>
          </w:p>
        </w:tc>
        <w:tc>
          <w:tcPr>
            <w:tcW w:w="1229" w:type="dxa"/>
            <w:shd w:val="clear" w:color="auto" w:fill="auto"/>
            <w:noWrap/>
            <w:vAlign w:val="center"/>
          </w:tcPr>
          <w:p w:rsidR="00AC40FC" w:rsidRPr="00116B7E" w:rsidRDefault="00AC40FC" w:rsidP="00581946">
            <w:pPr>
              <w:spacing w:after="0"/>
              <w:jc w:val="center"/>
              <w:rPr>
                <w:rFonts w:cs="Arial"/>
                <w:bCs/>
                <w:szCs w:val="24"/>
              </w:rPr>
            </w:pPr>
            <w:r w:rsidRPr="00116B7E">
              <w:rPr>
                <w:rFonts w:cs="Arial"/>
                <w:bCs/>
                <w:szCs w:val="24"/>
              </w:rPr>
              <w:t>+14</w:t>
            </w:r>
          </w:p>
        </w:tc>
      </w:tr>
      <w:tr w:rsidR="00AC40FC" w:rsidRPr="00682AE8" w:rsidTr="00581946">
        <w:trPr>
          <w:trHeight w:val="300"/>
          <w:jc w:val="center"/>
        </w:trPr>
        <w:tc>
          <w:tcPr>
            <w:tcW w:w="960" w:type="dxa"/>
            <w:shd w:val="clear" w:color="auto" w:fill="auto"/>
            <w:noWrap/>
            <w:vAlign w:val="center"/>
            <w:hideMark/>
          </w:tcPr>
          <w:p w:rsidR="00AC40FC" w:rsidRPr="00682AE8" w:rsidRDefault="00AC40FC" w:rsidP="00581946">
            <w:pPr>
              <w:spacing w:after="0"/>
              <w:rPr>
                <w:rFonts w:cs="Arial"/>
                <w:szCs w:val="24"/>
              </w:rPr>
            </w:pPr>
          </w:p>
        </w:tc>
        <w:tc>
          <w:tcPr>
            <w:tcW w:w="3715" w:type="dxa"/>
            <w:shd w:val="clear" w:color="auto" w:fill="auto"/>
            <w:noWrap/>
            <w:vAlign w:val="center"/>
            <w:hideMark/>
          </w:tcPr>
          <w:p w:rsidR="00AC40FC" w:rsidRPr="00682AE8" w:rsidRDefault="00AC40FC" w:rsidP="00581946">
            <w:pPr>
              <w:spacing w:after="0"/>
              <w:rPr>
                <w:rFonts w:cs="Arial"/>
                <w:b/>
                <w:bCs/>
                <w:szCs w:val="24"/>
              </w:rPr>
            </w:pPr>
            <w:r w:rsidRPr="00682AE8">
              <w:rPr>
                <w:rFonts w:cs="Arial"/>
                <w:b/>
                <w:bCs/>
                <w:szCs w:val="24"/>
              </w:rPr>
              <w:t>T</w:t>
            </w:r>
            <w:r>
              <w:rPr>
                <w:rFonts w:cs="Arial"/>
                <w:b/>
                <w:bCs/>
                <w:szCs w:val="24"/>
              </w:rPr>
              <w:t>otals</w:t>
            </w:r>
          </w:p>
        </w:tc>
        <w:tc>
          <w:tcPr>
            <w:tcW w:w="1170" w:type="dxa"/>
            <w:shd w:val="clear" w:color="auto" w:fill="auto"/>
            <w:noWrap/>
            <w:vAlign w:val="bottom"/>
          </w:tcPr>
          <w:p w:rsidR="00AC40FC" w:rsidRPr="00682AE8" w:rsidRDefault="00AC40FC" w:rsidP="00581946">
            <w:pPr>
              <w:spacing w:after="0"/>
              <w:jc w:val="center"/>
              <w:rPr>
                <w:rFonts w:cs="Arial"/>
                <w:b/>
                <w:bCs/>
                <w:szCs w:val="24"/>
              </w:rPr>
            </w:pPr>
            <w:r w:rsidRPr="00682AE8">
              <w:rPr>
                <w:rFonts w:cs="Arial"/>
                <w:b/>
                <w:bCs/>
                <w:szCs w:val="24"/>
              </w:rPr>
              <w:t>33</w:t>
            </w:r>
          </w:p>
        </w:tc>
        <w:tc>
          <w:tcPr>
            <w:tcW w:w="750" w:type="dxa"/>
            <w:shd w:val="clear" w:color="auto" w:fill="auto"/>
            <w:noWrap/>
            <w:vAlign w:val="bottom"/>
          </w:tcPr>
          <w:p w:rsidR="00AC40FC" w:rsidRPr="00682AE8" w:rsidRDefault="00AC40FC" w:rsidP="00581946">
            <w:pPr>
              <w:spacing w:after="0"/>
              <w:jc w:val="center"/>
              <w:rPr>
                <w:rFonts w:cs="Arial"/>
                <w:b/>
                <w:bCs/>
                <w:szCs w:val="24"/>
              </w:rPr>
            </w:pPr>
            <w:r w:rsidRPr="00682AE8">
              <w:rPr>
                <w:rFonts w:cs="Arial"/>
                <w:b/>
                <w:bCs/>
                <w:szCs w:val="24"/>
              </w:rPr>
              <w:t>41</w:t>
            </w:r>
          </w:p>
        </w:tc>
        <w:tc>
          <w:tcPr>
            <w:tcW w:w="1229" w:type="dxa"/>
            <w:shd w:val="clear" w:color="auto" w:fill="auto"/>
            <w:noWrap/>
            <w:vAlign w:val="bottom"/>
          </w:tcPr>
          <w:p w:rsidR="00AC40FC" w:rsidRPr="00682AE8" w:rsidRDefault="00AC40FC" w:rsidP="00581946">
            <w:pPr>
              <w:spacing w:after="0"/>
              <w:jc w:val="center"/>
              <w:rPr>
                <w:rFonts w:cs="Arial"/>
                <w:b/>
                <w:bCs/>
                <w:szCs w:val="24"/>
              </w:rPr>
            </w:pPr>
            <w:r w:rsidRPr="00682AE8">
              <w:rPr>
                <w:rFonts w:cs="Arial"/>
                <w:b/>
                <w:bCs/>
                <w:szCs w:val="24"/>
              </w:rPr>
              <w:t>+8</w:t>
            </w:r>
          </w:p>
        </w:tc>
      </w:tr>
      <w:tr w:rsidR="00AC40FC" w:rsidRPr="00682AE8" w:rsidTr="00581946">
        <w:trPr>
          <w:trHeight w:val="300"/>
          <w:jc w:val="center"/>
        </w:trPr>
        <w:tc>
          <w:tcPr>
            <w:tcW w:w="7824" w:type="dxa"/>
            <w:gridSpan w:val="5"/>
            <w:shd w:val="clear" w:color="auto" w:fill="auto"/>
            <w:noWrap/>
            <w:vAlign w:val="center"/>
          </w:tcPr>
          <w:p w:rsidR="00AC40FC" w:rsidRPr="00682AE8" w:rsidRDefault="00AC40FC" w:rsidP="00581946">
            <w:pPr>
              <w:spacing w:after="0"/>
              <w:rPr>
                <w:rFonts w:cs="Arial"/>
                <w:bCs/>
                <w:szCs w:val="24"/>
              </w:rPr>
            </w:pPr>
            <w:r w:rsidRPr="00682AE8">
              <w:rPr>
                <w:rFonts w:cs="Arial"/>
                <w:bCs/>
                <w:szCs w:val="24"/>
              </w:rPr>
              <w:t xml:space="preserve">Sources: DN 01-071; </w:t>
            </w:r>
            <w:r>
              <w:rPr>
                <w:rFonts w:cs="Arial"/>
                <w:bCs/>
                <w:szCs w:val="24"/>
              </w:rPr>
              <w:t>DN 18-001-C</w:t>
            </w:r>
            <w:r w:rsidRPr="00797530">
              <w:rPr>
                <w:rFonts w:cs="Arial"/>
                <w:bCs/>
                <w:szCs w:val="24"/>
              </w:rPr>
              <w:t xml:space="preserve">; </w:t>
            </w:r>
            <w:r>
              <w:rPr>
                <w:rFonts w:cs="Arial"/>
                <w:bCs/>
                <w:szCs w:val="24"/>
              </w:rPr>
              <w:t>DN 18-002-C</w:t>
            </w:r>
          </w:p>
        </w:tc>
      </w:tr>
    </w:tbl>
    <w:p w:rsidR="00AC40FC" w:rsidRDefault="00AC40FC" w:rsidP="00581946">
      <w:pPr>
        <w:pStyle w:val="Normal-aftertable"/>
        <w:rPr>
          <w:b/>
        </w:rPr>
      </w:pPr>
      <w:r>
        <w:rPr>
          <w:rFonts w:cs="Arial"/>
          <w:szCs w:val="24"/>
        </w:rPr>
        <w:t>The number of personnel, now in PPL EUS, as of 2015, who provided finance and accounting services to PPL EU increased from 2014 to 2015 by almost 26%, from 33 to</w:t>
      </w:r>
      <w:r w:rsidR="00BB7765">
        <w:rPr>
          <w:rFonts w:cs="Arial"/>
          <w:szCs w:val="24"/>
        </w:rPr>
        <w:t> </w:t>
      </w:r>
      <w:r>
        <w:rPr>
          <w:rFonts w:cs="Arial"/>
          <w:szCs w:val="24"/>
        </w:rPr>
        <w:t xml:space="preserve">41.  </w:t>
      </w:r>
    </w:p>
    <w:p w:rsidR="00AC40FC" w:rsidRPr="0000078C" w:rsidRDefault="00AC40FC" w:rsidP="00581946">
      <w:pPr>
        <w:rPr>
          <w:b/>
        </w:rPr>
      </w:pPr>
      <w:r w:rsidRPr="0049643D">
        <w:rPr>
          <w:b/>
        </w:rPr>
        <w:t>Regulatory Affairs.</w:t>
      </w:r>
      <w:r>
        <w:t xml:space="preserve">  </w:t>
      </w:r>
      <w:r w:rsidRPr="00A315C0">
        <w:t>This work group</w:t>
      </w:r>
      <w:r>
        <w:t xml:space="preserve">’s </w:t>
      </w:r>
      <w:r w:rsidRPr="00A315C0">
        <w:t>reduc</w:t>
      </w:r>
      <w:r>
        <w:t>tions</w:t>
      </w:r>
      <w:r w:rsidRPr="008C011A">
        <w:t xml:space="preserve"> in 2015 </w:t>
      </w:r>
      <w:r>
        <w:t>were</w:t>
      </w:r>
      <w:r w:rsidRPr="008C011A">
        <w:t xml:space="preserve"> the result of evaluating the appropriate skill sets needed for the functions to be performed.</w:t>
      </w:r>
      <w:r>
        <w:t xml:space="preserve">  N</w:t>
      </w:r>
      <w:r w:rsidRPr="0000078C">
        <w:t>ew analysts were added in 2016 to fill open positions</w:t>
      </w:r>
      <w:r>
        <w:t xml:space="preserve"> from within and outside the company</w:t>
      </w:r>
      <w:r w:rsidRPr="0000078C">
        <w:t>.</w:t>
      </w:r>
    </w:p>
    <w:p w:rsidR="00AC40FC" w:rsidRPr="00AA54A9" w:rsidRDefault="00AC40FC" w:rsidP="00581946">
      <w:r w:rsidRPr="0048107E">
        <w:rPr>
          <w:b/>
        </w:rPr>
        <w:t>Accounting and Financial Reporting.</w:t>
      </w:r>
      <w:r>
        <w:t xml:space="preserve">  </w:t>
      </w:r>
      <w:r w:rsidRPr="00377557">
        <w:t xml:space="preserve">In 2015, </w:t>
      </w:r>
      <w:r>
        <w:t>the</w:t>
      </w:r>
      <w:r w:rsidRPr="00377557">
        <w:t xml:space="preserve"> Asset Management</w:t>
      </w:r>
      <w:r>
        <w:t xml:space="preserve"> work group</w:t>
      </w:r>
      <w:r w:rsidRPr="00377557">
        <w:t xml:space="preserve"> </w:t>
      </w:r>
      <w:r>
        <w:t xml:space="preserve">was added to the Accounting and Financial Reporting department from PPL SC.  </w:t>
      </w:r>
      <w:r w:rsidRPr="00377557">
        <w:t>In 2016</w:t>
      </w:r>
      <w:r>
        <w:t>,</w:t>
      </w:r>
      <w:r w:rsidRPr="00377557">
        <w:t xml:space="preserve"> the staff in the Asset Management work group was increased by two</w:t>
      </w:r>
      <w:r>
        <w:t xml:space="preserve"> positions</w:t>
      </w:r>
      <w:r w:rsidRPr="00377557">
        <w:t xml:space="preserve">.  Additionally, three contractors were brought in to assist with unitization work to close out projects.  </w:t>
      </w:r>
      <w:r>
        <w:t>It is expected that</w:t>
      </w:r>
      <w:r w:rsidRPr="00377557">
        <w:t xml:space="preserve"> two additional permanent staff </w:t>
      </w:r>
      <w:r>
        <w:t xml:space="preserve">will be added </w:t>
      </w:r>
      <w:r w:rsidRPr="00377557">
        <w:t xml:space="preserve">to this group to assist in setting up and closing out projects and accounting for fixed assets.  The three contractors will be utilized at least through the </w:t>
      </w:r>
      <w:r>
        <w:t>second</w:t>
      </w:r>
      <w:r w:rsidRPr="00377557">
        <w:t xml:space="preserve"> or </w:t>
      </w:r>
      <w:r>
        <w:t>third</w:t>
      </w:r>
      <w:r w:rsidRPr="00377557">
        <w:t xml:space="preserve"> quarter of 2016.</w:t>
      </w:r>
    </w:p>
    <w:p w:rsidR="00AC40FC" w:rsidRPr="00AA54A9" w:rsidRDefault="00AC40FC" w:rsidP="00581946">
      <w:pPr>
        <w:rPr>
          <w:rFonts w:cs="Arial"/>
          <w:szCs w:val="24"/>
        </w:rPr>
      </w:pPr>
      <w:r w:rsidRPr="00AA54A9">
        <w:rPr>
          <w:rFonts w:cs="Arial"/>
          <w:szCs w:val="24"/>
        </w:rPr>
        <w:t>A new Planning and Analysis Dep</w:t>
      </w:r>
      <w:r>
        <w:rPr>
          <w:rFonts w:cs="Arial"/>
          <w:szCs w:val="24"/>
        </w:rPr>
        <w:t>artment will be set up in 2016.  The manager</w:t>
      </w:r>
      <w:r w:rsidRPr="00AA54A9">
        <w:rPr>
          <w:rFonts w:cs="Arial"/>
          <w:szCs w:val="24"/>
        </w:rPr>
        <w:t xml:space="preserve"> position</w:t>
      </w:r>
      <w:r>
        <w:rPr>
          <w:rFonts w:cs="Arial"/>
          <w:szCs w:val="24"/>
        </w:rPr>
        <w:t xml:space="preserve"> is planned to</w:t>
      </w:r>
      <w:r w:rsidRPr="00AA54A9">
        <w:rPr>
          <w:rFonts w:cs="Arial"/>
          <w:szCs w:val="24"/>
        </w:rPr>
        <w:t xml:space="preserve"> report to the VP </w:t>
      </w:r>
      <w:r>
        <w:rPr>
          <w:rFonts w:cs="Arial"/>
          <w:szCs w:val="24"/>
        </w:rPr>
        <w:t>Finance and Regulatory Affairs</w:t>
      </w:r>
      <w:r w:rsidRPr="00AA54A9">
        <w:rPr>
          <w:rFonts w:cs="Arial"/>
          <w:szCs w:val="24"/>
        </w:rPr>
        <w:t xml:space="preserve">.  This new group will </w:t>
      </w:r>
      <w:r>
        <w:rPr>
          <w:rFonts w:cs="Arial"/>
          <w:szCs w:val="24"/>
        </w:rPr>
        <w:t xml:space="preserve">assume </w:t>
      </w:r>
      <w:r w:rsidRPr="00AA54A9">
        <w:rPr>
          <w:rFonts w:cs="Arial"/>
          <w:szCs w:val="24"/>
        </w:rPr>
        <w:t xml:space="preserve">the responsibility </w:t>
      </w:r>
      <w:r>
        <w:rPr>
          <w:rFonts w:cs="Arial"/>
          <w:szCs w:val="24"/>
        </w:rPr>
        <w:t>for</w:t>
      </w:r>
      <w:r w:rsidRPr="00AA54A9">
        <w:rPr>
          <w:rFonts w:cs="Arial"/>
          <w:szCs w:val="24"/>
        </w:rPr>
        <w:t xml:space="preserve"> all budget functions and </w:t>
      </w:r>
      <w:r>
        <w:rPr>
          <w:rFonts w:cs="Arial"/>
          <w:szCs w:val="24"/>
        </w:rPr>
        <w:t xml:space="preserve">will included </w:t>
      </w:r>
      <w:r w:rsidRPr="00AA54A9">
        <w:rPr>
          <w:rFonts w:cs="Arial"/>
          <w:szCs w:val="24"/>
        </w:rPr>
        <w:t xml:space="preserve">the </w:t>
      </w:r>
      <w:r>
        <w:rPr>
          <w:rFonts w:cs="Arial"/>
          <w:szCs w:val="24"/>
        </w:rPr>
        <w:t xml:space="preserve">current </w:t>
      </w:r>
      <w:r w:rsidRPr="00AA54A9">
        <w:rPr>
          <w:rFonts w:cs="Arial"/>
          <w:szCs w:val="24"/>
        </w:rPr>
        <w:t xml:space="preserve">Budget </w:t>
      </w:r>
      <w:r w:rsidRPr="00AA54A9">
        <w:rPr>
          <w:rFonts w:cs="Arial"/>
          <w:szCs w:val="24"/>
        </w:rPr>
        <w:lastRenderedPageBreak/>
        <w:t xml:space="preserve">Consolidations and Reporting work group </w:t>
      </w:r>
      <w:r>
        <w:rPr>
          <w:rFonts w:cs="Arial"/>
          <w:szCs w:val="24"/>
        </w:rPr>
        <w:t>from the Accounting and Financial Reporting Department</w:t>
      </w:r>
      <w:r w:rsidRPr="00AA54A9">
        <w:rPr>
          <w:rFonts w:cs="Arial"/>
          <w:szCs w:val="24"/>
        </w:rPr>
        <w:t>.</w:t>
      </w:r>
    </w:p>
    <w:p w:rsidR="00AC40FC" w:rsidRDefault="00AC40FC" w:rsidP="00BB665B">
      <w:pPr>
        <w:pStyle w:val="Heading40"/>
      </w:pPr>
      <w:r w:rsidRPr="00355044">
        <w:t>Future Employee and Contractor Changes</w:t>
      </w:r>
      <w:r>
        <w:t xml:space="preserve">  </w:t>
      </w:r>
    </w:p>
    <w:p w:rsidR="00AC40FC" w:rsidRDefault="00AC40FC" w:rsidP="00581946">
      <w:pPr>
        <w:rPr>
          <w:rFonts w:cs="Arial"/>
          <w:szCs w:val="24"/>
        </w:rPr>
      </w:pPr>
      <w:r w:rsidRPr="0049643D">
        <w:t>In general, there are no definitive plans in place</w:t>
      </w:r>
      <w:r>
        <w:t>, either at PPL SC or PPL EUS,</w:t>
      </w:r>
      <w:r w:rsidRPr="0049643D">
        <w:t xml:space="preserve"> involving changes in either personnel sta</w:t>
      </w:r>
      <w:r>
        <w:t>ffing or the use of contractors,</w:t>
      </w:r>
      <w:r w:rsidRPr="00AA54A9">
        <w:rPr>
          <w:rFonts w:cs="Arial"/>
          <w:szCs w:val="24"/>
        </w:rPr>
        <w:t xml:space="preserve"> although changing or increased work load could make </w:t>
      </w:r>
      <w:r>
        <w:rPr>
          <w:rFonts w:cs="Arial"/>
          <w:szCs w:val="24"/>
        </w:rPr>
        <w:t>the additional use of contractors</w:t>
      </w:r>
      <w:r w:rsidRPr="00AA54A9">
        <w:rPr>
          <w:rFonts w:cs="Arial"/>
          <w:szCs w:val="24"/>
        </w:rPr>
        <w:t xml:space="preserve"> necessary.  For instance, an increased work load because of Financial Accounting Standards Board (FASB) changes could necessitate the use of contractors</w:t>
      </w:r>
      <w:r>
        <w:rPr>
          <w:rFonts w:cs="Arial"/>
          <w:szCs w:val="24"/>
        </w:rPr>
        <w:t xml:space="preserve"> in the PPL SC Controller’s area</w:t>
      </w:r>
      <w:r w:rsidRPr="00AA54A9">
        <w:rPr>
          <w:rFonts w:cs="Arial"/>
          <w:szCs w:val="24"/>
        </w:rPr>
        <w:t>.</w:t>
      </w:r>
      <w:r>
        <w:rPr>
          <w:rFonts w:cs="Arial"/>
          <w:szCs w:val="24"/>
        </w:rPr>
        <w:t xml:space="preserve">  In the </w:t>
      </w:r>
      <w:r w:rsidRPr="006B7ABF">
        <w:rPr>
          <w:rFonts w:cs="Arial"/>
          <w:szCs w:val="24"/>
        </w:rPr>
        <w:t>Treasury and Risk</w:t>
      </w:r>
      <w:r>
        <w:rPr>
          <w:rFonts w:cs="Arial"/>
          <w:szCs w:val="24"/>
        </w:rPr>
        <w:t xml:space="preserve"> area, a</w:t>
      </w:r>
      <w:r w:rsidRPr="00AA54A9">
        <w:rPr>
          <w:rFonts w:cs="Arial"/>
          <w:szCs w:val="24"/>
        </w:rPr>
        <w:t>fter the Talen Service Agreement (TSA) is terminated (contracted to last no later than June, 2017)</w:t>
      </w:r>
      <w:r>
        <w:rPr>
          <w:rFonts w:cs="Arial"/>
          <w:szCs w:val="24"/>
        </w:rPr>
        <w:t>,</w:t>
      </w:r>
      <w:r w:rsidRPr="00AA54A9">
        <w:rPr>
          <w:rFonts w:cs="Arial"/>
          <w:szCs w:val="24"/>
        </w:rPr>
        <w:t xml:space="preserve"> there will probably be some changes in staffing at the Remittance Processing Center, since this work group is providing some work for Talen contracted through the TSA.  At that time the </w:t>
      </w:r>
      <w:r>
        <w:rPr>
          <w:rFonts w:cs="Arial"/>
          <w:szCs w:val="24"/>
        </w:rPr>
        <w:t xml:space="preserve">Remittance Processing Center </w:t>
      </w:r>
      <w:r w:rsidRPr="00AA54A9">
        <w:rPr>
          <w:rFonts w:cs="Arial"/>
          <w:szCs w:val="24"/>
        </w:rPr>
        <w:t>staffing will be evaluated to make any necessary adjustments to the level of work remaining.</w:t>
      </w:r>
    </w:p>
    <w:p w:rsidR="00AC40FC" w:rsidRPr="00884AD1" w:rsidRDefault="00AC40FC" w:rsidP="00581946">
      <w:pPr>
        <w:rPr>
          <w:rFonts w:cs="Arial"/>
          <w:szCs w:val="24"/>
        </w:rPr>
      </w:pPr>
      <w:r>
        <w:rPr>
          <w:rFonts w:cs="Arial"/>
          <w:szCs w:val="24"/>
        </w:rPr>
        <w:t xml:space="preserve">The </w:t>
      </w:r>
      <w:r w:rsidRPr="006B7ABF">
        <w:rPr>
          <w:rFonts w:cs="Arial"/>
          <w:szCs w:val="24"/>
        </w:rPr>
        <w:t>Corp</w:t>
      </w:r>
      <w:r>
        <w:rPr>
          <w:rFonts w:cs="Arial"/>
          <w:szCs w:val="24"/>
        </w:rPr>
        <w:t>orate Audit and Business Ethics work group p</w:t>
      </w:r>
      <w:r w:rsidRPr="00AA54A9">
        <w:rPr>
          <w:rFonts w:cs="Arial"/>
          <w:szCs w:val="24"/>
        </w:rPr>
        <w:t>lan</w:t>
      </w:r>
      <w:r>
        <w:rPr>
          <w:rFonts w:cs="Arial"/>
          <w:szCs w:val="24"/>
        </w:rPr>
        <w:t>s</w:t>
      </w:r>
      <w:r w:rsidRPr="00AA54A9">
        <w:rPr>
          <w:rFonts w:cs="Arial"/>
          <w:szCs w:val="24"/>
        </w:rPr>
        <w:t xml:space="preserve"> to use contractors for 20% of the</w:t>
      </w:r>
      <w:r>
        <w:rPr>
          <w:rFonts w:cs="Arial"/>
          <w:szCs w:val="24"/>
        </w:rPr>
        <w:t xml:space="preserve"> expected </w:t>
      </w:r>
      <w:r w:rsidRPr="00AA54A9">
        <w:rPr>
          <w:rFonts w:cs="Arial"/>
          <w:szCs w:val="24"/>
        </w:rPr>
        <w:t>work</w:t>
      </w:r>
      <w:r>
        <w:rPr>
          <w:rFonts w:cs="Arial"/>
          <w:szCs w:val="24"/>
        </w:rPr>
        <w:t xml:space="preserve"> load</w:t>
      </w:r>
      <w:r w:rsidRPr="00AA54A9">
        <w:rPr>
          <w:rFonts w:cs="Arial"/>
          <w:szCs w:val="24"/>
        </w:rPr>
        <w:t xml:space="preserve">, primarily to address technical needs or for areas for which the Corporate Audit group does not have experience.  This </w:t>
      </w:r>
      <w:r>
        <w:rPr>
          <w:rFonts w:cs="Arial"/>
          <w:szCs w:val="24"/>
        </w:rPr>
        <w:t xml:space="preserve">augmentation will </w:t>
      </w:r>
      <w:r w:rsidRPr="00AA54A9">
        <w:rPr>
          <w:rFonts w:cs="Arial"/>
          <w:szCs w:val="24"/>
        </w:rPr>
        <w:t xml:space="preserve">allow </w:t>
      </w:r>
      <w:r>
        <w:rPr>
          <w:rFonts w:cs="Arial"/>
          <w:szCs w:val="24"/>
        </w:rPr>
        <w:t>this work group</w:t>
      </w:r>
      <w:r w:rsidRPr="00AA54A9">
        <w:rPr>
          <w:rFonts w:cs="Arial"/>
          <w:szCs w:val="24"/>
        </w:rPr>
        <w:t xml:space="preserve"> more flexibility.  </w:t>
      </w:r>
      <w:r>
        <w:rPr>
          <w:rFonts w:cs="Arial"/>
          <w:szCs w:val="24"/>
        </w:rPr>
        <w:t xml:space="preserve">Additionally, auditors </w:t>
      </w:r>
      <w:r w:rsidRPr="00AA54A9">
        <w:rPr>
          <w:rFonts w:cs="Arial"/>
          <w:szCs w:val="24"/>
        </w:rPr>
        <w:t xml:space="preserve">will </w:t>
      </w:r>
      <w:r>
        <w:rPr>
          <w:rFonts w:cs="Arial"/>
          <w:szCs w:val="24"/>
        </w:rPr>
        <w:t>probably be</w:t>
      </w:r>
      <w:r w:rsidRPr="00AA54A9">
        <w:rPr>
          <w:rFonts w:cs="Arial"/>
          <w:szCs w:val="24"/>
        </w:rPr>
        <w:t xml:space="preserve"> borrow</w:t>
      </w:r>
      <w:r>
        <w:rPr>
          <w:rFonts w:cs="Arial"/>
          <w:szCs w:val="24"/>
        </w:rPr>
        <w:t>ed</w:t>
      </w:r>
      <w:r w:rsidRPr="00AA54A9">
        <w:rPr>
          <w:rFonts w:cs="Arial"/>
          <w:szCs w:val="24"/>
        </w:rPr>
        <w:t xml:space="preserve"> from the Kentucky</w:t>
      </w:r>
      <w:r>
        <w:rPr>
          <w:rFonts w:cs="Arial"/>
          <w:szCs w:val="24"/>
        </w:rPr>
        <w:t xml:space="preserve"> LKE SC</w:t>
      </w:r>
      <w:r w:rsidRPr="00AA54A9">
        <w:rPr>
          <w:rFonts w:cs="Arial"/>
          <w:szCs w:val="24"/>
        </w:rPr>
        <w:t xml:space="preserve"> audit group as needed.  Contractors will be drawn from the Big 4 CPA firms as well as from smaller, boutique firms.  Generally, smaller firms are more cost effective, especially for staff augmentation work.  Outside contractors will be selected based on responses to request for proposals (RFPs).  Nationwide</w:t>
      </w:r>
      <w:r>
        <w:rPr>
          <w:rFonts w:cs="Arial"/>
          <w:szCs w:val="24"/>
        </w:rPr>
        <w:t>,</w:t>
      </w:r>
      <w:r w:rsidRPr="00AA54A9">
        <w:rPr>
          <w:rFonts w:cs="Arial"/>
          <w:szCs w:val="24"/>
        </w:rPr>
        <w:t xml:space="preserve"> there is a shortage of internal auditors.  At PPL</w:t>
      </w:r>
      <w:r>
        <w:rPr>
          <w:rFonts w:cs="Arial"/>
          <w:szCs w:val="24"/>
        </w:rPr>
        <w:t xml:space="preserve"> SC</w:t>
      </w:r>
      <w:r w:rsidRPr="00AA54A9">
        <w:rPr>
          <w:rFonts w:cs="Arial"/>
          <w:szCs w:val="24"/>
        </w:rPr>
        <w:t xml:space="preserve">, there </w:t>
      </w:r>
      <w:r>
        <w:rPr>
          <w:rFonts w:cs="Arial"/>
          <w:szCs w:val="24"/>
        </w:rPr>
        <w:t xml:space="preserve">has been </w:t>
      </w:r>
      <w:r w:rsidRPr="00AA54A9">
        <w:rPr>
          <w:rFonts w:cs="Arial"/>
          <w:szCs w:val="24"/>
        </w:rPr>
        <w:t xml:space="preserve">difficulty </w:t>
      </w:r>
      <w:r>
        <w:rPr>
          <w:rFonts w:cs="Arial"/>
          <w:szCs w:val="24"/>
        </w:rPr>
        <w:t xml:space="preserve">in </w:t>
      </w:r>
      <w:r w:rsidRPr="00AA54A9">
        <w:rPr>
          <w:rFonts w:cs="Arial"/>
          <w:szCs w:val="24"/>
        </w:rPr>
        <w:t xml:space="preserve">attracting internal audit </w:t>
      </w:r>
      <w:r w:rsidRPr="00884AD1">
        <w:rPr>
          <w:rFonts w:cs="Arial"/>
          <w:szCs w:val="24"/>
        </w:rPr>
        <w:t>applicants with the appropriate level of talent and experience, hence the need to rely on some outside contractors.</w:t>
      </w:r>
    </w:p>
    <w:p w:rsidR="00AC40FC" w:rsidRDefault="00AC40FC" w:rsidP="00BB665B">
      <w:pPr>
        <w:pStyle w:val="Heading40"/>
      </w:pPr>
      <w:r w:rsidRPr="00AA54A9">
        <w:t xml:space="preserve">Employee and Contractor Staffing Planning Criteria and Process </w:t>
      </w:r>
    </w:p>
    <w:p w:rsidR="00AC40FC" w:rsidRPr="0049643D" w:rsidRDefault="00AC40FC" w:rsidP="00581946">
      <w:pPr>
        <w:rPr>
          <w:rFonts w:cs="Arial"/>
          <w:szCs w:val="24"/>
        </w:rPr>
      </w:pPr>
      <w:r>
        <w:rPr>
          <w:rFonts w:cs="Arial"/>
          <w:szCs w:val="24"/>
        </w:rPr>
        <w:t>In general, the primary criterion</w:t>
      </w:r>
      <w:r w:rsidRPr="0049643D">
        <w:rPr>
          <w:rFonts w:cs="Arial"/>
          <w:szCs w:val="24"/>
        </w:rPr>
        <w:t xml:space="preserve"> utilized to determine the most appropriate levels of employee and contractor sta</w:t>
      </w:r>
      <w:r>
        <w:rPr>
          <w:rFonts w:cs="Arial"/>
          <w:szCs w:val="24"/>
        </w:rPr>
        <w:t xml:space="preserve">ffing levels for the accounting, finance, and audit work groups in PPL SC and PPL EUS was the estimation of current work load and projections of future </w:t>
      </w:r>
      <w:r w:rsidRPr="0049643D">
        <w:rPr>
          <w:rFonts w:cs="Arial"/>
          <w:szCs w:val="24"/>
        </w:rPr>
        <w:t>workloads.</w:t>
      </w:r>
    </w:p>
    <w:p w:rsidR="00AC40FC" w:rsidRPr="00AA54A9" w:rsidRDefault="00AC40FC" w:rsidP="00581946">
      <w:r w:rsidRPr="003B146C">
        <w:t xml:space="preserve">The move to combine the </w:t>
      </w:r>
      <w:r>
        <w:t xml:space="preserve">PPL SC </w:t>
      </w:r>
      <w:r w:rsidRPr="003B146C">
        <w:t>Treasurer’s position with the Investor Relations/Financial Planning work group came about as a re</w:t>
      </w:r>
      <w:r>
        <w:t>sult of evaluating current work</w:t>
      </w:r>
      <w:r w:rsidRPr="003B146C">
        <w:t xml:space="preserve">load and needs after the </w:t>
      </w:r>
      <w:r>
        <w:t xml:space="preserve">PPL </w:t>
      </w:r>
      <w:r w:rsidRPr="003B146C">
        <w:t>Energy Supply</w:t>
      </w:r>
      <w:r>
        <w:t>, LLC</w:t>
      </w:r>
      <w:r w:rsidRPr="003B146C">
        <w:t xml:space="preserve"> </w:t>
      </w:r>
      <w:r>
        <w:t xml:space="preserve">related </w:t>
      </w:r>
      <w:r w:rsidRPr="003B146C">
        <w:t>work went to Talen.</w:t>
      </w:r>
    </w:p>
    <w:p w:rsidR="00AC40FC" w:rsidRPr="00020A6E" w:rsidRDefault="00AC40FC" w:rsidP="00581946">
      <w:pPr>
        <w:rPr>
          <w:rFonts w:cs="Arial"/>
          <w:szCs w:val="24"/>
        </w:rPr>
      </w:pPr>
      <w:r w:rsidRPr="00A315C0">
        <w:rPr>
          <w:rFonts w:cs="Arial"/>
          <w:szCs w:val="24"/>
        </w:rPr>
        <w:t xml:space="preserve">The </w:t>
      </w:r>
      <w:r>
        <w:rPr>
          <w:rFonts w:cs="Arial"/>
          <w:szCs w:val="24"/>
        </w:rPr>
        <w:t xml:space="preserve">PPL SC </w:t>
      </w:r>
      <w:r w:rsidRPr="00A315C0">
        <w:rPr>
          <w:rFonts w:cs="Arial"/>
          <w:szCs w:val="24"/>
        </w:rPr>
        <w:t xml:space="preserve">Tax Department, with </w:t>
      </w:r>
      <w:r>
        <w:rPr>
          <w:rFonts w:cs="Arial"/>
          <w:szCs w:val="24"/>
        </w:rPr>
        <w:t xml:space="preserve">assistance from an outside consultant, </w:t>
      </w:r>
      <w:r w:rsidRPr="00A315C0">
        <w:rPr>
          <w:rFonts w:cs="Arial"/>
          <w:szCs w:val="24"/>
        </w:rPr>
        <w:t>is conducting an evaluation of the tax process at PPL SC, including the Kentucky operations.  This evaluation</w:t>
      </w:r>
      <w:r>
        <w:rPr>
          <w:rFonts w:cs="Arial"/>
          <w:szCs w:val="24"/>
        </w:rPr>
        <w:t xml:space="preserve">, expected to be completed in 2016, </w:t>
      </w:r>
      <w:r w:rsidRPr="00AA54A9">
        <w:rPr>
          <w:rFonts w:cs="Arial"/>
          <w:szCs w:val="24"/>
        </w:rPr>
        <w:t>is being made to determine what processes and skills are required, how the tax work should be accomplished, the technical support required to conduct tax work in an efficient and effective manner, and what processes should be used.</w:t>
      </w:r>
    </w:p>
    <w:p w:rsidR="00AC40FC" w:rsidRPr="005C2E96" w:rsidRDefault="00AC40FC" w:rsidP="00581946">
      <w:pPr>
        <w:rPr>
          <w:rFonts w:cs="Arial"/>
          <w:szCs w:val="24"/>
        </w:rPr>
      </w:pPr>
      <w:r>
        <w:rPr>
          <w:rFonts w:cs="Arial"/>
          <w:szCs w:val="24"/>
        </w:rPr>
        <w:t>For PPL SC’s</w:t>
      </w:r>
      <w:r w:rsidRPr="00D54CCD">
        <w:rPr>
          <w:rFonts w:cs="Arial"/>
          <w:szCs w:val="24"/>
        </w:rPr>
        <w:t xml:space="preserve"> Corp</w:t>
      </w:r>
      <w:r>
        <w:rPr>
          <w:rFonts w:cs="Arial"/>
          <w:szCs w:val="24"/>
        </w:rPr>
        <w:t>orate Audit and Business Ethics work group, audit and other related</w:t>
      </w:r>
      <w:r w:rsidRPr="00AA54A9">
        <w:rPr>
          <w:rFonts w:cs="Arial"/>
          <w:szCs w:val="24"/>
        </w:rPr>
        <w:t xml:space="preserve"> work requirements determine if employees or contractors are used for audit work.  Skill sets </w:t>
      </w:r>
      <w:r>
        <w:rPr>
          <w:rFonts w:cs="Arial"/>
          <w:szCs w:val="24"/>
        </w:rPr>
        <w:t>matched to</w:t>
      </w:r>
      <w:r w:rsidRPr="00AA54A9">
        <w:rPr>
          <w:rFonts w:cs="Arial"/>
          <w:szCs w:val="24"/>
        </w:rPr>
        <w:t xml:space="preserve"> </w:t>
      </w:r>
      <w:r>
        <w:rPr>
          <w:rFonts w:cs="Arial"/>
          <w:szCs w:val="24"/>
        </w:rPr>
        <w:t xml:space="preserve">work </w:t>
      </w:r>
      <w:r w:rsidRPr="00AA54A9">
        <w:rPr>
          <w:rFonts w:cs="Arial"/>
          <w:szCs w:val="24"/>
        </w:rPr>
        <w:t>requirements will determine which pool of labor is utilized</w:t>
      </w:r>
      <w:r>
        <w:rPr>
          <w:rFonts w:cs="Arial"/>
          <w:szCs w:val="24"/>
        </w:rPr>
        <w:t xml:space="preserve"> and the amount of labor utilized</w:t>
      </w:r>
      <w:r w:rsidRPr="00AA54A9">
        <w:rPr>
          <w:rFonts w:cs="Arial"/>
          <w:szCs w:val="24"/>
        </w:rPr>
        <w:t xml:space="preserve">.  Coordination of activities with the </w:t>
      </w:r>
      <w:r>
        <w:rPr>
          <w:rFonts w:cs="Arial"/>
          <w:szCs w:val="24"/>
        </w:rPr>
        <w:t xml:space="preserve">LKE SC </w:t>
      </w:r>
      <w:r w:rsidRPr="00AA54A9">
        <w:rPr>
          <w:rFonts w:cs="Arial"/>
          <w:szCs w:val="24"/>
        </w:rPr>
        <w:t xml:space="preserve">Kentucky audit </w:t>
      </w:r>
      <w:r w:rsidRPr="00AA54A9">
        <w:rPr>
          <w:rFonts w:cs="Arial"/>
          <w:szCs w:val="24"/>
        </w:rPr>
        <w:lastRenderedPageBreak/>
        <w:t xml:space="preserve">group </w:t>
      </w:r>
      <w:r>
        <w:rPr>
          <w:rFonts w:cs="Arial"/>
          <w:szCs w:val="24"/>
        </w:rPr>
        <w:t>facilitates</w:t>
      </w:r>
      <w:r w:rsidRPr="00AA54A9">
        <w:rPr>
          <w:rFonts w:cs="Arial"/>
          <w:szCs w:val="24"/>
        </w:rPr>
        <w:t xml:space="preserve"> the borrowing or loaning of audit personnel based on requirements, experience, and audit skills.</w:t>
      </w:r>
    </w:p>
    <w:p w:rsidR="00AC40FC" w:rsidRPr="00AA54A9" w:rsidRDefault="00AC40FC" w:rsidP="00581946">
      <w:pPr>
        <w:rPr>
          <w:rFonts w:cs="Arial"/>
          <w:szCs w:val="24"/>
        </w:rPr>
      </w:pPr>
      <w:r w:rsidRPr="00AA54A9">
        <w:rPr>
          <w:rFonts w:cs="Arial"/>
          <w:szCs w:val="24"/>
        </w:rPr>
        <w:t xml:space="preserve">Employee staffing changes </w:t>
      </w:r>
      <w:r>
        <w:rPr>
          <w:rFonts w:cs="Arial"/>
          <w:szCs w:val="24"/>
        </w:rPr>
        <w:t xml:space="preserve">in the PPL EUS Regulatory Affairs group </w:t>
      </w:r>
      <w:r w:rsidRPr="00AA54A9">
        <w:rPr>
          <w:rFonts w:cs="Arial"/>
          <w:szCs w:val="24"/>
        </w:rPr>
        <w:t xml:space="preserve">are dictated by the </w:t>
      </w:r>
      <w:r>
        <w:rPr>
          <w:rFonts w:cs="Arial"/>
          <w:szCs w:val="24"/>
        </w:rPr>
        <w:t xml:space="preserve">amount and complexity of </w:t>
      </w:r>
      <w:r w:rsidRPr="00AA54A9">
        <w:rPr>
          <w:rFonts w:cs="Arial"/>
          <w:szCs w:val="24"/>
        </w:rPr>
        <w:t xml:space="preserve">expected </w:t>
      </w:r>
      <w:r>
        <w:rPr>
          <w:rFonts w:cs="Arial"/>
          <w:szCs w:val="24"/>
        </w:rPr>
        <w:t>rate cases and other regulatory proceedings</w:t>
      </w:r>
      <w:r w:rsidRPr="00AA54A9">
        <w:rPr>
          <w:rFonts w:cs="Arial"/>
          <w:szCs w:val="24"/>
        </w:rPr>
        <w:t>.</w:t>
      </w:r>
      <w:r>
        <w:rPr>
          <w:rFonts w:cs="Arial"/>
          <w:szCs w:val="24"/>
        </w:rPr>
        <w:t xml:space="preserve">  </w:t>
      </w:r>
      <w:r w:rsidRPr="00A315C0">
        <w:rPr>
          <w:rFonts w:cs="Arial"/>
          <w:szCs w:val="24"/>
        </w:rPr>
        <w:t xml:space="preserve">The increase in the staffing of the </w:t>
      </w:r>
      <w:r>
        <w:rPr>
          <w:rFonts w:cs="Arial"/>
          <w:szCs w:val="24"/>
        </w:rPr>
        <w:t xml:space="preserve">PPL EUS </w:t>
      </w:r>
      <w:r w:rsidRPr="00A315C0">
        <w:rPr>
          <w:rFonts w:cs="Arial"/>
          <w:szCs w:val="24"/>
        </w:rPr>
        <w:t>Asset Management group was dictated by the increase in</w:t>
      </w:r>
      <w:r w:rsidRPr="00AA54A9">
        <w:rPr>
          <w:rFonts w:cs="Arial"/>
          <w:szCs w:val="24"/>
        </w:rPr>
        <w:t xml:space="preserve"> the amount of capital spe</w:t>
      </w:r>
      <w:r>
        <w:rPr>
          <w:rFonts w:cs="Arial"/>
          <w:szCs w:val="24"/>
        </w:rPr>
        <w:t>nding for PPL EU</w:t>
      </w:r>
      <w:r w:rsidRPr="00AA54A9">
        <w:rPr>
          <w:rFonts w:cs="Arial"/>
          <w:szCs w:val="24"/>
        </w:rPr>
        <w:t>.</w:t>
      </w:r>
    </w:p>
    <w:p w:rsidR="00AC40FC" w:rsidRDefault="00AC40FC" w:rsidP="00BB665B">
      <w:pPr>
        <w:pStyle w:val="Heading40"/>
      </w:pPr>
      <w:r w:rsidRPr="00E91A9E">
        <w:t xml:space="preserve">Allocation of Personnel to PPL </w:t>
      </w:r>
      <w:r>
        <w:t xml:space="preserve">EU, PPL </w:t>
      </w:r>
      <w:r w:rsidRPr="00E91A9E">
        <w:t>EUS</w:t>
      </w:r>
      <w:r>
        <w:t xml:space="preserve">, and PPL SC </w:t>
      </w:r>
    </w:p>
    <w:p w:rsidR="00AC40FC" w:rsidRPr="00AA54A9" w:rsidRDefault="00AC40FC" w:rsidP="00581946">
      <w:pPr>
        <w:rPr>
          <w:rFonts w:cs="Arial"/>
          <w:szCs w:val="24"/>
        </w:rPr>
      </w:pPr>
      <w:r w:rsidRPr="00AA54A9">
        <w:rPr>
          <w:rFonts w:cs="Arial"/>
          <w:szCs w:val="24"/>
        </w:rPr>
        <w:t xml:space="preserve">At the time of the formation of PPL EUS, almost all of the work and work groups in PPL SC Finance were evaluated to determine for whom the work was being performed.  If the majority of the work was for PPL EU, then consideration was given to moving the workers to PPL EUS.  </w:t>
      </w:r>
      <w:r>
        <w:rPr>
          <w:rFonts w:cs="Arial"/>
          <w:szCs w:val="24"/>
        </w:rPr>
        <w:t xml:space="preserve">For instance, the </w:t>
      </w:r>
      <w:r w:rsidRPr="00A315C0">
        <w:rPr>
          <w:rFonts w:cs="Arial"/>
          <w:szCs w:val="24"/>
        </w:rPr>
        <w:t>Asset Management work group was moved to PPL EUS from PPL SC because most of the work of this group was for PPL EU.</w:t>
      </w:r>
    </w:p>
    <w:p w:rsidR="00AC40FC" w:rsidRPr="00AA54A9" w:rsidRDefault="00AC40FC" w:rsidP="00581946">
      <w:pPr>
        <w:rPr>
          <w:rFonts w:cs="Arial"/>
          <w:szCs w:val="24"/>
        </w:rPr>
      </w:pPr>
      <w:r>
        <w:rPr>
          <w:rFonts w:cs="Arial"/>
          <w:szCs w:val="24"/>
        </w:rPr>
        <w:t xml:space="preserve">The </w:t>
      </w:r>
      <w:r w:rsidRPr="00AA54A9">
        <w:rPr>
          <w:rFonts w:cs="Arial"/>
          <w:szCs w:val="24"/>
        </w:rPr>
        <w:t xml:space="preserve">Cash Operations </w:t>
      </w:r>
      <w:r>
        <w:rPr>
          <w:rFonts w:cs="Arial"/>
          <w:szCs w:val="24"/>
        </w:rPr>
        <w:t xml:space="preserve">function </w:t>
      </w:r>
      <w:r w:rsidRPr="00AA54A9">
        <w:rPr>
          <w:rFonts w:cs="Arial"/>
          <w:szCs w:val="24"/>
        </w:rPr>
        <w:t xml:space="preserve">is </w:t>
      </w:r>
      <w:r>
        <w:rPr>
          <w:rFonts w:cs="Arial"/>
          <w:szCs w:val="24"/>
        </w:rPr>
        <w:t>expected</w:t>
      </w:r>
      <w:r w:rsidRPr="00AA54A9">
        <w:rPr>
          <w:rFonts w:cs="Arial"/>
          <w:szCs w:val="24"/>
        </w:rPr>
        <w:t xml:space="preserve"> to </w:t>
      </w:r>
      <w:r>
        <w:rPr>
          <w:rFonts w:cs="Arial"/>
          <w:szCs w:val="24"/>
        </w:rPr>
        <w:t xml:space="preserve">be </w:t>
      </w:r>
      <w:r w:rsidRPr="00AA54A9">
        <w:rPr>
          <w:rFonts w:cs="Arial"/>
          <w:szCs w:val="24"/>
        </w:rPr>
        <w:t>move</w:t>
      </w:r>
      <w:r>
        <w:rPr>
          <w:rFonts w:cs="Arial"/>
          <w:szCs w:val="24"/>
        </w:rPr>
        <w:t>d</w:t>
      </w:r>
      <w:r w:rsidRPr="00AA54A9">
        <w:rPr>
          <w:rFonts w:cs="Arial"/>
          <w:szCs w:val="24"/>
        </w:rPr>
        <w:t xml:space="preserve"> to PPL EUS sometime </w:t>
      </w:r>
      <w:r>
        <w:rPr>
          <w:rFonts w:cs="Arial"/>
          <w:szCs w:val="24"/>
        </w:rPr>
        <w:t xml:space="preserve">in the future because of the belief </w:t>
      </w:r>
      <w:r w:rsidRPr="00AA54A9">
        <w:rPr>
          <w:rFonts w:cs="Arial"/>
          <w:szCs w:val="24"/>
        </w:rPr>
        <w:t xml:space="preserve">that all operations support functions </w:t>
      </w:r>
      <w:r>
        <w:rPr>
          <w:rFonts w:cs="Arial"/>
          <w:szCs w:val="24"/>
        </w:rPr>
        <w:t xml:space="preserve">for PPL EU </w:t>
      </w:r>
      <w:r w:rsidRPr="00AA54A9">
        <w:rPr>
          <w:rFonts w:cs="Arial"/>
          <w:szCs w:val="24"/>
        </w:rPr>
        <w:t xml:space="preserve">should </w:t>
      </w:r>
      <w:r>
        <w:rPr>
          <w:rFonts w:cs="Arial"/>
          <w:szCs w:val="24"/>
        </w:rPr>
        <w:t xml:space="preserve">reside </w:t>
      </w:r>
      <w:r w:rsidRPr="00AA54A9">
        <w:rPr>
          <w:rFonts w:cs="Arial"/>
          <w:szCs w:val="24"/>
        </w:rPr>
        <w:t xml:space="preserve">in </w:t>
      </w:r>
      <w:r>
        <w:rPr>
          <w:rFonts w:cs="Arial"/>
          <w:szCs w:val="24"/>
        </w:rPr>
        <w:t xml:space="preserve">PPL </w:t>
      </w:r>
      <w:r w:rsidRPr="00AA54A9">
        <w:rPr>
          <w:rFonts w:cs="Arial"/>
          <w:szCs w:val="24"/>
        </w:rPr>
        <w:t xml:space="preserve">EUS.  By having the Cash Operations section </w:t>
      </w:r>
      <w:r>
        <w:rPr>
          <w:rFonts w:cs="Arial"/>
          <w:szCs w:val="24"/>
        </w:rPr>
        <w:t xml:space="preserve">located </w:t>
      </w:r>
      <w:r w:rsidRPr="00AA54A9">
        <w:rPr>
          <w:rFonts w:cs="Arial"/>
          <w:szCs w:val="24"/>
        </w:rPr>
        <w:t xml:space="preserve">in </w:t>
      </w:r>
      <w:r>
        <w:rPr>
          <w:rFonts w:cs="Arial"/>
          <w:szCs w:val="24"/>
        </w:rPr>
        <w:t xml:space="preserve">PPL </w:t>
      </w:r>
      <w:r w:rsidRPr="00AA54A9">
        <w:rPr>
          <w:rFonts w:cs="Arial"/>
          <w:szCs w:val="24"/>
        </w:rPr>
        <w:t xml:space="preserve">EUS it </w:t>
      </w:r>
      <w:r>
        <w:rPr>
          <w:rFonts w:cs="Arial"/>
          <w:szCs w:val="24"/>
        </w:rPr>
        <w:t>is expected that it will</w:t>
      </w:r>
      <w:r w:rsidRPr="00AA54A9">
        <w:rPr>
          <w:rFonts w:cs="Arial"/>
          <w:szCs w:val="24"/>
        </w:rPr>
        <w:t xml:space="preserve"> be easier </w:t>
      </w:r>
      <w:r>
        <w:rPr>
          <w:rFonts w:cs="Arial"/>
          <w:szCs w:val="24"/>
        </w:rPr>
        <w:t xml:space="preserve">for Treasury management </w:t>
      </w:r>
      <w:r w:rsidRPr="00AA54A9">
        <w:rPr>
          <w:rFonts w:cs="Arial"/>
          <w:szCs w:val="24"/>
        </w:rPr>
        <w:t xml:space="preserve">to understand the </w:t>
      </w:r>
      <w:r>
        <w:rPr>
          <w:rFonts w:cs="Arial"/>
          <w:szCs w:val="24"/>
        </w:rPr>
        <w:t xml:space="preserve">PPL EU spending amounts </w:t>
      </w:r>
      <w:r w:rsidRPr="00AA54A9">
        <w:rPr>
          <w:rFonts w:cs="Arial"/>
          <w:szCs w:val="24"/>
        </w:rPr>
        <w:t xml:space="preserve">and </w:t>
      </w:r>
      <w:r>
        <w:rPr>
          <w:rFonts w:cs="Arial"/>
          <w:szCs w:val="24"/>
        </w:rPr>
        <w:t>its</w:t>
      </w:r>
      <w:r w:rsidRPr="00AA54A9">
        <w:rPr>
          <w:rFonts w:cs="Arial"/>
          <w:szCs w:val="24"/>
        </w:rPr>
        <w:t xml:space="preserve"> impacts on </w:t>
      </w:r>
      <w:r>
        <w:rPr>
          <w:rFonts w:cs="Arial"/>
          <w:szCs w:val="24"/>
        </w:rPr>
        <w:t xml:space="preserve">PPL Corporation </w:t>
      </w:r>
      <w:r w:rsidRPr="00AA54A9">
        <w:rPr>
          <w:rFonts w:cs="Arial"/>
          <w:szCs w:val="24"/>
        </w:rPr>
        <w:t>cash.</w:t>
      </w:r>
    </w:p>
    <w:p w:rsidR="00AC40FC" w:rsidRDefault="00AC40FC" w:rsidP="00BB665B">
      <w:pPr>
        <w:pStyle w:val="Heading40"/>
      </w:pPr>
      <w:r w:rsidRPr="00E91A9E">
        <w:t>Allocation of Personnel to PPL EU and PPL EUS</w:t>
      </w:r>
      <w:r>
        <w:t xml:space="preserve">  </w:t>
      </w:r>
    </w:p>
    <w:p w:rsidR="00AC40FC" w:rsidRPr="00AA54A9" w:rsidRDefault="00AC40FC" w:rsidP="00581946">
      <w:pPr>
        <w:rPr>
          <w:rFonts w:cs="Arial"/>
          <w:szCs w:val="24"/>
        </w:rPr>
      </w:pPr>
      <w:r w:rsidRPr="00AA54A9">
        <w:t xml:space="preserve">The Regulatory </w:t>
      </w:r>
      <w:r>
        <w:t xml:space="preserve">Affairs </w:t>
      </w:r>
      <w:r w:rsidRPr="00AA54A9">
        <w:t>group moved intact from PPL EU to PPL EUS on January 1, 2015.  It had not been part of PPL SC.</w:t>
      </w:r>
      <w:r>
        <w:t xml:space="preserve">   The </w:t>
      </w:r>
      <w:r w:rsidRPr="002F7792">
        <w:rPr>
          <w:rFonts w:cs="Arial"/>
          <w:szCs w:val="24"/>
        </w:rPr>
        <w:t>Acc</w:t>
      </w:r>
      <w:r>
        <w:rPr>
          <w:rFonts w:cs="Arial"/>
          <w:szCs w:val="24"/>
        </w:rPr>
        <w:t>ounting and Financial Reporting group came from</w:t>
      </w:r>
      <w:r w:rsidRPr="00AA54A9">
        <w:rPr>
          <w:rFonts w:cs="Arial"/>
          <w:szCs w:val="24"/>
        </w:rPr>
        <w:t xml:space="preserve"> PPL </w:t>
      </w:r>
      <w:r>
        <w:rPr>
          <w:rFonts w:cs="Arial"/>
          <w:szCs w:val="24"/>
        </w:rPr>
        <w:t xml:space="preserve">EU to PPL </w:t>
      </w:r>
      <w:r w:rsidRPr="00AA54A9">
        <w:rPr>
          <w:rFonts w:cs="Arial"/>
          <w:szCs w:val="24"/>
        </w:rPr>
        <w:t>EUS when PPL EUS was formed.</w:t>
      </w:r>
    </w:p>
    <w:p w:rsidR="00AC40FC" w:rsidRDefault="00AC40FC" w:rsidP="00BB665B">
      <w:pPr>
        <w:pStyle w:val="Heading40"/>
      </w:pPr>
      <w:r w:rsidRPr="00AA54A9">
        <w:t>P</w:t>
      </w:r>
      <w:r>
        <w:t>lans for Adjusting Staffing as t</w:t>
      </w:r>
      <w:r w:rsidRPr="00AA54A9">
        <w:t>he Talen TSA Winds Down</w:t>
      </w:r>
      <w:r>
        <w:t xml:space="preserve"> </w:t>
      </w:r>
    </w:p>
    <w:p w:rsidR="00AC40FC" w:rsidRPr="009F1A03" w:rsidRDefault="00AC40FC" w:rsidP="00581946">
      <w:pPr>
        <w:rPr>
          <w:rFonts w:cs="Arial"/>
          <w:szCs w:val="24"/>
        </w:rPr>
      </w:pPr>
      <w:r w:rsidRPr="00EF5ACE">
        <w:rPr>
          <w:rFonts w:cs="Arial"/>
          <w:szCs w:val="24"/>
        </w:rPr>
        <w:t xml:space="preserve">There will be some adjustment in the </w:t>
      </w:r>
      <w:r>
        <w:rPr>
          <w:rFonts w:cs="Arial"/>
          <w:szCs w:val="24"/>
        </w:rPr>
        <w:t xml:space="preserve">PPL SC </w:t>
      </w:r>
      <w:r w:rsidRPr="00EF5ACE">
        <w:rPr>
          <w:rFonts w:cs="Arial"/>
          <w:szCs w:val="24"/>
        </w:rPr>
        <w:t>C</w:t>
      </w:r>
      <w:r>
        <w:rPr>
          <w:rFonts w:cs="Arial"/>
          <w:szCs w:val="24"/>
        </w:rPr>
        <w:t>ash Management area because it is</w:t>
      </w:r>
      <w:r w:rsidRPr="00EF5ACE">
        <w:rPr>
          <w:rFonts w:cs="Arial"/>
          <w:szCs w:val="24"/>
        </w:rPr>
        <w:t xml:space="preserve"> still performing work for Talen as prescribed in the TSA.  This adjustment will take place when the TSA ends, which is slated for mid-2017.  The other financial work groups do not perform much work for Talen.</w:t>
      </w:r>
      <w:r>
        <w:rPr>
          <w:rFonts w:cs="Arial"/>
          <w:szCs w:val="24"/>
        </w:rPr>
        <w:t xml:space="preserve"> </w:t>
      </w:r>
    </w:p>
    <w:p w:rsidR="00AC40FC" w:rsidRPr="00AA54A9" w:rsidRDefault="00AC40FC" w:rsidP="00581946">
      <w:pPr>
        <w:rPr>
          <w:rFonts w:cs="Arial"/>
          <w:szCs w:val="24"/>
        </w:rPr>
      </w:pPr>
      <w:r w:rsidRPr="006947F3">
        <w:rPr>
          <w:rFonts w:cs="Arial"/>
          <w:szCs w:val="24"/>
        </w:rPr>
        <w:t>When the Talen TSA is terminated</w:t>
      </w:r>
      <w:r>
        <w:rPr>
          <w:rFonts w:cs="Arial"/>
          <w:szCs w:val="24"/>
        </w:rPr>
        <w:t>,</w:t>
      </w:r>
      <w:r w:rsidRPr="006947F3">
        <w:rPr>
          <w:rFonts w:cs="Arial"/>
          <w:szCs w:val="24"/>
        </w:rPr>
        <w:t xml:space="preserve"> there are plans to transition the Cash Operations work group </w:t>
      </w:r>
      <w:r>
        <w:rPr>
          <w:rFonts w:cs="Arial"/>
          <w:szCs w:val="24"/>
        </w:rPr>
        <w:t xml:space="preserve">to PPL </w:t>
      </w:r>
      <w:r w:rsidRPr="006947F3">
        <w:rPr>
          <w:rFonts w:cs="Arial"/>
          <w:szCs w:val="24"/>
        </w:rPr>
        <w:t xml:space="preserve">EUS.  </w:t>
      </w:r>
      <w:r>
        <w:rPr>
          <w:rFonts w:cs="Arial"/>
          <w:szCs w:val="24"/>
        </w:rPr>
        <w:t>It is expected that</w:t>
      </w:r>
      <w:r w:rsidRPr="006947F3">
        <w:rPr>
          <w:rFonts w:cs="Arial"/>
          <w:szCs w:val="24"/>
        </w:rPr>
        <w:t xml:space="preserve"> </w:t>
      </w:r>
      <w:r>
        <w:rPr>
          <w:rFonts w:cs="Arial"/>
          <w:szCs w:val="24"/>
        </w:rPr>
        <w:t xml:space="preserve">the staffing of this work unit will be adjusted to correlate to the expected work load following the end of the TSA.  Any staffing adjustments for represented employees will comply with </w:t>
      </w:r>
      <w:r w:rsidRPr="006947F3">
        <w:rPr>
          <w:rFonts w:cs="Arial"/>
          <w:szCs w:val="24"/>
        </w:rPr>
        <w:t>union rules that consider position and seniority.</w:t>
      </w:r>
      <w:r>
        <w:rPr>
          <w:rFonts w:cs="Arial"/>
          <w:szCs w:val="24"/>
        </w:rPr>
        <w:t xml:space="preserve">  </w:t>
      </w:r>
    </w:p>
    <w:p w:rsidR="00AC40FC" w:rsidRPr="00AA54A9" w:rsidRDefault="00AC40FC" w:rsidP="00581946">
      <w:r w:rsidRPr="00AA54A9">
        <w:rPr>
          <w:rFonts w:cs="Arial"/>
          <w:szCs w:val="24"/>
        </w:rPr>
        <w:t>Currently</w:t>
      </w:r>
      <w:r>
        <w:rPr>
          <w:rFonts w:cs="Arial"/>
          <w:szCs w:val="24"/>
        </w:rPr>
        <w:t>,</w:t>
      </w:r>
      <w:r w:rsidRPr="00AA54A9">
        <w:rPr>
          <w:rFonts w:cs="Arial"/>
          <w:szCs w:val="24"/>
        </w:rPr>
        <w:t xml:space="preserve"> </w:t>
      </w:r>
      <w:r>
        <w:rPr>
          <w:rFonts w:cs="Arial"/>
          <w:szCs w:val="24"/>
        </w:rPr>
        <w:t xml:space="preserve">the Accounting and Financial Reporting work group in PPL EUS </w:t>
      </w:r>
      <w:r w:rsidRPr="00AA54A9">
        <w:rPr>
          <w:rFonts w:cs="Arial"/>
          <w:szCs w:val="24"/>
        </w:rPr>
        <w:t xml:space="preserve">processes </w:t>
      </w:r>
      <w:r>
        <w:rPr>
          <w:rFonts w:cs="Arial"/>
          <w:szCs w:val="24"/>
        </w:rPr>
        <w:t xml:space="preserve">some minor </w:t>
      </w:r>
      <w:r w:rsidRPr="00AA54A9">
        <w:rPr>
          <w:rFonts w:cs="Arial"/>
          <w:szCs w:val="24"/>
        </w:rPr>
        <w:t>invoices for work done for the Talen TSA</w:t>
      </w:r>
      <w:r>
        <w:rPr>
          <w:rFonts w:cs="Arial"/>
          <w:szCs w:val="24"/>
        </w:rPr>
        <w:t xml:space="preserve"> (billing for the use of facilities and subject matter experts). </w:t>
      </w:r>
      <w:r w:rsidRPr="00AA54A9">
        <w:rPr>
          <w:rFonts w:cs="Arial"/>
          <w:szCs w:val="24"/>
        </w:rPr>
        <w:t>When the Talen TSA winds down and this work goes away, it will have no appreciable effect on this department.</w:t>
      </w:r>
    </w:p>
    <w:p w:rsidR="00AC40FC" w:rsidRDefault="00AC40FC" w:rsidP="00BB665B">
      <w:pPr>
        <w:pStyle w:val="Heading-forToC"/>
      </w:pPr>
      <w:bookmarkStart w:id="402" w:name="_Toc462647914"/>
      <w:bookmarkStart w:id="403" w:name="_Toc464552153"/>
      <w:r>
        <w:t>Finding</w:t>
      </w:r>
      <w:r w:rsidRPr="00AA54A9">
        <w:t>s</w:t>
      </w:r>
      <w:bookmarkEnd w:id="402"/>
      <w:bookmarkEnd w:id="403"/>
    </w:p>
    <w:p w:rsidR="00AC40FC" w:rsidRDefault="00AC40FC" w:rsidP="004F00E5">
      <w:pPr>
        <w:pStyle w:val="Findings"/>
        <w:numPr>
          <w:ilvl w:val="0"/>
          <w:numId w:val="141"/>
        </w:numPr>
      </w:pPr>
      <w:r>
        <w:t>The increase in staffing and the use of contractors should resolve the unitization delays identified in Asset Management.</w:t>
      </w:r>
    </w:p>
    <w:p w:rsidR="00AC40FC" w:rsidRDefault="00AC40FC" w:rsidP="00581946">
      <w:pPr>
        <w:rPr>
          <w:rFonts w:cs="Arial"/>
          <w:szCs w:val="24"/>
        </w:rPr>
      </w:pPr>
      <w:r>
        <w:rPr>
          <w:rFonts w:cs="Arial"/>
          <w:szCs w:val="24"/>
        </w:rPr>
        <w:t>D</w:t>
      </w:r>
      <w:r w:rsidRPr="006D3FB3">
        <w:rPr>
          <w:rFonts w:cs="Arial"/>
          <w:szCs w:val="24"/>
        </w:rPr>
        <w:t xml:space="preserve">elays have occurred in </w:t>
      </w:r>
      <w:r>
        <w:rPr>
          <w:rFonts w:cs="Arial"/>
          <w:szCs w:val="24"/>
        </w:rPr>
        <w:t xml:space="preserve">completing the work of the Asset Management work group, namely the </w:t>
      </w:r>
      <w:r w:rsidRPr="006D3FB3">
        <w:rPr>
          <w:rFonts w:cs="Arial"/>
          <w:szCs w:val="24"/>
        </w:rPr>
        <w:t xml:space="preserve">unitization process </w:t>
      </w:r>
      <w:r>
        <w:rPr>
          <w:rFonts w:cs="Arial"/>
          <w:szCs w:val="24"/>
        </w:rPr>
        <w:t xml:space="preserve">for </w:t>
      </w:r>
      <w:r w:rsidRPr="006D3FB3">
        <w:rPr>
          <w:rFonts w:cs="Arial"/>
          <w:szCs w:val="24"/>
        </w:rPr>
        <w:t>identif</w:t>
      </w:r>
      <w:r>
        <w:rPr>
          <w:rFonts w:cs="Arial"/>
          <w:szCs w:val="24"/>
        </w:rPr>
        <w:t>ying the assets in completed capital projects</w:t>
      </w:r>
      <w:r w:rsidRPr="006D3FB3">
        <w:rPr>
          <w:rFonts w:cs="Arial"/>
          <w:szCs w:val="24"/>
        </w:rPr>
        <w:t xml:space="preserve"> and plac</w:t>
      </w:r>
      <w:r>
        <w:rPr>
          <w:rFonts w:cs="Arial"/>
          <w:szCs w:val="24"/>
        </w:rPr>
        <w:t>ing them</w:t>
      </w:r>
      <w:r w:rsidRPr="006D3FB3">
        <w:rPr>
          <w:rFonts w:cs="Arial"/>
          <w:szCs w:val="24"/>
        </w:rPr>
        <w:t xml:space="preserve"> in their proper account</w:t>
      </w:r>
      <w:r>
        <w:rPr>
          <w:rFonts w:cs="Arial"/>
          <w:szCs w:val="24"/>
        </w:rPr>
        <w:t>.  The delays have</w:t>
      </w:r>
      <w:r w:rsidRPr="006D3FB3">
        <w:rPr>
          <w:rFonts w:cs="Arial"/>
          <w:szCs w:val="24"/>
        </w:rPr>
        <w:t xml:space="preserve"> result</w:t>
      </w:r>
      <w:r>
        <w:rPr>
          <w:rFonts w:cs="Arial"/>
          <w:szCs w:val="24"/>
        </w:rPr>
        <w:t>ed</w:t>
      </w:r>
      <w:r w:rsidRPr="006D3FB3">
        <w:rPr>
          <w:rFonts w:cs="Arial"/>
          <w:szCs w:val="24"/>
        </w:rPr>
        <w:t xml:space="preserve"> in a portion of the </w:t>
      </w:r>
      <w:r w:rsidRPr="006D3FB3">
        <w:rPr>
          <w:rFonts w:cs="Arial"/>
          <w:szCs w:val="24"/>
        </w:rPr>
        <w:lastRenderedPageBreak/>
        <w:t xml:space="preserve">new assets remaining in </w:t>
      </w:r>
      <w:r>
        <w:rPr>
          <w:rFonts w:cs="Arial"/>
          <w:szCs w:val="24"/>
        </w:rPr>
        <w:t xml:space="preserve">a non-classified account </w:t>
      </w:r>
      <w:r w:rsidRPr="006D3FB3">
        <w:rPr>
          <w:rFonts w:cs="Arial"/>
          <w:szCs w:val="24"/>
        </w:rPr>
        <w:t>for a lengthy period</w:t>
      </w:r>
      <w:r>
        <w:rPr>
          <w:rFonts w:cs="Arial"/>
          <w:szCs w:val="24"/>
        </w:rPr>
        <w:t xml:space="preserve"> of time</w:t>
      </w:r>
      <w:r w:rsidRPr="006D3FB3">
        <w:rPr>
          <w:rFonts w:cs="Arial"/>
          <w:szCs w:val="24"/>
        </w:rPr>
        <w:t>.</w:t>
      </w:r>
      <w:r>
        <w:rPr>
          <w:rFonts w:cs="Arial"/>
          <w:szCs w:val="24"/>
        </w:rPr>
        <w:t xml:space="preserve"> </w:t>
      </w:r>
      <w:r w:rsidRPr="00850E96">
        <w:t>As of July 31, 2015, $295 million in asset value remained in th</w:t>
      </w:r>
      <w:r>
        <w:t>is non-classified</w:t>
      </w:r>
      <w:r w:rsidRPr="00850E96">
        <w:t xml:space="preserve"> account</w:t>
      </w:r>
      <w:r>
        <w:t>.  O</w:t>
      </w:r>
      <w:r w:rsidRPr="00850E96">
        <w:t xml:space="preserve">ver $47 million </w:t>
      </w:r>
      <w:r>
        <w:t xml:space="preserve">in asset value remained </w:t>
      </w:r>
      <w:r w:rsidRPr="00850E96">
        <w:t>in this account for more than one year.</w:t>
      </w:r>
      <w:r>
        <w:t xml:space="preserve">  </w:t>
      </w:r>
      <w:r w:rsidRPr="00850E96">
        <w:t>In 2016, the staff in the Asset Management work group was increased by two</w:t>
      </w:r>
      <w:r>
        <w:t xml:space="preserve"> employees, and </w:t>
      </w:r>
      <w:r w:rsidRPr="00850E96">
        <w:t xml:space="preserve">three contractors </w:t>
      </w:r>
      <w:r>
        <w:t>were added to help resolve this problem.  T</w:t>
      </w:r>
      <w:r w:rsidRPr="00850E96">
        <w:t xml:space="preserve">wo additional </w:t>
      </w:r>
      <w:r>
        <w:t xml:space="preserve">employees are expected to be added in 2016. </w:t>
      </w:r>
      <w:r w:rsidRPr="00AA54A9">
        <w:rPr>
          <w:rFonts w:cs="Arial"/>
          <w:szCs w:val="24"/>
        </w:rPr>
        <w:t>The increase in staffing (employees and contractors) in the Asset Management work group should assist in eliminating the backlog of projects waiting to be closed out.  Additionally, improvements in the data input process from Engineering using template uploads and IT system changes should make this work group more efficient.</w:t>
      </w:r>
      <w:r>
        <w:rPr>
          <w:rFonts w:cs="Arial"/>
          <w:szCs w:val="24"/>
        </w:rPr>
        <w:t xml:space="preserve">  See Chapter V, Finance and Accounting, for more information on the unitization backlog. </w:t>
      </w:r>
    </w:p>
    <w:p w:rsidR="00AC40FC" w:rsidRDefault="00AC40FC" w:rsidP="00B306CB">
      <w:pPr>
        <w:pStyle w:val="Findings"/>
        <w:keepNext/>
      </w:pPr>
      <w:r w:rsidRPr="002708E8">
        <w:t>Potential</w:t>
      </w:r>
      <w:r>
        <w:t xml:space="preserve"> issues involving retention of core competencies and institutional knowledge were successfully addressed.</w:t>
      </w:r>
    </w:p>
    <w:p w:rsidR="00AC40FC" w:rsidRDefault="00AC40FC" w:rsidP="00581946">
      <w:pPr>
        <w:rPr>
          <w:rFonts w:cs="Arial"/>
          <w:szCs w:val="24"/>
        </w:rPr>
      </w:pPr>
      <w:r>
        <w:rPr>
          <w:rFonts w:cs="Arial"/>
          <w:szCs w:val="24"/>
        </w:rPr>
        <w:t xml:space="preserve">The tasks of retaining core competencies and institutional knowledge in the process of losing personnel as part of the Talen spinoff appears to have been handled successfully by the PPL SC and PPL EUS finance, accounting, and auditing work units.  </w:t>
      </w:r>
      <w:r w:rsidRPr="00AA54A9">
        <w:rPr>
          <w:rFonts w:cs="Arial"/>
          <w:szCs w:val="24"/>
        </w:rPr>
        <w:t xml:space="preserve">Core competencies </w:t>
      </w:r>
      <w:r>
        <w:rPr>
          <w:rFonts w:cs="Arial"/>
          <w:szCs w:val="24"/>
        </w:rPr>
        <w:t>were</w:t>
      </w:r>
      <w:r w:rsidRPr="00AA54A9">
        <w:rPr>
          <w:rFonts w:cs="Arial"/>
          <w:szCs w:val="24"/>
        </w:rPr>
        <w:t xml:space="preserve"> preserved through the process of identifying skills, experience, positions, and </w:t>
      </w:r>
      <w:r>
        <w:rPr>
          <w:rFonts w:cs="Arial"/>
          <w:szCs w:val="24"/>
        </w:rPr>
        <w:t xml:space="preserve">critical </w:t>
      </w:r>
      <w:r w:rsidRPr="00AA54A9">
        <w:rPr>
          <w:rFonts w:cs="Arial"/>
          <w:szCs w:val="24"/>
        </w:rPr>
        <w:t xml:space="preserve">personnel to be retained in PPL SC as PPL EUS was </w:t>
      </w:r>
      <w:r>
        <w:rPr>
          <w:rFonts w:cs="Arial"/>
          <w:szCs w:val="24"/>
        </w:rPr>
        <w:t xml:space="preserve">being </w:t>
      </w:r>
      <w:r w:rsidRPr="00AA54A9">
        <w:rPr>
          <w:rFonts w:cs="Arial"/>
          <w:szCs w:val="24"/>
        </w:rPr>
        <w:t xml:space="preserve">formed and the </w:t>
      </w:r>
      <w:r>
        <w:rPr>
          <w:rFonts w:cs="Arial"/>
          <w:szCs w:val="24"/>
        </w:rPr>
        <w:t xml:space="preserve">PPL </w:t>
      </w:r>
      <w:r w:rsidRPr="00AA54A9">
        <w:rPr>
          <w:rFonts w:cs="Arial"/>
          <w:szCs w:val="24"/>
        </w:rPr>
        <w:t xml:space="preserve">supply organization was </w:t>
      </w:r>
      <w:r>
        <w:rPr>
          <w:rFonts w:cs="Arial"/>
          <w:szCs w:val="24"/>
        </w:rPr>
        <w:t xml:space="preserve">being </w:t>
      </w:r>
      <w:r w:rsidRPr="00AA54A9">
        <w:rPr>
          <w:rFonts w:cs="Arial"/>
          <w:szCs w:val="24"/>
        </w:rPr>
        <w:t>spun off to form Talen.</w:t>
      </w:r>
      <w:r>
        <w:rPr>
          <w:rFonts w:cs="Arial"/>
          <w:szCs w:val="24"/>
        </w:rPr>
        <w:t xml:space="preserve"> </w:t>
      </w:r>
      <w:r w:rsidRPr="00DB2A83">
        <w:rPr>
          <w:rFonts w:cs="Arial"/>
          <w:szCs w:val="24"/>
        </w:rPr>
        <w:t xml:space="preserve"> </w:t>
      </w:r>
      <w:r w:rsidRPr="00AA54A9">
        <w:rPr>
          <w:rFonts w:cs="Arial"/>
          <w:szCs w:val="24"/>
        </w:rPr>
        <w:t>For the Talen spinoff</w:t>
      </w:r>
      <w:r>
        <w:rPr>
          <w:rFonts w:cs="Arial"/>
          <w:szCs w:val="24"/>
        </w:rPr>
        <w:t>,</w:t>
      </w:r>
      <w:r w:rsidRPr="00AA54A9">
        <w:rPr>
          <w:rFonts w:cs="Arial"/>
          <w:szCs w:val="24"/>
        </w:rPr>
        <w:t xml:space="preserve"> there was an employee selection process to ensure that both the losing organization (PPL SC) and the new organization </w:t>
      </w:r>
      <w:r>
        <w:rPr>
          <w:rFonts w:cs="Arial"/>
          <w:szCs w:val="24"/>
        </w:rPr>
        <w:t xml:space="preserve">(Talen Energy) </w:t>
      </w:r>
      <w:r w:rsidRPr="00AA54A9">
        <w:rPr>
          <w:rFonts w:cs="Arial"/>
          <w:szCs w:val="24"/>
        </w:rPr>
        <w:t>had adequate core competency from the financial organization.</w:t>
      </w:r>
    </w:p>
    <w:p w:rsidR="00AC40FC" w:rsidRDefault="00AC40FC" w:rsidP="00581946">
      <w:pPr>
        <w:rPr>
          <w:rFonts w:cs="Arial"/>
          <w:szCs w:val="24"/>
        </w:rPr>
      </w:pPr>
      <w:r w:rsidRPr="00AA54A9">
        <w:rPr>
          <w:rFonts w:cs="Arial"/>
          <w:szCs w:val="24"/>
        </w:rPr>
        <w:t xml:space="preserve">Prior to the Talen spinoff, the financial work group had engaged in knowledge transfer in order to be able to back fill positions and build bench strength.  </w:t>
      </w:r>
      <w:r>
        <w:rPr>
          <w:rFonts w:cs="Arial"/>
          <w:szCs w:val="24"/>
        </w:rPr>
        <w:t>Additionally, c</w:t>
      </w:r>
      <w:r w:rsidRPr="00AA54A9">
        <w:rPr>
          <w:rFonts w:cs="Arial"/>
          <w:szCs w:val="24"/>
        </w:rPr>
        <w:t xml:space="preserve">ore competency </w:t>
      </w:r>
      <w:r>
        <w:rPr>
          <w:rFonts w:cs="Arial"/>
          <w:szCs w:val="24"/>
        </w:rPr>
        <w:t xml:space="preserve">and institutional knowledge were not impacted greatly because primarily </w:t>
      </w:r>
      <w:r w:rsidRPr="00AA54A9">
        <w:rPr>
          <w:rFonts w:cs="Arial"/>
          <w:szCs w:val="24"/>
        </w:rPr>
        <w:t xml:space="preserve">the personnel who worked on </w:t>
      </w:r>
      <w:r>
        <w:rPr>
          <w:rFonts w:cs="Arial"/>
          <w:szCs w:val="24"/>
        </w:rPr>
        <w:t>PPL S</w:t>
      </w:r>
      <w:r w:rsidRPr="00AA54A9">
        <w:rPr>
          <w:rFonts w:cs="Arial"/>
          <w:szCs w:val="24"/>
        </w:rPr>
        <w:t xml:space="preserve">upply functions were </w:t>
      </w:r>
      <w:r>
        <w:rPr>
          <w:rFonts w:cs="Arial"/>
          <w:szCs w:val="24"/>
        </w:rPr>
        <w:t>also the personnel that</w:t>
      </w:r>
      <w:r w:rsidRPr="00AA54A9">
        <w:rPr>
          <w:rFonts w:cs="Arial"/>
          <w:szCs w:val="24"/>
        </w:rPr>
        <w:t xml:space="preserve"> transferred to Talen.</w:t>
      </w:r>
      <w:r w:rsidRPr="00DB2A83">
        <w:rPr>
          <w:rFonts w:cs="Arial"/>
          <w:szCs w:val="24"/>
        </w:rPr>
        <w:t xml:space="preserve"> </w:t>
      </w:r>
    </w:p>
    <w:p w:rsidR="00AC40FC" w:rsidRDefault="00AC40FC" w:rsidP="00BB665B">
      <w:pPr>
        <w:pStyle w:val="Heading-forToC"/>
      </w:pPr>
      <w:bookmarkStart w:id="404" w:name="_Toc462647915"/>
      <w:bookmarkStart w:id="405" w:name="_Toc464552154"/>
      <w:r>
        <w:t>Recommendations</w:t>
      </w:r>
      <w:bookmarkEnd w:id="404"/>
      <w:bookmarkEnd w:id="405"/>
    </w:p>
    <w:p w:rsidR="00AC40FC" w:rsidRDefault="00AC40FC" w:rsidP="00581946">
      <w:r>
        <w:rPr>
          <w:rFonts w:cs="Arial"/>
          <w:szCs w:val="24"/>
        </w:rPr>
        <w:t>None</w:t>
      </w:r>
    </w:p>
    <w:p w:rsidR="00AC40FC" w:rsidRDefault="00AC40FC" w:rsidP="004F00E5">
      <w:pPr>
        <w:pStyle w:val="Heading2"/>
        <w:numPr>
          <w:ilvl w:val="0"/>
          <w:numId w:val="113"/>
        </w:numPr>
      </w:pPr>
      <w:bookmarkStart w:id="406" w:name="_Toc462647916"/>
      <w:bookmarkStart w:id="407" w:name="_Toc464552155"/>
      <w:r>
        <w:t>support Services</w:t>
      </w:r>
      <w:bookmarkEnd w:id="406"/>
      <w:bookmarkEnd w:id="407"/>
    </w:p>
    <w:p w:rsidR="00AC40FC" w:rsidRDefault="00AC40FC" w:rsidP="00BB665B">
      <w:pPr>
        <w:pStyle w:val="Heading-forToC"/>
      </w:pPr>
      <w:bookmarkStart w:id="408" w:name="_Toc462647917"/>
      <w:bookmarkStart w:id="409" w:name="_Toc464552156"/>
      <w:r>
        <w:t>Background</w:t>
      </w:r>
      <w:bookmarkEnd w:id="408"/>
      <w:bookmarkEnd w:id="409"/>
    </w:p>
    <w:p w:rsidR="00AC40FC" w:rsidRDefault="00AC40FC" w:rsidP="00581946">
      <w:r>
        <w:t>This section addresses staffing in departments providing support to PPL EU:</w:t>
      </w:r>
    </w:p>
    <w:p w:rsidR="00AC40FC" w:rsidRDefault="00AC40FC" w:rsidP="00581946">
      <w:pPr>
        <w:pStyle w:val="Bullet"/>
      </w:pPr>
      <w:r>
        <w:t>Information Technology</w:t>
      </w:r>
    </w:p>
    <w:p w:rsidR="00AC40FC" w:rsidRDefault="00AC40FC" w:rsidP="00581946">
      <w:pPr>
        <w:pStyle w:val="Bullet"/>
      </w:pPr>
      <w:r>
        <w:t>Human Resources</w:t>
      </w:r>
    </w:p>
    <w:p w:rsidR="00AC40FC" w:rsidRDefault="00AC40FC" w:rsidP="00581946">
      <w:pPr>
        <w:pStyle w:val="Bullet"/>
      </w:pPr>
      <w:r>
        <w:t>Corporate Communications</w:t>
      </w:r>
    </w:p>
    <w:p w:rsidR="00AC40FC" w:rsidRDefault="00AC40FC" w:rsidP="00581946">
      <w:pPr>
        <w:pStyle w:val="Bullet"/>
      </w:pPr>
      <w:r>
        <w:t>Legal</w:t>
      </w:r>
    </w:p>
    <w:p w:rsidR="00AC40FC" w:rsidRDefault="00AC40FC" w:rsidP="00581946">
      <w:pPr>
        <w:pStyle w:val="Bullet"/>
      </w:pPr>
      <w:r>
        <w:t>Public Affairs</w:t>
      </w:r>
    </w:p>
    <w:p w:rsidR="00AC40FC" w:rsidRDefault="00AC40FC" w:rsidP="00581946">
      <w:pPr>
        <w:pStyle w:val="Bullet"/>
      </w:pPr>
      <w:r>
        <w:t>Supply Chain</w:t>
      </w:r>
    </w:p>
    <w:p w:rsidR="00AC40FC" w:rsidRDefault="00AC40FC" w:rsidP="00581946">
      <w:pPr>
        <w:pStyle w:val="Bullet"/>
      </w:pPr>
      <w:r>
        <w:t>Facilities Management</w:t>
      </w:r>
    </w:p>
    <w:p w:rsidR="00AC40FC" w:rsidRDefault="00AC40FC" w:rsidP="00581946">
      <w:pPr>
        <w:pStyle w:val="Bullet"/>
      </w:pPr>
      <w:r>
        <w:t>Protective Services</w:t>
      </w:r>
    </w:p>
    <w:p w:rsidR="00AC40FC" w:rsidRDefault="00AC40FC" w:rsidP="00BB665B">
      <w:pPr>
        <w:pStyle w:val="Heading40"/>
      </w:pPr>
      <w:r>
        <w:lastRenderedPageBreak/>
        <w:t>Information Technology</w:t>
      </w:r>
    </w:p>
    <w:p w:rsidR="00AC40FC" w:rsidRDefault="00AC40FC" w:rsidP="00581946">
      <w:r w:rsidRPr="005E0480">
        <w:rPr>
          <w:b/>
        </w:rPr>
        <w:t>Staffing Studies.</w:t>
      </w:r>
      <w:r>
        <w:t xml:space="preserve">  </w:t>
      </w:r>
      <w:r>
        <w:rPr>
          <w:rFonts w:cs="Arial"/>
          <w:szCs w:val="24"/>
        </w:rPr>
        <w:t>In August 2014, an international management consulting firm completed an organization study that</w:t>
      </w:r>
      <w:r w:rsidRPr="001B2845">
        <w:rPr>
          <w:rFonts w:cs="Arial"/>
          <w:szCs w:val="24"/>
        </w:rPr>
        <w:t xml:space="preserve"> </w:t>
      </w:r>
      <w:r>
        <w:rPr>
          <w:rFonts w:cs="Arial"/>
          <w:szCs w:val="24"/>
        </w:rPr>
        <w:t>that included best practices for IT organizations as well as reviewing and recommending restructuring of the IT organization.  In the third quarter of 2015, another international consulting firm</w:t>
      </w:r>
      <w:r w:rsidRPr="00592983">
        <w:rPr>
          <w:rFonts w:cs="Arial"/>
          <w:szCs w:val="24"/>
        </w:rPr>
        <w:t xml:space="preserve"> was retained by the CIO to assist with identifying, quantifying</w:t>
      </w:r>
      <w:r>
        <w:rPr>
          <w:rFonts w:cs="Arial"/>
          <w:szCs w:val="24"/>
        </w:rPr>
        <w:t>,</w:t>
      </w:r>
      <w:r w:rsidRPr="00592983">
        <w:rPr>
          <w:rFonts w:cs="Arial"/>
          <w:szCs w:val="24"/>
        </w:rPr>
        <w:t xml:space="preserve"> and prioritizing likely synergy opportunities between PPL</w:t>
      </w:r>
      <w:r>
        <w:rPr>
          <w:rFonts w:cs="Arial"/>
          <w:szCs w:val="24"/>
        </w:rPr>
        <w:t xml:space="preserve"> SC</w:t>
      </w:r>
      <w:r w:rsidRPr="00592983">
        <w:rPr>
          <w:rFonts w:cs="Arial"/>
          <w:szCs w:val="24"/>
        </w:rPr>
        <w:t xml:space="preserve"> and LKE</w:t>
      </w:r>
      <w:r>
        <w:rPr>
          <w:rFonts w:cs="Arial"/>
          <w:szCs w:val="24"/>
        </w:rPr>
        <w:t xml:space="preserve"> SC</w:t>
      </w:r>
      <w:r w:rsidRPr="00592983">
        <w:rPr>
          <w:rFonts w:cs="Arial"/>
          <w:szCs w:val="24"/>
        </w:rPr>
        <w:t xml:space="preserve"> from an IT perspective.</w:t>
      </w:r>
      <w:r>
        <w:rPr>
          <w:rFonts w:cs="Arial"/>
          <w:szCs w:val="24"/>
        </w:rPr>
        <w:t xml:space="preserve">  This study</w:t>
      </w:r>
      <w:r w:rsidRPr="00592983">
        <w:rPr>
          <w:rFonts w:cs="Arial"/>
          <w:szCs w:val="24"/>
        </w:rPr>
        <w:t xml:space="preserve"> focused mainly on technology platforms in the services functions such as IT, finance, supply chain</w:t>
      </w:r>
      <w:r>
        <w:rPr>
          <w:rFonts w:cs="Arial"/>
          <w:szCs w:val="24"/>
        </w:rPr>
        <w:t>,</w:t>
      </w:r>
      <w:r w:rsidRPr="00592983">
        <w:rPr>
          <w:rFonts w:cs="Arial"/>
          <w:szCs w:val="24"/>
        </w:rPr>
        <w:t xml:space="preserve"> and human resources.  Potential savings and implementation costs were considered for the opportunities identified.  Organizational layers and spans of control were also reviewed as well a</w:t>
      </w:r>
      <w:r>
        <w:rPr>
          <w:rFonts w:cs="Arial"/>
          <w:szCs w:val="24"/>
        </w:rPr>
        <w:t xml:space="preserve">s organizational centralization and </w:t>
      </w:r>
      <w:r w:rsidRPr="00592983">
        <w:rPr>
          <w:rFonts w:cs="Arial"/>
          <w:szCs w:val="24"/>
        </w:rPr>
        <w:t>decentralization considerations.</w:t>
      </w:r>
    </w:p>
    <w:p w:rsidR="00AC40FC" w:rsidRDefault="00AC40FC" w:rsidP="00581946">
      <w:r w:rsidRPr="005E0480">
        <w:rPr>
          <w:b/>
        </w:rPr>
        <w:t>2015 and 2016 Employee and Contractor Changes.</w:t>
      </w:r>
      <w:r>
        <w:t xml:space="preserve">  </w:t>
      </w:r>
      <w:r>
        <w:rPr>
          <w:rFonts w:cs="Arial"/>
          <w:szCs w:val="24"/>
        </w:rPr>
        <w:t>Data for the 2014–2015 staffing changes in PPL SC IT are provided below.</w:t>
      </w:r>
    </w:p>
    <w:p w:rsidR="00AC40FC" w:rsidRDefault="00AC40FC" w:rsidP="00B306CB">
      <w:pPr>
        <w:pStyle w:val="Caption"/>
      </w:pPr>
      <w:bookmarkStart w:id="410" w:name="_Toc462648504"/>
      <w:bookmarkStart w:id="411" w:name="_Toc464553126"/>
      <w:r>
        <w:t xml:space="preserve">Exhibit </w:t>
      </w:r>
      <w:fldSimple w:instr=" STYLEREF 1 \s ">
        <w:r w:rsidR="00A24205">
          <w:rPr>
            <w:noProof/>
          </w:rPr>
          <w:t>XV</w:t>
        </w:r>
      </w:fldSimple>
      <w:r w:rsidR="00264A1B">
        <w:noBreakHyphen/>
      </w:r>
      <w:fldSimple w:instr=" SEQ Exhibit \* ARABIC \s 1 ">
        <w:r w:rsidR="00A24205">
          <w:rPr>
            <w:noProof/>
          </w:rPr>
          <w:t>18</w:t>
        </w:r>
      </w:fldSimple>
      <w:r>
        <w:br/>
        <w:t>PPL SC Information Technology Employee Staffing Changes 2014–2015</w:t>
      </w:r>
      <w:bookmarkEnd w:id="410"/>
      <w:bookmarkEnd w:id="4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3387"/>
        <w:gridCol w:w="810"/>
        <w:gridCol w:w="810"/>
        <w:gridCol w:w="1097"/>
      </w:tblGrid>
      <w:tr w:rsidR="00AC40FC" w:rsidRPr="00D6083E" w:rsidTr="00581946">
        <w:trPr>
          <w:cantSplit/>
          <w:trHeight w:val="300"/>
          <w:tblHeader/>
          <w:jc w:val="center"/>
        </w:trPr>
        <w:tc>
          <w:tcPr>
            <w:tcW w:w="960" w:type="dxa"/>
            <w:shd w:val="clear" w:color="auto" w:fill="A5CD7E"/>
            <w:noWrap/>
            <w:vAlign w:val="center"/>
            <w:hideMark/>
          </w:tcPr>
          <w:p w:rsidR="00AC40FC" w:rsidRPr="001B05C8" w:rsidRDefault="00AC40FC" w:rsidP="00D6083E">
            <w:pPr>
              <w:spacing w:before="120"/>
              <w:jc w:val="center"/>
              <w:rPr>
                <w:b/>
                <w:bCs/>
              </w:rPr>
            </w:pPr>
            <w:r>
              <w:rPr>
                <w:b/>
                <w:bCs/>
              </w:rPr>
              <w:t>S</w:t>
            </w:r>
            <w:r w:rsidRPr="001B05C8">
              <w:rPr>
                <w:b/>
                <w:bCs/>
              </w:rPr>
              <w:t>RC</w:t>
            </w:r>
          </w:p>
        </w:tc>
        <w:tc>
          <w:tcPr>
            <w:tcW w:w="3387" w:type="dxa"/>
            <w:shd w:val="clear" w:color="auto" w:fill="A5CD7E"/>
            <w:noWrap/>
            <w:vAlign w:val="center"/>
            <w:hideMark/>
          </w:tcPr>
          <w:p w:rsidR="00AC40FC" w:rsidRPr="001B05C8" w:rsidRDefault="00AC40FC" w:rsidP="00D6083E">
            <w:pPr>
              <w:spacing w:before="120"/>
              <w:jc w:val="center"/>
              <w:rPr>
                <w:b/>
                <w:bCs/>
              </w:rPr>
            </w:pPr>
            <w:r w:rsidRPr="001B05C8">
              <w:rPr>
                <w:b/>
                <w:bCs/>
              </w:rPr>
              <w:t>Title</w:t>
            </w:r>
          </w:p>
        </w:tc>
        <w:tc>
          <w:tcPr>
            <w:tcW w:w="810" w:type="dxa"/>
            <w:shd w:val="clear" w:color="auto" w:fill="A5CD7E"/>
            <w:noWrap/>
            <w:vAlign w:val="center"/>
            <w:hideMark/>
          </w:tcPr>
          <w:p w:rsidR="00AC40FC" w:rsidRPr="001B05C8" w:rsidRDefault="00AC40FC" w:rsidP="00D6083E">
            <w:pPr>
              <w:spacing w:before="120"/>
              <w:jc w:val="center"/>
              <w:rPr>
                <w:b/>
                <w:bCs/>
              </w:rPr>
            </w:pPr>
            <w:r w:rsidRPr="001B05C8">
              <w:rPr>
                <w:b/>
                <w:bCs/>
              </w:rPr>
              <w:t>2014</w:t>
            </w:r>
          </w:p>
        </w:tc>
        <w:tc>
          <w:tcPr>
            <w:tcW w:w="810" w:type="dxa"/>
            <w:shd w:val="clear" w:color="auto" w:fill="A5CD7E"/>
            <w:noWrap/>
            <w:vAlign w:val="center"/>
            <w:hideMark/>
          </w:tcPr>
          <w:p w:rsidR="00AC40FC" w:rsidRPr="001B05C8" w:rsidRDefault="00AC40FC" w:rsidP="00D6083E">
            <w:pPr>
              <w:spacing w:before="120"/>
              <w:jc w:val="center"/>
              <w:rPr>
                <w:b/>
                <w:bCs/>
              </w:rPr>
            </w:pPr>
            <w:r w:rsidRPr="001B05C8">
              <w:rPr>
                <w:b/>
                <w:bCs/>
              </w:rPr>
              <w:t>2015</w:t>
            </w:r>
          </w:p>
        </w:tc>
        <w:tc>
          <w:tcPr>
            <w:tcW w:w="1080" w:type="dxa"/>
            <w:shd w:val="clear" w:color="auto" w:fill="A5CD7E"/>
            <w:noWrap/>
            <w:vAlign w:val="center"/>
            <w:hideMark/>
          </w:tcPr>
          <w:p w:rsidR="00AC40FC" w:rsidRPr="001B05C8" w:rsidRDefault="00AC40FC" w:rsidP="00D6083E">
            <w:pPr>
              <w:spacing w:before="120"/>
              <w:jc w:val="center"/>
              <w:rPr>
                <w:b/>
                <w:bCs/>
              </w:rPr>
            </w:pPr>
            <w:r>
              <w:rPr>
                <w:b/>
                <w:bCs/>
              </w:rPr>
              <w:t>Change</w:t>
            </w:r>
          </w:p>
        </w:tc>
      </w:tr>
      <w:tr w:rsidR="00AC40FC" w:rsidRPr="00875F2B" w:rsidTr="00581946">
        <w:trPr>
          <w:trHeight w:val="300"/>
          <w:jc w:val="center"/>
        </w:trPr>
        <w:tc>
          <w:tcPr>
            <w:tcW w:w="960" w:type="dxa"/>
            <w:shd w:val="clear" w:color="auto" w:fill="auto"/>
            <w:noWrap/>
          </w:tcPr>
          <w:p w:rsidR="00AC40FC" w:rsidRPr="009D42E7" w:rsidRDefault="00AC40FC" w:rsidP="00581946">
            <w:pPr>
              <w:spacing w:after="0"/>
              <w:jc w:val="center"/>
            </w:pPr>
            <w:r w:rsidRPr="009D42E7">
              <w:t>0140</w:t>
            </w:r>
          </w:p>
        </w:tc>
        <w:tc>
          <w:tcPr>
            <w:tcW w:w="3387" w:type="dxa"/>
            <w:shd w:val="clear" w:color="auto" w:fill="auto"/>
            <w:noWrap/>
          </w:tcPr>
          <w:p w:rsidR="00AC40FC" w:rsidRPr="009D42E7" w:rsidRDefault="00AC40FC" w:rsidP="00581946">
            <w:pPr>
              <w:spacing w:after="0"/>
              <w:jc w:val="left"/>
            </w:pPr>
            <w:r>
              <w:t>IT</w:t>
            </w:r>
            <w:r w:rsidRPr="009D42E7">
              <w:t xml:space="preserve"> Strategy </w:t>
            </w:r>
            <w:r>
              <w:t>and</w:t>
            </w:r>
            <w:r w:rsidRPr="009D42E7">
              <w:t xml:space="preserve"> Bus Services</w:t>
            </w:r>
          </w:p>
        </w:tc>
        <w:tc>
          <w:tcPr>
            <w:tcW w:w="810" w:type="dxa"/>
            <w:shd w:val="clear" w:color="auto" w:fill="auto"/>
            <w:noWrap/>
          </w:tcPr>
          <w:p w:rsidR="00AC40FC" w:rsidRPr="009D42E7" w:rsidRDefault="00AC40FC" w:rsidP="00581946">
            <w:pPr>
              <w:spacing w:after="0"/>
              <w:jc w:val="center"/>
            </w:pPr>
            <w:r w:rsidRPr="009D42E7">
              <w:t>21</w:t>
            </w:r>
          </w:p>
        </w:tc>
        <w:tc>
          <w:tcPr>
            <w:tcW w:w="810" w:type="dxa"/>
            <w:shd w:val="clear" w:color="auto" w:fill="auto"/>
            <w:noWrap/>
          </w:tcPr>
          <w:p w:rsidR="00AC40FC" w:rsidRPr="009D42E7" w:rsidRDefault="00AC40FC" w:rsidP="00581946">
            <w:pPr>
              <w:spacing w:after="0"/>
              <w:jc w:val="center"/>
            </w:pPr>
            <w:r w:rsidRPr="009D42E7">
              <w:t>15</w:t>
            </w:r>
          </w:p>
        </w:tc>
        <w:tc>
          <w:tcPr>
            <w:tcW w:w="1080" w:type="dxa"/>
            <w:shd w:val="clear" w:color="auto" w:fill="auto"/>
            <w:noWrap/>
          </w:tcPr>
          <w:p w:rsidR="00AC40FC" w:rsidRPr="009D42E7" w:rsidRDefault="00AC40FC" w:rsidP="00581946">
            <w:pPr>
              <w:spacing w:after="0"/>
              <w:jc w:val="center"/>
            </w:pPr>
            <w:r w:rsidRPr="009D42E7">
              <w:t>-6</w:t>
            </w:r>
          </w:p>
        </w:tc>
      </w:tr>
      <w:tr w:rsidR="00AC40FC" w:rsidRPr="00875F2B" w:rsidTr="00581946">
        <w:trPr>
          <w:trHeight w:val="300"/>
          <w:jc w:val="center"/>
        </w:trPr>
        <w:tc>
          <w:tcPr>
            <w:tcW w:w="960" w:type="dxa"/>
            <w:shd w:val="clear" w:color="auto" w:fill="auto"/>
            <w:noWrap/>
            <w:hideMark/>
          </w:tcPr>
          <w:p w:rsidR="00AC40FC" w:rsidRPr="009D42E7" w:rsidRDefault="00AC40FC" w:rsidP="00581946">
            <w:pPr>
              <w:spacing w:after="0"/>
              <w:jc w:val="center"/>
            </w:pPr>
            <w:r w:rsidRPr="009D42E7">
              <w:t>0141</w:t>
            </w:r>
          </w:p>
        </w:tc>
        <w:tc>
          <w:tcPr>
            <w:tcW w:w="3387" w:type="dxa"/>
            <w:shd w:val="clear" w:color="auto" w:fill="auto"/>
            <w:noWrap/>
            <w:hideMark/>
          </w:tcPr>
          <w:p w:rsidR="00AC40FC" w:rsidRPr="009D42E7" w:rsidRDefault="00AC40FC" w:rsidP="00581946">
            <w:pPr>
              <w:spacing w:after="0"/>
              <w:jc w:val="left"/>
            </w:pPr>
            <w:r w:rsidRPr="009D42E7">
              <w:t>IT-Bus Solutions E+</w:t>
            </w:r>
          </w:p>
        </w:tc>
        <w:tc>
          <w:tcPr>
            <w:tcW w:w="810" w:type="dxa"/>
            <w:shd w:val="clear" w:color="auto" w:fill="auto"/>
            <w:noWrap/>
            <w:hideMark/>
          </w:tcPr>
          <w:p w:rsidR="00AC40FC" w:rsidRPr="009D42E7" w:rsidRDefault="00AC40FC" w:rsidP="00581946">
            <w:pPr>
              <w:spacing w:after="0"/>
              <w:jc w:val="center"/>
            </w:pPr>
            <w:r w:rsidRPr="009D42E7">
              <w:t>1</w:t>
            </w:r>
          </w:p>
        </w:tc>
        <w:tc>
          <w:tcPr>
            <w:tcW w:w="810" w:type="dxa"/>
            <w:shd w:val="clear" w:color="auto" w:fill="auto"/>
            <w:noWrap/>
            <w:hideMark/>
          </w:tcPr>
          <w:p w:rsidR="00AC40FC" w:rsidRPr="009D42E7" w:rsidRDefault="00AC40FC" w:rsidP="00581946">
            <w:pPr>
              <w:spacing w:after="0"/>
              <w:jc w:val="center"/>
            </w:pPr>
            <w:r w:rsidRPr="009D42E7">
              <w:t>0</w:t>
            </w:r>
          </w:p>
        </w:tc>
        <w:tc>
          <w:tcPr>
            <w:tcW w:w="1080" w:type="dxa"/>
            <w:shd w:val="clear" w:color="auto" w:fill="auto"/>
            <w:noWrap/>
            <w:hideMark/>
          </w:tcPr>
          <w:p w:rsidR="00AC40FC" w:rsidRPr="009D42E7" w:rsidRDefault="00AC40FC" w:rsidP="00581946">
            <w:pPr>
              <w:spacing w:after="0"/>
              <w:jc w:val="center"/>
            </w:pPr>
            <w:r w:rsidRPr="009D42E7">
              <w:t>-1</w:t>
            </w:r>
          </w:p>
        </w:tc>
      </w:tr>
      <w:tr w:rsidR="00AC40FC" w:rsidRPr="00875F2B" w:rsidTr="00581946">
        <w:trPr>
          <w:trHeight w:val="300"/>
          <w:jc w:val="center"/>
        </w:trPr>
        <w:tc>
          <w:tcPr>
            <w:tcW w:w="960" w:type="dxa"/>
            <w:shd w:val="clear" w:color="auto" w:fill="auto"/>
            <w:noWrap/>
          </w:tcPr>
          <w:p w:rsidR="00AC40FC" w:rsidRPr="009D42E7" w:rsidRDefault="00AC40FC" w:rsidP="00581946">
            <w:pPr>
              <w:spacing w:after="0"/>
              <w:jc w:val="center"/>
            </w:pPr>
            <w:r w:rsidRPr="009D42E7">
              <w:t>0142</w:t>
            </w:r>
          </w:p>
        </w:tc>
        <w:tc>
          <w:tcPr>
            <w:tcW w:w="3387" w:type="dxa"/>
            <w:shd w:val="clear" w:color="auto" w:fill="auto"/>
            <w:noWrap/>
          </w:tcPr>
          <w:p w:rsidR="00AC40FC" w:rsidRPr="009D42E7" w:rsidRDefault="00AC40FC" w:rsidP="00581946">
            <w:pPr>
              <w:spacing w:after="0"/>
              <w:jc w:val="left"/>
            </w:pPr>
            <w:r w:rsidRPr="009D42E7">
              <w:t>IT-Bus Sol Gen</w:t>
            </w:r>
            <w:r>
              <w:t xml:space="preserve"> </w:t>
            </w:r>
            <w:r w:rsidRPr="009D42E7">
              <w:t>&amp;</w:t>
            </w:r>
            <w:r>
              <w:t xml:space="preserve"> </w:t>
            </w:r>
            <w:r w:rsidRPr="009D42E7">
              <w:t>Bus Sup</w:t>
            </w:r>
          </w:p>
        </w:tc>
        <w:tc>
          <w:tcPr>
            <w:tcW w:w="810" w:type="dxa"/>
            <w:shd w:val="clear" w:color="auto" w:fill="auto"/>
            <w:noWrap/>
          </w:tcPr>
          <w:p w:rsidR="00AC40FC" w:rsidRPr="009D42E7" w:rsidRDefault="00AC40FC" w:rsidP="00581946">
            <w:pPr>
              <w:spacing w:after="0"/>
              <w:jc w:val="center"/>
            </w:pPr>
            <w:r w:rsidRPr="009D42E7">
              <w:t>1</w:t>
            </w:r>
          </w:p>
        </w:tc>
        <w:tc>
          <w:tcPr>
            <w:tcW w:w="810" w:type="dxa"/>
            <w:shd w:val="clear" w:color="auto" w:fill="auto"/>
            <w:noWrap/>
          </w:tcPr>
          <w:p w:rsidR="00AC40FC" w:rsidRPr="009D42E7" w:rsidRDefault="00AC40FC" w:rsidP="00581946">
            <w:pPr>
              <w:spacing w:after="0"/>
              <w:jc w:val="center"/>
            </w:pPr>
            <w:r w:rsidRPr="009D42E7">
              <w:t>0</w:t>
            </w:r>
          </w:p>
        </w:tc>
        <w:tc>
          <w:tcPr>
            <w:tcW w:w="1080" w:type="dxa"/>
            <w:shd w:val="clear" w:color="auto" w:fill="auto"/>
            <w:noWrap/>
          </w:tcPr>
          <w:p w:rsidR="00AC40FC" w:rsidRPr="009D42E7" w:rsidRDefault="00AC40FC" w:rsidP="00581946">
            <w:pPr>
              <w:spacing w:after="0"/>
              <w:jc w:val="center"/>
            </w:pPr>
            <w:r w:rsidRPr="009D42E7">
              <w:t>-1</w:t>
            </w:r>
          </w:p>
        </w:tc>
      </w:tr>
      <w:tr w:rsidR="00AC40FC" w:rsidRPr="00875F2B" w:rsidTr="00581946">
        <w:trPr>
          <w:trHeight w:val="300"/>
          <w:jc w:val="center"/>
        </w:trPr>
        <w:tc>
          <w:tcPr>
            <w:tcW w:w="960" w:type="dxa"/>
            <w:shd w:val="clear" w:color="auto" w:fill="auto"/>
            <w:noWrap/>
            <w:hideMark/>
          </w:tcPr>
          <w:p w:rsidR="00AC40FC" w:rsidRPr="009D42E7" w:rsidRDefault="00AC40FC" w:rsidP="00581946">
            <w:pPr>
              <w:spacing w:after="0"/>
              <w:jc w:val="center"/>
            </w:pPr>
            <w:r w:rsidRPr="009D42E7">
              <w:t>0143</w:t>
            </w:r>
          </w:p>
        </w:tc>
        <w:tc>
          <w:tcPr>
            <w:tcW w:w="3387" w:type="dxa"/>
            <w:shd w:val="clear" w:color="auto" w:fill="auto"/>
            <w:noWrap/>
            <w:hideMark/>
          </w:tcPr>
          <w:p w:rsidR="00AC40FC" w:rsidRPr="009D42E7" w:rsidRDefault="00AC40FC" w:rsidP="00581946">
            <w:pPr>
              <w:spacing w:after="0"/>
              <w:jc w:val="left"/>
            </w:pPr>
            <w:r w:rsidRPr="009D42E7">
              <w:t>IT Shared Solutions</w:t>
            </w:r>
          </w:p>
        </w:tc>
        <w:tc>
          <w:tcPr>
            <w:tcW w:w="810" w:type="dxa"/>
            <w:shd w:val="clear" w:color="auto" w:fill="auto"/>
            <w:noWrap/>
            <w:hideMark/>
          </w:tcPr>
          <w:p w:rsidR="00AC40FC" w:rsidRPr="009D42E7" w:rsidRDefault="00AC40FC" w:rsidP="00581946">
            <w:pPr>
              <w:spacing w:after="0"/>
              <w:jc w:val="center"/>
            </w:pPr>
            <w:r w:rsidRPr="009D42E7">
              <w:t>3</w:t>
            </w:r>
          </w:p>
        </w:tc>
        <w:tc>
          <w:tcPr>
            <w:tcW w:w="810" w:type="dxa"/>
            <w:shd w:val="clear" w:color="auto" w:fill="auto"/>
            <w:noWrap/>
            <w:hideMark/>
          </w:tcPr>
          <w:p w:rsidR="00AC40FC" w:rsidRPr="009D42E7" w:rsidRDefault="00AC40FC" w:rsidP="00581946">
            <w:pPr>
              <w:spacing w:after="0"/>
              <w:jc w:val="center"/>
            </w:pPr>
            <w:r w:rsidRPr="009D42E7">
              <w:t>0</w:t>
            </w:r>
          </w:p>
        </w:tc>
        <w:tc>
          <w:tcPr>
            <w:tcW w:w="1080" w:type="dxa"/>
            <w:shd w:val="clear" w:color="auto" w:fill="auto"/>
            <w:noWrap/>
            <w:hideMark/>
          </w:tcPr>
          <w:p w:rsidR="00AC40FC" w:rsidRPr="009D42E7" w:rsidRDefault="00AC40FC" w:rsidP="00581946">
            <w:pPr>
              <w:spacing w:after="0"/>
              <w:jc w:val="center"/>
            </w:pPr>
            <w:r w:rsidRPr="009D42E7">
              <w:t>-3</w:t>
            </w:r>
          </w:p>
        </w:tc>
      </w:tr>
      <w:tr w:rsidR="00AC40FC" w:rsidRPr="00875F2B" w:rsidTr="00581946">
        <w:trPr>
          <w:trHeight w:val="300"/>
          <w:jc w:val="center"/>
        </w:trPr>
        <w:tc>
          <w:tcPr>
            <w:tcW w:w="960" w:type="dxa"/>
            <w:shd w:val="clear" w:color="auto" w:fill="auto"/>
            <w:noWrap/>
          </w:tcPr>
          <w:p w:rsidR="00AC40FC" w:rsidRPr="009D42E7" w:rsidRDefault="00AC40FC" w:rsidP="00581946">
            <w:pPr>
              <w:spacing w:after="0"/>
              <w:jc w:val="center"/>
            </w:pPr>
            <w:r w:rsidRPr="009D42E7">
              <w:t>0146</w:t>
            </w:r>
          </w:p>
        </w:tc>
        <w:tc>
          <w:tcPr>
            <w:tcW w:w="3387" w:type="dxa"/>
            <w:shd w:val="clear" w:color="auto" w:fill="auto"/>
            <w:noWrap/>
          </w:tcPr>
          <w:p w:rsidR="00AC40FC" w:rsidRPr="009D42E7" w:rsidRDefault="00AC40FC" w:rsidP="00581946">
            <w:pPr>
              <w:spacing w:after="0"/>
              <w:jc w:val="left"/>
            </w:pPr>
            <w:r w:rsidRPr="009D42E7">
              <w:t>IT Information Assurance</w:t>
            </w:r>
          </w:p>
        </w:tc>
        <w:tc>
          <w:tcPr>
            <w:tcW w:w="810" w:type="dxa"/>
            <w:shd w:val="clear" w:color="auto" w:fill="auto"/>
            <w:noWrap/>
          </w:tcPr>
          <w:p w:rsidR="00AC40FC" w:rsidRPr="009D42E7" w:rsidRDefault="00AC40FC" w:rsidP="00581946">
            <w:pPr>
              <w:spacing w:after="0"/>
              <w:jc w:val="center"/>
            </w:pPr>
            <w:r w:rsidRPr="009D42E7">
              <w:t>14</w:t>
            </w:r>
          </w:p>
        </w:tc>
        <w:tc>
          <w:tcPr>
            <w:tcW w:w="810" w:type="dxa"/>
            <w:shd w:val="clear" w:color="auto" w:fill="auto"/>
            <w:noWrap/>
          </w:tcPr>
          <w:p w:rsidR="00AC40FC" w:rsidRPr="009D42E7" w:rsidRDefault="00AC40FC" w:rsidP="00581946">
            <w:pPr>
              <w:spacing w:after="0"/>
              <w:jc w:val="center"/>
            </w:pPr>
            <w:r w:rsidRPr="009D42E7">
              <w:t>15</w:t>
            </w:r>
          </w:p>
        </w:tc>
        <w:tc>
          <w:tcPr>
            <w:tcW w:w="1080" w:type="dxa"/>
            <w:shd w:val="clear" w:color="auto" w:fill="auto"/>
            <w:noWrap/>
          </w:tcPr>
          <w:p w:rsidR="00AC40FC" w:rsidRPr="009D42E7" w:rsidRDefault="00AC40FC" w:rsidP="00581946">
            <w:pPr>
              <w:spacing w:after="0"/>
              <w:jc w:val="center"/>
            </w:pPr>
            <w:r w:rsidRPr="009D42E7">
              <w:t>+1</w:t>
            </w:r>
          </w:p>
        </w:tc>
      </w:tr>
      <w:tr w:rsidR="00AC40FC" w:rsidRPr="00875F2B" w:rsidTr="00581946">
        <w:trPr>
          <w:trHeight w:val="300"/>
          <w:jc w:val="center"/>
        </w:trPr>
        <w:tc>
          <w:tcPr>
            <w:tcW w:w="960" w:type="dxa"/>
            <w:shd w:val="clear" w:color="auto" w:fill="auto"/>
            <w:noWrap/>
            <w:hideMark/>
          </w:tcPr>
          <w:p w:rsidR="00AC40FC" w:rsidRPr="009D42E7" w:rsidRDefault="00AC40FC" w:rsidP="00581946">
            <w:pPr>
              <w:spacing w:after="0"/>
              <w:jc w:val="center"/>
            </w:pPr>
            <w:r w:rsidRPr="009D42E7">
              <w:t>0147</w:t>
            </w:r>
          </w:p>
        </w:tc>
        <w:tc>
          <w:tcPr>
            <w:tcW w:w="3387" w:type="dxa"/>
            <w:shd w:val="clear" w:color="auto" w:fill="auto"/>
            <w:noWrap/>
            <w:hideMark/>
          </w:tcPr>
          <w:p w:rsidR="00AC40FC" w:rsidRPr="009D42E7" w:rsidRDefault="00AC40FC" w:rsidP="00581946">
            <w:pPr>
              <w:spacing w:after="0"/>
              <w:jc w:val="left"/>
            </w:pPr>
            <w:r w:rsidRPr="009D42E7">
              <w:t>IT-Shared Sol &amp; Compliance</w:t>
            </w:r>
          </w:p>
        </w:tc>
        <w:tc>
          <w:tcPr>
            <w:tcW w:w="810" w:type="dxa"/>
            <w:shd w:val="clear" w:color="auto" w:fill="auto"/>
            <w:noWrap/>
            <w:hideMark/>
          </w:tcPr>
          <w:p w:rsidR="00AC40FC" w:rsidRPr="009D42E7" w:rsidRDefault="00AC40FC" w:rsidP="00581946">
            <w:pPr>
              <w:spacing w:after="0"/>
              <w:jc w:val="center"/>
            </w:pPr>
            <w:r w:rsidRPr="009D42E7">
              <w:t>28</w:t>
            </w:r>
          </w:p>
        </w:tc>
        <w:tc>
          <w:tcPr>
            <w:tcW w:w="810" w:type="dxa"/>
            <w:shd w:val="clear" w:color="auto" w:fill="auto"/>
            <w:noWrap/>
            <w:hideMark/>
          </w:tcPr>
          <w:p w:rsidR="00AC40FC" w:rsidRPr="009D42E7" w:rsidRDefault="00AC40FC" w:rsidP="00581946">
            <w:pPr>
              <w:spacing w:after="0"/>
              <w:jc w:val="center"/>
            </w:pPr>
            <w:r w:rsidRPr="009D42E7">
              <w:t>28</w:t>
            </w:r>
          </w:p>
        </w:tc>
        <w:tc>
          <w:tcPr>
            <w:tcW w:w="1080" w:type="dxa"/>
            <w:shd w:val="clear" w:color="auto" w:fill="auto"/>
            <w:noWrap/>
            <w:hideMark/>
          </w:tcPr>
          <w:p w:rsidR="00AC40FC" w:rsidRPr="009D42E7" w:rsidRDefault="00AC40FC" w:rsidP="00581946">
            <w:pPr>
              <w:spacing w:after="0"/>
              <w:jc w:val="center"/>
            </w:pPr>
            <w:r w:rsidRPr="009D42E7">
              <w:t>0</w:t>
            </w:r>
          </w:p>
        </w:tc>
      </w:tr>
      <w:tr w:rsidR="00AC40FC" w:rsidRPr="00875F2B" w:rsidTr="00581946">
        <w:trPr>
          <w:trHeight w:val="300"/>
          <w:jc w:val="center"/>
        </w:trPr>
        <w:tc>
          <w:tcPr>
            <w:tcW w:w="960" w:type="dxa"/>
            <w:shd w:val="clear" w:color="auto" w:fill="auto"/>
            <w:noWrap/>
            <w:hideMark/>
          </w:tcPr>
          <w:p w:rsidR="00AC40FC" w:rsidRPr="009D42E7" w:rsidRDefault="00AC40FC" w:rsidP="00581946">
            <w:pPr>
              <w:spacing w:after="0"/>
              <w:jc w:val="center"/>
            </w:pPr>
            <w:r w:rsidRPr="009D42E7">
              <w:t>0148</w:t>
            </w:r>
          </w:p>
        </w:tc>
        <w:tc>
          <w:tcPr>
            <w:tcW w:w="3387" w:type="dxa"/>
            <w:shd w:val="clear" w:color="auto" w:fill="auto"/>
            <w:noWrap/>
            <w:hideMark/>
          </w:tcPr>
          <w:p w:rsidR="00AC40FC" w:rsidRPr="009D42E7" w:rsidRDefault="00AC40FC" w:rsidP="00581946">
            <w:pPr>
              <w:spacing w:after="0"/>
              <w:jc w:val="left"/>
            </w:pPr>
            <w:r w:rsidRPr="009D42E7">
              <w:t>Solution Delivery-EU Ops</w:t>
            </w:r>
          </w:p>
        </w:tc>
        <w:tc>
          <w:tcPr>
            <w:tcW w:w="810" w:type="dxa"/>
            <w:shd w:val="clear" w:color="auto" w:fill="auto"/>
            <w:noWrap/>
            <w:hideMark/>
          </w:tcPr>
          <w:p w:rsidR="00AC40FC" w:rsidRPr="009D42E7" w:rsidRDefault="00AC40FC" w:rsidP="00581946">
            <w:pPr>
              <w:spacing w:after="0"/>
              <w:jc w:val="center"/>
            </w:pPr>
            <w:r w:rsidRPr="009D42E7">
              <w:t>17</w:t>
            </w:r>
          </w:p>
        </w:tc>
        <w:tc>
          <w:tcPr>
            <w:tcW w:w="810" w:type="dxa"/>
            <w:shd w:val="clear" w:color="auto" w:fill="auto"/>
            <w:noWrap/>
            <w:hideMark/>
          </w:tcPr>
          <w:p w:rsidR="00AC40FC" w:rsidRPr="009D42E7" w:rsidRDefault="00AC40FC" w:rsidP="00581946">
            <w:pPr>
              <w:spacing w:after="0"/>
              <w:jc w:val="center"/>
            </w:pPr>
            <w:r w:rsidRPr="009D42E7">
              <w:t>15</w:t>
            </w:r>
          </w:p>
        </w:tc>
        <w:tc>
          <w:tcPr>
            <w:tcW w:w="1080" w:type="dxa"/>
            <w:shd w:val="clear" w:color="auto" w:fill="auto"/>
            <w:noWrap/>
            <w:hideMark/>
          </w:tcPr>
          <w:p w:rsidR="00AC40FC" w:rsidRPr="009D42E7" w:rsidRDefault="00AC40FC" w:rsidP="00581946">
            <w:pPr>
              <w:spacing w:after="0"/>
              <w:jc w:val="center"/>
            </w:pPr>
            <w:r w:rsidRPr="009D42E7">
              <w:t>-2</w:t>
            </w:r>
          </w:p>
        </w:tc>
      </w:tr>
      <w:tr w:rsidR="00AC40FC" w:rsidRPr="00875F2B" w:rsidTr="00581946">
        <w:trPr>
          <w:trHeight w:val="300"/>
          <w:jc w:val="center"/>
        </w:trPr>
        <w:tc>
          <w:tcPr>
            <w:tcW w:w="960" w:type="dxa"/>
            <w:shd w:val="clear" w:color="auto" w:fill="auto"/>
            <w:noWrap/>
            <w:hideMark/>
          </w:tcPr>
          <w:p w:rsidR="00AC40FC" w:rsidRPr="009D42E7" w:rsidRDefault="00AC40FC" w:rsidP="00581946">
            <w:pPr>
              <w:spacing w:after="0"/>
              <w:jc w:val="center"/>
            </w:pPr>
            <w:r w:rsidRPr="009D42E7">
              <w:t>0149</w:t>
            </w:r>
          </w:p>
        </w:tc>
        <w:tc>
          <w:tcPr>
            <w:tcW w:w="3387" w:type="dxa"/>
            <w:shd w:val="clear" w:color="auto" w:fill="auto"/>
            <w:noWrap/>
            <w:hideMark/>
          </w:tcPr>
          <w:p w:rsidR="00AC40FC" w:rsidRPr="009D42E7" w:rsidRDefault="00AC40FC" w:rsidP="00581946">
            <w:pPr>
              <w:spacing w:after="0"/>
              <w:jc w:val="left"/>
            </w:pPr>
            <w:r w:rsidRPr="009D42E7">
              <w:t>IT-Bus Sol-Energy Mg</w:t>
            </w:r>
            <w:r>
              <w:t>m</w:t>
            </w:r>
            <w:r w:rsidRPr="009D42E7">
              <w:t>t Sol</w:t>
            </w:r>
          </w:p>
        </w:tc>
        <w:tc>
          <w:tcPr>
            <w:tcW w:w="810" w:type="dxa"/>
            <w:shd w:val="clear" w:color="auto" w:fill="auto"/>
            <w:noWrap/>
            <w:hideMark/>
          </w:tcPr>
          <w:p w:rsidR="00AC40FC" w:rsidRPr="009D42E7" w:rsidRDefault="00AC40FC" w:rsidP="00581946">
            <w:pPr>
              <w:spacing w:after="0"/>
              <w:jc w:val="center"/>
            </w:pPr>
            <w:r w:rsidRPr="009D42E7">
              <w:t>17</w:t>
            </w:r>
          </w:p>
        </w:tc>
        <w:tc>
          <w:tcPr>
            <w:tcW w:w="810" w:type="dxa"/>
            <w:shd w:val="clear" w:color="auto" w:fill="auto"/>
            <w:noWrap/>
            <w:hideMark/>
          </w:tcPr>
          <w:p w:rsidR="00AC40FC" w:rsidRPr="009D42E7" w:rsidRDefault="00AC40FC" w:rsidP="00581946">
            <w:pPr>
              <w:spacing w:after="0"/>
              <w:jc w:val="center"/>
            </w:pPr>
            <w:r w:rsidRPr="009D42E7">
              <w:t>16</w:t>
            </w:r>
          </w:p>
        </w:tc>
        <w:tc>
          <w:tcPr>
            <w:tcW w:w="1080" w:type="dxa"/>
            <w:shd w:val="clear" w:color="auto" w:fill="auto"/>
            <w:noWrap/>
            <w:hideMark/>
          </w:tcPr>
          <w:p w:rsidR="00AC40FC" w:rsidRPr="009D42E7" w:rsidRDefault="00AC40FC" w:rsidP="00581946">
            <w:pPr>
              <w:spacing w:after="0"/>
              <w:jc w:val="center"/>
            </w:pPr>
            <w:r w:rsidRPr="009D42E7">
              <w:t>-1</w:t>
            </w:r>
          </w:p>
        </w:tc>
      </w:tr>
      <w:tr w:rsidR="00AC40FC" w:rsidRPr="00875F2B" w:rsidTr="00581946">
        <w:trPr>
          <w:trHeight w:val="300"/>
          <w:jc w:val="center"/>
        </w:trPr>
        <w:tc>
          <w:tcPr>
            <w:tcW w:w="960" w:type="dxa"/>
            <w:shd w:val="clear" w:color="auto" w:fill="auto"/>
            <w:noWrap/>
          </w:tcPr>
          <w:p w:rsidR="00AC40FC" w:rsidRPr="009D42E7" w:rsidRDefault="00AC40FC" w:rsidP="00581946">
            <w:pPr>
              <w:spacing w:after="0"/>
              <w:jc w:val="center"/>
            </w:pPr>
            <w:r w:rsidRPr="009D42E7">
              <w:t>0151</w:t>
            </w:r>
          </w:p>
        </w:tc>
        <w:tc>
          <w:tcPr>
            <w:tcW w:w="3387" w:type="dxa"/>
            <w:shd w:val="clear" w:color="auto" w:fill="auto"/>
            <w:noWrap/>
          </w:tcPr>
          <w:p w:rsidR="00AC40FC" w:rsidRPr="009D42E7" w:rsidRDefault="00AC40FC" w:rsidP="00581946">
            <w:pPr>
              <w:spacing w:after="0"/>
              <w:jc w:val="left"/>
            </w:pPr>
            <w:r w:rsidRPr="009D42E7">
              <w:t>IT Infrastructure</w:t>
            </w:r>
          </w:p>
        </w:tc>
        <w:tc>
          <w:tcPr>
            <w:tcW w:w="810" w:type="dxa"/>
            <w:shd w:val="clear" w:color="auto" w:fill="auto"/>
            <w:noWrap/>
          </w:tcPr>
          <w:p w:rsidR="00AC40FC" w:rsidRPr="009D42E7" w:rsidRDefault="00AC40FC" w:rsidP="00581946">
            <w:pPr>
              <w:spacing w:after="0"/>
              <w:jc w:val="center"/>
            </w:pPr>
            <w:r w:rsidRPr="009D42E7">
              <w:t>1</w:t>
            </w:r>
            <w:r>
              <w:t>*</w:t>
            </w:r>
          </w:p>
        </w:tc>
        <w:tc>
          <w:tcPr>
            <w:tcW w:w="810" w:type="dxa"/>
            <w:shd w:val="clear" w:color="auto" w:fill="auto"/>
            <w:noWrap/>
          </w:tcPr>
          <w:p w:rsidR="00AC40FC" w:rsidRPr="009D42E7" w:rsidRDefault="00AC40FC" w:rsidP="00581946">
            <w:pPr>
              <w:spacing w:after="0"/>
              <w:jc w:val="center"/>
            </w:pPr>
            <w:r w:rsidRPr="009D42E7">
              <w:t>0</w:t>
            </w:r>
          </w:p>
        </w:tc>
        <w:tc>
          <w:tcPr>
            <w:tcW w:w="1080" w:type="dxa"/>
            <w:shd w:val="clear" w:color="auto" w:fill="auto"/>
            <w:noWrap/>
          </w:tcPr>
          <w:p w:rsidR="00AC40FC" w:rsidRPr="009D42E7" w:rsidRDefault="00AC40FC" w:rsidP="00581946">
            <w:pPr>
              <w:spacing w:after="0"/>
              <w:jc w:val="center"/>
            </w:pPr>
            <w:r w:rsidRPr="009D42E7">
              <w:t>-1</w:t>
            </w:r>
          </w:p>
        </w:tc>
      </w:tr>
      <w:tr w:rsidR="00AC40FC" w:rsidRPr="00875F2B" w:rsidTr="00581946">
        <w:trPr>
          <w:trHeight w:val="300"/>
          <w:jc w:val="center"/>
        </w:trPr>
        <w:tc>
          <w:tcPr>
            <w:tcW w:w="960" w:type="dxa"/>
            <w:shd w:val="clear" w:color="auto" w:fill="auto"/>
            <w:noWrap/>
          </w:tcPr>
          <w:p w:rsidR="00AC40FC" w:rsidRPr="009D42E7" w:rsidRDefault="00AC40FC" w:rsidP="00581946">
            <w:pPr>
              <w:spacing w:after="0"/>
              <w:jc w:val="center"/>
            </w:pPr>
            <w:r w:rsidRPr="009D42E7">
              <w:t>0151</w:t>
            </w:r>
          </w:p>
        </w:tc>
        <w:tc>
          <w:tcPr>
            <w:tcW w:w="3387" w:type="dxa"/>
            <w:shd w:val="clear" w:color="auto" w:fill="auto"/>
            <w:noWrap/>
          </w:tcPr>
          <w:p w:rsidR="00AC40FC" w:rsidRPr="009D42E7" w:rsidRDefault="00AC40FC" w:rsidP="00581946">
            <w:pPr>
              <w:spacing w:after="0"/>
              <w:jc w:val="left"/>
            </w:pPr>
            <w:r w:rsidRPr="009D42E7">
              <w:t>IT IS Operations</w:t>
            </w:r>
          </w:p>
        </w:tc>
        <w:tc>
          <w:tcPr>
            <w:tcW w:w="810" w:type="dxa"/>
            <w:shd w:val="clear" w:color="auto" w:fill="auto"/>
            <w:noWrap/>
          </w:tcPr>
          <w:p w:rsidR="00AC40FC" w:rsidRPr="009D42E7" w:rsidRDefault="00AC40FC" w:rsidP="00581946">
            <w:pPr>
              <w:spacing w:after="0"/>
              <w:jc w:val="center"/>
            </w:pPr>
            <w:r w:rsidRPr="009D42E7">
              <w:t>23</w:t>
            </w:r>
          </w:p>
        </w:tc>
        <w:tc>
          <w:tcPr>
            <w:tcW w:w="810" w:type="dxa"/>
            <w:shd w:val="clear" w:color="auto" w:fill="auto"/>
            <w:noWrap/>
          </w:tcPr>
          <w:p w:rsidR="00AC40FC" w:rsidRPr="009D42E7" w:rsidRDefault="00AC40FC" w:rsidP="00581946">
            <w:pPr>
              <w:spacing w:after="0"/>
              <w:jc w:val="center"/>
            </w:pPr>
            <w:r w:rsidRPr="009D42E7">
              <w:t>21</w:t>
            </w:r>
          </w:p>
        </w:tc>
        <w:tc>
          <w:tcPr>
            <w:tcW w:w="1080" w:type="dxa"/>
            <w:shd w:val="clear" w:color="auto" w:fill="auto"/>
            <w:noWrap/>
          </w:tcPr>
          <w:p w:rsidR="00AC40FC" w:rsidRPr="009D42E7" w:rsidRDefault="00AC40FC" w:rsidP="00581946">
            <w:pPr>
              <w:spacing w:after="0"/>
              <w:jc w:val="center"/>
            </w:pPr>
            <w:r w:rsidRPr="009D42E7">
              <w:t>-2</w:t>
            </w:r>
          </w:p>
        </w:tc>
      </w:tr>
      <w:tr w:rsidR="00AC40FC" w:rsidRPr="00875F2B" w:rsidTr="00581946">
        <w:trPr>
          <w:trHeight w:val="300"/>
          <w:jc w:val="center"/>
        </w:trPr>
        <w:tc>
          <w:tcPr>
            <w:tcW w:w="960" w:type="dxa"/>
            <w:shd w:val="clear" w:color="auto" w:fill="auto"/>
            <w:noWrap/>
          </w:tcPr>
          <w:p w:rsidR="00AC40FC" w:rsidRPr="009D42E7" w:rsidRDefault="00AC40FC" w:rsidP="00581946">
            <w:pPr>
              <w:spacing w:after="0"/>
              <w:jc w:val="center"/>
            </w:pPr>
            <w:r w:rsidRPr="009D42E7">
              <w:t>0152</w:t>
            </w:r>
          </w:p>
        </w:tc>
        <w:tc>
          <w:tcPr>
            <w:tcW w:w="3387" w:type="dxa"/>
            <w:shd w:val="clear" w:color="auto" w:fill="auto"/>
            <w:noWrap/>
          </w:tcPr>
          <w:p w:rsidR="00AC40FC" w:rsidRPr="009D42E7" w:rsidRDefault="00AC40FC" w:rsidP="00581946">
            <w:pPr>
              <w:spacing w:after="0"/>
              <w:jc w:val="left"/>
            </w:pPr>
            <w:r w:rsidRPr="009D42E7">
              <w:t>IT IS Services</w:t>
            </w:r>
          </w:p>
        </w:tc>
        <w:tc>
          <w:tcPr>
            <w:tcW w:w="810" w:type="dxa"/>
            <w:shd w:val="clear" w:color="auto" w:fill="auto"/>
            <w:noWrap/>
          </w:tcPr>
          <w:p w:rsidR="00AC40FC" w:rsidRPr="009D42E7" w:rsidRDefault="00AC40FC" w:rsidP="00581946">
            <w:pPr>
              <w:spacing w:after="0"/>
              <w:jc w:val="center"/>
            </w:pPr>
            <w:r w:rsidRPr="009D42E7">
              <w:t>30</w:t>
            </w:r>
          </w:p>
        </w:tc>
        <w:tc>
          <w:tcPr>
            <w:tcW w:w="810" w:type="dxa"/>
            <w:shd w:val="clear" w:color="auto" w:fill="auto"/>
            <w:noWrap/>
          </w:tcPr>
          <w:p w:rsidR="00AC40FC" w:rsidRPr="009D42E7" w:rsidRDefault="00AC40FC" w:rsidP="00581946">
            <w:pPr>
              <w:spacing w:after="0"/>
              <w:jc w:val="center"/>
            </w:pPr>
            <w:r w:rsidRPr="009D42E7">
              <w:t>29</w:t>
            </w:r>
          </w:p>
        </w:tc>
        <w:tc>
          <w:tcPr>
            <w:tcW w:w="1080" w:type="dxa"/>
            <w:shd w:val="clear" w:color="auto" w:fill="auto"/>
            <w:noWrap/>
          </w:tcPr>
          <w:p w:rsidR="00AC40FC" w:rsidRPr="009D42E7" w:rsidRDefault="00AC40FC" w:rsidP="00581946">
            <w:pPr>
              <w:spacing w:after="0"/>
              <w:jc w:val="center"/>
            </w:pPr>
            <w:r w:rsidRPr="009D42E7">
              <w:t>-1</w:t>
            </w:r>
          </w:p>
        </w:tc>
      </w:tr>
      <w:tr w:rsidR="00AC40FC" w:rsidRPr="00875F2B" w:rsidTr="00581946">
        <w:trPr>
          <w:trHeight w:val="300"/>
          <w:jc w:val="center"/>
        </w:trPr>
        <w:tc>
          <w:tcPr>
            <w:tcW w:w="960" w:type="dxa"/>
            <w:shd w:val="clear" w:color="auto" w:fill="auto"/>
            <w:noWrap/>
          </w:tcPr>
          <w:p w:rsidR="00AC40FC" w:rsidRPr="009D42E7" w:rsidRDefault="00AC40FC" w:rsidP="00581946">
            <w:pPr>
              <w:spacing w:after="0"/>
              <w:jc w:val="center"/>
            </w:pPr>
            <w:r w:rsidRPr="009D42E7">
              <w:t>0153</w:t>
            </w:r>
          </w:p>
        </w:tc>
        <w:tc>
          <w:tcPr>
            <w:tcW w:w="3387" w:type="dxa"/>
            <w:shd w:val="clear" w:color="auto" w:fill="auto"/>
            <w:noWrap/>
          </w:tcPr>
          <w:p w:rsidR="00AC40FC" w:rsidRPr="009D42E7" w:rsidRDefault="00AC40FC" w:rsidP="00581946">
            <w:pPr>
              <w:spacing w:after="0"/>
              <w:jc w:val="left"/>
            </w:pPr>
            <w:r w:rsidRPr="009D42E7">
              <w:t>Sol Del Smart Meter Program</w:t>
            </w:r>
          </w:p>
        </w:tc>
        <w:tc>
          <w:tcPr>
            <w:tcW w:w="810" w:type="dxa"/>
            <w:shd w:val="clear" w:color="auto" w:fill="auto"/>
            <w:noWrap/>
          </w:tcPr>
          <w:p w:rsidR="00AC40FC" w:rsidRPr="009D42E7" w:rsidRDefault="00AC40FC" w:rsidP="00581946">
            <w:pPr>
              <w:spacing w:after="0"/>
              <w:jc w:val="center"/>
            </w:pPr>
            <w:r w:rsidRPr="009D42E7">
              <w:t>7</w:t>
            </w:r>
          </w:p>
        </w:tc>
        <w:tc>
          <w:tcPr>
            <w:tcW w:w="810" w:type="dxa"/>
            <w:shd w:val="clear" w:color="auto" w:fill="auto"/>
            <w:noWrap/>
          </w:tcPr>
          <w:p w:rsidR="00AC40FC" w:rsidRPr="009D42E7" w:rsidRDefault="00AC40FC" w:rsidP="00581946">
            <w:pPr>
              <w:spacing w:after="0"/>
              <w:jc w:val="center"/>
            </w:pPr>
            <w:r w:rsidRPr="009D42E7">
              <w:t>8</w:t>
            </w:r>
          </w:p>
        </w:tc>
        <w:tc>
          <w:tcPr>
            <w:tcW w:w="1080" w:type="dxa"/>
            <w:shd w:val="clear" w:color="auto" w:fill="auto"/>
            <w:noWrap/>
          </w:tcPr>
          <w:p w:rsidR="00AC40FC" w:rsidRPr="009D42E7" w:rsidRDefault="00AC40FC" w:rsidP="00581946">
            <w:pPr>
              <w:spacing w:after="0"/>
              <w:jc w:val="center"/>
            </w:pPr>
            <w:r w:rsidRPr="009D42E7">
              <w:t>+1</w:t>
            </w:r>
          </w:p>
        </w:tc>
      </w:tr>
      <w:tr w:rsidR="00AC40FC" w:rsidRPr="00875F2B" w:rsidTr="00581946">
        <w:trPr>
          <w:trHeight w:val="300"/>
          <w:jc w:val="center"/>
        </w:trPr>
        <w:tc>
          <w:tcPr>
            <w:tcW w:w="960" w:type="dxa"/>
            <w:shd w:val="clear" w:color="auto" w:fill="auto"/>
            <w:noWrap/>
          </w:tcPr>
          <w:p w:rsidR="00AC40FC" w:rsidRPr="009D42E7" w:rsidRDefault="00AC40FC" w:rsidP="00581946">
            <w:pPr>
              <w:spacing w:after="0"/>
              <w:jc w:val="center"/>
            </w:pPr>
            <w:r w:rsidRPr="009D42E7">
              <w:t>0154</w:t>
            </w:r>
          </w:p>
        </w:tc>
        <w:tc>
          <w:tcPr>
            <w:tcW w:w="3387" w:type="dxa"/>
            <w:shd w:val="clear" w:color="auto" w:fill="auto"/>
            <w:noWrap/>
          </w:tcPr>
          <w:p w:rsidR="00AC40FC" w:rsidRPr="009D42E7" w:rsidRDefault="00AC40FC" w:rsidP="00581946">
            <w:pPr>
              <w:spacing w:after="0"/>
              <w:jc w:val="left"/>
            </w:pPr>
            <w:r w:rsidRPr="009D42E7">
              <w:t>Sol Delivery Customer Svc</w:t>
            </w:r>
          </w:p>
        </w:tc>
        <w:tc>
          <w:tcPr>
            <w:tcW w:w="810" w:type="dxa"/>
            <w:shd w:val="clear" w:color="auto" w:fill="auto"/>
            <w:noWrap/>
          </w:tcPr>
          <w:p w:rsidR="00AC40FC" w:rsidRPr="009D42E7" w:rsidRDefault="00AC40FC" w:rsidP="00581946">
            <w:pPr>
              <w:spacing w:after="0"/>
              <w:jc w:val="center"/>
            </w:pPr>
            <w:r w:rsidRPr="009D42E7">
              <w:t>16</w:t>
            </w:r>
          </w:p>
        </w:tc>
        <w:tc>
          <w:tcPr>
            <w:tcW w:w="810" w:type="dxa"/>
            <w:shd w:val="clear" w:color="auto" w:fill="auto"/>
            <w:noWrap/>
          </w:tcPr>
          <w:p w:rsidR="00AC40FC" w:rsidRPr="009D42E7" w:rsidRDefault="00AC40FC" w:rsidP="00581946">
            <w:pPr>
              <w:spacing w:after="0"/>
              <w:jc w:val="center"/>
            </w:pPr>
            <w:r w:rsidRPr="009D42E7">
              <w:t>16</w:t>
            </w:r>
          </w:p>
        </w:tc>
        <w:tc>
          <w:tcPr>
            <w:tcW w:w="1080" w:type="dxa"/>
            <w:shd w:val="clear" w:color="auto" w:fill="auto"/>
            <w:noWrap/>
          </w:tcPr>
          <w:p w:rsidR="00AC40FC" w:rsidRPr="009D42E7" w:rsidRDefault="00AC40FC" w:rsidP="00581946">
            <w:pPr>
              <w:spacing w:after="0"/>
              <w:jc w:val="center"/>
            </w:pPr>
            <w:r w:rsidRPr="009D42E7">
              <w:t>0</w:t>
            </w:r>
          </w:p>
        </w:tc>
      </w:tr>
      <w:tr w:rsidR="00AC40FC" w:rsidRPr="00875F2B" w:rsidTr="00581946">
        <w:trPr>
          <w:trHeight w:val="300"/>
          <w:jc w:val="center"/>
        </w:trPr>
        <w:tc>
          <w:tcPr>
            <w:tcW w:w="960" w:type="dxa"/>
            <w:shd w:val="clear" w:color="auto" w:fill="auto"/>
            <w:noWrap/>
          </w:tcPr>
          <w:p w:rsidR="00AC40FC" w:rsidRPr="009D42E7" w:rsidRDefault="00AC40FC" w:rsidP="00581946">
            <w:pPr>
              <w:spacing w:after="0"/>
              <w:jc w:val="center"/>
            </w:pPr>
            <w:r w:rsidRPr="009D42E7">
              <w:t>0156</w:t>
            </w:r>
          </w:p>
        </w:tc>
        <w:tc>
          <w:tcPr>
            <w:tcW w:w="3387" w:type="dxa"/>
            <w:shd w:val="clear" w:color="auto" w:fill="auto"/>
            <w:noWrap/>
          </w:tcPr>
          <w:p w:rsidR="00AC40FC" w:rsidRPr="009D42E7" w:rsidRDefault="00AC40FC" w:rsidP="00581946">
            <w:pPr>
              <w:spacing w:after="0"/>
              <w:jc w:val="left"/>
            </w:pPr>
            <w:r w:rsidRPr="009D42E7">
              <w:t>IT Service Management</w:t>
            </w:r>
          </w:p>
        </w:tc>
        <w:tc>
          <w:tcPr>
            <w:tcW w:w="810" w:type="dxa"/>
            <w:shd w:val="clear" w:color="auto" w:fill="auto"/>
            <w:noWrap/>
          </w:tcPr>
          <w:p w:rsidR="00AC40FC" w:rsidRPr="009D42E7" w:rsidRDefault="00AC40FC" w:rsidP="00581946">
            <w:pPr>
              <w:spacing w:after="0"/>
              <w:jc w:val="center"/>
            </w:pPr>
            <w:r w:rsidRPr="009D42E7">
              <w:t>6</w:t>
            </w:r>
          </w:p>
        </w:tc>
        <w:tc>
          <w:tcPr>
            <w:tcW w:w="810" w:type="dxa"/>
            <w:shd w:val="clear" w:color="auto" w:fill="auto"/>
            <w:noWrap/>
          </w:tcPr>
          <w:p w:rsidR="00AC40FC" w:rsidRPr="009D42E7" w:rsidRDefault="00AC40FC" w:rsidP="00581946">
            <w:pPr>
              <w:spacing w:after="0"/>
              <w:jc w:val="center"/>
            </w:pPr>
            <w:r w:rsidRPr="009D42E7">
              <w:t>11</w:t>
            </w:r>
          </w:p>
        </w:tc>
        <w:tc>
          <w:tcPr>
            <w:tcW w:w="1080" w:type="dxa"/>
            <w:shd w:val="clear" w:color="auto" w:fill="auto"/>
            <w:noWrap/>
          </w:tcPr>
          <w:p w:rsidR="00AC40FC" w:rsidRPr="009D42E7" w:rsidRDefault="00AC40FC" w:rsidP="00581946">
            <w:pPr>
              <w:spacing w:after="0"/>
              <w:jc w:val="center"/>
            </w:pPr>
            <w:r w:rsidRPr="009D42E7">
              <w:t>+5</w:t>
            </w:r>
          </w:p>
        </w:tc>
      </w:tr>
      <w:tr w:rsidR="00AC40FC" w:rsidRPr="00875F2B" w:rsidTr="00581946">
        <w:trPr>
          <w:trHeight w:val="300"/>
          <w:jc w:val="center"/>
        </w:trPr>
        <w:tc>
          <w:tcPr>
            <w:tcW w:w="960" w:type="dxa"/>
            <w:shd w:val="clear" w:color="auto" w:fill="auto"/>
            <w:noWrap/>
          </w:tcPr>
          <w:p w:rsidR="00AC40FC" w:rsidRPr="009D42E7" w:rsidRDefault="00AC40FC" w:rsidP="00581946">
            <w:pPr>
              <w:spacing w:after="0"/>
              <w:jc w:val="center"/>
            </w:pPr>
            <w:r w:rsidRPr="009D42E7">
              <w:t>0157</w:t>
            </w:r>
          </w:p>
        </w:tc>
        <w:tc>
          <w:tcPr>
            <w:tcW w:w="3387" w:type="dxa"/>
            <w:shd w:val="clear" w:color="auto" w:fill="auto"/>
            <w:noWrap/>
          </w:tcPr>
          <w:p w:rsidR="00AC40FC" w:rsidRPr="009D42E7" w:rsidRDefault="00AC40FC" w:rsidP="00581946">
            <w:pPr>
              <w:spacing w:after="0"/>
              <w:jc w:val="left"/>
            </w:pPr>
            <w:r w:rsidRPr="009D42E7">
              <w:t>IT-Solution Services</w:t>
            </w:r>
          </w:p>
        </w:tc>
        <w:tc>
          <w:tcPr>
            <w:tcW w:w="810" w:type="dxa"/>
            <w:shd w:val="clear" w:color="auto" w:fill="auto"/>
            <w:noWrap/>
          </w:tcPr>
          <w:p w:rsidR="00AC40FC" w:rsidRPr="009D42E7" w:rsidRDefault="00AC40FC" w:rsidP="00581946">
            <w:pPr>
              <w:spacing w:after="0"/>
              <w:jc w:val="center"/>
            </w:pPr>
            <w:r w:rsidRPr="009D42E7">
              <w:t>17</w:t>
            </w:r>
          </w:p>
        </w:tc>
        <w:tc>
          <w:tcPr>
            <w:tcW w:w="810" w:type="dxa"/>
            <w:shd w:val="clear" w:color="auto" w:fill="auto"/>
            <w:noWrap/>
          </w:tcPr>
          <w:p w:rsidR="00AC40FC" w:rsidRPr="009D42E7" w:rsidRDefault="00AC40FC" w:rsidP="00581946">
            <w:pPr>
              <w:spacing w:after="0"/>
              <w:jc w:val="center"/>
            </w:pPr>
            <w:r w:rsidRPr="009D42E7">
              <w:t>19</w:t>
            </w:r>
          </w:p>
        </w:tc>
        <w:tc>
          <w:tcPr>
            <w:tcW w:w="1080" w:type="dxa"/>
            <w:shd w:val="clear" w:color="auto" w:fill="auto"/>
            <w:noWrap/>
          </w:tcPr>
          <w:p w:rsidR="00AC40FC" w:rsidRPr="009D42E7" w:rsidRDefault="00AC40FC" w:rsidP="00581946">
            <w:pPr>
              <w:spacing w:after="0"/>
              <w:jc w:val="center"/>
            </w:pPr>
            <w:r w:rsidRPr="009D42E7">
              <w:t>+2</w:t>
            </w:r>
          </w:p>
        </w:tc>
      </w:tr>
      <w:tr w:rsidR="00AC40FC" w:rsidRPr="00875F2B" w:rsidTr="00581946">
        <w:trPr>
          <w:trHeight w:val="300"/>
          <w:jc w:val="center"/>
        </w:trPr>
        <w:tc>
          <w:tcPr>
            <w:tcW w:w="960" w:type="dxa"/>
            <w:shd w:val="clear" w:color="auto" w:fill="auto"/>
            <w:noWrap/>
          </w:tcPr>
          <w:p w:rsidR="00AC40FC" w:rsidRPr="009D42E7" w:rsidRDefault="00AC40FC" w:rsidP="00581946">
            <w:pPr>
              <w:spacing w:after="0"/>
              <w:jc w:val="center"/>
            </w:pPr>
            <w:r w:rsidRPr="009D42E7">
              <w:t>0159</w:t>
            </w:r>
          </w:p>
        </w:tc>
        <w:tc>
          <w:tcPr>
            <w:tcW w:w="3387" w:type="dxa"/>
            <w:shd w:val="clear" w:color="auto" w:fill="auto"/>
            <w:noWrap/>
          </w:tcPr>
          <w:p w:rsidR="00AC40FC" w:rsidRPr="009D42E7" w:rsidRDefault="00AC40FC" w:rsidP="00581946">
            <w:pPr>
              <w:spacing w:after="0"/>
              <w:jc w:val="left"/>
            </w:pPr>
            <w:r w:rsidRPr="009D42E7">
              <w:t>IT Business Solutions</w:t>
            </w:r>
          </w:p>
        </w:tc>
        <w:tc>
          <w:tcPr>
            <w:tcW w:w="810" w:type="dxa"/>
            <w:shd w:val="clear" w:color="auto" w:fill="auto"/>
            <w:noWrap/>
          </w:tcPr>
          <w:p w:rsidR="00AC40FC" w:rsidRPr="009D42E7" w:rsidRDefault="00AC40FC" w:rsidP="00581946">
            <w:pPr>
              <w:spacing w:after="0"/>
              <w:jc w:val="center"/>
            </w:pPr>
            <w:r w:rsidRPr="009D42E7">
              <w:t>2</w:t>
            </w:r>
          </w:p>
        </w:tc>
        <w:tc>
          <w:tcPr>
            <w:tcW w:w="810" w:type="dxa"/>
            <w:shd w:val="clear" w:color="auto" w:fill="auto"/>
            <w:noWrap/>
          </w:tcPr>
          <w:p w:rsidR="00AC40FC" w:rsidRPr="009D42E7" w:rsidRDefault="00AC40FC" w:rsidP="00581946">
            <w:pPr>
              <w:spacing w:after="0"/>
              <w:jc w:val="center"/>
            </w:pPr>
            <w:r w:rsidRPr="009D42E7">
              <w:t>0</w:t>
            </w:r>
          </w:p>
        </w:tc>
        <w:tc>
          <w:tcPr>
            <w:tcW w:w="1080" w:type="dxa"/>
            <w:shd w:val="clear" w:color="auto" w:fill="auto"/>
            <w:noWrap/>
          </w:tcPr>
          <w:p w:rsidR="00AC40FC" w:rsidRPr="009D42E7" w:rsidRDefault="00AC40FC" w:rsidP="00581946">
            <w:pPr>
              <w:spacing w:after="0"/>
              <w:jc w:val="center"/>
            </w:pPr>
            <w:r w:rsidRPr="009D42E7">
              <w:t>-2</w:t>
            </w:r>
          </w:p>
        </w:tc>
      </w:tr>
      <w:tr w:rsidR="00AC40FC" w:rsidRPr="00875F2B" w:rsidTr="00581946">
        <w:trPr>
          <w:trHeight w:val="300"/>
          <w:jc w:val="center"/>
        </w:trPr>
        <w:tc>
          <w:tcPr>
            <w:tcW w:w="960" w:type="dxa"/>
            <w:shd w:val="clear" w:color="auto" w:fill="auto"/>
            <w:noWrap/>
          </w:tcPr>
          <w:p w:rsidR="00AC40FC" w:rsidRPr="009D42E7" w:rsidRDefault="00AC40FC" w:rsidP="00581946">
            <w:pPr>
              <w:spacing w:after="0"/>
              <w:jc w:val="center"/>
            </w:pPr>
            <w:r w:rsidRPr="009D42E7">
              <w:t>0160</w:t>
            </w:r>
          </w:p>
        </w:tc>
        <w:tc>
          <w:tcPr>
            <w:tcW w:w="3387" w:type="dxa"/>
            <w:shd w:val="clear" w:color="auto" w:fill="auto"/>
            <w:noWrap/>
          </w:tcPr>
          <w:p w:rsidR="00AC40FC" w:rsidRPr="009D42E7" w:rsidRDefault="00AC40FC" w:rsidP="00581946">
            <w:pPr>
              <w:spacing w:after="0"/>
              <w:jc w:val="left"/>
            </w:pPr>
            <w:r w:rsidRPr="009D42E7">
              <w:t>IT Project Management</w:t>
            </w:r>
          </w:p>
        </w:tc>
        <w:tc>
          <w:tcPr>
            <w:tcW w:w="810" w:type="dxa"/>
            <w:shd w:val="clear" w:color="auto" w:fill="auto"/>
            <w:noWrap/>
          </w:tcPr>
          <w:p w:rsidR="00AC40FC" w:rsidRPr="009D42E7" w:rsidRDefault="00AC40FC" w:rsidP="00581946">
            <w:pPr>
              <w:spacing w:after="0"/>
              <w:jc w:val="center"/>
            </w:pPr>
            <w:r w:rsidRPr="009D42E7">
              <w:t>13</w:t>
            </w:r>
          </w:p>
        </w:tc>
        <w:tc>
          <w:tcPr>
            <w:tcW w:w="810" w:type="dxa"/>
            <w:shd w:val="clear" w:color="auto" w:fill="auto"/>
            <w:noWrap/>
          </w:tcPr>
          <w:p w:rsidR="00AC40FC" w:rsidRPr="009D42E7" w:rsidRDefault="00AC40FC" w:rsidP="00581946">
            <w:pPr>
              <w:spacing w:after="0"/>
              <w:jc w:val="center"/>
            </w:pPr>
            <w:r w:rsidRPr="009D42E7">
              <w:t>13</w:t>
            </w:r>
          </w:p>
        </w:tc>
        <w:tc>
          <w:tcPr>
            <w:tcW w:w="1080" w:type="dxa"/>
            <w:shd w:val="clear" w:color="auto" w:fill="auto"/>
            <w:noWrap/>
          </w:tcPr>
          <w:p w:rsidR="00AC40FC" w:rsidRPr="009D42E7" w:rsidRDefault="00AC40FC" w:rsidP="00581946">
            <w:pPr>
              <w:spacing w:after="0"/>
              <w:jc w:val="center"/>
            </w:pPr>
            <w:r w:rsidRPr="009D42E7">
              <w:t>0</w:t>
            </w:r>
          </w:p>
        </w:tc>
      </w:tr>
      <w:tr w:rsidR="00AC40FC" w:rsidRPr="00875F2B" w:rsidTr="00581946">
        <w:trPr>
          <w:trHeight w:val="300"/>
          <w:jc w:val="center"/>
        </w:trPr>
        <w:tc>
          <w:tcPr>
            <w:tcW w:w="960" w:type="dxa"/>
            <w:shd w:val="clear" w:color="auto" w:fill="auto"/>
            <w:noWrap/>
          </w:tcPr>
          <w:p w:rsidR="00AC40FC" w:rsidRPr="009D42E7" w:rsidRDefault="00AC40FC" w:rsidP="00581946">
            <w:pPr>
              <w:spacing w:after="0"/>
              <w:jc w:val="center"/>
            </w:pPr>
            <w:r w:rsidRPr="009D42E7">
              <w:t>0161</w:t>
            </w:r>
          </w:p>
        </w:tc>
        <w:tc>
          <w:tcPr>
            <w:tcW w:w="3387" w:type="dxa"/>
            <w:shd w:val="clear" w:color="auto" w:fill="auto"/>
            <w:noWrap/>
          </w:tcPr>
          <w:p w:rsidR="00AC40FC" w:rsidRPr="009D42E7" w:rsidRDefault="00AC40FC" w:rsidP="00581946">
            <w:pPr>
              <w:spacing w:after="0"/>
              <w:jc w:val="left"/>
            </w:pPr>
            <w:r w:rsidRPr="009D42E7">
              <w:t>PPL ISD Services/Montana</w:t>
            </w:r>
          </w:p>
        </w:tc>
        <w:tc>
          <w:tcPr>
            <w:tcW w:w="810" w:type="dxa"/>
            <w:shd w:val="clear" w:color="auto" w:fill="auto"/>
            <w:noWrap/>
          </w:tcPr>
          <w:p w:rsidR="00AC40FC" w:rsidRPr="009D42E7" w:rsidRDefault="00AC40FC" w:rsidP="00581946">
            <w:pPr>
              <w:spacing w:after="0"/>
              <w:jc w:val="center"/>
            </w:pPr>
            <w:r w:rsidRPr="009D42E7">
              <w:t>1</w:t>
            </w:r>
          </w:p>
        </w:tc>
        <w:tc>
          <w:tcPr>
            <w:tcW w:w="810" w:type="dxa"/>
            <w:shd w:val="clear" w:color="auto" w:fill="auto"/>
            <w:noWrap/>
          </w:tcPr>
          <w:p w:rsidR="00AC40FC" w:rsidRPr="009D42E7" w:rsidRDefault="00AC40FC" w:rsidP="00581946">
            <w:pPr>
              <w:spacing w:after="0"/>
              <w:jc w:val="center"/>
            </w:pPr>
            <w:r w:rsidRPr="009D42E7">
              <w:t>0</w:t>
            </w:r>
          </w:p>
        </w:tc>
        <w:tc>
          <w:tcPr>
            <w:tcW w:w="1080" w:type="dxa"/>
            <w:shd w:val="clear" w:color="auto" w:fill="auto"/>
            <w:noWrap/>
          </w:tcPr>
          <w:p w:rsidR="00AC40FC" w:rsidRPr="009D42E7" w:rsidRDefault="00AC40FC" w:rsidP="00581946">
            <w:pPr>
              <w:spacing w:after="0"/>
              <w:jc w:val="center"/>
            </w:pPr>
            <w:r w:rsidRPr="009D42E7">
              <w:t>-1</w:t>
            </w:r>
          </w:p>
        </w:tc>
      </w:tr>
      <w:tr w:rsidR="00AC40FC" w:rsidRPr="00875F2B" w:rsidTr="00581946">
        <w:trPr>
          <w:trHeight w:val="300"/>
          <w:jc w:val="center"/>
        </w:trPr>
        <w:tc>
          <w:tcPr>
            <w:tcW w:w="960" w:type="dxa"/>
            <w:shd w:val="clear" w:color="auto" w:fill="auto"/>
            <w:noWrap/>
          </w:tcPr>
          <w:p w:rsidR="00AC40FC" w:rsidRPr="009D42E7" w:rsidRDefault="00AC40FC" w:rsidP="00581946">
            <w:pPr>
              <w:spacing w:after="0"/>
              <w:jc w:val="center"/>
            </w:pPr>
            <w:r w:rsidRPr="009D42E7">
              <w:t>0163</w:t>
            </w:r>
          </w:p>
        </w:tc>
        <w:tc>
          <w:tcPr>
            <w:tcW w:w="3387" w:type="dxa"/>
            <w:shd w:val="clear" w:color="auto" w:fill="auto"/>
            <w:noWrap/>
          </w:tcPr>
          <w:p w:rsidR="00AC40FC" w:rsidRPr="009D42E7" w:rsidRDefault="00AC40FC" w:rsidP="00581946">
            <w:pPr>
              <w:spacing w:after="0"/>
              <w:jc w:val="left"/>
            </w:pPr>
            <w:r w:rsidRPr="009D42E7">
              <w:t>Sol Delivery-Corp Svc Mgmt</w:t>
            </w:r>
          </w:p>
        </w:tc>
        <w:tc>
          <w:tcPr>
            <w:tcW w:w="810" w:type="dxa"/>
            <w:shd w:val="clear" w:color="auto" w:fill="auto"/>
            <w:noWrap/>
          </w:tcPr>
          <w:p w:rsidR="00AC40FC" w:rsidRPr="009D42E7" w:rsidRDefault="00AC40FC" w:rsidP="00581946">
            <w:pPr>
              <w:spacing w:after="0"/>
              <w:jc w:val="center"/>
            </w:pPr>
            <w:r w:rsidRPr="009D42E7">
              <w:t>22</w:t>
            </w:r>
          </w:p>
        </w:tc>
        <w:tc>
          <w:tcPr>
            <w:tcW w:w="810" w:type="dxa"/>
            <w:shd w:val="clear" w:color="auto" w:fill="auto"/>
            <w:noWrap/>
          </w:tcPr>
          <w:p w:rsidR="00AC40FC" w:rsidRPr="009D42E7" w:rsidRDefault="00AC40FC" w:rsidP="00581946">
            <w:pPr>
              <w:spacing w:after="0"/>
              <w:jc w:val="center"/>
            </w:pPr>
            <w:r w:rsidRPr="009D42E7">
              <w:t>19</w:t>
            </w:r>
          </w:p>
        </w:tc>
        <w:tc>
          <w:tcPr>
            <w:tcW w:w="1080" w:type="dxa"/>
            <w:shd w:val="clear" w:color="auto" w:fill="auto"/>
            <w:noWrap/>
          </w:tcPr>
          <w:p w:rsidR="00AC40FC" w:rsidRPr="009D42E7" w:rsidRDefault="00AC40FC" w:rsidP="00581946">
            <w:pPr>
              <w:spacing w:after="0"/>
              <w:jc w:val="center"/>
            </w:pPr>
            <w:r w:rsidRPr="009D42E7">
              <w:t>-3</w:t>
            </w:r>
          </w:p>
        </w:tc>
      </w:tr>
      <w:tr w:rsidR="00AC40FC" w:rsidRPr="00875F2B" w:rsidTr="00581946">
        <w:trPr>
          <w:trHeight w:val="300"/>
          <w:jc w:val="center"/>
        </w:trPr>
        <w:tc>
          <w:tcPr>
            <w:tcW w:w="960" w:type="dxa"/>
            <w:shd w:val="clear" w:color="auto" w:fill="auto"/>
            <w:noWrap/>
          </w:tcPr>
          <w:p w:rsidR="00AC40FC" w:rsidRPr="009D42E7" w:rsidRDefault="00AC40FC" w:rsidP="00581946">
            <w:pPr>
              <w:spacing w:after="0"/>
            </w:pPr>
          </w:p>
        </w:tc>
        <w:tc>
          <w:tcPr>
            <w:tcW w:w="3387" w:type="dxa"/>
            <w:shd w:val="clear" w:color="auto" w:fill="auto"/>
            <w:noWrap/>
          </w:tcPr>
          <w:p w:rsidR="00AC40FC" w:rsidRPr="00674BB5" w:rsidRDefault="00AC40FC" w:rsidP="00581946">
            <w:pPr>
              <w:spacing w:after="0"/>
              <w:jc w:val="center"/>
              <w:rPr>
                <w:b/>
              </w:rPr>
            </w:pPr>
            <w:r w:rsidRPr="00674BB5">
              <w:rPr>
                <w:b/>
              </w:rPr>
              <w:t>T</w:t>
            </w:r>
            <w:r>
              <w:rPr>
                <w:b/>
              </w:rPr>
              <w:t>otals</w:t>
            </w:r>
          </w:p>
        </w:tc>
        <w:tc>
          <w:tcPr>
            <w:tcW w:w="810" w:type="dxa"/>
            <w:shd w:val="clear" w:color="auto" w:fill="auto"/>
            <w:noWrap/>
          </w:tcPr>
          <w:p w:rsidR="00AC40FC" w:rsidRPr="00674BB5" w:rsidRDefault="00AC40FC" w:rsidP="00581946">
            <w:pPr>
              <w:spacing w:after="0"/>
              <w:jc w:val="center"/>
              <w:rPr>
                <w:b/>
              </w:rPr>
            </w:pPr>
            <w:r w:rsidRPr="00674BB5">
              <w:rPr>
                <w:b/>
              </w:rPr>
              <w:t>240</w:t>
            </w:r>
          </w:p>
        </w:tc>
        <w:tc>
          <w:tcPr>
            <w:tcW w:w="810" w:type="dxa"/>
            <w:shd w:val="clear" w:color="auto" w:fill="auto"/>
            <w:noWrap/>
          </w:tcPr>
          <w:p w:rsidR="00AC40FC" w:rsidRPr="00674BB5" w:rsidRDefault="00AC40FC" w:rsidP="00581946">
            <w:pPr>
              <w:spacing w:after="0"/>
              <w:jc w:val="center"/>
              <w:rPr>
                <w:b/>
              </w:rPr>
            </w:pPr>
            <w:r w:rsidRPr="00674BB5">
              <w:rPr>
                <w:b/>
              </w:rPr>
              <w:t>225</w:t>
            </w:r>
          </w:p>
        </w:tc>
        <w:tc>
          <w:tcPr>
            <w:tcW w:w="1080" w:type="dxa"/>
            <w:shd w:val="clear" w:color="auto" w:fill="auto"/>
            <w:noWrap/>
          </w:tcPr>
          <w:p w:rsidR="00AC40FC" w:rsidRPr="00674BB5" w:rsidRDefault="00AC40FC" w:rsidP="00581946">
            <w:pPr>
              <w:spacing w:after="0"/>
              <w:jc w:val="center"/>
              <w:rPr>
                <w:b/>
              </w:rPr>
            </w:pPr>
            <w:r w:rsidRPr="00674BB5">
              <w:rPr>
                <w:b/>
              </w:rPr>
              <w:t>-15</w:t>
            </w:r>
          </w:p>
        </w:tc>
      </w:tr>
      <w:tr w:rsidR="00AC40FC" w:rsidRPr="00875F2B" w:rsidTr="00581946">
        <w:trPr>
          <w:trHeight w:val="300"/>
          <w:jc w:val="center"/>
        </w:trPr>
        <w:tc>
          <w:tcPr>
            <w:tcW w:w="7047" w:type="dxa"/>
            <w:gridSpan w:val="5"/>
            <w:shd w:val="clear" w:color="auto" w:fill="auto"/>
            <w:noWrap/>
            <w:vAlign w:val="center"/>
          </w:tcPr>
          <w:p w:rsidR="00AC40FC" w:rsidRPr="00A73ADF" w:rsidRDefault="00AC40FC" w:rsidP="00581946">
            <w:pPr>
              <w:spacing w:after="0"/>
              <w:jc w:val="left"/>
              <w:rPr>
                <w:bCs/>
              </w:rPr>
            </w:pPr>
            <w:r>
              <w:rPr>
                <w:bCs/>
              </w:rPr>
              <w:t>* Identified as an intern.</w:t>
            </w:r>
          </w:p>
        </w:tc>
      </w:tr>
      <w:tr w:rsidR="00AC40FC" w:rsidRPr="00875F2B" w:rsidTr="00581946">
        <w:trPr>
          <w:trHeight w:val="300"/>
          <w:jc w:val="center"/>
        </w:trPr>
        <w:tc>
          <w:tcPr>
            <w:tcW w:w="7047" w:type="dxa"/>
            <w:gridSpan w:val="5"/>
            <w:shd w:val="clear" w:color="auto" w:fill="auto"/>
            <w:noWrap/>
            <w:vAlign w:val="center"/>
          </w:tcPr>
          <w:p w:rsidR="00AC40FC" w:rsidRPr="001B05C8" w:rsidRDefault="00AC40FC" w:rsidP="00581946">
            <w:pPr>
              <w:spacing w:after="0"/>
              <w:jc w:val="left"/>
              <w:rPr>
                <w:bCs/>
              </w:rPr>
            </w:pPr>
            <w:r w:rsidRPr="001B05C8">
              <w:rPr>
                <w:bCs/>
              </w:rPr>
              <w:t>Sources: DN 01-07</w:t>
            </w:r>
            <w:r>
              <w:rPr>
                <w:bCs/>
              </w:rPr>
              <w:t>2</w:t>
            </w:r>
            <w:r w:rsidRPr="001B05C8">
              <w:rPr>
                <w:bCs/>
              </w:rPr>
              <w:t xml:space="preserve">; </w:t>
            </w:r>
            <w:r>
              <w:rPr>
                <w:bCs/>
              </w:rPr>
              <w:t>DN 18-002-C</w:t>
            </w:r>
          </w:p>
        </w:tc>
      </w:tr>
    </w:tbl>
    <w:p w:rsidR="00AC40FC" w:rsidRDefault="00AC40FC" w:rsidP="00581946">
      <w:pPr>
        <w:pStyle w:val="Normal-aftertable"/>
      </w:pPr>
      <w:r>
        <w:t>PPL SC staffing decreased by 15 positions from 2014 to 2015.</w:t>
      </w:r>
    </w:p>
    <w:p w:rsidR="00AC40FC" w:rsidRPr="00492242" w:rsidRDefault="00AC40FC" w:rsidP="00581946">
      <w:pPr>
        <w:rPr>
          <w:rFonts w:cs="Arial"/>
          <w:szCs w:val="24"/>
        </w:rPr>
      </w:pPr>
      <w:r w:rsidRPr="005E0480">
        <w:rPr>
          <w:b/>
        </w:rPr>
        <w:lastRenderedPageBreak/>
        <w:t>Future Employee and Contractor Changes.</w:t>
      </w:r>
      <w:r>
        <w:t xml:space="preserve">  </w:t>
      </w:r>
      <w:r>
        <w:rPr>
          <w:rFonts w:cs="Arial"/>
          <w:szCs w:val="24"/>
        </w:rPr>
        <w:t>Most of the IT supervisory and management personnel interviewed indicated that no staffing changes are presently being planned.  The implementation of certain systems presently being contemplated may require the addition of contractors.</w:t>
      </w:r>
      <w:r w:rsidRPr="00FF5EFB">
        <w:rPr>
          <w:rFonts w:cs="Arial"/>
          <w:szCs w:val="24"/>
        </w:rPr>
        <w:t xml:space="preserve"> </w:t>
      </w:r>
      <w:r>
        <w:rPr>
          <w:rFonts w:cs="Arial"/>
          <w:szCs w:val="24"/>
        </w:rPr>
        <w:t xml:space="preserve"> For example, an upgrade to the work management system, Asset Suite, is being contemplated in 2017 and would require additional contractors; however, the detailed planning for this has not begun.</w:t>
      </w:r>
    </w:p>
    <w:p w:rsidR="00AC40FC" w:rsidRDefault="00AC40FC" w:rsidP="00581946">
      <w:r w:rsidRPr="005E0480">
        <w:rPr>
          <w:b/>
        </w:rPr>
        <w:t>Employee and Contractor Staffing Planning Criteria and Process.</w:t>
      </w:r>
      <w:r>
        <w:t xml:space="preserve">  The staffing planning criteria generally applied for the recent IT organizational changes for consolidated Kentucky and Pennsylvania management of each IT function included the following:</w:t>
      </w:r>
    </w:p>
    <w:p w:rsidR="00AC40FC" w:rsidRDefault="00AC40FC" w:rsidP="00581946">
      <w:pPr>
        <w:pStyle w:val="Bullet"/>
      </w:pPr>
      <w:r>
        <w:t>Costs to PPL EU should not exceed what they were prior to the Talen spinoff.</w:t>
      </w:r>
    </w:p>
    <w:p w:rsidR="00AC40FC" w:rsidRDefault="00AC40FC" w:rsidP="00581946">
      <w:pPr>
        <w:pStyle w:val="Bullet"/>
      </w:pPr>
      <w:r>
        <w:t>There should be no negative impacts on PPL EU.  IT metrics were established to measure performance and to ensure effective support of PPL EU.</w:t>
      </w:r>
    </w:p>
    <w:p w:rsidR="00AC40FC" w:rsidRDefault="00AC40FC" w:rsidP="00581946">
      <w:pPr>
        <w:pStyle w:val="Bullet"/>
      </w:pPr>
      <w:r>
        <w:t>Previously developed LKE position descriptions and titles should be used for PPL SC as well.</w:t>
      </w:r>
    </w:p>
    <w:p w:rsidR="00AC40FC" w:rsidRDefault="00AC40FC" w:rsidP="00581946">
      <w:pPr>
        <w:pStyle w:val="Bullet"/>
      </w:pPr>
      <w:r>
        <w:t>Candidates who are the best fit for the position requirements from either LKE SC or PPL SC should be selected.</w:t>
      </w:r>
    </w:p>
    <w:p w:rsidR="00AC40FC" w:rsidRDefault="00AC40FC" w:rsidP="00581946">
      <w:pPr>
        <w:pStyle w:val="Normal-aftertable"/>
      </w:pPr>
      <w:r>
        <w:t>The process employed to make organizational change involved the following:</w:t>
      </w:r>
    </w:p>
    <w:p w:rsidR="00AC40FC" w:rsidRDefault="00AC40FC" w:rsidP="00581946">
      <w:pPr>
        <w:pStyle w:val="Bullet"/>
      </w:pPr>
      <w:r>
        <w:t>Once selected, each director (of an IT function and a direct report to the CIO) was assigned the responsibility to design his or her own organization.</w:t>
      </w:r>
    </w:p>
    <w:p w:rsidR="00AC40FC" w:rsidRDefault="00AC40FC" w:rsidP="00581946">
      <w:pPr>
        <w:pStyle w:val="Bullet"/>
      </w:pPr>
      <w:r>
        <w:t>Position descriptions were prepared for new positions that mimicked position descriptions for similar LKE SC positions.</w:t>
      </w:r>
    </w:p>
    <w:p w:rsidR="00AC40FC" w:rsidRDefault="00AC40FC" w:rsidP="00581946">
      <w:pPr>
        <w:pStyle w:val="Bullet"/>
      </w:pPr>
      <w:r>
        <w:t>Compensation levels were assigned by Human Resources for each position.</w:t>
      </w:r>
    </w:p>
    <w:p w:rsidR="00AC40FC" w:rsidRDefault="00AC40FC" w:rsidP="00581946">
      <w:pPr>
        <w:pStyle w:val="Bullet"/>
      </w:pPr>
      <w:r>
        <w:t>Position descriptions for the new organizations were then posted and employees applied for those in which they were interested.</w:t>
      </w:r>
    </w:p>
    <w:p w:rsidR="00AC40FC" w:rsidRDefault="00AC40FC" w:rsidP="00581946">
      <w:pPr>
        <w:pStyle w:val="Bullet"/>
      </w:pPr>
      <w:r w:rsidRPr="0029397C">
        <w:t>Once applications were reviewed, candidates were interviewed by interview teams comprised mainly of directors.</w:t>
      </w:r>
    </w:p>
    <w:p w:rsidR="00AC40FC" w:rsidRDefault="00AC40FC" w:rsidP="00581946">
      <w:pPr>
        <w:pStyle w:val="Bullet"/>
      </w:pPr>
      <w:r>
        <w:t>Selections were made based on the results of interviews.</w:t>
      </w:r>
    </w:p>
    <w:p w:rsidR="00AC40FC" w:rsidRDefault="00AC40FC" w:rsidP="00581946">
      <w:pPr>
        <w:pStyle w:val="Bullet"/>
      </w:pPr>
      <w:r w:rsidRPr="0029397C">
        <w:t>This interview process proceeded from manager positions, to supervisor positions</w:t>
      </w:r>
      <w:r>
        <w:t>,</w:t>
      </w:r>
      <w:r w:rsidRPr="0029397C">
        <w:t xml:space="preserve"> and finally to individual contributor positions.  For the IT staff members seeking positions with Talen, a similar process ran in parallel with the PPL </w:t>
      </w:r>
      <w:r>
        <w:t xml:space="preserve">SC </w:t>
      </w:r>
      <w:r w:rsidRPr="0029397C">
        <w:t>process.</w:t>
      </w:r>
    </w:p>
    <w:p w:rsidR="00AC40FC" w:rsidRDefault="00AC40FC" w:rsidP="00581946">
      <w:pPr>
        <w:pStyle w:val="Normal-aftertable"/>
      </w:pPr>
      <w:r w:rsidRPr="0029397C">
        <w:t>Some incumbents in positions for which they were uniquely or specially qualified were “green-boxed,” meaning they were assigned to their position without undergoing the competitive interview process.</w:t>
      </w:r>
      <w:r>
        <w:t xml:space="preserve"> </w:t>
      </w:r>
      <w:r w:rsidRPr="0029397C">
        <w:t xml:space="preserve"> Each decision to “green-box” an incumbent went through a </w:t>
      </w:r>
      <w:r>
        <w:t xml:space="preserve">rigorous </w:t>
      </w:r>
      <w:r w:rsidRPr="0029397C">
        <w:t xml:space="preserve">review process to defend/justify that decision. </w:t>
      </w:r>
      <w:r>
        <w:t xml:space="preserve"> </w:t>
      </w:r>
      <w:r w:rsidRPr="0029397C">
        <w:t>This process involved both Human Resources and Legal staff.</w:t>
      </w:r>
      <w:r w:rsidRPr="0029397C">
        <w:rPr>
          <w:rFonts w:cs="Arial"/>
          <w:szCs w:val="24"/>
        </w:rPr>
        <w:t xml:space="preserve">  </w:t>
      </w:r>
    </w:p>
    <w:p w:rsidR="00AC40FC" w:rsidRPr="006D1B9D" w:rsidRDefault="00AC40FC" w:rsidP="00581946">
      <w:r w:rsidRPr="005E0480">
        <w:rPr>
          <w:b/>
        </w:rPr>
        <w:t>The Allocation of Personnel to PPL EU and PPL EUS in the Formation of PPL EUS.</w:t>
      </w:r>
      <w:r>
        <w:t xml:space="preserve">  IT staff were not involved in the formation of PPL EUS.</w:t>
      </w:r>
    </w:p>
    <w:p w:rsidR="00AC40FC" w:rsidRDefault="00AC40FC" w:rsidP="00581946">
      <w:pPr>
        <w:rPr>
          <w:rFonts w:cs="Arial"/>
          <w:szCs w:val="24"/>
        </w:rPr>
      </w:pPr>
      <w:r w:rsidRPr="005E0480">
        <w:rPr>
          <w:b/>
        </w:rPr>
        <w:t>Plans for Adjusting Staffing As the Talen TSA Winds Down and Terminates.</w:t>
      </w:r>
      <w:r>
        <w:t xml:space="preserve">  </w:t>
      </w:r>
      <w:r>
        <w:rPr>
          <w:rFonts w:cs="Arial"/>
          <w:szCs w:val="24"/>
        </w:rPr>
        <w:t xml:space="preserve">Prior to the date of the Talen spinoff, a transition service agreement (TSA) had been </w:t>
      </w:r>
      <w:r>
        <w:rPr>
          <w:rFonts w:cs="Arial"/>
          <w:szCs w:val="24"/>
        </w:rPr>
        <w:lastRenderedPageBreak/>
        <w:t xml:space="preserve">developed for PPL SC to provide ongoing support to Talen as far into the future as June 2017.  The TSA specified the level of support and service expectations on an assignment by assignment basis.  For IT, these mainly dealt with movement of systems from the PPL SC technology infrastructure to the Talen infrastructure.  A master plan for system transition was developed and is being implemented now.  A “Chinese wall,” or an information barrier to avoid potential conflicts of interest between PPL and Talen, was put in place to maintain separation of information between the two companies for FERC/transmission purposes.  </w:t>
      </w:r>
      <w:r>
        <w:t>At the time Phase III field work was being performed in the spring of 2016, a</w:t>
      </w:r>
      <w:r>
        <w:rPr>
          <w:rFonts w:cs="Arial"/>
          <w:szCs w:val="24"/>
        </w:rPr>
        <w:t>pproximately 20 IT employees still remained on Talen TSA assignments.</w:t>
      </w:r>
    </w:p>
    <w:p w:rsidR="00AC40FC" w:rsidRPr="00781F0A" w:rsidRDefault="00AC40FC" w:rsidP="00581946">
      <w:pPr>
        <w:rPr>
          <w:rFonts w:cs="Arial"/>
          <w:szCs w:val="24"/>
        </w:rPr>
      </w:pPr>
      <w:r>
        <w:rPr>
          <w:rFonts w:cs="Arial"/>
          <w:szCs w:val="24"/>
        </w:rPr>
        <w:t xml:space="preserve">PPL SC employees engaged in TSA assignments will be separated at the completion of those assignments.  The Brass Ring system continues to show position openings in both PPL Corporation and Talen that are available for TSA employees to bid on.  Some specialty contractors have been used but there are no contractors performing TSA services presently. </w:t>
      </w:r>
    </w:p>
    <w:p w:rsidR="00AC40FC" w:rsidRDefault="00AC40FC" w:rsidP="00BB665B">
      <w:pPr>
        <w:pStyle w:val="Heading40"/>
      </w:pPr>
      <w:r>
        <w:t>Human Resources</w:t>
      </w:r>
    </w:p>
    <w:p w:rsidR="00AC40FC" w:rsidRDefault="00AC40FC" w:rsidP="00581946">
      <w:r>
        <w:t>Human resources services are provided to PPL EU by both PPL SC and PPL EUS.</w:t>
      </w:r>
    </w:p>
    <w:p w:rsidR="00AC40FC" w:rsidRPr="005E0480" w:rsidRDefault="00AC40FC" w:rsidP="00BB665B">
      <w:pPr>
        <w:rPr>
          <w:b/>
        </w:rPr>
      </w:pPr>
      <w:r w:rsidRPr="005E0480">
        <w:rPr>
          <w:b/>
        </w:rPr>
        <w:t xml:space="preserve">2015 and 2016 Employee and Contractor Changes.  </w:t>
      </w:r>
    </w:p>
    <w:p w:rsidR="00AC40FC" w:rsidRDefault="00AC40FC" w:rsidP="00BB665B">
      <w:pPr>
        <w:pStyle w:val="Bullet"/>
        <w:spacing w:after="120"/>
      </w:pPr>
      <w:r>
        <w:rPr>
          <w:b/>
        </w:rPr>
        <w:t xml:space="preserve">PPL SC HR. </w:t>
      </w:r>
      <w:r>
        <w:t xml:space="preserve">PPL SC HR experienced several staffing changes in 2015 and 2016. </w:t>
      </w:r>
      <w:r w:rsidRPr="00625523">
        <w:t xml:space="preserve"> </w:t>
      </w:r>
      <w:r>
        <w:t>The PPL SC Director of HR passed away in mid-2015 and his duties were combined with those of the Director of Human Resources and Services Operations to form the present Director of Corporate HR position.</w:t>
      </w:r>
    </w:p>
    <w:p w:rsidR="00AC40FC" w:rsidRDefault="00AC40FC" w:rsidP="00BB665B">
      <w:pPr>
        <w:pStyle w:val="Bullet"/>
        <w:numPr>
          <w:ilvl w:val="0"/>
          <w:numId w:val="0"/>
        </w:numPr>
        <w:spacing w:after="120"/>
        <w:ind w:left="720"/>
      </w:pPr>
      <w:r>
        <w:t>In 2015, 17 PPL SC HR employees were identified for transition support roles and eventual separation.  Two of these employees remain in transition support roles in 2016.</w:t>
      </w:r>
    </w:p>
    <w:p w:rsidR="00AC40FC" w:rsidRDefault="00AC40FC" w:rsidP="00BB665B">
      <w:pPr>
        <w:pStyle w:val="Bullet"/>
        <w:numPr>
          <w:ilvl w:val="0"/>
          <w:numId w:val="0"/>
        </w:numPr>
        <w:spacing w:after="120"/>
        <w:ind w:left="720"/>
        <w:rPr>
          <w:rFonts w:cs="Arial"/>
          <w:szCs w:val="24"/>
        </w:rPr>
      </w:pPr>
      <w:r>
        <w:rPr>
          <w:rFonts w:cs="Arial"/>
          <w:szCs w:val="24"/>
        </w:rPr>
        <w:t>At the end of June 2016, the Senior Vice President of Human Resources and Services will retire from PPL SC.  As of March 15, 2016, a replacement had been hired.  Additionally, t</w:t>
      </w:r>
      <w:r w:rsidRPr="00625523">
        <w:rPr>
          <w:rFonts w:cs="Arial"/>
          <w:szCs w:val="24"/>
        </w:rPr>
        <w:t>he current VP of Compensat</w:t>
      </w:r>
      <w:r>
        <w:rPr>
          <w:rFonts w:cs="Arial"/>
          <w:szCs w:val="24"/>
        </w:rPr>
        <w:t>ion and Benefits will be retiring</w:t>
      </w:r>
      <w:r w:rsidRPr="00625523">
        <w:rPr>
          <w:rFonts w:cs="Arial"/>
          <w:szCs w:val="24"/>
        </w:rPr>
        <w:t xml:space="preserve"> in June 2016 and will be replaced by the </w:t>
      </w:r>
      <w:r>
        <w:rPr>
          <w:rFonts w:cs="Arial"/>
          <w:szCs w:val="24"/>
        </w:rPr>
        <w:t xml:space="preserve">present </w:t>
      </w:r>
      <w:r w:rsidRPr="00625523">
        <w:rPr>
          <w:rFonts w:cs="Arial"/>
          <w:szCs w:val="24"/>
        </w:rPr>
        <w:t>Director of Compensati</w:t>
      </w:r>
      <w:r>
        <w:rPr>
          <w:rFonts w:cs="Arial"/>
          <w:szCs w:val="24"/>
        </w:rPr>
        <w:t>on</w:t>
      </w:r>
      <w:r w:rsidRPr="00625523">
        <w:rPr>
          <w:rFonts w:cs="Arial"/>
          <w:szCs w:val="24"/>
        </w:rPr>
        <w:t>.</w:t>
      </w:r>
      <w:r>
        <w:rPr>
          <w:rFonts w:cs="Arial"/>
          <w:szCs w:val="24"/>
        </w:rPr>
        <w:t xml:space="preserve">  Ample time is available for transition of duties from the incumbents to their replacements.</w:t>
      </w:r>
    </w:p>
    <w:p w:rsidR="00AC40FC" w:rsidRDefault="00AC40FC" w:rsidP="00BB665B">
      <w:pPr>
        <w:pStyle w:val="Bullet"/>
        <w:numPr>
          <w:ilvl w:val="0"/>
          <w:numId w:val="0"/>
        </w:numPr>
        <w:spacing w:after="120"/>
        <w:ind w:left="720"/>
        <w:rPr>
          <w:rFonts w:cs="Arial"/>
          <w:szCs w:val="24"/>
        </w:rPr>
      </w:pPr>
      <w:r>
        <w:rPr>
          <w:rFonts w:cs="Arial"/>
          <w:szCs w:val="24"/>
        </w:rPr>
        <w:t>There were no contractors utilized by PPL SC HR except for specific short-term projects, such as compensation studies.</w:t>
      </w:r>
    </w:p>
    <w:p w:rsidR="00AC40FC" w:rsidRDefault="00AC40FC" w:rsidP="00BB665B">
      <w:pPr>
        <w:pStyle w:val="Bullet"/>
        <w:spacing w:after="120"/>
      </w:pPr>
      <w:r>
        <w:rPr>
          <w:b/>
        </w:rPr>
        <w:t xml:space="preserve">PPL EUS HR.  </w:t>
      </w:r>
      <w:r>
        <w:t>PPL EUS HR is an organizational element of PPL EUS which was formed at the beginning of 2015 with ten positions.  In 2015, PPL EUS HR added an occupational health nurse position to its staff.  This position was formerly located in the Safety department of PPL EU.  This change provides better supervision of health and short-term disability situations and statistics reporting.</w:t>
      </w:r>
    </w:p>
    <w:p w:rsidR="00AC40FC" w:rsidRDefault="00AC40FC" w:rsidP="00BB665B">
      <w:pPr>
        <w:pStyle w:val="Bullet"/>
        <w:numPr>
          <w:ilvl w:val="0"/>
          <w:numId w:val="0"/>
        </w:numPr>
        <w:spacing w:after="120"/>
        <w:ind w:left="720"/>
      </w:pPr>
      <w:r>
        <w:t>In 2016, PPL EUS HR added an internal recruiter position that was formerly with PPL SC HR.  At the time Phase III field work was being performed in the spring of 2016, a search was in progress to fill this position.</w:t>
      </w:r>
    </w:p>
    <w:p w:rsidR="00AC40FC" w:rsidRDefault="00AC40FC" w:rsidP="00BB665B">
      <w:pPr>
        <w:pStyle w:val="Bullet"/>
        <w:numPr>
          <w:ilvl w:val="0"/>
          <w:numId w:val="0"/>
        </w:numPr>
        <w:spacing w:after="120"/>
        <w:ind w:left="720"/>
      </w:pPr>
      <w:r>
        <w:rPr>
          <w:rFonts w:cs="Arial"/>
          <w:szCs w:val="24"/>
        </w:rPr>
        <w:lastRenderedPageBreak/>
        <w:t>There were no major contractor assignments in 2015 and none are planned in 2016.</w:t>
      </w:r>
    </w:p>
    <w:p w:rsidR="00AC40FC" w:rsidRPr="006F3F66" w:rsidRDefault="00AC40FC" w:rsidP="00BB665B">
      <w:pPr>
        <w:pStyle w:val="Bullet"/>
        <w:numPr>
          <w:ilvl w:val="0"/>
          <w:numId w:val="0"/>
        </w:numPr>
        <w:spacing w:after="120"/>
        <w:ind w:left="720"/>
        <w:rPr>
          <w:rFonts w:cs="Arial"/>
          <w:szCs w:val="24"/>
        </w:rPr>
      </w:pPr>
      <w:r>
        <w:rPr>
          <w:rFonts w:cs="Arial"/>
          <w:szCs w:val="24"/>
        </w:rPr>
        <w:t>Data for the 2014–2015 staffing changes in PPL SC HR and PPL EUS HR are provided below.</w:t>
      </w:r>
      <w:r w:rsidRPr="00625523">
        <w:rPr>
          <w:rFonts w:cs="Arial"/>
          <w:szCs w:val="24"/>
        </w:rPr>
        <w:t xml:space="preserve"> </w:t>
      </w:r>
    </w:p>
    <w:p w:rsidR="00AC40FC" w:rsidRDefault="00AC40FC">
      <w:pPr>
        <w:spacing w:after="0"/>
        <w:jc w:val="left"/>
        <w:rPr>
          <w:b/>
          <w:bCs/>
          <w:szCs w:val="18"/>
        </w:rPr>
      </w:pPr>
      <w:r>
        <w:br w:type="page"/>
      </w:r>
    </w:p>
    <w:p w:rsidR="00AC40FC" w:rsidRDefault="00AC40FC" w:rsidP="00B306CB">
      <w:pPr>
        <w:pStyle w:val="Caption"/>
      </w:pPr>
      <w:bookmarkStart w:id="412" w:name="_Toc462648505"/>
      <w:bookmarkStart w:id="413" w:name="_Toc464553127"/>
      <w:r>
        <w:lastRenderedPageBreak/>
        <w:t xml:space="preserve">Exhibit </w:t>
      </w:r>
      <w:fldSimple w:instr=" STYLEREF 1 \s ">
        <w:r w:rsidR="00A24205">
          <w:rPr>
            <w:noProof/>
          </w:rPr>
          <w:t>XV</w:t>
        </w:r>
      </w:fldSimple>
      <w:r w:rsidR="00264A1B">
        <w:noBreakHyphen/>
      </w:r>
      <w:fldSimple w:instr=" SEQ Exhibit \* ARABIC \s 1 ">
        <w:r w:rsidR="00A24205">
          <w:rPr>
            <w:noProof/>
          </w:rPr>
          <w:t>19</w:t>
        </w:r>
      </w:fldSimple>
      <w:r>
        <w:br/>
        <w:t>PPL SC Human Resources Employee Staffing Changes 2014–2015</w:t>
      </w:r>
      <w:bookmarkEnd w:id="412"/>
      <w:bookmarkEnd w:id="4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3506"/>
        <w:gridCol w:w="810"/>
        <w:gridCol w:w="750"/>
        <w:gridCol w:w="1097"/>
      </w:tblGrid>
      <w:tr w:rsidR="00AC40FC" w:rsidRPr="00D6083E" w:rsidTr="00581946">
        <w:trPr>
          <w:cantSplit/>
          <w:trHeight w:val="300"/>
          <w:tblHeader/>
          <w:jc w:val="center"/>
        </w:trPr>
        <w:tc>
          <w:tcPr>
            <w:tcW w:w="960" w:type="dxa"/>
            <w:shd w:val="clear" w:color="auto" w:fill="A5CD7E"/>
            <w:noWrap/>
            <w:vAlign w:val="center"/>
            <w:hideMark/>
          </w:tcPr>
          <w:p w:rsidR="00AC40FC" w:rsidRPr="001B05C8" w:rsidRDefault="00AC40FC" w:rsidP="00D6083E">
            <w:pPr>
              <w:spacing w:before="120"/>
              <w:jc w:val="center"/>
              <w:rPr>
                <w:b/>
                <w:bCs/>
              </w:rPr>
            </w:pPr>
            <w:r>
              <w:rPr>
                <w:b/>
                <w:bCs/>
              </w:rPr>
              <w:t>S</w:t>
            </w:r>
            <w:r w:rsidRPr="001B05C8">
              <w:rPr>
                <w:b/>
                <w:bCs/>
              </w:rPr>
              <w:t>RC</w:t>
            </w:r>
          </w:p>
        </w:tc>
        <w:tc>
          <w:tcPr>
            <w:tcW w:w="3506" w:type="dxa"/>
            <w:shd w:val="clear" w:color="auto" w:fill="A5CD7E"/>
            <w:noWrap/>
            <w:vAlign w:val="center"/>
            <w:hideMark/>
          </w:tcPr>
          <w:p w:rsidR="00AC40FC" w:rsidRPr="001B05C8" w:rsidRDefault="00AC40FC" w:rsidP="00D6083E">
            <w:pPr>
              <w:spacing w:before="120"/>
              <w:jc w:val="center"/>
              <w:rPr>
                <w:b/>
                <w:bCs/>
              </w:rPr>
            </w:pPr>
            <w:r w:rsidRPr="001B05C8">
              <w:rPr>
                <w:b/>
                <w:bCs/>
              </w:rPr>
              <w:t>Title</w:t>
            </w:r>
          </w:p>
        </w:tc>
        <w:tc>
          <w:tcPr>
            <w:tcW w:w="810" w:type="dxa"/>
            <w:shd w:val="clear" w:color="auto" w:fill="A5CD7E"/>
            <w:noWrap/>
            <w:vAlign w:val="center"/>
            <w:hideMark/>
          </w:tcPr>
          <w:p w:rsidR="00AC40FC" w:rsidRPr="001B05C8" w:rsidRDefault="00AC40FC" w:rsidP="00D6083E">
            <w:pPr>
              <w:spacing w:before="120"/>
              <w:jc w:val="center"/>
              <w:rPr>
                <w:b/>
                <w:bCs/>
              </w:rPr>
            </w:pPr>
            <w:r w:rsidRPr="001B05C8">
              <w:rPr>
                <w:b/>
                <w:bCs/>
              </w:rPr>
              <w:t>2014</w:t>
            </w:r>
          </w:p>
        </w:tc>
        <w:tc>
          <w:tcPr>
            <w:tcW w:w="750" w:type="dxa"/>
            <w:shd w:val="clear" w:color="auto" w:fill="A5CD7E"/>
            <w:noWrap/>
            <w:vAlign w:val="center"/>
            <w:hideMark/>
          </w:tcPr>
          <w:p w:rsidR="00AC40FC" w:rsidRPr="001B05C8" w:rsidRDefault="00AC40FC" w:rsidP="00D6083E">
            <w:pPr>
              <w:spacing w:before="120"/>
              <w:jc w:val="center"/>
              <w:rPr>
                <w:b/>
                <w:bCs/>
              </w:rPr>
            </w:pPr>
            <w:r w:rsidRPr="001B05C8">
              <w:rPr>
                <w:b/>
                <w:bCs/>
              </w:rPr>
              <w:t>2015</w:t>
            </w:r>
          </w:p>
        </w:tc>
        <w:tc>
          <w:tcPr>
            <w:tcW w:w="1065" w:type="dxa"/>
            <w:shd w:val="clear" w:color="auto" w:fill="A5CD7E"/>
            <w:noWrap/>
            <w:vAlign w:val="center"/>
            <w:hideMark/>
          </w:tcPr>
          <w:p w:rsidR="00AC40FC" w:rsidRPr="001B05C8" w:rsidRDefault="00AC40FC" w:rsidP="00D6083E">
            <w:pPr>
              <w:spacing w:before="120"/>
              <w:jc w:val="center"/>
              <w:rPr>
                <w:b/>
                <w:bCs/>
              </w:rPr>
            </w:pPr>
            <w:r>
              <w:rPr>
                <w:b/>
                <w:bCs/>
              </w:rPr>
              <w:t>Change</w:t>
            </w:r>
          </w:p>
        </w:tc>
      </w:tr>
      <w:tr w:rsidR="00AC40FC" w:rsidRPr="00875F2B" w:rsidTr="00581946">
        <w:trPr>
          <w:trHeight w:val="300"/>
          <w:jc w:val="center"/>
        </w:trPr>
        <w:tc>
          <w:tcPr>
            <w:tcW w:w="960" w:type="dxa"/>
            <w:shd w:val="clear" w:color="auto" w:fill="auto"/>
            <w:noWrap/>
          </w:tcPr>
          <w:p w:rsidR="00AC40FC" w:rsidRPr="00886F58" w:rsidRDefault="00AC40FC" w:rsidP="00581946">
            <w:pPr>
              <w:spacing w:after="0"/>
              <w:jc w:val="center"/>
            </w:pPr>
            <w:r w:rsidRPr="00886F58">
              <w:t>0230</w:t>
            </w:r>
          </w:p>
        </w:tc>
        <w:tc>
          <w:tcPr>
            <w:tcW w:w="3506" w:type="dxa"/>
            <w:shd w:val="clear" w:color="auto" w:fill="auto"/>
            <w:noWrap/>
          </w:tcPr>
          <w:p w:rsidR="00AC40FC" w:rsidRPr="00886F58" w:rsidRDefault="00AC40FC" w:rsidP="00581946">
            <w:pPr>
              <w:spacing w:after="0"/>
              <w:jc w:val="left"/>
            </w:pPr>
            <w:r w:rsidRPr="00886F58">
              <w:t>Human Resources</w:t>
            </w:r>
          </w:p>
        </w:tc>
        <w:tc>
          <w:tcPr>
            <w:tcW w:w="810" w:type="dxa"/>
            <w:shd w:val="clear" w:color="auto" w:fill="auto"/>
            <w:noWrap/>
          </w:tcPr>
          <w:p w:rsidR="00AC40FC" w:rsidRPr="00886F58" w:rsidRDefault="00AC40FC" w:rsidP="00581946">
            <w:pPr>
              <w:spacing w:after="0"/>
              <w:jc w:val="center"/>
            </w:pPr>
            <w:r w:rsidRPr="00886F58">
              <w:t>3</w:t>
            </w:r>
          </w:p>
        </w:tc>
        <w:tc>
          <w:tcPr>
            <w:tcW w:w="750" w:type="dxa"/>
            <w:shd w:val="clear" w:color="auto" w:fill="auto"/>
            <w:noWrap/>
          </w:tcPr>
          <w:p w:rsidR="00AC40FC" w:rsidRPr="00886F58" w:rsidRDefault="00AC40FC" w:rsidP="00581946">
            <w:pPr>
              <w:spacing w:after="0"/>
              <w:jc w:val="center"/>
            </w:pPr>
            <w:r w:rsidRPr="00886F58">
              <w:t>2</w:t>
            </w:r>
          </w:p>
        </w:tc>
        <w:tc>
          <w:tcPr>
            <w:tcW w:w="1065" w:type="dxa"/>
            <w:shd w:val="clear" w:color="auto" w:fill="auto"/>
            <w:noWrap/>
          </w:tcPr>
          <w:p w:rsidR="00AC40FC" w:rsidRPr="00886F58" w:rsidRDefault="00AC40FC" w:rsidP="00581946">
            <w:pPr>
              <w:spacing w:after="0"/>
              <w:jc w:val="center"/>
            </w:pPr>
            <w:r w:rsidRPr="00886F58">
              <w:t>-1</w:t>
            </w:r>
          </w:p>
        </w:tc>
      </w:tr>
      <w:tr w:rsidR="00AC40FC" w:rsidRPr="00875F2B" w:rsidTr="00581946">
        <w:trPr>
          <w:trHeight w:val="300"/>
          <w:jc w:val="center"/>
        </w:trPr>
        <w:tc>
          <w:tcPr>
            <w:tcW w:w="960" w:type="dxa"/>
            <w:shd w:val="clear" w:color="auto" w:fill="auto"/>
            <w:noWrap/>
            <w:hideMark/>
          </w:tcPr>
          <w:p w:rsidR="00AC40FC" w:rsidRPr="00886F58" w:rsidRDefault="00AC40FC" w:rsidP="00581946">
            <w:pPr>
              <w:spacing w:after="0"/>
              <w:jc w:val="center"/>
            </w:pPr>
            <w:r w:rsidRPr="00886F58">
              <w:t>0232</w:t>
            </w:r>
          </w:p>
        </w:tc>
        <w:tc>
          <w:tcPr>
            <w:tcW w:w="3506" w:type="dxa"/>
            <w:shd w:val="clear" w:color="auto" w:fill="auto"/>
            <w:noWrap/>
            <w:hideMark/>
          </w:tcPr>
          <w:p w:rsidR="00AC40FC" w:rsidRPr="00886F58" w:rsidRDefault="00AC40FC" w:rsidP="00581946">
            <w:pPr>
              <w:spacing w:after="0"/>
              <w:jc w:val="left"/>
            </w:pPr>
            <w:r w:rsidRPr="00886F58">
              <w:t>Health Services</w:t>
            </w:r>
            <w:r w:rsidRPr="00422031">
              <w:rPr>
                <w:vertAlign w:val="superscript"/>
              </w:rPr>
              <w:t>1</w:t>
            </w:r>
          </w:p>
        </w:tc>
        <w:tc>
          <w:tcPr>
            <w:tcW w:w="810" w:type="dxa"/>
            <w:shd w:val="clear" w:color="auto" w:fill="auto"/>
            <w:noWrap/>
            <w:hideMark/>
          </w:tcPr>
          <w:p w:rsidR="00AC40FC" w:rsidRPr="00886F58" w:rsidRDefault="00AC40FC" w:rsidP="00581946">
            <w:pPr>
              <w:spacing w:after="0"/>
              <w:jc w:val="center"/>
            </w:pPr>
            <w:r w:rsidRPr="00886F58">
              <w:t>1</w:t>
            </w:r>
            <w:r>
              <w:t>*</w:t>
            </w:r>
          </w:p>
        </w:tc>
        <w:tc>
          <w:tcPr>
            <w:tcW w:w="750" w:type="dxa"/>
            <w:shd w:val="clear" w:color="auto" w:fill="auto"/>
            <w:noWrap/>
            <w:hideMark/>
          </w:tcPr>
          <w:p w:rsidR="00AC40FC" w:rsidRPr="00886F58" w:rsidRDefault="00AC40FC" w:rsidP="00581946">
            <w:pPr>
              <w:spacing w:after="0"/>
              <w:jc w:val="center"/>
            </w:pPr>
            <w:r w:rsidRPr="00886F58">
              <w:t>0</w:t>
            </w:r>
          </w:p>
        </w:tc>
        <w:tc>
          <w:tcPr>
            <w:tcW w:w="1065" w:type="dxa"/>
            <w:shd w:val="clear" w:color="auto" w:fill="auto"/>
            <w:noWrap/>
            <w:hideMark/>
          </w:tcPr>
          <w:p w:rsidR="00AC40FC" w:rsidRPr="00886F58" w:rsidRDefault="00AC40FC" w:rsidP="00581946">
            <w:pPr>
              <w:spacing w:after="0"/>
              <w:jc w:val="center"/>
            </w:pPr>
            <w:r w:rsidRPr="00886F58">
              <w:t>-1</w:t>
            </w:r>
          </w:p>
        </w:tc>
      </w:tr>
      <w:tr w:rsidR="00AC40FC" w:rsidRPr="00875F2B" w:rsidTr="00581946">
        <w:trPr>
          <w:trHeight w:val="300"/>
          <w:jc w:val="center"/>
        </w:trPr>
        <w:tc>
          <w:tcPr>
            <w:tcW w:w="960" w:type="dxa"/>
            <w:shd w:val="clear" w:color="auto" w:fill="auto"/>
            <w:noWrap/>
          </w:tcPr>
          <w:p w:rsidR="00AC40FC" w:rsidRPr="00886F58" w:rsidRDefault="00AC40FC" w:rsidP="00581946">
            <w:pPr>
              <w:spacing w:after="0"/>
              <w:jc w:val="center"/>
            </w:pPr>
            <w:r w:rsidRPr="00886F58">
              <w:t>0233</w:t>
            </w:r>
          </w:p>
        </w:tc>
        <w:tc>
          <w:tcPr>
            <w:tcW w:w="3506" w:type="dxa"/>
            <w:shd w:val="clear" w:color="auto" w:fill="auto"/>
            <w:noWrap/>
          </w:tcPr>
          <w:p w:rsidR="00AC40FC" w:rsidRPr="00886F58" w:rsidRDefault="00AC40FC" w:rsidP="00581946">
            <w:pPr>
              <w:spacing w:after="0"/>
              <w:jc w:val="left"/>
            </w:pPr>
            <w:r w:rsidRPr="00886F58">
              <w:t>HR Bus Partner Teams</w:t>
            </w:r>
            <w:r w:rsidRPr="00422031">
              <w:rPr>
                <w:vertAlign w:val="superscript"/>
              </w:rPr>
              <w:t>2</w:t>
            </w:r>
          </w:p>
        </w:tc>
        <w:tc>
          <w:tcPr>
            <w:tcW w:w="810" w:type="dxa"/>
            <w:shd w:val="clear" w:color="auto" w:fill="auto"/>
            <w:noWrap/>
          </w:tcPr>
          <w:p w:rsidR="00AC40FC" w:rsidRPr="00886F58" w:rsidRDefault="00AC40FC" w:rsidP="00581946">
            <w:pPr>
              <w:spacing w:after="0"/>
              <w:jc w:val="center"/>
            </w:pPr>
            <w:r w:rsidRPr="00886F58">
              <w:t>2</w:t>
            </w:r>
            <w:r>
              <w:t>*</w:t>
            </w:r>
          </w:p>
        </w:tc>
        <w:tc>
          <w:tcPr>
            <w:tcW w:w="750" w:type="dxa"/>
            <w:shd w:val="clear" w:color="auto" w:fill="auto"/>
            <w:noWrap/>
          </w:tcPr>
          <w:p w:rsidR="00AC40FC" w:rsidRPr="00886F58" w:rsidRDefault="00AC40FC" w:rsidP="00581946">
            <w:pPr>
              <w:spacing w:after="0"/>
              <w:jc w:val="center"/>
            </w:pPr>
            <w:r w:rsidRPr="00886F58">
              <w:t>0</w:t>
            </w:r>
          </w:p>
        </w:tc>
        <w:tc>
          <w:tcPr>
            <w:tcW w:w="1065" w:type="dxa"/>
            <w:shd w:val="clear" w:color="auto" w:fill="auto"/>
            <w:noWrap/>
          </w:tcPr>
          <w:p w:rsidR="00AC40FC" w:rsidRPr="00886F58" w:rsidRDefault="00AC40FC" w:rsidP="00581946">
            <w:pPr>
              <w:spacing w:after="0"/>
              <w:jc w:val="center"/>
            </w:pPr>
            <w:r w:rsidRPr="00886F58">
              <w:t>-2</w:t>
            </w:r>
          </w:p>
        </w:tc>
      </w:tr>
      <w:tr w:rsidR="00AC40FC" w:rsidRPr="00875F2B" w:rsidTr="00581946">
        <w:trPr>
          <w:trHeight w:val="300"/>
          <w:jc w:val="center"/>
        </w:trPr>
        <w:tc>
          <w:tcPr>
            <w:tcW w:w="960" w:type="dxa"/>
            <w:shd w:val="clear" w:color="auto" w:fill="auto"/>
            <w:noWrap/>
            <w:hideMark/>
          </w:tcPr>
          <w:p w:rsidR="00AC40FC" w:rsidRPr="00886F58" w:rsidRDefault="00AC40FC" w:rsidP="00581946">
            <w:pPr>
              <w:spacing w:after="0"/>
              <w:jc w:val="center"/>
            </w:pPr>
            <w:r w:rsidRPr="00886F58">
              <w:t>0234</w:t>
            </w:r>
          </w:p>
        </w:tc>
        <w:tc>
          <w:tcPr>
            <w:tcW w:w="3506" w:type="dxa"/>
            <w:shd w:val="clear" w:color="auto" w:fill="auto"/>
            <w:noWrap/>
            <w:hideMark/>
          </w:tcPr>
          <w:p w:rsidR="00AC40FC" w:rsidRPr="00886F58" w:rsidRDefault="00AC40FC" w:rsidP="00581946">
            <w:pPr>
              <w:spacing w:after="0"/>
              <w:jc w:val="left"/>
            </w:pPr>
            <w:r w:rsidRPr="00886F58">
              <w:t>HR Genco &amp; Eplus</w:t>
            </w:r>
            <w:r w:rsidRPr="00422031">
              <w:rPr>
                <w:vertAlign w:val="superscript"/>
              </w:rPr>
              <w:t>3</w:t>
            </w:r>
          </w:p>
        </w:tc>
        <w:tc>
          <w:tcPr>
            <w:tcW w:w="810" w:type="dxa"/>
            <w:shd w:val="clear" w:color="auto" w:fill="auto"/>
            <w:noWrap/>
            <w:hideMark/>
          </w:tcPr>
          <w:p w:rsidR="00AC40FC" w:rsidRPr="00886F58" w:rsidRDefault="00AC40FC" w:rsidP="00581946">
            <w:pPr>
              <w:spacing w:after="0"/>
              <w:jc w:val="center"/>
            </w:pPr>
            <w:r w:rsidRPr="00886F58">
              <w:t>6</w:t>
            </w:r>
            <w:r>
              <w:t>*</w:t>
            </w:r>
          </w:p>
        </w:tc>
        <w:tc>
          <w:tcPr>
            <w:tcW w:w="750" w:type="dxa"/>
            <w:shd w:val="clear" w:color="auto" w:fill="auto"/>
            <w:noWrap/>
            <w:hideMark/>
          </w:tcPr>
          <w:p w:rsidR="00AC40FC" w:rsidRPr="00886F58" w:rsidRDefault="00AC40FC" w:rsidP="00581946">
            <w:pPr>
              <w:spacing w:after="0"/>
              <w:jc w:val="center"/>
            </w:pPr>
            <w:r w:rsidRPr="00886F58">
              <w:t>0</w:t>
            </w:r>
          </w:p>
        </w:tc>
        <w:tc>
          <w:tcPr>
            <w:tcW w:w="1065" w:type="dxa"/>
            <w:shd w:val="clear" w:color="auto" w:fill="auto"/>
            <w:noWrap/>
            <w:hideMark/>
          </w:tcPr>
          <w:p w:rsidR="00AC40FC" w:rsidRPr="00886F58" w:rsidRDefault="00AC40FC" w:rsidP="00581946">
            <w:pPr>
              <w:spacing w:after="0"/>
              <w:jc w:val="center"/>
            </w:pPr>
            <w:r w:rsidRPr="00886F58">
              <w:t>-6</w:t>
            </w:r>
          </w:p>
        </w:tc>
      </w:tr>
      <w:tr w:rsidR="00AC40FC" w:rsidRPr="00875F2B" w:rsidTr="00581946">
        <w:trPr>
          <w:trHeight w:val="300"/>
          <w:jc w:val="center"/>
        </w:trPr>
        <w:tc>
          <w:tcPr>
            <w:tcW w:w="960" w:type="dxa"/>
            <w:shd w:val="clear" w:color="auto" w:fill="auto"/>
            <w:noWrap/>
          </w:tcPr>
          <w:p w:rsidR="00AC40FC" w:rsidRPr="00886F58" w:rsidRDefault="00AC40FC" w:rsidP="00581946">
            <w:pPr>
              <w:spacing w:after="0"/>
              <w:jc w:val="center"/>
            </w:pPr>
            <w:r w:rsidRPr="00886F58">
              <w:t>0235</w:t>
            </w:r>
          </w:p>
        </w:tc>
        <w:tc>
          <w:tcPr>
            <w:tcW w:w="3506" w:type="dxa"/>
            <w:shd w:val="clear" w:color="auto" w:fill="auto"/>
            <w:noWrap/>
          </w:tcPr>
          <w:p w:rsidR="00AC40FC" w:rsidRPr="00886F58" w:rsidRDefault="00AC40FC" w:rsidP="00581946">
            <w:pPr>
              <w:spacing w:after="0"/>
              <w:jc w:val="left"/>
            </w:pPr>
            <w:r w:rsidRPr="00886F58">
              <w:t>HR Electric Utilities</w:t>
            </w:r>
          </w:p>
        </w:tc>
        <w:tc>
          <w:tcPr>
            <w:tcW w:w="810" w:type="dxa"/>
            <w:shd w:val="clear" w:color="auto" w:fill="auto"/>
            <w:noWrap/>
          </w:tcPr>
          <w:p w:rsidR="00AC40FC" w:rsidRPr="00886F58" w:rsidRDefault="00AC40FC" w:rsidP="00581946">
            <w:pPr>
              <w:spacing w:after="0"/>
              <w:jc w:val="center"/>
            </w:pPr>
            <w:r w:rsidRPr="00886F58">
              <w:t>9</w:t>
            </w:r>
            <w:r>
              <w:t>*</w:t>
            </w:r>
          </w:p>
        </w:tc>
        <w:tc>
          <w:tcPr>
            <w:tcW w:w="750" w:type="dxa"/>
            <w:shd w:val="clear" w:color="auto" w:fill="auto"/>
            <w:noWrap/>
          </w:tcPr>
          <w:p w:rsidR="00AC40FC" w:rsidRPr="00886F58" w:rsidRDefault="00AC40FC" w:rsidP="00581946">
            <w:pPr>
              <w:spacing w:after="0"/>
              <w:jc w:val="center"/>
            </w:pPr>
            <w:r w:rsidRPr="00886F58">
              <w:t>0</w:t>
            </w:r>
          </w:p>
        </w:tc>
        <w:tc>
          <w:tcPr>
            <w:tcW w:w="1065" w:type="dxa"/>
            <w:shd w:val="clear" w:color="auto" w:fill="auto"/>
            <w:noWrap/>
          </w:tcPr>
          <w:p w:rsidR="00AC40FC" w:rsidRPr="00886F58" w:rsidRDefault="00AC40FC" w:rsidP="00581946">
            <w:pPr>
              <w:spacing w:after="0"/>
              <w:jc w:val="center"/>
            </w:pPr>
            <w:r w:rsidRPr="00886F58">
              <w:t>-9</w:t>
            </w:r>
          </w:p>
        </w:tc>
      </w:tr>
      <w:tr w:rsidR="00AC40FC" w:rsidRPr="00875F2B" w:rsidTr="00581946">
        <w:trPr>
          <w:trHeight w:val="300"/>
          <w:jc w:val="center"/>
        </w:trPr>
        <w:tc>
          <w:tcPr>
            <w:tcW w:w="960" w:type="dxa"/>
            <w:shd w:val="clear" w:color="auto" w:fill="auto"/>
            <w:noWrap/>
            <w:hideMark/>
          </w:tcPr>
          <w:p w:rsidR="00AC40FC" w:rsidRPr="00886F58" w:rsidRDefault="00AC40FC" w:rsidP="00581946">
            <w:pPr>
              <w:spacing w:after="0"/>
              <w:jc w:val="center"/>
            </w:pPr>
            <w:r w:rsidRPr="00886F58">
              <w:t>0236</w:t>
            </w:r>
          </w:p>
        </w:tc>
        <w:tc>
          <w:tcPr>
            <w:tcW w:w="3506" w:type="dxa"/>
            <w:shd w:val="clear" w:color="auto" w:fill="auto"/>
            <w:noWrap/>
            <w:hideMark/>
          </w:tcPr>
          <w:p w:rsidR="00AC40FC" w:rsidRPr="00886F58" w:rsidRDefault="00AC40FC" w:rsidP="00581946">
            <w:pPr>
              <w:spacing w:after="0"/>
              <w:jc w:val="left"/>
            </w:pPr>
            <w:r w:rsidRPr="00886F58">
              <w:t>HR SSES</w:t>
            </w:r>
            <w:r w:rsidRPr="00422031">
              <w:rPr>
                <w:vertAlign w:val="superscript"/>
              </w:rPr>
              <w:t>4</w:t>
            </w:r>
          </w:p>
        </w:tc>
        <w:tc>
          <w:tcPr>
            <w:tcW w:w="810" w:type="dxa"/>
            <w:shd w:val="clear" w:color="auto" w:fill="auto"/>
            <w:noWrap/>
            <w:hideMark/>
          </w:tcPr>
          <w:p w:rsidR="00AC40FC" w:rsidRPr="00886F58" w:rsidRDefault="00AC40FC" w:rsidP="00581946">
            <w:pPr>
              <w:spacing w:after="0"/>
              <w:jc w:val="center"/>
            </w:pPr>
            <w:r w:rsidRPr="00886F58">
              <w:t>2</w:t>
            </w:r>
            <w:r>
              <w:t>*</w:t>
            </w:r>
          </w:p>
        </w:tc>
        <w:tc>
          <w:tcPr>
            <w:tcW w:w="750" w:type="dxa"/>
            <w:shd w:val="clear" w:color="auto" w:fill="auto"/>
            <w:noWrap/>
            <w:hideMark/>
          </w:tcPr>
          <w:p w:rsidR="00AC40FC" w:rsidRPr="00886F58" w:rsidRDefault="00AC40FC" w:rsidP="00581946">
            <w:pPr>
              <w:spacing w:after="0"/>
              <w:jc w:val="center"/>
            </w:pPr>
            <w:r w:rsidRPr="00886F58">
              <w:t>0</w:t>
            </w:r>
          </w:p>
        </w:tc>
        <w:tc>
          <w:tcPr>
            <w:tcW w:w="1065" w:type="dxa"/>
            <w:shd w:val="clear" w:color="auto" w:fill="auto"/>
            <w:noWrap/>
            <w:hideMark/>
          </w:tcPr>
          <w:p w:rsidR="00AC40FC" w:rsidRPr="00886F58" w:rsidRDefault="00AC40FC" w:rsidP="00581946">
            <w:pPr>
              <w:spacing w:after="0"/>
              <w:jc w:val="center"/>
            </w:pPr>
            <w:r w:rsidRPr="00886F58">
              <w:t>-2</w:t>
            </w:r>
          </w:p>
        </w:tc>
      </w:tr>
      <w:tr w:rsidR="00AC40FC" w:rsidRPr="00875F2B" w:rsidTr="00581946">
        <w:trPr>
          <w:trHeight w:val="300"/>
          <w:jc w:val="center"/>
        </w:trPr>
        <w:tc>
          <w:tcPr>
            <w:tcW w:w="960" w:type="dxa"/>
            <w:shd w:val="clear" w:color="auto" w:fill="auto"/>
            <w:noWrap/>
            <w:hideMark/>
          </w:tcPr>
          <w:p w:rsidR="00AC40FC" w:rsidRPr="00886F58" w:rsidRDefault="00AC40FC" w:rsidP="00581946">
            <w:pPr>
              <w:spacing w:after="0"/>
              <w:jc w:val="center"/>
            </w:pPr>
            <w:r w:rsidRPr="00886F58">
              <w:t>0237</w:t>
            </w:r>
          </w:p>
        </w:tc>
        <w:tc>
          <w:tcPr>
            <w:tcW w:w="3506" w:type="dxa"/>
            <w:shd w:val="clear" w:color="auto" w:fill="auto"/>
            <w:noWrap/>
            <w:hideMark/>
          </w:tcPr>
          <w:p w:rsidR="00AC40FC" w:rsidRPr="00886F58" w:rsidRDefault="00AC40FC" w:rsidP="00581946">
            <w:pPr>
              <w:spacing w:after="0"/>
              <w:jc w:val="left"/>
            </w:pPr>
            <w:r w:rsidRPr="00886F58">
              <w:t>HR Corporate Services</w:t>
            </w:r>
          </w:p>
        </w:tc>
        <w:tc>
          <w:tcPr>
            <w:tcW w:w="810" w:type="dxa"/>
            <w:shd w:val="clear" w:color="auto" w:fill="auto"/>
            <w:noWrap/>
            <w:hideMark/>
          </w:tcPr>
          <w:p w:rsidR="00AC40FC" w:rsidRPr="00886F58" w:rsidRDefault="00AC40FC" w:rsidP="00581946">
            <w:pPr>
              <w:spacing w:after="0"/>
              <w:jc w:val="center"/>
            </w:pPr>
            <w:r w:rsidRPr="00886F58">
              <w:t>1</w:t>
            </w:r>
          </w:p>
        </w:tc>
        <w:tc>
          <w:tcPr>
            <w:tcW w:w="750" w:type="dxa"/>
            <w:shd w:val="clear" w:color="auto" w:fill="auto"/>
            <w:noWrap/>
            <w:hideMark/>
          </w:tcPr>
          <w:p w:rsidR="00AC40FC" w:rsidRPr="00886F58" w:rsidRDefault="00AC40FC" w:rsidP="00581946">
            <w:pPr>
              <w:spacing w:after="0"/>
              <w:jc w:val="center"/>
            </w:pPr>
            <w:r w:rsidRPr="00886F58">
              <w:t>7</w:t>
            </w:r>
          </w:p>
        </w:tc>
        <w:tc>
          <w:tcPr>
            <w:tcW w:w="1065" w:type="dxa"/>
            <w:shd w:val="clear" w:color="auto" w:fill="auto"/>
            <w:noWrap/>
            <w:hideMark/>
          </w:tcPr>
          <w:p w:rsidR="00AC40FC" w:rsidRPr="00886F58" w:rsidRDefault="00AC40FC" w:rsidP="00581946">
            <w:pPr>
              <w:spacing w:after="0"/>
              <w:jc w:val="center"/>
            </w:pPr>
            <w:r w:rsidRPr="00886F58">
              <w:t>+6</w:t>
            </w:r>
          </w:p>
        </w:tc>
      </w:tr>
      <w:tr w:rsidR="00AC40FC" w:rsidRPr="00875F2B" w:rsidTr="00581946">
        <w:trPr>
          <w:trHeight w:val="300"/>
          <w:jc w:val="center"/>
        </w:trPr>
        <w:tc>
          <w:tcPr>
            <w:tcW w:w="960" w:type="dxa"/>
            <w:shd w:val="clear" w:color="auto" w:fill="auto"/>
            <w:noWrap/>
            <w:hideMark/>
          </w:tcPr>
          <w:p w:rsidR="00AC40FC" w:rsidRPr="00886F58" w:rsidRDefault="00AC40FC" w:rsidP="00581946">
            <w:pPr>
              <w:spacing w:after="0"/>
              <w:jc w:val="center"/>
            </w:pPr>
            <w:r w:rsidRPr="00886F58">
              <w:t>0239</w:t>
            </w:r>
          </w:p>
        </w:tc>
        <w:tc>
          <w:tcPr>
            <w:tcW w:w="3506" w:type="dxa"/>
            <w:shd w:val="clear" w:color="auto" w:fill="auto"/>
            <w:noWrap/>
            <w:hideMark/>
          </w:tcPr>
          <w:p w:rsidR="00AC40FC" w:rsidRPr="00886F58" w:rsidRDefault="00AC40FC" w:rsidP="00581946">
            <w:pPr>
              <w:spacing w:after="0"/>
              <w:jc w:val="left"/>
            </w:pPr>
            <w:r w:rsidRPr="00886F58">
              <w:t>Recruiting &amp; Selection</w:t>
            </w:r>
            <w:r w:rsidRPr="00422031">
              <w:rPr>
                <w:vertAlign w:val="superscript"/>
              </w:rPr>
              <w:t>5</w:t>
            </w:r>
          </w:p>
        </w:tc>
        <w:tc>
          <w:tcPr>
            <w:tcW w:w="810" w:type="dxa"/>
            <w:shd w:val="clear" w:color="auto" w:fill="auto"/>
            <w:noWrap/>
            <w:hideMark/>
          </w:tcPr>
          <w:p w:rsidR="00AC40FC" w:rsidRPr="00886F58" w:rsidRDefault="00AC40FC" w:rsidP="00581946">
            <w:pPr>
              <w:spacing w:after="0"/>
              <w:jc w:val="center"/>
            </w:pPr>
            <w:r w:rsidRPr="00886F58">
              <w:t>4</w:t>
            </w:r>
            <w:r>
              <w:t>*</w:t>
            </w:r>
          </w:p>
        </w:tc>
        <w:tc>
          <w:tcPr>
            <w:tcW w:w="750" w:type="dxa"/>
            <w:shd w:val="clear" w:color="auto" w:fill="auto"/>
            <w:noWrap/>
            <w:hideMark/>
          </w:tcPr>
          <w:p w:rsidR="00AC40FC" w:rsidRPr="00886F58" w:rsidRDefault="00AC40FC" w:rsidP="00581946">
            <w:pPr>
              <w:spacing w:after="0"/>
              <w:jc w:val="center"/>
            </w:pPr>
            <w:r w:rsidRPr="00886F58">
              <w:t>0</w:t>
            </w:r>
          </w:p>
        </w:tc>
        <w:tc>
          <w:tcPr>
            <w:tcW w:w="1065" w:type="dxa"/>
            <w:shd w:val="clear" w:color="auto" w:fill="auto"/>
            <w:noWrap/>
            <w:hideMark/>
          </w:tcPr>
          <w:p w:rsidR="00AC40FC" w:rsidRPr="00886F58" w:rsidRDefault="00AC40FC" w:rsidP="00581946">
            <w:pPr>
              <w:spacing w:after="0"/>
              <w:jc w:val="center"/>
            </w:pPr>
            <w:r w:rsidRPr="00886F58">
              <w:t>-4</w:t>
            </w:r>
          </w:p>
        </w:tc>
      </w:tr>
      <w:tr w:rsidR="00AC40FC" w:rsidRPr="00875F2B" w:rsidTr="00581946">
        <w:trPr>
          <w:trHeight w:val="300"/>
          <w:jc w:val="center"/>
        </w:trPr>
        <w:tc>
          <w:tcPr>
            <w:tcW w:w="960" w:type="dxa"/>
            <w:shd w:val="clear" w:color="auto" w:fill="auto"/>
            <w:noWrap/>
          </w:tcPr>
          <w:p w:rsidR="00AC40FC" w:rsidRPr="00886F58" w:rsidRDefault="00AC40FC" w:rsidP="00581946">
            <w:pPr>
              <w:spacing w:after="0"/>
              <w:jc w:val="center"/>
            </w:pPr>
            <w:r w:rsidRPr="00886F58">
              <w:t>0240</w:t>
            </w:r>
          </w:p>
        </w:tc>
        <w:tc>
          <w:tcPr>
            <w:tcW w:w="3506" w:type="dxa"/>
            <w:shd w:val="clear" w:color="auto" w:fill="auto"/>
            <w:noWrap/>
          </w:tcPr>
          <w:p w:rsidR="00AC40FC" w:rsidRPr="00886F58" w:rsidRDefault="00AC40FC" w:rsidP="00581946">
            <w:pPr>
              <w:spacing w:after="0"/>
              <w:jc w:val="left"/>
            </w:pPr>
            <w:r w:rsidRPr="00886F58">
              <w:t>Talent Management</w:t>
            </w:r>
            <w:r w:rsidRPr="00422031">
              <w:rPr>
                <w:vertAlign w:val="superscript"/>
              </w:rPr>
              <w:t>6</w:t>
            </w:r>
          </w:p>
        </w:tc>
        <w:tc>
          <w:tcPr>
            <w:tcW w:w="810" w:type="dxa"/>
            <w:shd w:val="clear" w:color="auto" w:fill="auto"/>
            <w:noWrap/>
          </w:tcPr>
          <w:p w:rsidR="00AC40FC" w:rsidRPr="00886F58" w:rsidRDefault="00AC40FC" w:rsidP="00581946">
            <w:pPr>
              <w:spacing w:after="0"/>
              <w:jc w:val="center"/>
            </w:pPr>
            <w:r w:rsidRPr="00886F58">
              <w:t>3</w:t>
            </w:r>
            <w:r>
              <w:t>*</w:t>
            </w:r>
          </w:p>
        </w:tc>
        <w:tc>
          <w:tcPr>
            <w:tcW w:w="750" w:type="dxa"/>
            <w:shd w:val="clear" w:color="auto" w:fill="auto"/>
            <w:noWrap/>
          </w:tcPr>
          <w:p w:rsidR="00AC40FC" w:rsidRPr="00886F58" w:rsidRDefault="00AC40FC" w:rsidP="00581946">
            <w:pPr>
              <w:spacing w:after="0"/>
              <w:jc w:val="center"/>
            </w:pPr>
            <w:r w:rsidRPr="00886F58">
              <w:t>0</w:t>
            </w:r>
          </w:p>
        </w:tc>
        <w:tc>
          <w:tcPr>
            <w:tcW w:w="1065" w:type="dxa"/>
            <w:shd w:val="clear" w:color="auto" w:fill="auto"/>
            <w:noWrap/>
          </w:tcPr>
          <w:p w:rsidR="00AC40FC" w:rsidRPr="00886F58" w:rsidRDefault="00AC40FC" w:rsidP="00581946">
            <w:pPr>
              <w:spacing w:after="0"/>
              <w:jc w:val="center"/>
            </w:pPr>
            <w:r w:rsidRPr="00886F58">
              <w:t>-3</w:t>
            </w:r>
          </w:p>
        </w:tc>
      </w:tr>
      <w:tr w:rsidR="00AC40FC" w:rsidRPr="00875F2B" w:rsidTr="00581946">
        <w:trPr>
          <w:trHeight w:val="300"/>
          <w:jc w:val="center"/>
        </w:trPr>
        <w:tc>
          <w:tcPr>
            <w:tcW w:w="960" w:type="dxa"/>
            <w:shd w:val="clear" w:color="auto" w:fill="auto"/>
            <w:noWrap/>
          </w:tcPr>
          <w:p w:rsidR="00AC40FC" w:rsidRPr="00886F58" w:rsidRDefault="00AC40FC" w:rsidP="00581946">
            <w:pPr>
              <w:spacing w:after="0"/>
              <w:jc w:val="center"/>
            </w:pPr>
            <w:r w:rsidRPr="00886F58">
              <w:t>0242</w:t>
            </w:r>
          </w:p>
        </w:tc>
        <w:tc>
          <w:tcPr>
            <w:tcW w:w="3506" w:type="dxa"/>
            <w:shd w:val="clear" w:color="auto" w:fill="auto"/>
            <w:noWrap/>
          </w:tcPr>
          <w:p w:rsidR="00AC40FC" w:rsidRPr="00886F58" w:rsidRDefault="00AC40FC" w:rsidP="00581946">
            <w:pPr>
              <w:spacing w:after="0"/>
              <w:jc w:val="left"/>
            </w:pPr>
            <w:r w:rsidRPr="00886F58">
              <w:t>Diversity &amp; Inclusion</w:t>
            </w:r>
          </w:p>
        </w:tc>
        <w:tc>
          <w:tcPr>
            <w:tcW w:w="810" w:type="dxa"/>
            <w:shd w:val="clear" w:color="auto" w:fill="auto"/>
            <w:noWrap/>
          </w:tcPr>
          <w:p w:rsidR="00AC40FC" w:rsidRPr="00886F58" w:rsidRDefault="00AC40FC" w:rsidP="00581946">
            <w:pPr>
              <w:spacing w:after="0"/>
              <w:jc w:val="center"/>
            </w:pPr>
            <w:r w:rsidRPr="00886F58">
              <w:t>1</w:t>
            </w:r>
            <w:r>
              <w:t>*</w:t>
            </w:r>
          </w:p>
        </w:tc>
        <w:tc>
          <w:tcPr>
            <w:tcW w:w="750" w:type="dxa"/>
            <w:shd w:val="clear" w:color="auto" w:fill="auto"/>
            <w:noWrap/>
          </w:tcPr>
          <w:p w:rsidR="00AC40FC" w:rsidRPr="00886F58" w:rsidRDefault="00AC40FC" w:rsidP="00581946">
            <w:pPr>
              <w:spacing w:after="0"/>
              <w:jc w:val="center"/>
            </w:pPr>
            <w:r w:rsidRPr="00886F58">
              <w:t>0</w:t>
            </w:r>
          </w:p>
        </w:tc>
        <w:tc>
          <w:tcPr>
            <w:tcW w:w="1065" w:type="dxa"/>
            <w:shd w:val="clear" w:color="auto" w:fill="auto"/>
            <w:noWrap/>
          </w:tcPr>
          <w:p w:rsidR="00AC40FC" w:rsidRPr="00886F58" w:rsidRDefault="00AC40FC" w:rsidP="00581946">
            <w:pPr>
              <w:spacing w:after="0"/>
              <w:jc w:val="center"/>
            </w:pPr>
            <w:r w:rsidRPr="00886F58">
              <w:t>-1</w:t>
            </w:r>
          </w:p>
        </w:tc>
      </w:tr>
      <w:tr w:rsidR="00AC40FC" w:rsidRPr="00875F2B" w:rsidTr="00581946">
        <w:trPr>
          <w:trHeight w:val="300"/>
          <w:jc w:val="center"/>
        </w:trPr>
        <w:tc>
          <w:tcPr>
            <w:tcW w:w="960" w:type="dxa"/>
            <w:shd w:val="clear" w:color="auto" w:fill="auto"/>
            <w:noWrap/>
          </w:tcPr>
          <w:p w:rsidR="00AC40FC" w:rsidRPr="00886F58" w:rsidRDefault="00AC40FC" w:rsidP="00581946">
            <w:pPr>
              <w:spacing w:after="0"/>
              <w:jc w:val="center"/>
            </w:pPr>
            <w:r w:rsidRPr="00886F58">
              <w:t>0243</w:t>
            </w:r>
          </w:p>
        </w:tc>
        <w:tc>
          <w:tcPr>
            <w:tcW w:w="3506" w:type="dxa"/>
            <w:shd w:val="clear" w:color="auto" w:fill="auto"/>
            <w:noWrap/>
          </w:tcPr>
          <w:p w:rsidR="00AC40FC" w:rsidRPr="00886F58" w:rsidRDefault="00AC40FC" w:rsidP="00581946">
            <w:pPr>
              <w:spacing w:after="0"/>
              <w:jc w:val="left"/>
            </w:pPr>
            <w:r w:rsidRPr="00886F58">
              <w:t>HR Transition Project</w:t>
            </w:r>
          </w:p>
        </w:tc>
        <w:tc>
          <w:tcPr>
            <w:tcW w:w="810" w:type="dxa"/>
            <w:shd w:val="clear" w:color="auto" w:fill="auto"/>
            <w:noWrap/>
          </w:tcPr>
          <w:p w:rsidR="00AC40FC" w:rsidRPr="00886F58" w:rsidRDefault="00AC40FC" w:rsidP="00581946">
            <w:pPr>
              <w:spacing w:after="0"/>
              <w:jc w:val="center"/>
            </w:pPr>
            <w:r w:rsidRPr="00886F58">
              <w:t>0</w:t>
            </w:r>
          </w:p>
        </w:tc>
        <w:tc>
          <w:tcPr>
            <w:tcW w:w="750" w:type="dxa"/>
            <w:shd w:val="clear" w:color="auto" w:fill="auto"/>
            <w:noWrap/>
          </w:tcPr>
          <w:p w:rsidR="00AC40FC" w:rsidRPr="00886F58" w:rsidRDefault="00AC40FC" w:rsidP="00581946">
            <w:pPr>
              <w:spacing w:after="0"/>
              <w:jc w:val="center"/>
            </w:pPr>
            <w:r w:rsidRPr="00886F58">
              <w:t>7</w:t>
            </w:r>
          </w:p>
        </w:tc>
        <w:tc>
          <w:tcPr>
            <w:tcW w:w="1065" w:type="dxa"/>
            <w:shd w:val="clear" w:color="auto" w:fill="auto"/>
            <w:noWrap/>
          </w:tcPr>
          <w:p w:rsidR="00AC40FC" w:rsidRPr="00886F58" w:rsidRDefault="00AC40FC" w:rsidP="00581946">
            <w:pPr>
              <w:spacing w:after="0"/>
              <w:jc w:val="center"/>
            </w:pPr>
            <w:r w:rsidRPr="00886F58">
              <w:t>+7</w:t>
            </w:r>
          </w:p>
        </w:tc>
      </w:tr>
      <w:tr w:rsidR="00AC40FC" w:rsidRPr="00875F2B" w:rsidTr="00581946">
        <w:trPr>
          <w:trHeight w:val="300"/>
          <w:jc w:val="center"/>
        </w:trPr>
        <w:tc>
          <w:tcPr>
            <w:tcW w:w="960" w:type="dxa"/>
            <w:shd w:val="clear" w:color="auto" w:fill="auto"/>
            <w:noWrap/>
          </w:tcPr>
          <w:p w:rsidR="00AC40FC" w:rsidRPr="00886F58" w:rsidRDefault="00AC40FC" w:rsidP="00581946">
            <w:pPr>
              <w:spacing w:after="0"/>
              <w:jc w:val="center"/>
            </w:pPr>
            <w:r w:rsidRPr="00886F58">
              <w:t>0245</w:t>
            </w:r>
          </w:p>
        </w:tc>
        <w:tc>
          <w:tcPr>
            <w:tcW w:w="3506" w:type="dxa"/>
            <w:shd w:val="clear" w:color="auto" w:fill="auto"/>
            <w:noWrap/>
          </w:tcPr>
          <w:p w:rsidR="00AC40FC" w:rsidRPr="00886F58" w:rsidRDefault="00AC40FC" w:rsidP="00581946">
            <w:pPr>
              <w:spacing w:after="0"/>
              <w:jc w:val="left"/>
            </w:pPr>
            <w:r w:rsidRPr="00886F58">
              <w:t>Compensation Prgrms</w:t>
            </w:r>
            <w:r w:rsidRPr="00422031">
              <w:rPr>
                <w:vertAlign w:val="superscript"/>
              </w:rPr>
              <w:t>7</w:t>
            </w:r>
          </w:p>
        </w:tc>
        <w:tc>
          <w:tcPr>
            <w:tcW w:w="810" w:type="dxa"/>
            <w:shd w:val="clear" w:color="auto" w:fill="auto"/>
            <w:noWrap/>
          </w:tcPr>
          <w:p w:rsidR="00AC40FC" w:rsidRPr="00886F58" w:rsidRDefault="00AC40FC" w:rsidP="00581946">
            <w:pPr>
              <w:spacing w:after="0"/>
              <w:jc w:val="center"/>
            </w:pPr>
            <w:r w:rsidRPr="00886F58">
              <w:t>3</w:t>
            </w:r>
            <w:r>
              <w:t>*</w:t>
            </w:r>
          </w:p>
        </w:tc>
        <w:tc>
          <w:tcPr>
            <w:tcW w:w="750" w:type="dxa"/>
            <w:shd w:val="clear" w:color="auto" w:fill="auto"/>
            <w:noWrap/>
          </w:tcPr>
          <w:p w:rsidR="00AC40FC" w:rsidRPr="00886F58" w:rsidRDefault="00AC40FC" w:rsidP="00581946">
            <w:pPr>
              <w:spacing w:after="0"/>
              <w:jc w:val="center"/>
            </w:pPr>
            <w:r w:rsidRPr="00886F58">
              <w:t>0</w:t>
            </w:r>
          </w:p>
        </w:tc>
        <w:tc>
          <w:tcPr>
            <w:tcW w:w="1065" w:type="dxa"/>
            <w:shd w:val="clear" w:color="auto" w:fill="auto"/>
            <w:noWrap/>
          </w:tcPr>
          <w:p w:rsidR="00AC40FC" w:rsidRPr="00886F58" w:rsidRDefault="00AC40FC" w:rsidP="00581946">
            <w:pPr>
              <w:spacing w:after="0"/>
              <w:jc w:val="center"/>
            </w:pPr>
            <w:r w:rsidRPr="00886F58">
              <w:t>-3</w:t>
            </w:r>
          </w:p>
        </w:tc>
      </w:tr>
      <w:tr w:rsidR="00AC40FC" w:rsidRPr="00875F2B" w:rsidTr="00581946">
        <w:trPr>
          <w:trHeight w:val="300"/>
          <w:jc w:val="center"/>
        </w:trPr>
        <w:tc>
          <w:tcPr>
            <w:tcW w:w="960" w:type="dxa"/>
            <w:shd w:val="clear" w:color="auto" w:fill="auto"/>
            <w:noWrap/>
          </w:tcPr>
          <w:p w:rsidR="00AC40FC" w:rsidRPr="00886F58" w:rsidRDefault="00AC40FC" w:rsidP="00581946">
            <w:pPr>
              <w:spacing w:after="0"/>
              <w:jc w:val="center"/>
            </w:pPr>
            <w:r w:rsidRPr="00886F58">
              <w:t>0247</w:t>
            </w:r>
          </w:p>
        </w:tc>
        <w:tc>
          <w:tcPr>
            <w:tcW w:w="3506" w:type="dxa"/>
            <w:shd w:val="clear" w:color="auto" w:fill="auto"/>
            <w:noWrap/>
          </w:tcPr>
          <w:p w:rsidR="00AC40FC" w:rsidRPr="00886F58" w:rsidRDefault="00AC40FC" w:rsidP="00581946">
            <w:pPr>
              <w:spacing w:after="0"/>
              <w:jc w:val="left"/>
            </w:pPr>
            <w:r w:rsidRPr="00886F58">
              <w:t>Benefits Administration</w:t>
            </w:r>
          </w:p>
        </w:tc>
        <w:tc>
          <w:tcPr>
            <w:tcW w:w="810" w:type="dxa"/>
            <w:shd w:val="clear" w:color="auto" w:fill="auto"/>
            <w:noWrap/>
          </w:tcPr>
          <w:p w:rsidR="00AC40FC" w:rsidRPr="00886F58" w:rsidRDefault="00AC40FC" w:rsidP="00581946">
            <w:pPr>
              <w:spacing w:after="0"/>
              <w:jc w:val="center"/>
            </w:pPr>
            <w:r w:rsidRPr="00886F58">
              <w:t>6</w:t>
            </w:r>
          </w:p>
        </w:tc>
        <w:tc>
          <w:tcPr>
            <w:tcW w:w="750" w:type="dxa"/>
            <w:shd w:val="clear" w:color="auto" w:fill="auto"/>
            <w:noWrap/>
          </w:tcPr>
          <w:p w:rsidR="00AC40FC" w:rsidRPr="00886F58" w:rsidRDefault="00AC40FC" w:rsidP="00581946">
            <w:pPr>
              <w:spacing w:after="0"/>
              <w:jc w:val="center"/>
            </w:pPr>
            <w:r w:rsidRPr="00886F58">
              <w:t>7</w:t>
            </w:r>
          </w:p>
        </w:tc>
        <w:tc>
          <w:tcPr>
            <w:tcW w:w="1065" w:type="dxa"/>
            <w:shd w:val="clear" w:color="auto" w:fill="auto"/>
            <w:noWrap/>
          </w:tcPr>
          <w:p w:rsidR="00AC40FC" w:rsidRPr="00886F58" w:rsidRDefault="00AC40FC" w:rsidP="00581946">
            <w:pPr>
              <w:spacing w:after="0"/>
              <w:jc w:val="center"/>
            </w:pPr>
            <w:r w:rsidRPr="00886F58">
              <w:t>+1</w:t>
            </w:r>
          </w:p>
        </w:tc>
      </w:tr>
      <w:tr w:rsidR="00AC40FC" w:rsidRPr="00875F2B" w:rsidTr="00581946">
        <w:trPr>
          <w:trHeight w:val="300"/>
          <w:jc w:val="center"/>
        </w:trPr>
        <w:tc>
          <w:tcPr>
            <w:tcW w:w="960" w:type="dxa"/>
            <w:shd w:val="clear" w:color="auto" w:fill="auto"/>
            <w:noWrap/>
          </w:tcPr>
          <w:p w:rsidR="00AC40FC" w:rsidRPr="00886F58" w:rsidRDefault="00AC40FC" w:rsidP="00581946">
            <w:pPr>
              <w:spacing w:after="0"/>
              <w:jc w:val="center"/>
            </w:pPr>
            <w:r w:rsidRPr="00886F58">
              <w:t>0251</w:t>
            </w:r>
          </w:p>
        </w:tc>
        <w:tc>
          <w:tcPr>
            <w:tcW w:w="3506" w:type="dxa"/>
            <w:shd w:val="clear" w:color="auto" w:fill="auto"/>
            <w:noWrap/>
          </w:tcPr>
          <w:p w:rsidR="00AC40FC" w:rsidRPr="00886F58" w:rsidRDefault="00AC40FC" w:rsidP="00581946">
            <w:pPr>
              <w:spacing w:after="0"/>
              <w:jc w:val="left"/>
            </w:pPr>
            <w:r w:rsidRPr="00886F58">
              <w:t>HR Operations (HR Solutions)</w:t>
            </w:r>
          </w:p>
        </w:tc>
        <w:tc>
          <w:tcPr>
            <w:tcW w:w="810" w:type="dxa"/>
            <w:shd w:val="clear" w:color="auto" w:fill="auto"/>
            <w:noWrap/>
          </w:tcPr>
          <w:p w:rsidR="00AC40FC" w:rsidRPr="00886F58" w:rsidRDefault="00AC40FC" w:rsidP="00581946">
            <w:pPr>
              <w:spacing w:after="0"/>
              <w:jc w:val="center"/>
            </w:pPr>
            <w:r w:rsidRPr="00886F58">
              <w:t>8</w:t>
            </w:r>
          </w:p>
        </w:tc>
        <w:tc>
          <w:tcPr>
            <w:tcW w:w="750" w:type="dxa"/>
            <w:shd w:val="clear" w:color="auto" w:fill="auto"/>
            <w:noWrap/>
          </w:tcPr>
          <w:p w:rsidR="00AC40FC" w:rsidRPr="00886F58" w:rsidRDefault="00AC40FC" w:rsidP="00581946">
            <w:pPr>
              <w:spacing w:after="0"/>
              <w:jc w:val="center"/>
            </w:pPr>
            <w:r w:rsidRPr="00886F58">
              <w:t>9</w:t>
            </w:r>
          </w:p>
        </w:tc>
        <w:tc>
          <w:tcPr>
            <w:tcW w:w="1065" w:type="dxa"/>
            <w:shd w:val="clear" w:color="auto" w:fill="auto"/>
            <w:noWrap/>
          </w:tcPr>
          <w:p w:rsidR="00AC40FC" w:rsidRPr="00886F58" w:rsidRDefault="00AC40FC" w:rsidP="00581946">
            <w:pPr>
              <w:spacing w:after="0"/>
              <w:jc w:val="center"/>
            </w:pPr>
            <w:r w:rsidRPr="00886F58">
              <w:t>+1</w:t>
            </w:r>
          </w:p>
        </w:tc>
      </w:tr>
      <w:tr w:rsidR="00AC40FC" w:rsidRPr="00875F2B" w:rsidTr="00581946">
        <w:trPr>
          <w:trHeight w:val="300"/>
          <w:jc w:val="center"/>
        </w:trPr>
        <w:tc>
          <w:tcPr>
            <w:tcW w:w="960" w:type="dxa"/>
            <w:shd w:val="clear" w:color="auto" w:fill="auto"/>
            <w:noWrap/>
          </w:tcPr>
          <w:p w:rsidR="00AC40FC" w:rsidRPr="00886F58" w:rsidRDefault="00AC40FC" w:rsidP="00581946">
            <w:pPr>
              <w:spacing w:after="0"/>
              <w:jc w:val="center"/>
            </w:pPr>
            <w:r w:rsidRPr="00886F58">
              <w:t>0252</w:t>
            </w:r>
          </w:p>
        </w:tc>
        <w:tc>
          <w:tcPr>
            <w:tcW w:w="3506" w:type="dxa"/>
            <w:shd w:val="clear" w:color="auto" w:fill="auto"/>
            <w:noWrap/>
          </w:tcPr>
          <w:p w:rsidR="00AC40FC" w:rsidRPr="00886F58" w:rsidRDefault="00AC40FC" w:rsidP="00581946">
            <w:pPr>
              <w:spacing w:after="0"/>
              <w:jc w:val="left"/>
            </w:pPr>
            <w:r w:rsidRPr="00886F58">
              <w:t>HR&amp;S Financial Planning</w:t>
            </w:r>
            <w:r w:rsidRPr="00422031">
              <w:rPr>
                <w:vertAlign w:val="superscript"/>
              </w:rPr>
              <w:t>8</w:t>
            </w:r>
          </w:p>
        </w:tc>
        <w:tc>
          <w:tcPr>
            <w:tcW w:w="810" w:type="dxa"/>
            <w:shd w:val="clear" w:color="auto" w:fill="auto"/>
            <w:noWrap/>
          </w:tcPr>
          <w:p w:rsidR="00AC40FC" w:rsidRPr="00886F58" w:rsidRDefault="00AC40FC" w:rsidP="00581946">
            <w:pPr>
              <w:spacing w:after="0"/>
              <w:jc w:val="center"/>
            </w:pPr>
            <w:r w:rsidRPr="00886F58">
              <w:t>3</w:t>
            </w:r>
            <w:r>
              <w:t>*</w:t>
            </w:r>
          </w:p>
        </w:tc>
        <w:tc>
          <w:tcPr>
            <w:tcW w:w="750" w:type="dxa"/>
            <w:shd w:val="clear" w:color="auto" w:fill="auto"/>
            <w:noWrap/>
          </w:tcPr>
          <w:p w:rsidR="00AC40FC" w:rsidRPr="00886F58" w:rsidRDefault="00AC40FC" w:rsidP="00581946">
            <w:pPr>
              <w:spacing w:after="0"/>
              <w:jc w:val="center"/>
            </w:pPr>
            <w:r w:rsidRPr="00886F58">
              <w:t>0</w:t>
            </w:r>
          </w:p>
        </w:tc>
        <w:tc>
          <w:tcPr>
            <w:tcW w:w="1065" w:type="dxa"/>
            <w:shd w:val="clear" w:color="auto" w:fill="auto"/>
            <w:noWrap/>
          </w:tcPr>
          <w:p w:rsidR="00AC40FC" w:rsidRPr="00886F58" w:rsidRDefault="00AC40FC" w:rsidP="00581946">
            <w:pPr>
              <w:spacing w:after="0"/>
              <w:jc w:val="center"/>
            </w:pPr>
            <w:r w:rsidRPr="00886F58">
              <w:t>-3</w:t>
            </w:r>
          </w:p>
        </w:tc>
      </w:tr>
      <w:tr w:rsidR="00AC40FC" w:rsidRPr="00875F2B" w:rsidTr="00581946">
        <w:trPr>
          <w:trHeight w:val="300"/>
          <w:jc w:val="center"/>
        </w:trPr>
        <w:tc>
          <w:tcPr>
            <w:tcW w:w="960" w:type="dxa"/>
            <w:shd w:val="clear" w:color="auto" w:fill="auto"/>
            <w:noWrap/>
          </w:tcPr>
          <w:p w:rsidR="00AC40FC" w:rsidRPr="00886F58" w:rsidRDefault="00AC40FC" w:rsidP="00581946">
            <w:pPr>
              <w:spacing w:after="0"/>
              <w:jc w:val="center"/>
            </w:pPr>
            <w:r w:rsidRPr="00886F58">
              <w:t>0252</w:t>
            </w:r>
          </w:p>
        </w:tc>
        <w:tc>
          <w:tcPr>
            <w:tcW w:w="3506" w:type="dxa"/>
            <w:shd w:val="clear" w:color="auto" w:fill="auto"/>
            <w:noWrap/>
          </w:tcPr>
          <w:p w:rsidR="00AC40FC" w:rsidRPr="00886F58" w:rsidRDefault="00AC40FC" w:rsidP="00581946">
            <w:pPr>
              <w:spacing w:after="0"/>
              <w:jc w:val="left"/>
            </w:pPr>
            <w:r w:rsidRPr="00886F58">
              <w:t>HR TSA</w:t>
            </w:r>
          </w:p>
        </w:tc>
        <w:tc>
          <w:tcPr>
            <w:tcW w:w="810" w:type="dxa"/>
            <w:shd w:val="clear" w:color="auto" w:fill="auto"/>
            <w:noWrap/>
          </w:tcPr>
          <w:p w:rsidR="00AC40FC" w:rsidRPr="00886F58" w:rsidRDefault="00AC40FC" w:rsidP="00581946">
            <w:pPr>
              <w:spacing w:after="0"/>
              <w:jc w:val="center"/>
            </w:pPr>
            <w:r w:rsidRPr="00886F58">
              <w:t>0</w:t>
            </w:r>
          </w:p>
        </w:tc>
        <w:tc>
          <w:tcPr>
            <w:tcW w:w="750" w:type="dxa"/>
            <w:shd w:val="clear" w:color="auto" w:fill="auto"/>
            <w:noWrap/>
          </w:tcPr>
          <w:p w:rsidR="00AC40FC" w:rsidRPr="00886F58" w:rsidRDefault="00AC40FC" w:rsidP="00581946">
            <w:pPr>
              <w:spacing w:after="0"/>
              <w:jc w:val="center"/>
            </w:pPr>
            <w:r w:rsidRPr="00886F58">
              <w:t>5</w:t>
            </w:r>
          </w:p>
        </w:tc>
        <w:tc>
          <w:tcPr>
            <w:tcW w:w="1065" w:type="dxa"/>
            <w:shd w:val="clear" w:color="auto" w:fill="auto"/>
            <w:noWrap/>
          </w:tcPr>
          <w:p w:rsidR="00AC40FC" w:rsidRPr="00886F58" w:rsidRDefault="00AC40FC" w:rsidP="00581946">
            <w:pPr>
              <w:spacing w:after="0"/>
              <w:jc w:val="center"/>
            </w:pPr>
            <w:r w:rsidRPr="00886F58">
              <w:t>+5</w:t>
            </w:r>
          </w:p>
        </w:tc>
      </w:tr>
      <w:tr w:rsidR="00AC40FC" w:rsidRPr="00875F2B" w:rsidTr="00581946">
        <w:trPr>
          <w:trHeight w:val="300"/>
          <w:jc w:val="center"/>
        </w:trPr>
        <w:tc>
          <w:tcPr>
            <w:tcW w:w="960" w:type="dxa"/>
            <w:shd w:val="clear" w:color="auto" w:fill="auto"/>
            <w:noWrap/>
          </w:tcPr>
          <w:p w:rsidR="00AC40FC" w:rsidRPr="00886F58" w:rsidRDefault="00AC40FC" w:rsidP="00581946">
            <w:pPr>
              <w:spacing w:after="0"/>
              <w:jc w:val="center"/>
            </w:pPr>
            <w:r w:rsidRPr="00886F58">
              <w:t>0253</w:t>
            </w:r>
          </w:p>
        </w:tc>
        <w:tc>
          <w:tcPr>
            <w:tcW w:w="3506" w:type="dxa"/>
            <w:shd w:val="clear" w:color="auto" w:fill="auto"/>
            <w:noWrap/>
          </w:tcPr>
          <w:p w:rsidR="00AC40FC" w:rsidRPr="00886F58" w:rsidRDefault="00AC40FC" w:rsidP="00581946">
            <w:pPr>
              <w:spacing w:after="0"/>
              <w:jc w:val="left"/>
            </w:pPr>
            <w:r w:rsidRPr="00886F58">
              <w:t>Protective Services TSA</w:t>
            </w:r>
          </w:p>
        </w:tc>
        <w:tc>
          <w:tcPr>
            <w:tcW w:w="810" w:type="dxa"/>
            <w:shd w:val="clear" w:color="auto" w:fill="auto"/>
            <w:noWrap/>
          </w:tcPr>
          <w:p w:rsidR="00AC40FC" w:rsidRPr="00886F58" w:rsidRDefault="00AC40FC" w:rsidP="00581946">
            <w:pPr>
              <w:spacing w:after="0"/>
              <w:jc w:val="center"/>
            </w:pPr>
            <w:r w:rsidRPr="00886F58">
              <w:t>1</w:t>
            </w:r>
          </w:p>
        </w:tc>
        <w:tc>
          <w:tcPr>
            <w:tcW w:w="750" w:type="dxa"/>
            <w:shd w:val="clear" w:color="auto" w:fill="auto"/>
            <w:noWrap/>
          </w:tcPr>
          <w:p w:rsidR="00AC40FC" w:rsidRPr="00886F58" w:rsidRDefault="00AC40FC" w:rsidP="00581946">
            <w:pPr>
              <w:spacing w:after="0"/>
              <w:jc w:val="center"/>
            </w:pPr>
            <w:r w:rsidRPr="00886F58">
              <w:t>2</w:t>
            </w:r>
          </w:p>
        </w:tc>
        <w:tc>
          <w:tcPr>
            <w:tcW w:w="1065" w:type="dxa"/>
            <w:shd w:val="clear" w:color="auto" w:fill="auto"/>
            <w:noWrap/>
          </w:tcPr>
          <w:p w:rsidR="00AC40FC" w:rsidRPr="00886F58" w:rsidRDefault="00AC40FC" w:rsidP="00581946">
            <w:pPr>
              <w:spacing w:after="0"/>
              <w:jc w:val="center"/>
            </w:pPr>
            <w:r w:rsidRPr="00886F58">
              <w:t>+1</w:t>
            </w:r>
          </w:p>
        </w:tc>
      </w:tr>
      <w:tr w:rsidR="00AC40FC" w:rsidRPr="00875F2B" w:rsidTr="00581946">
        <w:trPr>
          <w:trHeight w:val="300"/>
          <w:jc w:val="center"/>
        </w:trPr>
        <w:tc>
          <w:tcPr>
            <w:tcW w:w="960" w:type="dxa"/>
            <w:shd w:val="clear" w:color="auto" w:fill="auto"/>
            <w:noWrap/>
          </w:tcPr>
          <w:p w:rsidR="00AC40FC" w:rsidRPr="00886F58" w:rsidRDefault="00AC40FC" w:rsidP="00581946">
            <w:pPr>
              <w:spacing w:after="0"/>
              <w:jc w:val="center"/>
            </w:pPr>
            <w:r w:rsidRPr="00886F58">
              <w:t>0270</w:t>
            </w:r>
          </w:p>
        </w:tc>
        <w:tc>
          <w:tcPr>
            <w:tcW w:w="3506" w:type="dxa"/>
            <w:shd w:val="clear" w:color="auto" w:fill="auto"/>
            <w:noWrap/>
          </w:tcPr>
          <w:p w:rsidR="00AC40FC" w:rsidRPr="00886F58" w:rsidRDefault="00AC40FC" w:rsidP="00581946">
            <w:pPr>
              <w:spacing w:after="0"/>
              <w:jc w:val="left"/>
            </w:pPr>
            <w:r w:rsidRPr="00886F58">
              <w:t>Security</w:t>
            </w:r>
          </w:p>
        </w:tc>
        <w:tc>
          <w:tcPr>
            <w:tcW w:w="810" w:type="dxa"/>
            <w:shd w:val="clear" w:color="auto" w:fill="auto"/>
            <w:noWrap/>
          </w:tcPr>
          <w:p w:rsidR="00AC40FC" w:rsidRPr="00886F58" w:rsidRDefault="00AC40FC" w:rsidP="00581946">
            <w:pPr>
              <w:spacing w:after="0"/>
              <w:jc w:val="center"/>
            </w:pPr>
            <w:r w:rsidRPr="00886F58">
              <w:t>8</w:t>
            </w:r>
          </w:p>
        </w:tc>
        <w:tc>
          <w:tcPr>
            <w:tcW w:w="750" w:type="dxa"/>
            <w:shd w:val="clear" w:color="auto" w:fill="auto"/>
            <w:noWrap/>
          </w:tcPr>
          <w:p w:rsidR="00AC40FC" w:rsidRPr="00886F58" w:rsidRDefault="00AC40FC" w:rsidP="00581946">
            <w:pPr>
              <w:spacing w:after="0"/>
              <w:jc w:val="center"/>
            </w:pPr>
            <w:r w:rsidRPr="00886F58">
              <w:t>6</w:t>
            </w:r>
          </w:p>
        </w:tc>
        <w:tc>
          <w:tcPr>
            <w:tcW w:w="1065" w:type="dxa"/>
            <w:shd w:val="clear" w:color="auto" w:fill="auto"/>
            <w:noWrap/>
          </w:tcPr>
          <w:p w:rsidR="00AC40FC" w:rsidRPr="00886F58" w:rsidRDefault="00AC40FC" w:rsidP="00581946">
            <w:pPr>
              <w:spacing w:after="0"/>
              <w:jc w:val="center"/>
            </w:pPr>
            <w:r w:rsidRPr="00886F58">
              <w:t>-2</w:t>
            </w:r>
          </w:p>
        </w:tc>
      </w:tr>
      <w:tr w:rsidR="00AC40FC" w:rsidRPr="00875F2B" w:rsidTr="00581946">
        <w:trPr>
          <w:trHeight w:val="300"/>
          <w:jc w:val="center"/>
        </w:trPr>
        <w:tc>
          <w:tcPr>
            <w:tcW w:w="960" w:type="dxa"/>
            <w:shd w:val="clear" w:color="auto" w:fill="auto"/>
            <w:noWrap/>
            <w:hideMark/>
          </w:tcPr>
          <w:p w:rsidR="00AC40FC" w:rsidRPr="000502A7" w:rsidRDefault="00AC40FC" w:rsidP="00581946">
            <w:pPr>
              <w:spacing w:after="0"/>
            </w:pPr>
          </w:p>
        </w:tc>
        <w:tc>
          <w:tcPr>
            <w:tcW w:w="3506" w:type="dxa"/>
            <w:shd w:val="clear" w:color="auto" w:fill="auto"/>
            <w:noWrap/>
            <w:vAlign w:val="center"/>
            <w:hideMark/>
          </w:tcPr>
          <w:p w:rsidR="00AC40FC" w:rsidRPr="00A73ADF" w:rsidRDefault="00AC40FC" w:rsidP="00581946">
            <w:pPr>
              <w:spacing w:after="0"/>
              <w:jc w:val="center"/>
              <w:rPr>
                <w:b/>
              </w:rPr>
            </w:pPr>
            <w:r w:rsidRPr="00A73ADF">
              <w:rPr>
                <w:b/>
              </w:rPr>
              <w:t>T</w:t>
            </w:r>
            <w:r>
              <w:rPr>
                <w:b/>
              </w:rPr>
              <w:t>otals</w:t>
            </w:r>
          </w:p>
        </w:tc>
        <w:tc>
          <w:tcPr>
            <w:tcW w:w="810" w:type="dxa"/>
            <w:shd w:val="clear" w:color="auto" w:fill="auto"/>
            <w:noWrap/>
            <w:vAlign w:val="center"/>
          </w:tcPr>
          <w:p w:rsidR="00AC40FC" w:rsidRPr="00A73ADF" w:rsidRDefault="00AC40FC" w:rsidP="00581946">
            <w:pPr>
              <w:spacing w:after="0"/>
              <w:jc w:val="center"/>
              <w:rPr>
                <w:b/>
              </w:rPr>
            </w:pPr>
            <w:r>
              <w:rPr>
                <w:b/>
              </w:rPr>
              <w:t>61</w:t>
            </w:r>
          </w:p>
        </w:tc>
        <w:tc>
          <w:tcPr>
            <w:tcW w:w="750" w:type="dxa"/>
            <w:shd w:val="clear" w:color="auto" w:fill="auto"/>
            <w:noWrap/>
            <w:vAlign w:val="center"/>
          </w:tcPr>
          <w:p w:rsidR="00AC40FC" w:rsidRPr="00A73ADF" w:rsidRDefault="00AC40FC" w:rsidP="00581946">
            <w:pPr>
              <w:spacing w:after="0"/>
              <w:jc w:val="center"/>
              <w:rPr>
                <w:b/>
              </w:rPr>
            </w:pPr>
            <w:r>
              <w:rPr>
                <w:b/>
              </w:rPr>
              <w:t>45</w:t>
            </w:r>
          </w:p>
        </w:tc>
        <w:tc>
          <w:tcPr>
            <w:tcW w:w="1065" w:type="dxa"/>
            <w:shd w:val="clear" w:color="auto" w:fill="auto"/>
            <w:noWrap/>
            <w:vAlign w:val="center"/>
          </w:tcPr>
          <w:p w:rsidR="00AC40FC" w:rsidRPr="00A73ADF" w:rsidRDefault="00AC40FC" w:rsidP="00581946">
            <w:pPr>
              <w:spacing w:after="0"/>
              <w:jc w:val="center"/>
              <w:rPr>
                <w:b/>
              </w:rPr>
            </w:pPr>
            <w:r w:rsidRPr="00A73ADF">
              <w:rPr>
                <w:b/>
              </w:rPr>
              <w:t>-</w:t>
            </w:r>
            <w:r>
              <w:rPr>
                <w:b/>
              </w:rPr>
              <w:t>16</w:t>
            </w:r>
          </w:p>
        </w:tc>
      </w:tr>
      <w:tr w:rsidR="00AC40FC" w:rsidRPr="00875F2B" w:rsidTr="00581946">
        <w:trPr>
          <w:trHeight w:val="300"/>
          <w:jc w:val="center"/>
        </w:trPr>
        <w:tc>
          <w:tcPr>
            <w:tcW w:w="7091" w:type="dxa"/>
            <w:gridSpan w:val="5"/>
            <w:shd w:val="clear" w:color="auto" w:fill="auto"/>
            <w:noWrap/>
            <w:vAlign w:val="center"/>
          </w:tcPr>
          <w:p w:rsidR="00AC40FC" w:rsidRPr="00A73ADF" w:rsidRDefault="00AC40FC" w:rsidP="00581946">
            <w:pPr>
              <w:spacing w:after="0"/>
              <w:jc w:val="left"/>
              <w:rPr>
                <w:bCs/>
              </w:rPr>
            </w:pPr>
            <w:r>
              <w:rPr>
                <w:bCs/>
              </w:rPr>
              <w:t xml:space="preserve">* Shown on DN 01-072 but are not listed in </w:t>
            </w:r>
            <w:r>
              <w:rPr>
                <w:rFonts w:cs="Arial"/>
              </w:rPr>
              <w:t>DN 18-002-C</w:t>
            </w:r>
            <w:r>
              <w:rPr>
                <w:bCs/>
              </w:rPr>
              <w:t>.</w:t>
            </w:r>
          </w:p>
        </w:tc>
      </w:tr>
      <w:tr w:rsidR="00AC40FC" w:rsidRPr="00875F2B" w:rsidTr="00581946">
        <w:trPr>
          <w:trHeight w:val="300"/>
          <w:jc w:val="center"/>
        </w:trPr>
        <w:tc>
          <w:tcPr>
            <w:tcW w:w="7091" w:type="dxa"/>
            <w:gridSpan w:val="5"/>
            <w:shd w:val="clear" w:color="auto" w:fill="auto"/>
            <w:noWrap/>
            <w:vAlign w:val="center"/>
          </w:tcPr>
          <w:p w:rsidR="00AC40FC" w:rsidRDefault="00AC40FC" w:rsidP="00581946">
            <w:pPr>
              <w:spacing w:after="0"/>
              <w:jc w:val="left"/>
              <w:rPr>
                <w:bCs/>
              </w:rPr>
            </w:pPr>
            <w:r w:rsidRPr="00A73ADF">
              <w:rPr>
                <w:bCs/>
                <w:vertAlign w:val="superscript"/>
              </w:rPr>
              <w:t>1</w:t>
            </w:r>
            <w:r w:rsidRPr="001B05C8">
              <w:rPr>
                <w:bCs/>
              </w:rPr>
              <w:t xml:space="preserve"> </w:t>
            </w:r>
            <w:r>
              <w:rPr>
                <w:rFonts w:cs="Arial"/>
              </w:rPr>
              <w:t>DN 18-002-C</w:t>
            </w:r>
            <w:r w:rsidDel="00251863">
              <w:rPr>
                <w:bCs/>
              </w:rPr>
              <w:t xml:space="preserve"> </w:t>
            </w:r>
            <w:r>
              <w:rPr>
                <w:bCs/>
              </w:rPr>
              <w:t>lists RC 0232 as “Transfer” with new RC 7005.</w:t>
            </w:r>
          </w:p>
          <w:p w:rsidR="00AC40FC" w:rsidRDefault="00AC40FC" w:rsidP="00581946">
            <w:pPr>
              <w:spacing w:after="0"/>
              <w:jc w:val="left"/>
              <w:rPr>
                <w:bCs/>
              </w:rPr>
            </w:pPr>
            <w:r>
              <w:rPr>
                <w:bCs/>
                <w:vertAlign w:val="superscript"/>
              </w:rPr>
              <w:t>2</w:t>
            </w:r>
            <w:r w:rsidRPr="001B05C8">
              <w:rPr>
                <w:bCs/>
              </w:rPr>
              <w:t xml:space="preserve"> </w:t>
            </w:r>
            <w:r>
              <w:rPr>
                <w:rFonts w:cs="Arial"/>
              </w:rPr>
              <w:t>DN 18-002-C</w:t>
            </w:r>
            <w:r>
              <w:rPr>
                <w:bCs/>
              </w:rPr>
              <w:t xml:space="preserve"> lists RC 0233 as “Transfer” with new RC 0243.</w:t>
            </w:r>
          </w:p>
          <w:p w:rsidR="00AC40FC" w:rsidRDefault="00AC40FC" w:rsidP="00581946">
            <w:pPr>
              <w:spacing w:after="0"/>
              <w:jc w:val="left"/>
              <w:rPr>
                <w:bCs/>
              </w:rPr>
            </w:pPr>
            <w:r>
              <w:rPr>
                <w:bCs/>
                <w:vertAlign w:val="superscript"/>
              </w:rPr>
              <w:t>3</w:t>
            </w:r>
            <w:r w:rsidRPr="001B05C8">
              <w:rPr>
                <w:bCs/>
              </w:rPr>
              <w:t xml:space="preserve"> </w:t>
            </w:r>
            <w:r>
              <w:rPr>
                <w:rFonts w:cs="Arial"/>
              </w:rPr>
              <w:t>DN 18-002-C</w:t>
            </w:r>
            <w:r>
              <w:rPr>
                <w:bCs/>
              </w:rPr>
              <w:t xml:space="preserve"> lists RC 0234 as “Transfer” with two as new RC 0237, three as new RC 0243, and one as new RC 7005.</w:t>
            </w:r>
          </w:p>
          <w:p w:rsidR="00AC40FC" w:rsidRDefault="00AC40FC" w:rsidP="00581946">
            <w:pPr>
              <w:spacing w:after="0"/>
              <w:jc w:val="left"/>
              <w:rPr>
                <w:bCs/>
              </w:rPr>
            </w:pPr>
            <w:r>
              <w:rPr>
                <w:bCs/>
                <w:vertAlign w:val="superscript"/>
              </w:rPr>
              <w:t>4</w:t>
            </w:r>
            <w:r w:rsidRPr="001B05C8">
              <w:rPr>
                <w:bCs/>
              </w:rPr>
              <w:t xml:space="preserve"> </w:t>
            </w:r>
            <w:r>
              <w:rPr>
                <w:rFonts w:cs="Arial"/>
              </w:rPr>
              <w:t>DN 18-002-C</w:t>
            </w:r>
            <w:r w:rsidDel="00251863">
              <w:rPr>
                <w:bCs/>
              </w:rPr>
              <w:t xml:space="preserve"> </w:t>
            </w:r>
            <w:r>
              <w:rPr>
                <w:bCs/>
              </w:rPr>
              <w:t>lists RC 0236 as “Transfer” with new RC 7005.</w:t>
            </w:r>
          </w:p>
          <w:p w:rsidR="00AC40FC" w:rsidRDefault="00AC40FC" w:rsidP="00581946">
            <w:pPr>
              <w:spacing w:after="0"/>
              <w:jc w:val="left"/>
              <w:rPr>
                <w:bCs/>
              </w:rPr>
            </w:pPr>
            <w:r>
              <w:rPr>
                <w:bCs/>
                <w:vertAlign w:val="superscript"/>
              </w:rPr>
              <w:t>5</w:t>
            </w:r>
            <w:r w:rsidRPr="001B05C8">
              <w:rPr>
                <w:bCs/>
              </w:rPr>
              <w:t xml:space="preserve"> </w:t>
            </w:r>
            <w:r>
              <w:rPr>
                <w:rFonts w:cs="Arial"/>
              </w:rPr>
              <w:t>DN 18-002-C</w:t>
            </w:r>
            <w:r w:rsidDel="00251863">
              <w:rPr>
                <w:bCs/>
              </w:rPr>
              <w:t xml:space="preserve"> </w:t>
            </w:r>
            <w:r>
              <w:rPr>
                <w:bCs/>
              </w:rPr>
              <w:t>lists RC 0239 as “Transfer” with three as new RC 0237, and one as new RC 0243.</w:t>
            </w:r>
          </w:p>
          <w:p w:rsidR="00AC40FC" w:rsidRDefault="00AC40FC" w:rsidP="00581946">
            <w:pPr>
              <w:spacing w:after="0"/>
              <w:jc w:val="left"/>
              <w:rPr>
                <w:bCs/>
              </w:rPr>
            </w:pPr>
            <w:r>
              <w:rPr>
                <w:bCs/>
                <w:vertAlign w:val="superscript"/>
              </w:rPr>
              <w:t>6</w:t>
            </w:r>
            <w:r w:rsidRPr="001B05C8">
              <w:rPr>
                <w:bCs/>
              </w:rPr>
              <w:t xml:space="preserve"> </w:t>
            </w:r>
            <w:r>
              <w:rPr>
                <w:rFonts w:cs="Arial"/>
              </w:rPr>
              <w:t>DN 18-002-C</w:t>
            </w:r>
            <w:r w:rsidDel="00251863">
              <w:rPr>
                <w:bCs/>
              </w:rPr>
              <w:t xml:space="preserve"> </w:t>
            </w:r>
            <w:r>
              <w:rPr>
                <w:bCs/>
              </w:rPr>
              <w:t>lists RC 0240 as “Transfer” with one as new RC 0237, and two as new RC 0243.</w:t>
            </w:r>
          </w:p>
          <w:p w:rsidR="00AC40FC" w:rsidRDefault="00AC40FC" w:rsidP="00581946">
            <w:pPr>
              <w:spacing w:after="0"/>
              <w:jc w:val="left"/>
              <w:rPr>
                <w:bCs/>
              </w:rPr>
            </w:pPr>
            <w:r>
              <w:rPr>
                <w:bCs/>
                <w:vertAlign w:val="superscript"/>
              </w:rPr>
              <w:t>7</w:t>
            </w:r>
            <w:r w:rsidRPr="001B05C8">
              <w:rPr>
                <w:bCs/>
              </w:rPr>
              <w:t xml:space="preserve"> </w:t>
            </w:r>
            <w:r>
              <w:rPr>
                <w:rFonts w:cs="Arial"/>
              </w:rPr>
              <w:t>DN 18-002-C</w:t>
            </w:r>
            <w:r w:rsidDel="00251863">
              <w:rPr>
                <w:bCs/>
              </w:rPr>
              <w:t xml:space="preserve"> </w:t>
            </w:r>
            <w:r>
              <w:rPr>
                <w:bCs/>
              </w:rPr>
              <w:t>lists RC 0245 as “Transfer” with new RC 0247.</w:t>
            </w:r>
          </w:p>
          <w:p w:rsidR="00AC40FC" w:rsidRPr="001B05C8" w:rsidRDefault="00AC40FC" w:rsidP="00581946">
            <w:pPr>
              <w:spacing w:after="0"/>
              <w:jc w:val="left"/>
              <w:rPr>
                <w:bCs/>
              </w:rPr>
            </w:pPr>
            <w:r>
              <w:rPr>
                <w:bCs/>
                <w:vertAlign w:val="superscript"/>
              </w:rPr>
              <w:t>8</w:t>
            </w:r>
            <w:r w:rsidRPr="001B05C8">
              <w:rPr>
                <w:bCs/>
              </w:rPr>
              <w:t xml:space="preserve"> </w:t>
            </w:r>
            <w:r>
              <w:rPr>
                <w:rFonts w:cs="Arial"/>
              </w:rPr>
              <w:t>DN 18-002-C</w:t>
            </w:r>
            <w:r w:rsidDel="00251863">
              <w:rPr>
                <w:bCs/>
              </w:rPr>
              <w:t xml:space="preserve"> </w:t>
            </w:r>
            <w:r>
              <w:rPr>
                <w:bCs/>
              </w:rPr>
              <w:t>lists RC 0252 as “Transfer” with three as new RC 0243, and one as new RC 0251.</w:t>
            </w:r>
          </w:p>
        </w:tc>
      </w:tr>
      <w:tr w:rsidR="00AC40FC" w:rsidRPr="00875F2B" w:rsidTr="00581946">
        <w:trPr>
          <w:trHeight w:val="300"/>
          <w:jc w:val="center"/>
        </w:trPr>
        <w:tc>
          <w:tcPr>
            <w:tcW w:w="7091" w:type="dxa"/>
            <w:gridSpan w:val="5"/>
            <w:shd w:val="clear" w:color="auto" w:fill="auto"/>
            <w:noWrap/>
            <w:vAlign w:val="center"/>
          </w:tcPr>
          <w:p w:rsidR="00AC40FC" w:rsidRPr="001B05C8" w:rsidRDefault="00AC40FC" w:rsidP="00581946">
            <w:pPr>
              <w:spacing w:after="0"/>
              <w:jc w:val="left"/>
              <w:rPr>
                <w:bCs/>
              </w:rPr>
            </w:pPr>
            <w:r w:rsidRPr="001B05C8">
              <w:rPr>
                <w:bCs/>
              </w:rPr>
              <w:t>Sources: DN 01-07</w:t>
            </w:r>
            <w:r>
              <w:rPr>
                <w:bCs/>
              </w:rPr>
              <w:t>2</w:t>
            </w:r>
            <w:r w:rsidRPr="001B05C8">
              <w:rPr>
                <w:bCs/>
              </w:rPr>
              <w:t xml:space="preserve">; </w:t>
            </w:r>
            <w:r>
              <w:rPr>
                <w:bCs/>
              </w:rPr>
              <w:t>DN 18-002-C</w:t>
            </w:r>
          </w:p>
        </w:tc>
      </w:tr>
    </w:tbl>
    <w:p w:rsidR="00AC40FC" w:rsidRDefault="00AC40FC" w:rsidP="00BB665B">
      <w:pPr>
        <w:pStyle w:val="Bullet"/>
        <w:numPr>
          <w:ilvl w:val="0"/>
          <w:numId w:val="0"/>
        </w:numPr>
        <w:spacing w:before="120"/>
        <w:ind w:left="720"/>
      </w:pPr>
      <w:r>
        <w:t>PPL SC HR staffing was reduced by 22 positions from 2014 to 2015, ten of which were transfers to PPL EUS.</w:t>
      </w:r>
    </w:p>
    <w:p w:rsidR="00AC40FC" w:rsidRDefault="00AC40FC" w:rsidP="00B306CB">
      <w:pPr>
        <w:pStyle w:val="Caption"/>
      </w:pPr>
      <w:bookmarkStart w:id="414" w:name="_Toc462648506"/>
      <w:bookmarkStart w:id="415" w:name="_Toc464553128"/>
      <w:r>
        <w:lastRenderedPageBreak/>
        <w:t xml:space="preserve">Exhibit </w:t>
      </w:r>
      <w:fldSimple w:instr=" STYLEREF 1 \s ">
        <w:r w:rsidR="00A24205">
          <w:rPr>
            <w:noProof/>
          </w:rPr>
          <w:t>XV</w:t>
        </w:r>
      </w:fldSimple>
      <w:r w:rsidR="00264A1B">
        <w:noBreakHyphen/>
      </w:r>
      <w:fldSimple w:instr=" SEQ Exhibit \* ARABIC \s 1 ">
        <w:r w:rsidR="00A24205">
          <w:rPr>
            <w:noProof/>
          </w:rPr>
          <w:t>20</w:t>
        </w:r>
      </w:fldSimple>
      <w:r>
        <w:br/>
        <w:t>PPL EUS Human Resources Employee Staffing Changes 2014–2015</w:t>
      </w:r>
      <w:bookmarkEnd w:id="414"/>
      <w:bookmarkEnd w:id="4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2572"/>
        <w:gridCol w:w="823"/>
        <w:gridCol w:w="750"/>
        <w:gridCol w:w="1097"/>
      </w:tblGrid>
      <w:tr w:rsidR="00AC40FC" w:rsidRPr="00D6083E" w:rsidTr="00581946">
        <w:trPr>
          <w:cantSplit/>
          <w:trHeight w:val="300"/>
          <w:tblHeader/>
          <w:jc w:val="center"/>
        </w:trPr>
        <w:tc>
          <w:tcPr>
            <w:tcW w:w="960" w:type="dxa"/>
            <w:shd w:val="clear" w:color="auto" w:fill="A5CD7E"/>
            <w:noWrap/>
            <w:vAlign w:val="center"/>
            <w:hideMark/>
          </w:tcPr>
          <w:p w:rsidR="00AC40FC" w:rsidRPr="001B05C8" w:rsidRDefault="00AC40FC" w:rsidP="00D6083E">
            <w:pPr>
              <w:spacing w:before="120"/>
              <w:jc w:val="center"/>
              <w:rPr>
                <w:b/>
                <w:bCs/>
              </w:rPr>
            </w:pPr>
            <w:r>
              <w:rPr>
                <w:b/>
                <w:bCs/>
              </w:rPr>
              <w:t>S</w:t>
            </w:r>
            <w:r w:rsidRPr="001B05C8">
              <w:rPr>
                <w:b/>
                <w:bCs/>
              </w:rPr>
              <w:t>RC</w:t>
            </w:r>
          </w:p>
        </w:tc>
        <w:tc>
          <w:tcPr>
            <w:tcW w:w="2572" w:type="dxa"/>
            <w:shd w:val="clear" w:color="auto" w:fill="A5CD7E"/>
            <w:noWrap/>
            <w:vAlign w:val="center"/>
            <w:hideMark/>
          </w:tcPr>
          <w:p w:rsidR="00AC40FC" w:rsidRPr="001B05C8" w:rsidRDefault="00AC40FC" w:rsidP="00D6083E">
            <w:pPr>
              <w:spacing w:before="120"/>
              <w:jc w:val="center"/>
              <w:rPr>
                <w:b/>
                <w:bCs/>
              </w:rPr>
            </w:pPr>
            <w:r w:rsidRPr="001B05C8">
              <w:rPr>
                <w:b/>
                <w:bCs/>
              </w:rPr>
              <w:t>Title</w:t>
            </w:r>
          </w:p>
        </w:tc>
        <w:tc>
          <w:tcPr>
            <w:tcW w:w="823" w:type="dxa"/>
            <w:shd w:val="clear" w:color="auto" w:fill="A5CD7E"/>
            <w:noWrap/>
            <w:vAlign w:val="center"/>
            <w:hideMark/>
          </w:tcPr>
          <w:p w:rsidR="00AC40FC" w:rsidRPr="001B05C8" w:rsidRDefault="00AC40FC" w:rsidP="00D6083E">
            <w:pPr>
              <w:spacing w:before="120"/>
              <w:jc w:val="center"/>
              <w:rPr>
                <w:b/>
                <w:bCs/>
              </w:rPr>
            </w:pPr>
            <w:r w:rsidRPr="001B05C8">
              <w:rPr>
                <w:b/>
                <w:bCs/>
              </w:rPr>
              <w:t>2014</w:t>
            </w:r>
          </w:p>
        </w:tc>
        <w:tc>
          <w:tcPr>
            <w:tcW w:w="737" w:type="dxa"/>
            <w:shd w:val="clear" w:color="auto" w:fill="A5CD7E"/>
            <w:noWrap/>
            <w:vAlign w:val="center"/>
            <w:hideMark/>
          </w:tcPr>
          <w:p w:rsidR="00AC40FC" w:rsidRPr="001B05C8" w:rsidRDefault="00AC40FC" w:rsidP="00D6083E">
            <w:pPr>
              <w:spacing w:before="120"/>
              <w:jc w:val="center"/>
              <w:rPr>
                <w:b/>
                <w:bCs/>
              </w:rPr>
            </w:pPr>
            <w:r w:rsidRPr="001B05C8">
              <w:rPr>
                <w:b/>
                <w:bCs/>
              </w:rPr>
              <w:t>2015</w:t>
            </w:r>
          </w:p>
        </w:tc>
        <w:tc>
          <w:tcPr>
            <w:tcW w:w="1097" w:type="dxa"/>
            <w:shd w:val="clear" w:color="auto" w:fill="A5CD7E"/>
            <w:noWrap/>
            <w:vAlign w:val="center"/>
            <w:hideMark/>
          </w:tcPr>
          <w:p w:rsidR="00AC40FC" w:rsidRPr="001B05C8" w:rsidRDefault="00AC40FC" w:rsidP="00D6083E">
            <w:pPr>
              <w:spacing w:before="120"/>
              <w:jc w:val="center"/>
              <w:rPr>
                <w:b/>
                <w:bCs/>
              </w:rPr>
            </w:pPr>
            <w:r>
              <w:rPr>
                <w:b/>
                <w:bCs/>
              </w:rPr>
              <w:t>Change</w:t>
            </w:r>
          </w:p>
        </w:tc>
      </w:tr>
      <w:tr w:rsidR="00AC40FC" w:rsidRPr="00875F2B" w:rsidTr="00581946">
        <w:trPr>
          <w:trHeight w:val="300"/>
          <w:jc w:val="center"/>
        </w:trPr>
        <w:tc>
          <w:tcPr>
            <w:tcW w:w="960" w:type="dxa"/>
            <w:shd w:val="clear" w:color="auto" w:fill="auto"/>
            <w:noWrap/>
          </w:tcPr>
          <w:p w:rsidR="00AC40FC" w:rsidRPr="00D47F65" w:rsidRDefault="00AC40FC" w:rsidP="00581946">
            <w:pPr>
              <w:spacing w:after="0"/>
              <w:jc w:val="center"/>
            </w:pPr>
            <w:r w:rsidRPr="00D47F65">
              <w:t>1025</w:t>
            </w:r>
          </w:p>
        </w:tc>
        <w:tc>
          <w:tcPr>
            <w:tcW w:w="2572" w:type="dxa"/>
            <w:shd w:val="clear" w:color="auto" w:fill="auto"/>
            <w:noWrap/>
          </w:tcPr>
          <w:p w:rsidR="00AC40FC" w:rsidRPr="00D47F65" w:rsidRDefault="00AC40FC" w:rsidP="00581946">
            <w:pPr>
              <w:spacing w:after="0"/>
              <w:jc w:val="left"/>
            </w:pPr>
            <w:r w:rsidRPr="00D47F65">
              <w:t>HR Electric Utilities</w:t>
            </w:r>
          </w:p>
        </w:tc>
        <w:tc>
          <w:tcPr>
            <w:tcW w:w="823" w:type="dxa"/>
            <w:shd w:val="clear" w:color="auto" w:fill="auto"/>
            <w:noWrap/>
          </w:tcPr>
          <w:p w:rsidR="00AC40FC" w:rsidRPr="00D47F65" w:rsidRDefault="00AC40FC" w:rsidP="00581946">
            <w:pPr>
              <w:spacing w:after="0"/>
              <w:jc w:val="center"/>
            </w:pPr>
            <w:r w:rsidRPr="00D47F65">
              <w:t>0</w:t>
            </w:r>
          </w:p>
        </w:tc>
        <w:tc>
          <w:tcPr>
            <w:tcW w:w="737" w:type="dxa"/>
            <w:shd w:val="clear" w:color="auto" w:fill="auto"/>
            <w:noWrap/>
          </w:tcPr>
          <w:p w:rsidR="00AC40FC" w:rsidRPr="00D47F65" w:rsidRDefault="00AC40FC" w:rsidP="00581946">
            <w:pPr>
              <w:spacing w:after="0"/>
              <w:jc w:val="center"/>
            </w:pPr>
            <w:r w:rsidRPr="00D47F65">
              <w:t>11</w:t>
            </w:r>
          </w:p>
        </w:tc>
        <w:tc>
          <w:tcPr>
            <w:tcW w:w="1097" w:type="dxa"/>
            <w:shd w:val="clear" w:color="auto" w:fill="auto"/>
            <w:noWrap/>
          </w:tcPr>
          <w:p w:rsidR="00AC40FC" w:rsidRDefault="00AC40FC" w:rsidP="00581946">
            <w:pPr>
              <w:spacing w:after="0"/>
              <w:jc w:val="center"/>
            </w:pPr>
            <w:r w:rsidRPr="00D47F65">
              <w:t>+11</w:t>
            </w:r>
          </w:p>
        </w:tc>
      </w:tr>
      <w:tr w:rsidR="00AC40FC" w:rsidRPr="00875F2B" w:rsidTr="00581946">
        <w:trPr>
          <w:trHeight w:val="300"/>
          <w:jc w:val="center"/>
        </w:trPr>
        <w:tc>
          <w:tcPr>
            <w:tcW w:w="960" w:type="dxa"/>
            <w:shd w:val="clear" w:color="auto" w:fill="auto"/>
            <w:noWrap/>
            <w:vAlign w:val="center"/>
            <w:hideMark/>
          </w:tcPr>
          <w:p w:rsidR="00AC40FC" w:rsidRPr="00875F2B" w:rsidRDefault="00AC40FC" w:rsidP="00581946">
            <w:pPr>
              <w:spacing w:after="0"/>
              <w:jc w:val="center"/>
            </w:pPr>
          </w:p>
        </w:tc>
        <w:tc>
          <w:tcPr>
            <w:tcW w:w="2572" w:type="dxa"/>
            <w:shd w:val="clear" w:color="auto" w:fill="auto"/>
            <w:noWrap/>
            <w:vAlign w:val="center"/>
            <w:hideMark/>
          </w:tcPr>
          <w:p w:rsidR="00AC40FC" w:rsidRPr="001B05C8" w:rsidRDefault="00AC40FC" w:rsidP="00581946">
            <w:pPr>
              <w:spacing w:after="0"/>
              <w:jc w:val="center"/>
              <w:rPr>
                <w:b/>
                <w:bCs/>
              </w:rPr>
            </w:pPr>
            <w:r w:rsidRPr="001B05C8">
              <w:rPr>
                <w:b/>
                <w:bCs/>
              </w:rPr>
              <w:t>T</w:t>
            </w:r>
            <w:r>
              <w:rPr>
                <w:b/>
                <w:bCs/>
              </w:rPr>
              <w:t>otals</w:t>
            </w:r>
          </w:p>
        </w:tc>
        <w:tc>
          <w:tcPr>
            <w:tcW w:w="823" w:type="dxa"/>
            <w:shd w:val="clear" w:color="auto" w:fill="auto"/>
            <w:noWrap/>
            <w:vAlign w:val="center"/>
          </w:tcPr>
          <w:p w:rsidR="00AC40FC" w:rsidRPr="001B05C8" w:rsidRDefault="00AC40FC" w:rsidP="00581946">
            <w:pPr>
              <w:spacing w:after="0"/>
              <w:jc w:val="center"/>
              <w:rPr>
                <w:b/>
                <w:bCs/>
              </w:rPr>
            </w:pPr>
            <w:r>
              <w:rPr>
                <w:b/>
                <w:bCs/>
              </w:rPr>
              <w:t>0</w:t>
            </w:r>
          </w:p>
        </w:tc>
        <w:tc>
          <w:tcPr>
            <w:tcW w:w="737" w:type="dxa"/>
            <w:shd w:val="clear" w:color="auto" w:fill="auto"/>
            <w:noWrap/>
            <w:vAlign w:val="center"/>
          </w:tcPr>
          <w:p w:rsidR="00AC40FC" w:rsidRPr="001B05C8" w:rsidRDefault="00AC40FC" w:rsidP="00581946">
            <w:pPr>
              <w:spacing w:after="0"/>
              <w:jc w:val="center"/>
              <w:rPr>
                <w:b/>
                <w:bCs/>
              </w:rPr>
            </w:pPr>
            <w:r>
              <w:rPr>
                <w:b/>
                <w:bCs/>
              </w:rPr>
              <w:t>11</w:t>
            </w:r>
          </w:p>
        </w:tc>
        <w:tc>
          <w:tcPr>
            <w:tcW w:w="1097" w:type="dxa"/>
            <w:shd w:val="clear" w:color="auto" w:fill="auto"/>
            <w:noWrap/>
            <w:vAlign w:val="center"/>
          </w:tcPr>
          <w:p w:rsidR="00AC40FC" w:rsidRPr="001B05C8" w:rsidRDefault="00AC40FC" w:rsidP="00581946">
            <w:pPr>
              <w:spacing w:after="0"/>
              <w:jc w:val="center"/>
              <w:rPr>
                <w:b/>
                <w:bCs/>
              </w:rPr>
            </w:pPr>
            <w:r>
              <w:rPr>
                <w:b/>
                <w:bCs/>
              </w:rPr>
              <w:t>+11</w:t>
            </w:r>
          </w:p>
        </w:tc>
      </w:tr>
      <w:tr w:rsidR="00AC40FC" w:rsidRPr="00875F2B" w:rsidTr="00581946">
        <w:trPr>
          <w:trHeight w:val="300"/>
          <w:jc w:val="center"/>
        </w:trPr>
        <w:tc>
          <w:tcPr>
            <w:tcW w:w="6189" w:type="dxa"/>
            <w:gridSpan w:val="5"/>
            <w:shd w:val="clear" w:color="auto" w:fill="auto"/>
            <w:noWrap/>
            <w:vAlign w:val="center"/>
          </w:tcPr>
          <w:p w:rsidR="00AC40FC" w:rsidRPr="001B05C8" w:rsidRDefault="00AC40FC" w:rsidP="00581946">
            <w:pPr>
              <w:spacing w:after="0"/>
              <w:jc w:val="left"/>
              <w:rPr>
                <w:bCs/>
              </w:rPr>
            </w:pPr>
            <w:r w:rsidRPr="001B05C8">
              <w:rPr>
                <w:bCs/>
              </w:rPr>
              <w:t xml:space="preserve">Sources: DN </w:t>
            </w:r>
            <w:r>
              <w:rPr>
                <w:bCs/>
              </w:rPr>
              <w:t>01-071; DN 18-002-C</w:t>
            </w:r>
          </w:p>
        </w:tc>
      </w:tr>
    </w:tbl>
    <w:p w:rsidR="00AC40FC" w:rsidRDefault="00AC40FC" w:rsidP="00BB665B">
      <w:pPr>
        <w:pStyle w:val="Bullet"/>
        <w:numPr>
          <w:ilvl w:val="0"/>
          <w:numId w:val="0"/>
        </w:numPr>
        <w:spacing w:before="120" w:after="120"/>
        <w:ind w:left="720"/>
      </w:pPr>
      <w:r>
        <w:t>PPL EUS HR was staffed in 2015 with eleven positions by year end.</w:t>
      </w:r>
    </w:p>
    <w:p w:rsidR="00AC40FC" w:rsidRDefault="00AC40FC" w:rsidP="00581946">
      <w:r w:rsidRPr="005E0480">
        <w:rPr>
          <w:b/>
        </w:rPr>
        <w:t>Future Employee and Contractor Changes.</w:t>
      </w:r>
      <w:r>
        <w:t xml:space="preserve">  PPL SC HR has no changes planned for either employee or contractor staffing.</w:t>
      </w:r>
    </w:p>
    <w:p w:rsidR="00AC40FC" w:rsidRDefault="00AC40FC" w:rsidP="00581946">
      <w:r>
        <w:t>Other than the internal recruiter position discussed above, PPL EUS HR has no internal staffing changes planned.</w:t>
      </w:r>
    </w:p>
    <w:p w:rsidR="00AC40FC" w:rsidRDefault="00AC40FC" w:rsidP="00581946">
      <w:r>
        <w:t xml:space="preserve">PPL EUS HR has a limited budget for consulting support.  For 2016, the HR Director </w:t>
      </w:r>
      <w:r>
        <w:rPr>
          <w:rFonts w:cs="Arial"/>
          <w:szCs w:val="24"/>
        </w:rPr>
        <w:t>is considering using a contractor to assist with talent management if the work load requires.  The budget for consulting support is approximately $60,000 for 2016.</w:t>
      </w:r>
    </w:p>
    <w:p w:rsidR="00AC40FC" w:rsidRDefault="00AC40FC" w:rsidP="00581946">
      <w:r w:rsidRPr="005E0480">
        <w:rPr>
          <w:b/>
        </w:rPr>
        <w:t>Employee and Contractor Staffing Planning Criteria and Process.</w:t>
      </w:r>
      <w:r>
        <w:t xml:space="preserve">  </w:t>
      </w:r>
      <w:r>
        <w:rPr>
          <w:rFonts w:cs="Arial"/>
          <w:szCs w:val="24"/>
        </w:rPr>
        <w:t xml:space="preserve">PPL EU Vice Presidents have been and continue to be responsible for staffing planning and decisions within their organizations.  They review their organizations, analyze vacancies, and determine needs.  As far as </w:t>
      </w:r>
      <w:r>
        <w:t xml:space="preserve">Human Resources staffing is concerned, workload is the predominant driver for internal staff planning.  </w:t>
      </w:r>
      <w:r>
        <w:rPr>
          <w:rFonts w:cs="Arial"/>
          <w:szCs w:val="24"/>
        </w:rPr>
        <w:t>Contractor utilization is usually driven by specific tasks.</w:t>
      </w:r>
    </w:p>
    <w:p w:rsidR="00AC40FC" w:rsidRPr="006D1B9D" w:rsidRDefault="00AC40FC" w:rsidP="00581946">
      <w:r w:rsidRPr="005E0480">
        <w:rPr>
          <w:b/>
        </w:rPr>
        <w:t>The Allocation of Personnel to PPL EU and PPL EUS in the Formation of PPL EUS.</w:t>
      </w:r>
      <w:r>
        <w:t xml:space="preserve">  </w:t>
      </w:r>
      <w:r>
        <w:rPr>
          <w:rFonts w:cs="Arial"/>
          <w:szCs w:val="24"/>
        </w:rPr>
        <w:t>Originally, PPL EUS was formed to facilitate accounting allocations and</w:t>
      </w:r>
      <w:r w:rsidRPr="00707332">
        <w:rPr>
          <w:rFonts w:cs="Arial"/>
          <w:szCs w:val="24"/>
        </w:rPr>
        <w:t xml:space="preserve"> </w:t>
      </w:r>
      <w:r>
        <w:rPr>
          <w:rFonts w:cs="Arial"/>
          <w:szCs w:val="24"/>
        </w:rPr>
        <w:t>to provide close shared services support to PPL EU and other businesses that were being contemplated at the time, such as the future Translink.  The main EUS organizational elements included Human Resources, Supply Chain, Regulatory, and Finance.  Prior to the formation of PPL EUS, a smaller PPL EU Human Resources group existed with about five employees.  After PPL EUS was formed, PPL EUS HR gained the labor relations positions that had previously been in PPL SC HR.  This was due to the fact that PPL EUS HR group was much closer to labor and labor activities.</w:t>
      </w:r>
    </w:p>
    <w:p w:rsidR="00AC40FC" w:rsidRDefault="00AC40FC" w:rsidP="00581946">
      <w:pPr>
        <w:rPr>
          <w:rFonts w:cs="Arial"/>
          <w:szCs w:val="24"/>
        </w:rPr>
      </w:pPr>
      <w:r w:rsidRPr="005E0480">
        <w:rPr>
          <w:b/>
        </w:rPr>
        <w:t>Plans for Adjusting Staffing As the Talen TSA Winds Down and Terminates.</w:t>
      </w:r>
      <w:r>
        <w:t xml:space="preserve">  </w:t>
      </w:r>
      <w:r>
        <w:rPr>
          <w:rFonts w:cs="Arial"/>
          <w:szCs w:val="24"/>
        </w:rPr>
        <w:t>PPL SC HR is presently providing payroll and security support to Talen.  The employees involved in the TSA project will be separated at the end of their transition assignments unless they are selected for other open positions in PPL Corporation or Talen.  As the services provided to Talen are phased out, affected employees are advised of their planned separation dates.</w:t>
      </w:r>
    </w:p>
    <w:p w:rsidR="00AC40FC" w:rsidRDefault="00AC40FC" w:rsidP="00581946">
      <w:pPr>
        <w:rPr>
          <w:rFonts w:cs="Arial"/>
          <w:szCs w:val="24"/>
        </w:rPr>
      </w:pPr>
      <w:r w:rsidRPr="00C6233F">
        <w:rPr>
          <w:rFonts w:cs="Arial"/>
          <w:szCs w:val="24"/>
        </w:rPr>
        <w:t>Human resources record splitting is an activity that continues.  This is a PPL</w:t>
      </w:r>
      <w:r>
        <w:rPr>
          <w:rFonts w:cs="Arial"/>
          <w:szCs w:val="24"/>
        </w:rPr>
        <w:t xml:space="preserve"> SC</w:t>
      </w:r>
      <w:r w:rsidRPr="00C6233F">
        <w:rPr>
          <w:rFonts w:cs="Arial"/>
          <w:szCs w:val="24"/>
        </w:rPr>
        <w:t xml:space="preserve"> service obligation to Talen that is not being managed under the TSA.</w:t>
      </w:r>
      <w:r>
        <w:rPr>
          <w:rFonts w:cs="Arial"/>
          <w:szCs w:val="24"/>
        </w:rPr>
        <w:t xml:space="preserve">  </w:t>
      </w:r>
      <w:r>
        <w:t>This effort was completed at the end of March 2016.</w:t>
      </w:r>
      <w:r w:rsidRPr="00D07B78">
        <w:rPr>
          <w:rStyle w:val="FootnoteReference"/>
          <w:rFonts w:cs="Arial"/>
          <w:szCs w:val="24"/>
        </w:rPr>
        <w:t xml:space="preserve"> </w:t>
      </w:r>
    </w:p>
    <w:p w:rsidR="00AC40FC" w:rsidRDefault="00AC40FC" w:rsidP="00581946">
      <w:pPr>
        <w:rPr>
          <w:rFonts w:cs="Arial"/>
          <w:szCs w:val="24"/>
        </w:rPr>
      </w:pPr>
      <w:r>
        <w:rPr>
          <w:rFonts w:cs="Arial"/>
          <w:szCs w:val="24"/>
        </w:rPr>
        <w:t>An outside transition service is assisting separated employees with job searches, resume writing, and other services to make the transition as smooth as possible.</w:t>
      </w:r>
    </w:p>
    <w:p w:rsidR="00AC40FC" w:rsidRDefault="00AC40FC" w:rsidP="00BB665B">
      <w:pPr>
        <w:pStyle w:val="Heading40"/>
      </w:pPr>
      <w:r>
        <w:lastRenderedPageBreak/>
        <w:t>Corporate Communications</w:t>
      </w:r>
    </w:p>
    <w:p w:rsidR="00AC40FC" w:rsidRDefault="00AC40FC" w:rsidP="00581946">
      <w:r>
        <w:t>Both PPL SC and PPL EUS provide communications services to PPL EU.</w:t>
      </w:r>
    </w:p>
    <w:p w:rsidR="00AC40FC" w:rsidRPr="005E0480" w:rsidRDefault="00AC40FC" w:rsidP="00BB665B">
      <w:pPr>
        <w:rPr>
          <w:b/>
        </w:rPr>
      </w:pPr>
      <w:r w:rsidRPr="005E0480">
        <w:rPr>
          <w:b/>
        </w:rPr>
        <w:t xml:space="preserve">2015 and 2016 Employee and Contractor Changes.  </w:t>
      </w:r>
    </w:p>
    <w:p w:rsidR="00AC40FC" w:rsidRDefault="00AC40FC" w:rsidP="00BB665B">
      <w:pPr>
        <w:pStyle w:val="Bullet"/>
        <w:spacing w:after="120"/>
      </w:pPr>
      <w:r>
        <w:rPr>
          <w:b/>
        </w:rPr>
        <w:t xml:space="preserve">PPL SC Corporate Communications. </w:t>
      </w:r>
      <w:r>
        <w:t>The Vice President, Corporate Communications (CC) position was eliminated in 2015 when the incumbent retired.  The Director-Corporate Communications at that time assumed those responsibilities and reports directly to the General Counsel, Senior Vice President, and Corporate Secretary.  Three CC positions transitioned to Talen as a result of the spinoff.</w:t>
      </w:r>
    </w:p>
    <w:p w:rsidR="00AC40FC" w:rsidRPr="00B916A6" w:rsidRDefault="00AC40FC" w:rsidP="00BB665B">
      <w:pPr>
        <w:pStyle w:val="Bullet"/>
        <w:spacing w:after="120"/>
      </w:pPr>
      <w:r w:rsidRPr="00B916A6">
        <w:rPr>
          <w:b/>
        </w:rPr>
        <w:t>PPL EUS Corporate Communications.</w:t>
      </w:r>
      <w:r>
        <w:rPr>
          <w:b/>
        </w:rPr>
        <w:t xml:space="preserve"> </w:t>
      </w:r>
      <w:r>
        <w:t xml:space="preserve"> </w:t>
      </w:r>
      <w:r w:rsidRPr="00B916A6">
        <w:t>Effective January 1, 2015,</w:t>
      </w:r>
      <w:r>
        <w:t xml:space="preserve"> a group from</w:t>
      </w:r>
      <w:r w:rsidRPr="00B916A6">
        <w:t xml:space="preserve"> </w:t>
      </w:r>
      <w:r>
        <w:t xml:space="preserve">the PPL SC CC </w:t>
      </w:r>
      <w:r w:rsidRPr="00B916A6">
        <w:t xml:space="preserve">organization </w:t>
      </w:r>
      <w:r>
        <w:t>became</w:t>
      </w:r>
      <w:r w:rsidRPr="00B916A6">
        <w:t xml:space="preserve"> part of PPL EUS.</w:t>
      </w:r>
      <w:r>
        <w:t xml:space="preserve"> </w:t>
      </w:r>
      <w:r w:rsidRPr="00B916A6">
        <w:t xml:space="preserve"> Staffing had been constant from that point until a Communications Specialist (for safety communications) from the Technical Development and Improvement group was transferred to the group in late 2015.</w:t>
      </w:r>
    </w:p>
    <w:p w:rsidR="00AC40FC" w:rsidRDefault="00AC40FC" w:rsidP="00BB665B">
      <w:pPr>
        <w:pStyle w:val="Bullet"/>
        <w:numPr>
          <w:ilvl w:val="0"/>
          <w:numId w:val="0"/>
        </w:numPr>
        <w:spacing w:after="120"/>
        <w:ind w:left="720"/>
      </w:pPr>
      <w:r w:rsidRPr="00B916A6">
        <w:t xml:space="preserve">Two contract graphic designers have been utilized for web </w:t>
      </w:r>
      <w:r>
        <w:t xml:space="preserve">and print </w:t>
      </w:r>
      <w:r w:rsidRPr="00B916A6">
        <w:t>design.  These contractors are shared with the</w:t>
      </w:r>
      <w:r>
        <w:t xml:space="preserve"> PPL SC CC</w:t>
      </w:r>
      <w:r w:rsidRPr="00B916A6">
        <w:t xml:space="preserve"> group</w:t>
      </w:r>
      <w:r>
        <w:t xml:space="preserve"> as needed</w:t>
      </w:r>
      <w:r w:rsidRPr="00B916A6">
        <w:t xml:space="preserve">.  </w:t>
      </w:r>
      <w:r>
        <w:t>Also, a</w:t>
      </w:r>
      <w:r w:rsidRPr="00B916A6">
        <w:t>n advertising agency</w:t>
      </w:r>
      <w:r>
        <w:t xml:space="preserve"> </w:t>
      </w:r>
      <w:r w:rsidRPr="00B916A6">
        <w:t xml:space="preserve">has been engaged for reputation ads including </w:t>
      </w:r>
      <w:r>
        <w:t>television</w:t>
      </w:r>
      <w:r w:rsidRPr="00B916A6">
        <w:t xml:space="preserve"> time</w:t>
      </w:r>
      <w:r>
        <w:t xml:space="preserve"> purchases</w:t>
      </w:r>
      <w:r w:rsidRPr="00B916A6">
        <w:t xml:space="preserve"> and cre</w:t>
      </w:r>
      <w:r>
        <w:t>ative work.  Approximately $500 thousand was</w:t>
      </w:r>
      <w:r w:rsidRPr="00B916A6">
        <w:t xml:space="preserve"> expended for these services</w:t>
      </w:r>
      <w:r>
        <w:t xml:space="preserve"> in 2015 and approximately $230 thousand</w:t>
      </w:r>
      <w:r w:rsidRPr="00B916A6">
        <w:t xml:space="preserve"> have been expended </w:t>
      </w:r>
      <w:r>
        <w:t xml:space="preserve">for 2016 </w:t>
      </w:r>
      <w:r w:rsidRPr="00B916A6">
        <w:t>on these services</w:t>
      </w:r>
      <w:r>
        <w:t xml:space="preserve"> as of the end of March 2016</w:t>
      </w:r>
      <w:r w:rsidRPr="00B916A6">
        <w:t>.</w:t>
      </w:r>
    </w:p>
    <w:p w:rsidR="00AC40FC" w:rsidRPr="006D1B9D" w:rsidRDefault="00AC40FC" w:rsidP="00BB665B">
      <w:pPr>
        <w:pStyle w:val="Bullet"/>
        <w:numPr>
          <w:ilvl w:val="0"/>
          <w:numId w:val="0"/>
        </w:numPr>
        <w:spacing w:after="120"/>
        <w:ind w:left="720"/>
      </w:pPr>
      <w:r>
        <w:t>Data for the 2014-2015 staffing changes in PPL SC CC and PPL EUS CC are provided below.</w:t>
      </w:r>
      <w:r w:rsidRPr="00625523">
        <w:t xml:space="preserve"> </w:t>
      </w:r>
      <w:r>
        <w:t xml:space="preserve"> </w:t>
      </w:r>
    </w:p>
    <w:p w:rsidR="00AC40FC" w:rsidRDefault="00AC40FC" w:rsidP="00B306CB">
      <w:pPr>
        <w:pStyle w:val="Caption"/>
      </w:pPr>
      <w:bookmarkStart w:id="416" w:name="_Toc462648507"/>
      <w:bookmarkStart w:id="417" w:name="_Toc464553129"/>
      <w:r>
        <w:t xml:space="preserve">Exhibit </w:t>
      </w:r>
      <w:fldSimple w:instr=" STYLEREF 1 \s ">
        <w:r w:rsidR="00A24205">
          <w:rPr>
            <w:noProof/>
          </w:rPr>
          <w:t>XV</w:t>
        </w:r>
      </w:fldSimple>
      <w:r w:rsidR="00264A1B">
        <w:noBreakHyphen/>
      </w:r>
      <w:fldSimple w:instr=" SEQ Exhibit \* ARABIC \s 1 ">
        <w:r w:rsidR="00A24205">
          <w:rPr>
            <w:noProof/>
          </w:rPr>
          <w:t>21</w:t>
        </w:r>
      </w:fldSimple>
      <w:r>
        <w:br/>
        <w:t>PPL SC Corporate Communication Employee Staffing Changes 2014–2015</w:t>
      </w:r>
      <w:bookmarkEnd w:id="416"/>
      <w:bookmarkEnd w:id="4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3297"/>
        <w:gridCol w:w="810"/>
        <w:gridCol w:w="900"/>
        <w:gridCol w:w="1097"/>
      </w:tblGrid>
      <w:tr w:rsidR="00AC40FC" w:rsidRPr="00875F2B" w:rsidTr="00581946">
        <w:trPr>
          <w:cantSplit/>
          <w:trHeight w:val="300"/>
          <w:tblHeader/>
          <w:jc w:val="center"/>
        </w:trPr>
        <w:tc>
          <w:tcPr>
            <w:tcW w:w="960" w:type="dxa"/>
            <w:shd w:val="clear" w:color="auto" w:fill="A5CD7E"/>
            <w:noWrap/>
            <w:vAlign w:val="center"/>
            <w:hideMark/>
          </w:tcPr>
          <w:p w:rsidR="00AC40FC" w:rsidRPr="001B05C8" w:rsidRDefault="00AC40FC" w:rsidP="00D6083E">
            <w:pPr>
              <w:spacing w:before="120"/>
              <w:jc w:val="center"/>
              <w:rPr>
                <w:b/>
                <w:bCs/>
              </w:rPr>
            </w:pPr>
            <w:r>
              <w:rPr>
                <w:b/>
                <w:bCs/>
              </w:rPr>
              <w:t>S</w:t>
            </w:r>
            <w:r w:rsidRPr="001B05C8">
              <w:rPr>
                <w:b/>
                <w:bCs/>
              </w:rPr>
              <w:t>RC</w:t>
            </w:r>
          </w:p>
        </w:tc>
        <w:tc>
          <w:tcPr>
            <w:tcW w:w="3297" w:type="dxa"/>
            <w:shd w:val="clear" w:color="auto" w:fill="A5CD7E"/>
            <w:noWrap/>
            <w:vAlign w:val="center"/>
            <w:hideMark/>
          </w:tcPr>
          <w:p w:rsidR="00AC40FC" w:rsidRPr="001B05C8" w:rsidRDefault="00AC40FC" w:rsidP="00D6083E">
            <w:pPr>
              <w:spacing w:before="120"/>
              <w:jc w:val="center"/>
              <w:rPr>
                <w:b/>
                <w:bCs/>
              </w:rPr>
            </w:pPr>
            <w:r w:rsidRPr="001B05C8">
              <w:rPr>
                <w:b/>
                <w:bCs/>
              </w:rPr>
              <w:t>Title</w:t>
            </w:r>
          </w:p>
        </w:tc>
        <w:tc>
          <w:tcPr>
            <w:tcW w:w="810" w:type="dxa"/>
            <w:shd w:val="clear" w:color="auto" w:fill="A5CD7E"/>
            <w:noWrap/>
            <w:vAlign w:val="center"/>
            <w:hideMark/>
          </w:tcPr>
          <w:p w:rsidR="00AC40FC" w:rsidRPr="001B05C8" w:rsidRDefault="00AC40FC" w:rsidP="00D6083E">
            <w:pPr>
              <w:spacing w:before="120"/>
              <w:jc w:val="center"/>
              <w:rPr>
                <w:b/>
                <w:bCs/>
              </w:rPr>
            </w:pPr>
            <w:r w:rsidRPr="001B05C8">
              <w:rPr>
                <w:b/>
                <w:bCs/>
              </w:rPr>
              <w:t>2014</w:t>
            </w:r>
          </w:p>
        </w:tc>
        <w:tc>
          <w:tcPr>
            <w:tcW w:w="900" w:type="dxa"/>
            <w:shd w:val="clear" w:color="auto" w:fill="A5CD7E"/>
            <w:noWrap/>
            <w:vAlign w:val="center"/>
            <w:hideMark/>
          </w:tcPr>
          <w:p w:rsidR="00AC40FC" w:rsidRPr="001B05C8" w:rsidRDefault="00AC40FC" w:rsidP="00D6083E">
            <w:pPr>
              <w:spacing w:before="120"/>
              <w:jc w:val="center"/>
              <w:rPr>
                <w:b/>
                <w:bCs/>
              </w:rPr>
            </w:pPr>
            <w:r w:rsidRPr="001B05C8">
              <w:rPr>
                <w:b/>
                <w:bCs/>
              </w:rPr>
              <w:t>2015</w:t>
            </w:r>
          </w:p>
        </w:tc>
        <w:tc>
          <w:tcPr>
            <w:tcW w:w="927" w:type="dxa"/>
            <w:shd w:val="clear" w:color="auto" w:fill="A5CD7E"/>
            <w:noWrap/>
            <w:vAlign w:val="center"/>
            <w:hideMark/>
          </w:tcPr>
          <w:p w:rsidR="00AC40FC" w:rsidRPr="001B05C8" w:rsidRDefault="00AC40FC" w:rsidP="00D6083E">
            <w:pPr>
              <w:spacing w:before="120"/>
              <w:jc w:val="center"/>
              <w:rPr>
                <w:b/>
                <w:bCs/>
              </w:rPr>
            </w:pPr>
            <w:r>
              <w:rPr>
                <w:b/>
                <w:bCs/>
              </w:rPr>
              <w:t>Change</w:t>
            </w:r>
          </w:p>
        </w:tc>
      </w:tr>
      <w:tr w:rsidR="00AC40FC" w:rsidRPr="00875F2B" w:rsidTr="00581946">
        <w:trPr>
          <w:trHeight w:val="300"/>
          <w:jc w:val="center"/>
        </w:trPr>
        <w:tc>
          <w:tcPr>
            <w:tcW w:w="960" w:type="dxa"/>
            <w:shd w:val="clear" w:color="auto" w:fill="auto"/>
            <w:noWrap/>
          </w:tcPr>
          <w:p w:rsidR="00AC40FC" w:rsidRPr="00D47F65" w:rsidRDefault="00AC40FC" w:rsidP="00581946">
            <w:pPr>
              <w:spacing w:after="0"/>
              <w:jc w:val="center"/>
            </w:pPr>
            <w:r>
              <w:t>0220</w:t>
            </w:r>
          </w:p>
        </w:tc>
        <w:tc>
          <w:tcPr>
            <w:tcW w:w="3297" w:type="dxa"/>
            <w:shd w:val="clear" w:color="auto" w:fill="auto"/>
            <w:noWrap/>
          </w:tcPr>
          <w:p w:rsidR="00AC40FC" w:rsidRPr="00D47F65" w:rsidRDefault="00AC40FC" w:rsidP="00581946">
            <w:pPr>
              <w:spacing w:after="0"/>
              <w:jc w:val="left"/>
            </w:pPr>
            <w:r>
              <w:t>Corporate Communications</w:t>
            </w:r>
          </w:p>
        </w:tc>
        <w:tc>
          <w:tcPr>
            <w:tcW w:w="810" w:type="dxa"/>
            <w:shd w:val="clear" w:color="auto" w:fill="auto"/>
            <w:noWrap/>
          </w:tcPr>
          <w:p w:rsidR="00AC40FC" w:rsidRPr="00D47F65" w:rsidRDefault="00AC40FC" w:rsidP="00581946">
            <w:pPr>
              <w:spacing w:after="0"/>
              <w:jc w:val="center"/>
            </w:pPr>
            <w:r>
              <w:t>29</w:t>
            </w:r>
          </w:p>
        </w:tc>
        <w:tc>
          <w:tcPr>
            <w:tcW w:w="900" w:type="dxa"/>
            <w:shd w:val="clear" w:color="auto" w:fill="auto"/>
            <w:noWrap/>
          </w:tcPr>
          <w:p w:rsidR="00AC40FC" w:rsidRPr="00D47F65" w:rsidRDefault="00AC40FC" w:rsidP="00581946">
            <w:pPr>
              <w:spacing w:after="0"/>
              <w:jc w:val="center"/>
            </w:pPr>
            <w:r>
              <w:t>8</w:t>
            </w:r>
          </w:p>
        </w:tc>
        <w:tc>
          <w:tcPr>
            <w:tcW w:w="927" w:type="dxa"/>
            <w:shd w:val="clear" w:color="auto" w:fill="auto"/>
            <w:noWrap/>
          </w:tcPr>
          <w:p w:rsidR="00AC40FC" w:rsidRDefault="00AC40FC" w:rsidP="00581946">
            <w:pPr>
              <w:spacing w:after="0"/>
              <w:jc w:val="center"/>
            </w:pPr>
            <w:r>
              <w:t>-21</w:t>
            </w:r>
          </w:p>
        </w:tc>
      </w:tr>
      <w:tr w:rsidR="00AC40FC" w:rsidRPr="00875F2B" w:rsidTr="00581946">
        <w:trPr>
          <w:trHeight w:val="300"/>
          <w:jc w:val="center"/>
        </w:trPr>
        <w:tc>
          <w:tcPr>
            <w:tcW w:w="960" w:type="dxa"/>
            <w:shd w:val="clear" w:color="auto" w:fill="auto"/>
            <w:noWrap/>
            <w:vAlign w:val="center"/>
            <w:hideMark/>
          </w:tcPr>
          <w:p w:rsidR="00AC40FC" w:rsidRPr="00875F2B" w:rsidRDefault="00AC40FC" w:rsidP="00581946">
            <w:pPr>
              <w:spacing w:after="0"/>
              <w:jc w:val="center"/>
            </w:pPr>
          </w:p>
        </w:tc>
        <w:tc>
          <w:tcPr>
            <w:tcW w:w="3297" w:type="dxa"/>
            <w:shd w:val="clear" w:color="auto" w:fill="auto"/>
            <w:noWrap/>
            <w:vAlign w:val="center"/>
            <w:hideMark/>
          </w:tcPr>
          <w:p w:rsidR="00AC40FC" w:rsidRPr="001B05C8" w:rsidRDefault="00AC40FC" w:rsidP="00581946">
            <w:pPr>
              <w:spacing w:after="0"/>
              <w:jc w:val="center"/>
              <w:rPr>
                <w:b/>
                <w:bCs/>
              </w:rPr>
            </w:pPr>
            <w:r w:rsidRPr="001B05C8">
              <w:rPr>
                <w:b/>
                <w:bCs/>
              </w:rPr>
              <w:t>T</w:t>
            </w:r>
            <w:r>
              <w:rPr>
                <w:b/>
                <w:bCs/>
              </w:rPr>
              <w:t>otals</w:t>
            </w:r>
          </w:p>
        </w:tc>
        <w:tc>
          <w:tcPr>
            <w:tcW w:w="810" w:type="dxa"/>
            <w:shd w:val="clear" w:color="auto" w:fill="auto"/>
            <w:noWrap/>
            <w:vAlign w:val="center"/>
          </w:tcPr>
          <w:p w:rsidR="00AC40FC" w:rsidRPr="001B05C8" w:rsidRDefault="00AC40FC" w:rsidP="00581946">
            <w:pPr>
              <w:spacing w:after="0"/>
              <w:jc w:val="center"/>
              <w:rPr>
                <w:b/>
                <w:bCs/>
              </w:rPr>
            </w:pPr>
            <w:r>
              <w:rPr>
                <w:b/>
                <w:bCs/>
              </w:rPr>
              <w:t>29</w:t>
            </w:r>
          </w:p>
        </w:tc>
        <w:tc>
          <w:tcPr>
            <w:tcW w:w="900" w:type="dxa"/>
            <w:shd w:val="clear" w:color="auto" w:fill="auto"/>
            <w:noWrap/>
            <w:vAlign w:val="center"/>
          </w:tcPr>
          <w:p w:rsidR="00AC40FC" w:rsidRPr="001B05C8" w:rsidRDefault="00AC40FC" w:rsidP="00581946">
            <w:pPr>
              <w:spacing w:after="0"/>
              <w:jc w:val="center"/>
              <w:rPr>
                <w:b/>
                <w:bCs/>
              </w:rPr>
            </w:pPr>
            <w:r>
              <w:rPr>
                <w:b/>
                <w:bCs/>
              </w:rPr>
              <w:t>8</w:t>
            </w:r>
          </w:p>
        </w:tc>
        <w:tc>
          <w:tcPr>
            <w:tcW w:w="927" w:type="dxa"/>
            <w:shd w:val="clear" w:color="auto" w:fill="auto"/>
            <w:noWrap/>
            <w:vAlign w:val="center"/>
          </w:tcPr>
          <w:p w:rsidR="00AC40FC" w:rsidRPr="001B05C8" w:rsidRDefault="00AC40FC" w:rsidP="00581946">
            <w:pPr>
              <w:spacing w:after="0"/>
              <w:jc w:val="center"/>
              <w:rPr>
                <w:b/>
                <w:bCs/>
              </w:rPr>
            </w:pPr>
            <w:r>
              <w:rPr>
                <w:b/>
                <w:bCs/>
              </w:rPr>
              <w:t>-21</w:t>
            </w:r>
          </w:p>
        </w:tc>
      </w:tr>
      <w:tr w:rsidR="00AC40FC" w:rsidRPr="00875F2B" w:rsidTr="00581946">
        <w:trPr>
          <w:trHeight w:val="300"/>
          <w:jc w:val="center"/>
        </w:trPr>
        <w:tc>
          <w:tcPr>
            <w:tcW w:w="6894" w:type="dxa"/>
            <w:gridSpan w:val="5"/>
            <w:shd w:val="clear" w:color="auto" w:fill="auto"/>
            <w:noWrap/>
            <w:vAlign w:val="center"/>
          </w:tcPr>
          <w:p w:rsidR="00AC40FC" w:rsidRPr="001B05C8" w:rsidRDefault="00AC40FC" w:rsidP="00581946">
            <w:pPr>
              <w:spacing w:after="0"/>
              <w:jc w:val="left"/>
              <w:rPr>
                <w:bCs/>
              </w:rPr>
            </w:pPr>
            <w:r>
              <w:rPr>
                <w:bCs/>
              </w:rPr>
              <w:t>Sources: DN 01-009a</w:t>
            </w:r>
            <w:r w:rsidRPr="001B05C8">
              <w:rPr>
                <w:bCs/>
              </w:rPr>
              <w:t xml:space="preserve">; </w:t>
            </w:r>
            <w:r>
              <w:rPr>
                <w:bCs/>
              </w:rPr>
              <w:t>DN 18-002-C</w:t>
            </w:r>
          </w:p>
        </w:tc>
      </w:tr>
    </w:tbl>
    <w:p w:rsidR="00AC40FC" w:rsidRDefault="00AC40FC" w:rsidP="00BB665B">
      <w:pPr>
        <w:pStyle w:val="Bullet"/>
        <w:numPr>
          <w:ilvl w:val="0"/>
          <w:numId w:val="0"/>
        </w:numPr>
        <w:spacing w:before="120" w:after="120"/>
        <w:ind w:left="720"/>
      </w:pPr>
      <w:r>
        <w:t>PPL SC CC staffing decreased by 21 positions, with seven positions going to PPL EUS.</w:t>
      </w:r>
    </w:p>
    <w:p w:rsidR="00AC40FC" w:rsidRDefault="00AC40FC" w:rsidP="00BB665B">
      <w:pPr>
        <w:pStyle w:val="Caption"/>
        <w:spacing w:before="120"/>
      </w:pPr>
      <w:bookmarkStart w:id="418" w:name="_Toc462648508"/>
      <w:bookmarkStart w:id="419" w:name="_Toc464553130"/>
      <w:r>
        <w:t xml:space="preserve">Exhibit </w:t>
      </w:r>
      <w:fldSimple w:instr=" STYLEREF 1 \s ">
        <w:r w:rsidR="00A24205">
          <w:rPr>
            <w:noProof/>
          </w:rPr>
          <w:t>XV</w:t>
        </w:r>
      </w:fldSimple>
      <w:r w:rsidR="00264A1B">
        <w:noBreakHyphen/>
      </w:r>
      <w:fldSimple w:instr=" SEQ Exhibit \* ARABIC \s 1 ">
        <w:r w:rsidR="00A24205">
          <w:rPr>
            <w:noProof/>
          </w:rPr>
          <w:t>22</w:t>
        </w:r>
      </w:fldSimple>
      <w:r>
        <w:br/>
        <w:t>PPL EUS Corporate Communication Employee Staffing Changes 2014–2015</w:t>
      </w:r>
      <w:bookmarkEnd w:id="418"/>
      <w:bookmarkEnd w:id="4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3163"/>
        <w:gridCol w:w="854"/>
        <w:gridCol w:w="900"/>
        <w:gridCol w:w="1097"/>
      </w:tblGrid>
      <w:tr w:rsidR="00AC40FC" w:rsidRPr="00D6083E" w:rsidTr="00581946">
        <w:trPr>
          <w:cantSplit/>
          <w:trHeight w:val="300"/>
          <w:tblHeader/>
          <w:jc w:val="center"/>
        </w:trPr>
        <w:tc>
          <w:tcPr>
            <w:tcW w:w="960" w:type="dxa"/>
            <w:shd w:val="clear" w:color="auto" w:fill="A5CD7E"/>
            <w:noWrap/>
            <w:vAlign w:val="center"/>
            <w:hideMark/>
          </w:tcPr>
          <w:p w:rsidR="00AC40FC" w:rsidRPr="001B05C8" w:rsidRDefault="00AC40FC" w:rsidP="00D6083E">
            <w:pPr>
              <w:spacing w:before="120"/>
              <w:jc w:val="center"/>
              <w:rPr>
                <w:b/>
                <w:bCs/>
              </w:rPr>
            </w:pPr>
            <w:r>
              <w:rPr>
                <w:b/>
                <w:bCs/>
              </w:rPr>
              <w:t>S</w:t>
            </w:r>
            <w:r w:rsidRPr="001B05C8">
              <w:rPr>
                <w:b/>
                <w:bCs/>
              </w:rPr>
              <w:t>RC</w:t>
            </w:r>
          </w:p>
        </w:tc>
        <w:tc>
          <w:tcPr>
            <w:tcW w:w="3163" w:type="dxa"/>
            <w:shd w:val="clear" w:color="auto" w:fill="A5CD7E"/>
            <w:noWrap/>
            <w:vAlign w:val="center"/>
            <w:hideMark/>
          </w:tcPr>
          <w:p w:rsidR="00AC40FC" w:rsidRPr="001B05C8" w:rsidRDefault="00AC40FC" w:rsidP="00D6083E">
            <w:pPr>
              <w:spacing w:before="120"/>
              <w:jc w:val="center"/>
              <w:rPr>
                <w:b/>
                <w:bCs/>
              </w:rPr>
            </w:pPr>
            <w:r w:rsidRPr="001B05C8">
              <w:rPr>
                <w:b/>
                <w:bCs/>
              </w:rPr>
              <w:t>Title</w:t>
            </w:r>
          </w:p>
        </w:tc>
        <w:tc>
          <w:tcPr>
            <w:tcW w:w="854" w:type="dxa"/>
            <w:shd w:val="clear" w:color="auto" w:fill="A5CD7E"/>
            <w:noWrap/>
            <w:vAlign w:val="center"/>
            <w:hideMark/>
          </w:tcPr>
          <w:p w:rsidR="00AC40FC" w:rsidRPr="001B05C8" w:rsidRDefault="00AC40FC" w:rsidP="00D6083E">
            <w:pPr>
              <w:spacing w:before="120"/>
              <w:jc w:val="center"/>
              <w:rPr>
                <w:b/>
                <w:bCs/>
              </w:rPr>
            </w:pPr>
            <w:r w:rsidRPr="001B05C8">
              <w:rPr>
                <w:b/>
                <w:bCs/>
              </w:rPr>
              <w:t>2014</w:t>
            </w:r>
          </w:p>
        </w:tc>
        <w:tc>
          <w:tcPr>
            <w:tcW w:w="900" w:type="dxa"/>
            <w:shd w:val="clear" w:color="auto" w:fill="A5CD7E"/>
            <w:noWrap/>
            <w:vAlign w:val="center"/>
            <w:hideMark/>
          </w:tcPr>
          <w:p w:rsidR="00AC40FC" w:rsidRPr="001B05C8" w:rsidRDefault="00AC40FC" w:rsidP="00D6083E">
            <w:pPr>
              <w:spacing w:before="120"/>
              <w:jc w:val="center"/>
              <w:rPr>
                <w:b/>
                <w:bCs/>
              </w:rPr>
            </w:pPr>
            <w:r w:rsidRPr="001B05C8">
              <w:rPr>
                <w:b/>
                <w:bCs/>
              </w:rPr>
              <w:t>2015</w:t>
            </w:r>
          </w:p>
        </w:tc>
        <w:tc>
          <w:tcPr>
            <w:tcW w:w="1080" w:type="dxa"/>
            <w:shd w:val="clear" w:color="auto" w:fill="A5CD7E"/>
            <w:noWrap/>
            <w:vAlign w:val="center"/>
            <w:hideMark/>
          </w:tcPr>
          <w:p w:rsidR="00AC40FC" w:rsidRPr="001B05C8" w:rsidRDefault="00AC40FC" w:rsidP="00D6083E">
            <w:pPr>
              <w:spacing w:before="120"/>
              <w:jc w:val="center"/>
              <w:rPr>
                <w:b/>
                <w:bCs/>
              </w:rPr>
            </w:pPr>
            <w:r>
              <w:rPr>
                <w:b/>
                <w:bCs/>
              </w:rPr>
              <w:t>Change</w:t>
            </w:r>
          </w:p>
        </w:tc>
      </w:tr>
      <w:tr w:rsidR="00AC40FC" w:rsidRPr="00875F2B" w:rsidTr="00581946">
        <w:trPr>
          <w:trHeight w:val="300"/>
          <w:jc w:val="center"/>
        </w:trPr>
        <w:tc>
          <w:tcPr>
            <w:tcW w:w="960" w:type="dxa"/>
            <w:shd w:val="clear" w:color="auto" w:fill="auto"/>
            <w:noWrap/>
          </w:tcPr>
          <w:p w:rsidR="00AC40FC" w:rsidRPr="00D47F65" w:rsidRDefault="00AC40FC" w:rsidP="00581946">
            <w:pPr>
              <w:spacing w:after="0"/>
              <w:jc w:val="center"/>
            </w:pPr>
            <w:r w:rsidRPr="00D47F65">
              <w:t>1</w:t>
            </w:r>
            <w:r>
              <w:t>220</w:t>
            </w:r>
          </w:p>
        </w:tc>
        <w:tc>
          <w:tcPr>
            <w:tcW w:w="3163" w:type="dxa"/>
            <w:shd w:val="clear" w:color="auto" w:fill="auto"/>
            <w:noWrap/>
          </w:tcPr>
          <w:p w:rsidR="00AC40FC" w:rsidRPr="00D47F65" w:rsidRDefault="00AC40FC" w:rsidP="00581946">
            <w:pPr>
              <w:spacing w:after="0"/>
              <w:jc w:val="left"/>
            </w:pPr>
            <w:r>
              <w:t>EU Communications</w:t>
            </w:r>
          </w:p>
        </w:tc>
        <w:tc>
          <w:tcPr>
            <w:tcW w:w="854" w:type="dxa"/>
            <w:shd w:val="clear" w:color="auto" w:fill="auto"/>
            <w:noWrap/>
          </w:tcPr>
          <w:p w:rsidR="00AC40FC" w:rsidRPr="00D47F65" w:rsidRDefault="00AC40FC" w:rsidP="00581946">
            <w:pPr>
              <w:spacing w:after="0"/>
              <w:jc w:val="center"/>
            </w:pPr>
            <w:r w:rsidRPr="00D47F65">
              <w:t>0</w:t>
            </w:r>
          </w:p>
        </w:tc>
        <w:tc>
          <w:tcPr>
            <w:tcW w:w="900" w:type="dxa"/>
            <w:shd w:val="clear" w:color="auto" w:fill="auto"/>
            <w:noWrap/>
          </w:tcPr>
          <w:p w:rsidR="00AC40FC" w:rsidRPr="00D47F65" w:rsidRDefault="00AC40FC" w:rsidP="00581946">
            <w:pPr>
              <w:spacing w:after="0"/>
              <w:jc w:val="center"/>
            </w:pPr>
            <w:r>
              <w:t>7</w:t>
            </w:r>
          </w:p>
        </w:tc>
        <w:tc>
          <w:tcPr>
            <w:tcW w:w="1080" w:type="dxa"/>
            <w:shd w:val="clear" w:color="auto" w:fill="auto"/>
            <w:noWrap/>
          </w:tcPr>
          <w:p w:rsidR="00AC40FC" w:rsidRDefault="00AC40FC" w:rsidP="00581946">
            <w:pPr>
              <w:spacing w:after="0"/>
              <w:jc w:val="center"/>
            </w:pPr>
            <w:r w:rsidRPr="00D47F65">
              <w:t>+</w:t>
            </w:r>
            <w:r>
              <w:t>7</w:t>
            </w:r>
          </w:p>
        </w:tc>
      </w:tr>
      <w:tr w:rsidR="00AC40FC" w:rsidRPr="00875F2B" w:rsidTr="00581946">
        <w:trPr>
          <w:trHeight w:val="300"/>
          <w:jc w:val="center"/>
        </w:trPr>
        <w:tc>
          <w:tcPr>
            <w:tcW w:w="960" w:type="dxa"/>
            <w:shd w:val="clear" w:color="auto" w:fill="auto"/>
            <w:noWrap/>
            <w:vAlign w:val="center"/>
            <w:hideMark/>
          </w:tcPr>
          <w:p w:rsidR="00AC40FC" w:rsidRPr="00875F2B" w:rsidRDefault="00AC40FC" w:rsidP="00581946">
            <w:pPr>
              <w:spacing w:after="0"/>
              <w:jc w:val="center"/>
            </w:pPr>
          </w:p>
        </w:tc>
        <w:tc>
          <w:tcPr>
            <w:tcW w:w="3163" w:type="dxa"/>
            <w:shd w:val="clear" w:color="auto" w:fill="auto"/>
            <w:noWrap/>
            <w:vAlign w:val="center"/>
            <w:hideMark/>
          </w:tcPr>
          <w:p w:rsidR="00AC40FC" w:rsidRPr="001B05C8" w:rsidRDefault="00AC40FC" w:rsidP="00581946">
            <w:pPr>
              <w:spacing w:after="0"/>
              <w:jc w:val="center"/>
              <w:rPr>
                <w:b/>
                <w:bCs/>
              </w:rPr>
            </w:pPr>
            <w:r w:rsidRPr="001B05C8">
              <w:rPr>
                <w:b/>
                <w:bCs/>
              </w:rPr>
              <w:t>T</w:t>
            </w:r>
            <w:r>
              <w:rPr>
                <w:b/>
                <w:bCs/>
              </w:rPr>
              <w:t>otals</w:t>
            </w:r>
          </w:p>
        </w:tc>
        <w:tc>
          <w:tcPr>
            <w:tcW w:w="854" w:type="dxa"/>
            <w:shd w:val="clear" w:color="auto" w:fill="auto"/>
            <w:noWrap/>
            <w:vAlign w:val="center"/>
          </w:tcPr>
          <w:p w:rsidR="00AC40FC" w:rsidRPr="001B05C8" w:rsidRDefault="00AC40FC" w:rsidP="00581946">
            <w:pPr>
              <w:spacing w:after="0"/>
              <w:jc w:val="center"/>
              <w:rPr>
                <w:b/>
                <w:bCs/>
              </w:rPr>
            </w:pPr>
            <w:r>
              <w:rPr>
                <w:b/>
                <w:bCs/>
              </w:rPr>
              <w:t>0</w:t>
            </w:r>
          </w:p>
        </w:tc>
        <w:tc>
          <w:tcPr>
            <w:tcW w:w="900" w:type="dxa"/>
            <w:shd w:val="clear" w:color="auto" w:fill="auto"/>
            <w:noWrap/>
            <w:vAlign w:val="center"/>
          </w:tcPr>
          <w:p w:rsidR="00AC40FC" w:rsidRPr="001B05C8" w:rsidRDefault="00AC40FC" w:rsidP="00581946">
            <w:pPr>
              <w:spacing w:after="0"/>
              <w:jc w:val="center"/>
              <w:rPr>
                <w:b/>
                <w:bCs/>
              </w:rPr>
            </w:pPr>
            <w:r>
              <w:rPr>
                <w:b/>
                <w:bCs/>
              </w:rPr>
              <w:t>7</w:t>
            </w:r>
          </w:p>
        </w:tc>
        <w:tc>
          <w:tcPr>
            <w:tcW w:w="1080" w:type="dxa"/>
            <w:shd w:val="clear" w:color="auto" w:fill="auto"/>
            <w:noWrap/>
            <w:vAlign w:val="center"/>
          </w:tcPr>
          <w:p w:rsidR="00AC40FC" w:rsidRPr="001B05C8" w:rsidRDefault="00AC40FC" w:rsidP="00581946">
            <w:pPr>
              <w:spacing w:after="0"/>
              <w:jc w:val="center"/>
              <w:rPr>
                <w:b/>
                <w:bCs/>
              </w:rPr>
            </w:pPr>
            <w:r>
              <w:rPr>
                <w:b/>
                <w:bCs/>
              </w:rPr>
              <w:t>+7</w:t>
            </w:r>
          </w:p>
        </w:tc>
      </w:tr>
      <w:tr w:rsidR="00AC40FC" w:rsidRPr="00875F2B" w:rsidTr="00581946">
        <w:trPr>
          <w:trHeight w:val="300"/>
          <w:jc w:val="center"/>
        </w:trPr>
        <w:tc>
          <w:tcPr>
            <w:tcW w:w="6957" w:type="dxa"/>
            <w:gridSpan w:val="5"/>
            <w:shd w:val="clear" w:color="auto" w:fill="auto"/>
            <w:noWrap/>
            <w:vAlign w:val="center"/>
          </w:tcPr>
          <w:p w:rsidR="00AC40FC" w:rsidRPr="001B05C8" w:rsidRDefault="00AC40FC" w:rsidP="00581946">
            <w:pPr>
              <w:spacing w:after="0"/>
              <w:jc w:val="left"/>
              <w:rPr>
                <w:bCs/>
              </w:rPr>
            </w:pPr>
            <w:r>
              <w:rPr>
                <w:bCs/>
              </w:rPr>
              <w:t>Sources: DN 01-009</w:t>
            </w:r>
            <w:r w:rsidRPr="001B05C8">
              <w:rPr>
                <w:bCs/>
              </w:rPr>
              <w:t xml:space="preserve">; </w:t>
            </w:r>
            <w:r>
              <w:rPr>
                <w:bCs/>
              </w:rPr>
              <w:t>DN 18-002-C</w:t>
            </w:r>
          </w:p>
        </w:tc>
      </w:tr>
    </w:tbl>
    <w:p w:rsidR="00AC40FC" w:rsidRDefault="00AC40FC" w:rsidP="00BB665B">
      <w:pPr>
        <w:pStyle w:val="Bullet"/>
        <w:numPr>
          <w:ilvl w:val="0"/>
          <w:numId w:val="0"/>
        </w:numPr>
        <w:spacing w:before="120" w:after="120"/>
        <w:ind w:left="720"/>
      </w:pPr>
      <w:r>
        <w:t>PPL EUS was formed with seven positions from PPL SC.</w:t>
      </w:r>
    </w:p>
    <w:p w:rsidR="00AC40FC" w:rsidRPr="00B916A6" w:rsidRDefault="00AC40FC" w:rsidP="00581946">
      <w:r w:rsidRPr="00345F93">
        <w:rPr>
          <w:b/>
        </w:rPr>
        <w:lastRenderedPageBreak/>
        <w:t>Future Employee and Contractor Changes.</w:t>
      </w:r>
      <w:r>
        <w:t xml:space="preserve">  </w:t>
      </w:r>
      <w:r w:rsidRPr="00B916A6">
        <w:rPr>
          <w:rFonts w:cs="Arial"/>
          <w:szCs w:val="24"/>
        </w:rPr>
        <w:t>There are no changes planned in the present level of employee</w:t>
      </w:r>
      <w:r>
        <w:rPr>
          <w:rFonts w:cs="Arial"/>
          <w:szCs w:val="24"/>
        </w:rPr>
        <w:t xml:space="preserve"> or contractor </w:t>
      </w:r>
      <w:r w:rsidRPr="00B916A6">
        <w:rPr>
          <w:rFonts w:cs="Arial"/>
          <w:szCs w:val="24"/>
        </w:rPr>
        <w:t>s</w:t>
      </w:r>
      <w:r>
        <w:rPr>
          <w:rFonts w:cs="Arial"/>
          <w:szCs w:val="24"/>
        </w:rPr>
        <w:t>taffing in either PPL SC or PPL EUS CC group</w:t>
      </w:r>
      <w:r w:rsidRPr="00B916A6">
        <w:rPr>
          <w:rFonts w:cs="Arial"/>
          <w:szCs w:val="24"/>
        </w:rPr>
        <w:t>.</w:t>
      </w:r>
    </w:p>
    <w:p w:rsidR="00AC40FC" w:rsidRDefault="00AC40FC" w:rsidP="00581946">
      <w:r w:rsidRPr="00345F93">
        <w:rPr>
          <w:b/>
        </w:rPr>
        <w:t>Employee and Contractor Staffing Planning Criteria and Process.</w:t>
      </w:r>
      <w:r>
        <w:t xml:space="preserve">  For both PPL SC and PPL EUS CC, workload is the predominant driver for both internal staff and contractor planning.  The workload is generally predictable and lends stability to staffing levels for both employees and contractors.</w:t>
      </w:r>
    </w:p>
    <w:p w:rsidR="00AC40FC" w:rsidRPr="006D1B9D" w:rsidRDefault="00AC40FC" w:rsidP="00581946">
      <w:r w:rsidRPr="00345F93">
        <w:rPr>
          <w:b/>
        </w:rPr>
        <w:t>The Allocation of Personnel to PPL EU and PPL EUS in the Formation of PPL EUS.</w:t>
      </w:r>
      <w:r>
        <w:t xml:space="preserve">  </w:t>
      </w:r>
      <w:r>
        <w:rPr>
          <w:rFonts w:cs="Arial"/>
          <w:szCs w:val="24"/>
        </w:rPr>
        <w:t xml:space="preserve">The present organization structure involved splitting the PPL SC CC organization at that time into two distinct groups.  The first group was a communications organization located in PPL EUS that directly supports PPL EU.  Seven employees were assigned to this group. The second group was a communications organization located in PPL SC that is focused on providing communications services to the Board, executive management, and the PPL SC organization.  Eight employees were assigned to this group.  Due to their previous experience with PPL Energy Supply, LLC three employees from the former PPL SC CC transitioned to Talen.  </w:t>
      </w:r>
    </w:p>
    <w:p w:rsidR="00AC40FC" w:rsidRDefault="00AC40FC" w:rsidP="00581946">
      <w:r w:rsidRPr="00345F93">
        <w:rPr>
          <w:b/>
        </w:rPr>
        <w:t>Plans for Adjusting Staffing As the Talen TSA Winds Down and Terminates.</w:t>
      </w:r>
      <w:r>
        <w:t xml:space="preserve">  Neither the PPL SC CC nor the PPL EUS CC is involved with Talen TSA activities.</w:t>
      </w:r>
    </w:p>
    <w:p w:rsidR="00AC40FC" w:rsidRDefault="00AC40FC" w:rsidP="00BB665B">
      <w:pPr>
        <w:pStyle w:val="Heading40"/>
      </w:pPr>
      <w:r>
        <w:t>Legal</w:t>
      </w:r>
    </w:p>
    <w:p w:rsidR="00AC40FC" w:rsidRDefault="00AC40FC" w:rsidP="00581946">
      <w:pPr>
        <w:rPr>
          <w:rFonts w:cs="Arial"/>
          <w:szCs w:val="24"/>
        </w:rPr>
      </w:pPr>
      <w:r w:rsidRPr="00345F93">
        <w:rPr>
          <w:b/>
        </w:rPr>
        <w:t>2015 and 2016 Employee and Contractor Changes.</w:t>
      </w:r>
      <w:r>
        <w:t xml:space="preserve">  </w:t>
      </w:r>
      <w:r>
        <w:rPr>
          <w:rFonts w:cs="Arial"/>
          <w:szCs w:val="24"/>
        </w:rPr>
        <w:t xml:space="preserve">As part of a reorganization, two legal groups were formed within the Office of General Counsel (OGC), each reporting to the Senior Vice President, General Counsel, and Corporate Secretary (SVP).  One group is primarily dedicated to PPL EU legal matters and is led by the </w:t>
      </w:r>
      <w:r w:rsidRPr="008D63D3">
        <w:rPr>
          <w:rFonts w:cs="Arial"/>
          <w:szCs w:val="24"/>
        </w:rPr>
        <w:t>Associate General Counsel</w:t>
      </w:r>
      <w:r>
        <w:rPr>
          <w:rFonts w:cs="Arial"/>
          <w:szCs w:val="24"/>
        </w:rPr>
        <w:t xml:space="preserve"> (AGC).  This group deals with regulatory, claims, real estate, and labor matters.  The AGC has a dotted line reporting relationship organizationally to the President, PPL EU.  The second group is focused on overall PPL Corporation legal matters and is led by the Deputy General Counsel and Vice President (DGC).  The OGC paralegals indirectly report to the DGC.</w:t>
      </w:r>
    </w:p>
    <w:p w:rsidR="00AC40FC" w:rsidRDefault="00AC40FC" w:rsidP="00581946">
      <w:r>
        <w:rPr>
          <w:rFonts w:cs="Arial"/>
          <w:szCs w:val="24"/>
        </w:rPr>
        <w:t>Data for the 2014–2015 staffing changes in PPL SC OGC are provided below.</w:t>
      </w:r>
    </w:p>
    <w:p w:rsidR="00AC40FC" w:rsidRDefault="00AC40FC" w:rsidP="00B306CB">
      <w:pPr>
        <w:pStyle w:val="Caption"/>
      </w:pPr>
      <w:bookmarkStart w:id="420" w:name="_Toc462648509"/>
      <w:bookmarkStart w:id="421" w:name="_Toc464553131"/>
      <w:r>
        <w:t xml:space="preserve">Exhibit </w:t>
      </w:r>
      <w:fldSimple w:instr=" STYLEREF 1 \s ">
        <w:r w:rsidR="00A24205">
          <w:rPr>
            <w:noProof/>
          </w:rPr>
          <w:t>XV</w:t>
        </w:r>
      </w:fldSimple>
      <w:r w:rsidR="00264A1B">
        <w:noBreakHyphen/>
      </w:r>
      <w:fldSimple w:instr=" SEQ Exhibit \* ARABIC \s 1 ">
        <w:r w:rsidR="00A24205">
          <w:rPr>
            <w:noProof/>
          </w:rPr>
          <w:t>23</w:t>
        </w:r>
      </w:fldSimple>
      <w:r>
        <w:br/>
        <w:t>PPL SC Office of General Counsel Employee Staffing Changes 2014–2015</w:t>
      </w:r>
      <w:bookmarkEnd w:id="420"/>
      <w:bookmarkEnd w:id="4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3754"/>
        <w:gridCol w:w="750"/>
        <w:gridCol w:w="750"/>
        <w:gridCol w:w="1097"/>
      </w:tblGrid>
      <w:tr w:rsidR="00AC40FC" w:rsidRPr="00D6083E" w:rsidTr="00581946">
        <w:trPr>
          <w:cantSplit/>
          <w:trHeight w:val="300"/>
          <w:tblHeader/>
          <w:jc w:val="center"/>
        </w:trPr>
        <w:tc>
          <w:tcPr>
            <w:tcW w:w="960" w:type="dxa"/>
            <w:shd w:val="clear" w:color="auto" w:fill="A5CD7E"/>
            <w:noWrap/>
            <w:vAlign w:val="center"/>
            <w:hideMark/>
          </w:tcPr>
          <w:p w:rsidR="00AC40FC" w:rsidRPr="001B05C8" w:rsidRDefault="00AC40FC" w:rsidP="00D6083E">
            <w:pPr>
              <w:spacing w:before="120"/>
              <w:jc w:val="center"/>
              <w:rPr>
                <w:b/>
                <w:bCs/>
              </w:rPr>
            </w:pPr>
            <w:r>
              <w:rPr>
                <w:b/>
                <w:bCs/>
              </w:rPr>
              <w:t>S</w:t>
            </w:r>
            <w:r w:rsidRPr="001B05C8">
              <w:rPr>
                <w:b/>
                <w:bCs/>
              </w:rPr>
              <w:t>RC</w:t>
            </w:r>
          </w:p>
        </w:tc>
        <w:tc>
          <w:tcPr>
            <w:tcW w:w="3754" w:type="dxa"/>
            <w:shd w:val="clear" w:color="auto" w:fill="A5CD7E"/>
            <w:noWrap/>
            <w:vAlign w:val="center"/>
            <w:hideMark/>
          </w:tcPr>
          <w:p w:rsidR="00AC40FC" w:rsidRPr="001B05C8" w:rsidRDefault="00AC40FC" w:rsidP="00D6083E">
            <w:pPr>
              <w:spacing w:before="120"/>
              <w:jc w:val="center"/>
              <w:rPr>
                <w:b/>
                <w:bCs/>
              </w:rPr>
            </w:pPr>
            <w:r w:rsidRPr="001B05C8">
              <w:rPr>
                <w:b/>
                <w:bCs/>
              </w:rPr>
              <w:t>Title</w:t>
            </w:r>
          </w:p>
        </w:tc>
        <w:tc>
          <w:tcPr>
            <w:tcW w:w="750" w:type="dxa"/>
            <w:shd w:val="clear" w:color="auto" w:fill="A5CD7E"/>
            <w:noWrap/>
            <w:vAlign w:val="center"/>
            <w:hideMark/>
          </w:tcPr>
          <w:p w:rsidR="00AC40FC" w:rsidRPr="001B05C8" w:rsidRDefault="00AC40FC" w:rsidP="00D6083E">
            <w:pPr>
              <w:spacing w:before="120"/>
              <w:jc w:val="center"/>
              <w:rPr>
                <w:b/>
                <w:bCs/>
              </w:rPr>
            </w:pPr>
            <w:r w:rsidRPr="001B05C8">
              <w:rPr>
                <w:b/>
                <w:bCs/>
              </w:rPr>
              <w:t>2014</w:t>
            </w:r>
          </w:p>
        </w:tc>
        <w:tc>
          <w:tcPr>
            <w:tcW w:w="750" w:type="dxa"/>
            <w:shd w:val="clear" w:color="auto" w:fill="A5CD7E"/>
            <w:noWrap/>
            <w:vAlign w:val="center"/>
            <w:hideMark/>
          </w:tcPr>
          <w:p w:rsidR="00AC40FC" w:rsidRPr="001B05C8" w:rsidRDefault="00AC40FC" w:rsidP="00D6083E">
            <w:pPr>
              <w:spacing w:before="120"/>
              <w:jc w:val="center"/>
              <w:rPr>
                <w:b/>
                <w:bCs/>
              </w:rPr>
            </w:pPr>
            <w:r w:rsidRPr="001B05C8">
              <w:rPr>
                <w:b/>
                <w:bCs/>
              </w:rPr>
              <w:t>2015</w:t>
            </w:r>
          </w:p>
        </w:tc>
        <w:tc>
          <w:tcPr>
            <w:tcW w:w="680" w:type="dxa"/>
            <w:shd w:val="clear" w:color="auto" w:fill="A5CD7E"/>
            <w:noWrap/>
            <w:vAlign w:val="center"/>
            <w:hideMark/>
          </w:tcPr>
          <w:p w:rsidR="00AC40FC" w:rsidRPr="001B05C8" w:rsidRDefault="00AC40FC" w:rsidP="00D6083E">
            <w:pPr>
              <w:spacing w:before="120"/>
              <w:jc w:val="center"/>
              <w:rPr>
                <w:b/>
                <w:bCs/>
              </w:rPr>
            </w:pPr>
            <w:r>
              <w:rPr>
                <w:b/>
                <w:bCs/>
              </w:rPr>
              <w:t>Change</w:t>
            </w:r>
          </w:p>
        </w:tc>
      </w:tr>
      <w:tr w:rsidR="00AC40FC" w:rsidRPr="00875F2B" w:rsidTr="00581946">
        <w:trPr>
          <w:trHeight w:val="300"/>
          <w:jc w:val="center"/>
        </w:trPr>
        <w:tc>
          <w:tcPr>
            <w:tcW w:w="960" w:type="dxa"/>
            <w:shd w:val="clear" w:color="auto" w:fill="auto"/>
            <w:noWrap/>
          </w:tcPr>
          <w:p w:rsidR="00AC40FC" w:rsidRPr="00D47F65" w:rsidRDefault="00AC40FC" w:rsidP="00581946">
            <w:pPr>
              <w:spacing w:after="0"/>
              <w:jc w:val="center"/>
            </w:pPr>
            <w:r>
              <w:t>0205</w:t>
            </w:r>
          </w:p>
        </w:tc>
        <w:tc>
          <w:tcPr>
            <w:tcW w:w="3754" w:type="dxa"/>
            <w:shd w:val="clear" w:color="auto" w:fill="auto"/>
            <w:noWrap/>
          </w:tcPr>
          <w:p w:rsidR="00AC40FC" w:rsidRPr="00D47F65" w:rsidRDefault="00AC40FC" w:rsidP="00581946">
            <w:pPr>
              <w:spacing w:after="0"/>
              <w:jc w:val="left"/>
            </w:pPr>
            <w:r>
              <w:t>Office of General Counsel</w:t>
            </w:r>
          </w:p>
        </w:tc>
        <w:tc>
          <w:tcPr>
            <w:tcW w:w="750" w:type="dxa"/>
            <w:shd w:val="clear" w:color="auto" w:fill="auto"/>
            <w:noWrap/>
          </w:tcPr>
          <w:p w:rsidR="00AC40FC" w:rsidRPr="00D47F65" w:rsidRDefault="00AC40FC" w:rsidP="00581946">
            <w:pPr>
              <w:spacing w:after="0"/>
              <w:jc w:val="center"/>
            </w:pPr>
            <w:r>
              <w:t>48</w:t>
            </w:r>
          </w:p>
        </w:tc>
        <w:tc>
          <w:tcPr>
            <w:tcW w:w="750" w:type="dxa"/>
            <w:shd w:val="clear" w:color="auto" w:fill="auto"/>
            <w:noWrap/>
          </w:tcPr>
          <w:p w:rsidR="00AC40FC" w:rsidRPr="00D47F65" w:rsidRDefault="00AC40FC" w:rsidP="00581946">
            <w:pPr>
              <w:spacing w:after="0"/>
              <w:jc w:val="center"/>
            </w:pPr>
            <w:r>
              <w:t>37</w:t>
            </w:r>
          </w:p>
        </w:tc>
        <w:tc>
          <w:tcPr>
            <w:tcW w:w="680" w:type="dxa"/>
            <w:shd w:val="clear" w:color="auto" w:fill="auto"/>
            <w:noWrap/>
          </w:tcPr>
          <w:p w:rsidR="00AC40FC" w:rsidRDefault="00AC40FC" w:rsidP="00581946">
            <w:pPr>
              <w:spacing w:after="0"/>
              <w:jc w:val="center"/>
            </w:pPr>
            <w:r>
              <w:t>-11</w:t>
            </w:r>
          </w:p>
        </w:tc>
      </w:tr>
      <w:tr w:rsidR="00AC40FC" w:rsidRPr="00875F2B" w:rsidTr="00581946">
        <w:trPr>
          <w:trHeight w:val="300"/>
          <w:jc w:val="center"/>
        </w:trPr>
        <w:tc>
          <w:tcPr>
            <w:tcW w:w="960" w:type="dxa"/>
            <w:shd w:val="clear" w:color="auto" w:fill="auto"/>
            <w:noWrap/>
          </w:tcPr>
          <w:p w:rsidR="00AC40FC" w:rsidRDefault="00AC40FC" w:rsidP="00581946">
            <w:pPr>
              <w:spacing w:after="0"/>
              <w:jc w:val="center"/>
            </w:pPr>
            <w:r>
              <w:t>0206</w:t>
            </w:r>
          </w:p>
        </w:tc>
        <w:tc>
          <w:tcPr>
            <w:tcW w:w="3754" w:type="dxa"/>
            <w:shd w:val="clear" w:color="auto" w:fill="auto"/>
            <w:noWrap/>
          </w:tcPr>
          <w:p w:rsidR="00AC40FC" w:rsidRDefault="00AC40FC" w:rsidP="00581946">
            <w:pPr>
              <w:spacing w:after="0"/>
              <w:jc w:val="left"/>
            </w:pPr>
            <w:r>
              <w:t>Business Ethics and Compliance</w:t>
            </w:r>
          </w:p>
        </w:tc>
        <w:tc>
          <w:tcPr>
            <w:tcW w:w="750" w:type="dxa"/>
            <w:shd w:val="clear" w:color="auto" w:fill="auto"/>
            <w:noWrap/>
          </w:tcPr>
          <w:p w:rsidR="00AC40FC" w:rsidRDefault="00AC40FC" w:rsidP="00581946">
            <w:pPr>
              <w:spacing w:after="0"/>
              <w:jc w:val="center"/>
            </w:pPr>
            <w:r>
              <w:t>3</w:t>
            </w:r>
          </w:p>
        </w:tc>
        <w:tc>
          <w:tcPr>
            <w:tcW w:w="750" w:type="dxa"/>
            <w:shd w:val="clear" w:color="auto" w:fill="auto"/>
            <w:noWrap/>
          </w:tcPr>
          <w:p w:rsidR="00AC40FC" w:rsidRDefault="00AC40FC" w:rsidP="00581946">
            <w:pPr>
              <w:spacing w:after="0"/>
              <w:jc w:val="center"/>
            </w:pPr>
            <w:r>
              <w:t>0</w:t>
            </w:r>
          </w:p>
        </w:tc>
        <w:tc>
          <w:tcPr>
            <w:tcW w:w="680" w:type="dxa"/>
            <w:shd w:val="clear" w:color="auto" w:fill="auto"/>
            <w:noWrap/>
          </w:tcPr>
          <w:p w:rsidR="00AC40FC" w:rsidRDefault="00AC40FC" w:rsidP="00581946">
            <w:pPr>
              <w:spacing w:after="0"/>
              <w:jc w:val="center"/>
            </w:pPr>
            <w:r>
              <w:t>-3</w:t>
            </w:r>
          </w:p>
        </w:tc>
      </w:tr>
      <w:tr w:rsidR="00AC40FC" w:rsidRPr="00875F2B" w:rsidTr="00581946">
        <w:trPr>
          <w:trHeight w:val="300"/>
          <w:jc w:val="center"/>
        </w:trPr>
        <w:tc>
          <w:tcPr>
            <w:tcW w:w="960" w:type="dxa"/>
            <w:shd w:val="clear" w:color="auto" w:fill="auto"/>
            <w:noWrap/>
          </w:tcPr>
          <w:p w:rsidR="00AC40FC" w:rsidRDefault="00AC40FC" w:rsidP="00581946">
            <w:pPr>
              <w:spacing w:after="0"/>
              <w:jc w:val="center"/>
            </w:pPr>
            <w:r>
              <w:t>0207</w:t>
            </w:r>
          </w:p>
        </w:tc>
        <w:tc>
          <w:tcPr>
            <w:tcW w:w="3754" w:type="dxa"/>
            <w:shd w:val="clear" w:color="auto" w:fill="auto"/>
            <w:noWrap/>
          </w:tcPr>
          <w:p w:rsidR="00AC40FC" w:rsidRDefault="00AC40FC" w:rsidP="00581946">
            <w:pPr>
              <w:spacing w:after="0"/>
              <w:jc w:val="left"/>
            </w:pPr>
            <w:r>
              <w:t>FERC/NERC Compliance</w:t>
            </w:r>
          </w:p>
        </w:tc>
        <w:tc>
          <w:tcPr>
            <w:tcW w:w="750" w:type="dxa"/>
            <w:shd w:val="clear" w:color="auto" w:fill="auto"/>
            <w:noWrap/>
          </w:tcPr>
          <w:p w:rsidR="00AC40FC" w:rsidRDefault="00AC40FC" w:rsidP="00581946">
            <w:pPr>
              <w:spacing w:after="0"/>
              <w:jc w:val="center"/>
            </w:pPr>
            <w:r>
              <w:t>1</w:t>
            </w:r>
          </w:p>
        </w:tc>
        <w:tc>
          <w:tcPr>
            <w:tcW w:w="750" w:type="dxa"/>
            <w:shd w:val="clear" w:color="auto" w:fill="auto"/>
            <w:noWrap/>
          </w:tcPr>
          <w:p w:rsidR="00AC40FC" w:rsidRDefault="00AC40FC" w:rsidP="00581946">
            <w:pPr>
              <w:spacing w:after="0"/>
              <w:jc w:val="center"/>
            </w:pPr>
            <w:r>
              <w:t>0</w:t>
            </w:r>
          </w:p>
        </w:tc>
        <w:tc>
          <w:tcPr>
            <w:tcW w:w="680" w:type="dxa"/>
            <w:shd w:val="clear" w:color="auto" w:fill="auto"/>
            <w:noWrap/>
          </w:tcPr>
          <w:p w:rsidR="00AC40FC" w:rsidRDefault="00AC40FC" w:rsidP="00581946">
            <w:pPr>
              <w:spacing w:after="0"/>
              <w:jc w:val="center"/>
            </w:pPr>
            <w:r>
              <w:t>-1</w:t>
            </w:r>
          </w:p>
        </w:tc>
      </w:tr>
      <w:tr w:rsidR="00AC40FC" w:rsidRPr="00875F2B" w:rsidTr="00581946">
        <w:trPr>
          <w:trHeight w:val="300"/>
          <w:jc w:val="center"/>
        </w:trPr>
        <w:tc>
          <w:tcPr>
            <w:tcW w:w="960" w:type="dxa"/>
            <w:shd w:val="clear" w:color="auto" w:fill="auto"/>
            <w:noWrap/>
            <w:vAlign w:val="center"/>
            <w:hideMark/>
          </w:tcPr>
          <w:p w:rsidR="00AC40FC" w:rsidRPr="00875F2B" w:rsidRDefault="00AC40FC" w:rsidP="00581946">
            <w:pPr>
              <w:spacing w:after="0"/>
              <w:jc w:val="center"/>
            </w:pPr>
          </w:p>
        </w:tc>
        <w:tc>
          <w:tcPr>
            <w:tcW w:w="3754" w:type="dxa"/>
            <w:shd w:val="clear" w:color="auto" w:fill="auto"/>
            <w:noWrap/>
            <w:vAlign w:val="center"/>
            <w:hideMark/>
          </w:tcPr>
          <w:p w:rsidR="00AC40FC" w:rsidRPr="001B05C8" w:rsidRDefault="00AC40FC" w:rsidP="00581946">
            <w:pPr>
              <w:spacing w:after="0"/>
              <w:jc w:val="center"/>
              <w:rPr>
                <w:b/>
                <w:bCs/>
              </w:rPr>
            </w:pPr>
            <w:r w:rsidRPr="001B05C8">
              <w:rPr>
                <w:b/>
                <w:bCs/>
              </w:rPr>
              <w:t>T</w:t>
            </w:r>
            <w:r>
              <w:rPr>
                <w:b/>
                <w:bCs/>
              </w:rPr>
              <w:t>otals</w:t>
            </w:r>
          </w:p>
        </w:tc>
        <w:tc>
          <w:tcPr>
            <w:tcW w:w="750" w:type="dxa"/>
            <w:shd w:val="clear" w:color="auto" w:fill="auto"/>
            <w:noWrap/>
            <w:vAlign w:val="center"/>
          </w:tcPr>
          <w:p w:rsidR="00AC40FC" w:rsidRPr="001B05C8" w:rsidRDefault="00AC40FC" w:rsidP="00581946">
            <w:pPr>
              <w:spacing w:after="0"/>
              <w:jc w:val="center"/>
              <w:rPr>
                <w:b/>
                <w:bCs/>
              </w:rPr>
            </w:pPr>
            <w:r>
              <w:rPr>
                <w:b/>
                <w:bCs/>
              </w:rPr>
              <w:t>52</w:t>
            </w:r>
          </w:p>
        </w:tc>
        <w:tc>
          <w:tcPr>
            <w:tcW w:w="750" w:type="dxa"/>
            <w:shd w:val="clear" w:color="auto" w:fill="auto"/>
            <w:noWrap/>
            <w:vAlign w:val="center"/>
          </w:tcPr>
          <w:p w:rsidR="00AC40FC" w:rsidRPr="001B05C8" w:rsidRDefault="00AC40FC" w:rsidP="00581946">
            <w:pPr>
              <w:spacing w:after="0"/>
              <w:jc w:val="center"/>
              <w:rPr>
                <w:b/>
                <w:bCs/>
              </w:rPr>
            </w:pPr>
            <w:r>
              <w:rPr>
                <w:b/>
                <w:bCs/>
              </w:rPr>
              <w:t>37</w:t>
            </w:r>
          </w:p>
        </w:tc>
        <w:tc>
          <w:tcPr>
            <w:tcW w:w="680" w:type="dxa"/>
            <w:shd w:val="clear" w:color="auto" w:fill="auto"/>
            <w:noWrap/>
            <w:vAlign w:val="center"/>
          </w:tcPr>
          <w:p w:rsidR="00AC40FC" w:rsidRPr="001B05C8" w:rsidRDefault="00AC40FC" w:rsidP="00581946">
            <w:pPr>
              <w:spacing w:after="0"/>
              <w:jc w:val="center"/>
              <w:rPr>
                <w:b/>
                <w:bCs/>
              </w:rPr>
            </w:pPr>
            <w:r>
              <w:rPr>
                <w:b/>
                <w:bCs/>
              </w:rPr>
              <w:t>-15</w:t>
            </w:r>
          </w:p>
        </w:tc>
      </w:tr>
      <w:tr w:rsidR="00AC40FC" w:rsidRPr="00875F2B" w:rsidTr="00581946">
        <w:trPr>
          <w:trHeight w:val="300"/>
          <w:jc w:val="center"/>
        </w:trPr>
        <w:tc>
          <w:tcPr>
            <w:tcW w:w="6894" w:type="dxa"/>
            <w:gridSpan w:val="5"/>
            <w:shd w:val="clear" w:color="auto" w:fill="auto"/>
            <w:noWrap/>
            <w:vAlign w:val="center"/>
          </w:tcPr>
          <w:p w:rsidR="00AC40FC" w:rsidRPr="001B05C8" w:rsidRDefault="00AC40FC" w:rsidP="00581946">
            <w:pPr>
              <w:spacing w:after="0"/>
              <w:jc w:val="left"/>
              <w:rPr>
                <w:bCs/>
              </w:rPr>
            </w:pPr>
            <w:r>
              <w:rPr>
                <w:bCs/>
              </w:rPr>
              <w:t>Sources: DN 01-009a</w:t>
            </w:r>
            <w:r w:rsidRPr="001B05C8">
              <w:rPr>
                <w:bCs/>
              </w:rPr>
              <w:t xml:space="preserve">; </w:t>
            </w:r>
            <w:r>
              <w:rPr>
                <w:bCs/>
              </w:rPr>
              <w:t>DN 18-002-C</w:t>
            </w:r>
          </w:p>
        </w:tc>
      </w:tr>
    </w:tbl>
    <w:p w:rsidR="00AC40FC" w:rsidRDefault="00AC40FC" w:rsidP="00581946">
      <w:pPr>
        <w:pStyle w:val="Normal-aftertable"/>
      </w:pPr>
      <w:r>
        <w:t>The OGC decreased by 15 positions from 2014 to 2015.</w:t>
      </w:r>
    </w:p>
    <w:p w:rsidR="00AC40FC" w:rsidRDefault="00AC40FC" w:rsidP="00581946">
      <w:pPr>
        <w:rPr>
          <w:rFonts w:cs="Arial"/>
          <w:szCs w:val="24"/>
        </w:rPr>
      </w:pPr>
      <w:r w:rsidRPr="00345F93">
        <w:rPr>
          <w:b/>
        </w:rPr>
        <w:t>Future Employee and Contractor Changes.</w:t>
      </w:r>
      <w:r>
        <w:t xml:space="preserve">  </w:t>
      </w:r>
      <w:r>
        <w:rPr>
          <w:rFonts w:cs="Arial"/>
          <w:szCs w:val="24"/>
        </w:rPr>
        <w:t>In 2016, the SVP intends to add two attorney positions to the internal staff, one a commercial contracts attorney, the other a litigation attorney.  Addition of one paralegal is also planned.</w:t>
      </w:r>
      <w:r w:rsidRPr="00BE78F6">
        <w:rPr>
          <w:rFonts w:cs="Arial"/>
          <w:szCs w:val="24"/>
        </w:rPr>
        <w:t xml:space="preserve"> </w:t>
      </w:r>
      <w:r>
        <w:rPr>
          <w:rFonts w:cs="Arial"/>
          <w:szCs w:val="24"/>
        </w:rPr>
        <w:t>These positions are already posted as of spring 2016 and are in the 2016 budget.</w:t>
      </w:r>
    </w:p>
    <w:p w:rsidR="00AC40FC" w:rsidRPr="00492242" w:rsidRDefault="00AC40FC" w:rsidP="00581946">
      <w:pPr>
        <w:rPr>
          <w:rFonts w:cs="Arial"/>
          <w:szCs w:val="24"/>
        </w:rPr>
      </w:pPr>
      <w:r>
        <w:rPr>
          <w:rFonts w:cs="Arial"/>
          <w:szCs w:val="24"/>
        </w:rPr>
        <w:lastRenderedPageBreak/>
        <w:t>Otherwise, there is no plan at present to change the existing organization or staffing levels in the AGC’s or DGC’s areas.  The same outside counsel are presently being used as were used before the Talen spinoff</w:t>
      </w:r>
    </w:p>
    <w:p w:rsidR="00AC40FC" w:rsidRDefault="00AC40FC" w:rsidP="00581946">
      <w:r w:rsidRPr="00345F93">
        <w:rPr>
          <w:b/>
        </w:rPr>
        <w:t>Employee and Contractor Staffing Planning Criteria and Process.</w:t>
      </w:r>
      <w:r>
        <w:t xml:space="preserve">  Workload is the predominant driver for both internal staff and contractor planning.  </w:t>
      </w:r>
      <w:r>
        <w:rPr>
          <w:rFonts w:cs="Arial"/>
          <w:szCs w:val="24"/>
        </w:rPr>
        <w:t>The legal workload has been fairly steady, not considering Talen.  In 2016, the department costs have been better estimated and are very close to budget as of spring 2016.</w:t>
      </w:r>
    </w:p>
    <w:p w:rsidR="00AC40FC" w:rsidRPr="008942C0" w:rsidRDefault="00AC40FC" w:rsidP="00581946">
      <w:pPr>
        <w:rPr>
          <w:rFonts w:cs="Arial"/>
          <w:szCs w:val="24"/>
        </w:rPr>
      </w:pPr>
      <w:r w:rsidRPr="00345F93">
        <w:rPr>
          <w:b/>
        </w:rPr>
        <w:t>The Allocation of Personnel to PPL EU and PPL EUS in the Formation of PPL EUS.</w:t>
      </w:r>
      <w:r>
        <w:t xml:space="preserve">  </w:t>
      </w:r>
      <w:r>
        <w:rPr>
          <w:rFonts w:cs="Arial"/>
          <w:szCs w:val="24"/>
        </w:rPr>
        <w:t>There were no staffing changes in the OGC associated with the formation of PPL EUS.</w:t>
      </w:r>
    </w:p>
    <w:p w:rsidR="00AC40FC" w:rsidRDefault="00AC40FC" w:rsidP="00581946">
      <w:r w:rsidRPr="00345F93">
        <w:rPr>
          <w:b/>
        </w:rPr>
        <w:t>Plans for Adjusting Staffing As the Talen TSA Winds Down and Terminates.</w:t>
      </w:r>
      <w:r>
        <w:t xml:space="preserve">  A TSA is in place for the OGC to provide on-call legal assistance to Talen.  However, no services are being provided under this arrangement in 2016.</w:t>
      </w:r>
    </w:p>
    <w:p w:rsidR="00AC40FC" w:rsidRDefault="00AC40FC" w:rsidP="00BB665B">
      <w:pPr>
        <w:pStyle w:val="Heading40"/>
      </w:pPr>
      <w:r>
        <w:t>Public Affairs</w:t>
      </w:r>
    </w:p>
    <w:p w:rsidR="00AC40FC" w:rsidRPr="00025652" w:rsidRDefault="00AC40FC" w:rsidP="00581946">
      <w:pPr>
        <w:rPr>
          <w:rFonts w:cs="Arial"/>
          <w:szCs w:val="24"/>
        </w:rPr>
      </w:pPr>
      <w:r w:rsidRPr="00345F93">
        <w:rPr>
          <w:b/>
        </w:rPr>
        <w:t>Staffing Studies.</w:t>
      </w:r>
      <w:r>
        <w:t xml:space="preserve">  </w:t>
      </w:r>
      <w:r>
        <w:rPr>
          <w:rFonts w:cs="Arial"/>
          <w:szCs w:val="24"/>
        </w:rPr>
        <w:t>In 2014, a comprehensive review of the current state of the PPL SC organization was conducted by an international consulting firm.  Although Public Affairs was included in the review, the extent of coverage was limited.  As result, a more extensive review was undertaken by the Public Affairs Vice President.  This included further review of the organization, exploration of alternatives with others in the industry, and benchmarking with the Public Affairs Council.  Although this effort confirmed that the PPL SC Public Affairs group was very lean, it also indicated that additional reductions were needed to achieve the broader organizational objectives.</w:t>
      </w:r>
    </w:p>
    <w:p w:rsidR="00AC40FC" w:rsidRDefault="00AC40FC" w:rsidP="00581946">
      <w:r w:rsidRPr="00345F93">
        <w:rPr>
          <w:b/>
        </w:rPr>
        <w:t>2015 and 2016 Employee and Contractor Changes.</w:t>
      </w:r>
      <w:r>
        <w:t xml:space="preserve">  </w:t>
      </w:r>
      <w:r>
        <w:rPr>
          <w:rFonts w:cs="Arial"/>
          <w:szCs w:val="24"/>
        </w:rPr>
        <w:t>Data for the 2014–2015 staffing changes in PPL SC Public Affairs are provided below.</w:t>
      </w:r>
    </w:p>
    <w:p w:rsidR="00AC40FC" w:rsidRDefault="00AC40FC" w:rsidP="00B306CB">
      <w:pPr>
        <w:pStyle w:val="Caption"/>
      </w:pPr>
      <w:bookmarkStart w:id="422" w:name="_Toc462648510"/>
      <w:bookmarkStart w:id="423" w:name="_Toc464553132"/>
      <w:r>
        <w:t xml:space="preserve">Exhibit </w:t>
      </w:r>
      <w:fldSimple w:instr=" STYLEREF 1 \s ">
        <w:r w:rsidR="00A24205">
          <w:rPr>
            <w:noProof/>
          </w:rPr>
          <w:t>XV</w:t>
        </w:r>
      </w:fldSimple>
      <w:r w:rsidR="00264A1B">
        <w:noBreakHyphen/>
      </w:r>
      <w:fldSimple w:instr=" SEQ Exhibit \* ARABIC \s 1 ">
        <w:r w:rsidR="00A24205">
          <w:rPr>
            <w:noProof/>
          </w:rPr>
          <w:t>24</w:t>
        </w:r>
      </w:fldSimple>
      <w:r>
        <w:br/>
        <w:t>PPL SC Public Affairs Employee Staffing Changes 2014–2015</w:t>
      </w:r>
      <w:bookmarkEnd w:id="422"/>
      <w:bookmarkEnd w:id="4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4043"/>
        <w:gridCol w:w="900"/>
        <w:gridCol w:w="990"/>
        <w:gridCol w:w="1169"/>
      </w:tblGrid>
      <w:tr w:rsidR="00AC40FC" w:rsidRPr="00D6083E" w:rsidTr="00581946">
        <w:trPr>
          <w:cantSplit/>
          <w:trHeight w:val="300"/>
          <w:tblHeader/>
          <w:jc w:val="center"/>
        </w:trPr>
        <w:tc>
          <w:tcPr>
            <w:tcW w:w="0" w:type="auto"/>
            <w:shd w:val="clear" w:color="auto" w:fill="A5CD7E"/>
            <w:noWrap/>
            <w:vAlign w:val="center"/>
            <w:hideMark/>
          </w:tcPr>
          <w:p w:rsidR="00AC40FC" w:rsidRPr="001B05C8" w:rsidRDefault="00AC40FC" w:rsidP="00D6083E">
            <w:pPr>
              <w:spacing w:before="120"/>
              <w:jc w:val="center"/>
              <w:rPr>
                <w:b/>
                <w:bCs/>
              </w:rPr>
            </w:pPr>
            <w:r>
              <w:rPr>
                <w:b/>
                <w:bCs/>
              </w:rPr>
              <w:t>S</w:t>
            </w:r>
            <w:r w:rsidRPr="001B05C8">
              <w:rPr>
                <w:b/>
                <w:bCs/>
              </w:rPr>
              <w:t>RC</w:t>
            </w:r>
            <w:r>
              <w:rPr>
                <w:b/>
                <w:bCs/>
              </w:rPr>
              <w:t>*</w:t>
            </w:r>
          </w:p>
        </w:tc>
        <w:tc>
          <w:tcPr>
            <w:tcW w:w="4043" w:type="dxa"/>
            <w:shd w:val="clear" w:color="auto" w:fill="A5CD7E"/>
            <w:noWrap/>
            <w:vAlign w:val="center"/>
            <w:hideMark/>
          </w:tcPr>
          <w:p w:rsidR="00AC40FC" w:rsidRPr="001B05C8" w:rsidRDefault="00AC40FC" w:rsidP="00D6083E">
            <w:pPr>
              <w:spacing w:before="120"/>
              <w:jc w:val="center"/>
              <w:rPr>
                <w:b/>
                <w:bCs/>
              </w:rPr>
            </w:pPr>
            <w:r w:rsidRPr="001B05C8">
              <w:rPr>
                <w:b/>
                <w:bCs/>
              </w:rPr>
              <w:t>Title</w:t>
            </w:r>
          </w:p>
        </w:tc>
        <w:tc>
          <w:tcPr>
            <w:tcW w:w="900" w:type="dxa"/>
            <w:shd w:val="clear" w:color="auto" w:fill="A5CD7E"/>
            <w:noWrap/>
            <w:vAlign w:val="center"/>
            <w:hideMark/>
          </w:tcPr>
          <w:p w:rsidR="00AC40FC" w:rsidRPr="001B05C8" w:rsidRDefault="00AC40FC" w:rsidP="00D6083E">
            <w:pPr>
              <w:spacing w:before="120"/>
              <w:jc w:val="center"/>
              <w:rPr>
                <w:b/>
                <w:bCs/>
              </w:rPr>
            </w:pPr>
            <w:r w:rsidRPr="001B05C8">
              <w:rPr>
                <w:b/>
                <w:bCs/>
              </w:rPr>
              <w:t>2014</w:t>
            </w:r>
          </w:p>
        </w:tc>
        <w:tc>
          <w:tcPr>
            <w:tcW w:w="990" w:type="dxa"/>
            <w:shd w:val="clear" w:color="auto" w:fill="A5CD7E"/>
            <w:noWrap/>
            <w:vAlign w:val="center"/>
            <w:hideMark/>
          </w:tcPr>
          <w:p w:rsidR="00AC40FC" w:rsidRPr="001B05C8" w:rsidRDefault="00AC40FC" w:rsidP="00D6083E">
            <w:pPr>
              <w:spacing w:before="120"/>
              <w:jc w:val="center"/>
              <w:rPr>
                <w:b/>
                <w:bCs/>
              </w:rPr>
            </w:pPr>
            <w:r w:rsidRPr="001B05C8">
              <w:rPr>
                <w:b/>
                <w:bCs/>
              </w:rPr>
              <w:t>2015</w:t>
            </w:r>
          </w:p>
        </w:tc>
        <w:tc>
          <w:tcPr>
            <w:tcW w:w="1169" w:type="dxa"/>
            <w:shd w:val="clear" w:color="auto" w:fill="A5CD7E"/>
            <w:noWrap/>
            <w:vAlign w:val="center"/>
            <w:hideMark/>
          </w:tcPr>
          <w:p w:rsidR="00AC40FC" w:rsidRPr="001B05C8" w:rsidRDefault="00AC40FC" w:rsidP="00D6083E">
            <w:pPr>
              <w:spacing w:before="120"/>
              <w:jc w:val="center"/>
              <w:rPr>
                <w:b/>
                <w:bCs/>
              </w:rPr>
            </w:pPr>
            <w:r>
              <w:rPr>
                <w:b/>
                <w:bCs/>
              </w:rPr>
              <w:t>Change</w:t>
            </w:r>
          </w:p>
        </w:tc>
      </w:tr>
      <w:tr w:rsidR="00AC40FC" w:rsidRPr="00875F2B" w:rsidTr="00581946">
        <w:trPr>
          <w:trHeight w:val="300"/>
          <w:jc w:val="center"/>
        </w:trPr>
        <w:tc>
          <w:tcPr>
            <w:tcW w:w="0" w:type="auto"/>
            <w:shd w:val="clear" w:color="auto" w:fill="auto"/>
            <w:noWrap/>
          </w:tcPr>
          <w:p w:rsidR="00AC40FC" w:rsidRPr="00D47F65" w:rsidRDefault="00AC40FC" w:rsidP="00581946">
            <w:pPr>
              <w:spacing w:after="0"/>
              <w:jc w:val="center"/>
            </w:pPr>
            <w:r>
              <w:t>0210</w:t>
            </w:r>
          </w:p>
        </w:tc>
        <w:tc>
          <w:tcPr>
            <w:tcW w:w="4043" w:type="dxa"/>
            <w:shd w:val="clear" w:color="auto" w:fill="auto"/>
            <w:noWrap/>
          </w:tcPr>
          <w:p w:rsidR="00AC40FC" w:rsidRPr="00D47F65" w:rsidRDefault="00AC40FC" w:rsidP="00581946">
            <w:pPr>
              <w:spacing w:after="0"/>
              <w:jc w:val="left"/>
            </w:pPr>
            <w:r>
              <w:t>Gov't Affairs and Communication</w:t>
            </w:r>
          </w:p>
        </w:tc>
        <w:tc>
          <w:tcPr>
            <w:tcW w:w="900" w:type="dxa"/>
            <w:shd w:val="clear" w:color="auto" w:fill="auto"/>
            <w:noWrap/>
          </w:tcPr>
          <w:p w:rsidR="00AC40FC" w:rsidRPr="00D47F65" w:rsidRDefault="00AC40FC" w:rsidP="00581946">
            <w:pPr>
              <w:spacing w:after="0"/>
              <w:jc w:val="center"/>
            </w:pPr>
            <w:r>
              <w:t>2</w:t>
            </w:r>
          </w:p>
        </w:tc>
        <w:tc>
          <w:tcPr>
            <w:tcW w:w="990" w:type="dxa"/>
            <w:shd w:val="clear" w:color="auto" w:fill="auto"/>
            <w:noWrap/>
          </w:tcPr>
          <w:p w:rsidR="00AC40FC" w:rsidRPr="00D47F65" w:rsidRDefault="00AC40FC" w:rsidP="00581946">
            <w:pPr>
              <w:spacing w:after="0"/>
              <w:jc w:val="center"/>
            </w:pPr>
            <w:r>
              <w:t>5</w:t>
            </w:r>
          </w:p>
        </w:tc>
        <w:tc>
          <w:tcPr>
            <w:tcW w:w="1169" w:type="dxa"/>
            <w:shd w:val="clear" w:color="auto" w:fill="auto"/>
            <w:noWrap/>
          </w:tcPr>
          <w:p w:rsidR="00AC40FC" w:rsidRDefault="00AC40FC" w:rsidP="00581946">
            <w:pPr>
              <w:spacing w:after="0"/>
              <w:jc w:val="center"/>
            </w:pPr>
            <w:r>
              <w:t>+3</w:t>
            </w:r>
          </w:p>
        </w:tc>
      </w:tr>
      <w:tr w:rsidR="00AC40FC" w:rsidRPr="00875F2B" w:rsidTr="00581946">
        <w:trPr>
          <w:trHeight w:val="300"/>
          <w:jc w:val="center"/>
        </w:trPr>
        <w:tc>
          <w:tcPr>
            <w:tcW w:w="0" w:type="auto"/>
            <w:shd w:val="clear" w:color="auto" w:fill="auto"/>
            <w:noWrap/>
          </w:tcPr>
          <w:p w:rsidR="00AC40FC" w:rsidRDefault="00AC40FC" w:rsidP="00581946">
            <w:pPr>
              <w:spacing w:after="0"/>
              <w:jc w:val="center"/>
            </w:pPr>
            <w:r>
              <w:t>0211</w:t>
            </w:r>
          </w:p>
        </w:tc>
        <w:tc>
          <w:tcPr>
            <w:tcW w:w="4043" w:type="dxa"/>
            <w:shd w:val="clear" w:color="auto" w:fill="auto"/>
            <w:noWrap/>
          </w:tcPr>
          <w:p w:rsidR="00AC40FC" w:rsidRDefault="00AC40FC" w:rsidP="00581946">
            <w:pPr>
              <w:spacing w:after="0"/>
              <w:jc w:val="left"/>
            </w:pPr>
            <w:r w:rsidRPr="00655316">
              <w:t>PA State Government Relations</w:t>
            </w:r>
          </w:p>
        </w:tc>
        <w:tc>
          <w:tcPr>
            <w:tcW w:w="900" w:type="dxa"/>
            <w:shd w:val="clear" w:color="auto" w:fill="auto"/>
            <w:noWrap/>
          </w:tcPr>
          <w:p w:rsidR="00AC40FC" w:rsidRDefault="00AC40FC" w:rsidP="00581946">
            <w:pPr>
              <w:spacing w:after="0"/>
              <w:jc w:val="center"/>
            </w:pPr>
            <w:r>
              <w:t>3</w:t>
            </w:r>
          </w:p>
        </w:tc>
        <w:tc>
          <w:tcPr>
            <w:tcW w:w="990" w:type="dxa"/>
            <w:shd w:val="clear" w:color="auto" w:fill="auto"/>
            <w:noWrap/>
          </w:tcPr>
          <w:p w:rsidR="00AC40FC" w:rsidRDefault="00AC40FC" w:rsidP="00581946">
            <w:pPr>
              <w:spacing w:after="0"/>
              <w:jc w:val="center"/>
            </w:pPr>
            <w:r>
              <w:t>0</w:t>
            </w:r>
          </w:p>
        </w:tc>
        <w:tc>
          <w:tcPr>
            <w:tcW w:w="1169" w:type="dxa"/>
            <w:shd w:val="clear" w:color="auto" w:fill="auto"/>
            <w:noWrap/>
          </w:tcPr>
          <w:p w:rsidR="00AC40FC" w:rsidRDefault="00AC40FC" w:rsidP="00581946">
            <w:pPr>
              <w:spacing w:after="0"/>
              <w:jc w:val="center"/>
            </w:pPr>
            <w:r>
              <w:t>-3</w:t>
            </w:r>
          </w:p>
        </w:tc>
      </w:tr>
      <w:tr w:rsidR="00AC40FC" w:rsidRPr="00875F2B" w:rsidTr="00581946">
        <w:trPr>
          <w:trHeight w:val="300"/>
          <w:jc w:val="center"/>
        </w:trPr>
        <w:tc>
          <w:tcPr>
            <w:tcW w:w="0" w:type="auto"/>
            <w:shd w:val="clear" w:color="auto" w:fill="auto"/>
            <w:noWrap/>
          </w:tcPr>
          <w:p w:rsidR="00AC40FC" w:rsidRDefault="00AC40FC" w:rsidP="00581946">
            <w:pPr>
              <w:spacing w:after="0"/>
              <w:jc w:val="center"/>
            </w:pPr>
            <w:r>
              <w:t>0212</w:t>
            </w:r>
          </w:p>
        </w:tc>
        <w:tc>
          <w:tcPr>
            <w:tcW w:w="4043" w:type="dxa"/>
            <w:shd w:val="clear" w:color="auto" w:fill="auto"/>
            <w:noWrap/>
          </w:tcPr>
          <w:p w:rsidR="00AC40FC" w:rsidRDefault="00AC40FC" w:rsidP="00581946">
            <w:pPr>
              <w:spacing w:after="0"/>
              <w:jc w:val="left"/>
            </w:pPr>
            <w:r>
              <w:t>Federal Government Relations</w:t>
            </w:r>
          </w:p>
        </w:tc>
        <w:tc>
          <w:tcPr>
            <w:tcW w:w="900" w:type="dxa"/>
            <w:shd w:val="clear" w:color="auto" w:fill="auto"/>
            <w:noWrap/>
          </w:tcPr>
          <w:p w:rsidR="00AC40FC" w:rsidRDefault="00AC40FC" w:rsidP="00581946">
            <w:pPr>
              <w:spacing w:after="0"/>
              <w:jc w:val="center"/>
            </w:pPr>
            <w:r>
              <w:t>2</w:t>
            </w:r>
          </w:p>
        </w:tc>
        <w:tc>
          <w:tcPr>
            <w:tcW w:w="990" w:type="dxa"/>
            <w:shd w:val="clear" w:color="auto" w:fill="auto"/>
            <w:noWrap/>
          </w:tcPr>
          <w:p w:rsidR="00AC40FC" w:rsidRDefault="00AC40FC" w:rsidP="00581946">
            <w:pPr>
              <w:spacing w:after="0"/>
              <w:jc w:val="center"/>
            </w:pPr>
            <w:r>
              <w:t>0</w:t>
            </w:r>
          </w:p>
        </w:tc>
        <w:tc>
          <w:tcPr>
            <w:tcW w:w="1169" w:type="dxa"/>
            <w:shd w:val="clear" w:color="auto" w:fill="auto"/>
            <w:noWrap/>
          </w:tcPr>
          <w:p w:rsidR="00AC40FC" w:rsidRDefault="00AC40FC" w:rsidP="00581946">
            <w:pPr>
              <w:spacing w:after="0"/>
              <w:jc w:val="center"/>
            </w:pPr>
            <w:r>
              <w:t>-2</w:t>
            </w:r>
          </w:p>
        </w:tc>
      </w:tr>
      <w:tr w:rsidR="00AC40FC" w:rsidRPr="00875F2B" w:rsidTr="00581946">
        <w:trPr>
          <w:trHeight w:val="300"/>
          <w:jc w:val="center"/>
        </w:trPr>
        <w:tc>
          <w:tcPr>
            <w:tcW w:w="0" w:type="auto"/>
            <w:shd w:val="clear" w:color="auto" w:fill="auto"/>
            <w:noWrap/>
            <w:vAlign w:val="center"/>
            <w:hideMark/>
          </w:tcPr>
          <w:p w:rsidR="00AC40FC" w:rsidRPr="00875F2B" w:rsidRDefault="00AC40FC" w:rsidP="00581946">
            <w:pPr>
              <w:spacing w:after="0"/>
              <w:jc w:val="center"/>
            </w:pPr>
          </w:p>
        </w:tc>
        <w:tc>
          <w:tcPr>
            <w:tcW w:w="4043" w:type="dxa"/>
            <w:shd w:val="clear" w:color="auto" w:fill="auto"/>
            <w:noWrap/>
            <w:vAlign w:val="center"/>
            <w:hideMark/>
          </w:tcPr>
          <w:p w:rsidR="00AC40FC" w:rsidRPr="001B05C8" w:rsidRDefault="00AC40FC" w:rsidP="00581946">
            <w:pPr>
              <w:spacing w:after="0"/>
              <w:jc w:val="center"/>
              <w:rPr>
                <w:b/>
                <w:bCs/>
              </w:rPr>
            </w:pPr>
            <w:r w:rsidRPr="001B05C8">
              <w:rPr>
                <w:b/>
                <w:bCs/>
              </w:rPr>
              <w:t>T</w:t>
            </w:r>
            <w:r>
              <w:rPr>
                <w:b/>
                <w:bCs/>
              </w:rPr>
              <w:t>otals</w:t>
            </w:r>
          </w:p>
        </w:tc>
        <w:tc>
          <w:tcPr>
            <w:tcW w:w="900" w:type="dxa"/>
            <w:shd w:val="clear" w:color="auto" w:fill="auto"/>
            <w:noWrap/>
            <w:vAlign w:val="center"/>
          </w:tcPr>
          <w:p w:rsidR="00AC40FC" w:rsidRPr="001B05C8" w:rsidRDefault="00AC40FC" w:rsidP="00581946">
            <w:pPr>
              <w:spacing w:after="0"/>
              <w:jc w:val="center"/>
              <w:rPr>
                <w:b/>
                <w:bCs/>
              </w:rPr>
            </w:pPr>
            <w:r>
              <w:rPr>
                <w:b/>
                <w:bCs/>
              </w:rPr>
              <w:t>7</w:t>
            </w:r>
          </w:p>
        </w:tc>
        <w:tc>
          <w:tcPr>
            <w:tcW w:w="990" w:type="dxa"/>
            <w:shd w:val="clear" w:color="auto" w:fill="auto"/>
            <w:noWrap/>
            <w:vAlign w:val="center"/>
          </w:tcPr>
          <w:p w:rsidR="00AC40FC" w:rsidRPr="001B05C8" w:rsidRDefault="00AC40FC" w:rsidP="00581946">
            <w:pPr>
              <w:spacing w:after="0"/>
              <w:jc w:val="center"/>
              <w:rPr>
                <w:b/>
                <w:bCs/>
              </w:rPr>
            </w:pPr>
            <w:r>
              <w:rPr>
                <w:b/>
                <w:bCs/>
              </w:rPr>
              <w:t>5</w:t>
            </w:r>
          </w:p>
        </w:tc>
        <w:tc>
          <w:tcPr>
            <w:tcW w:w="1169" w:type="dxa"/>
            <w:shd w:val="clear" w:color="auto" w:fill="auto"/>
            <w:noWrap/>
            <w:vAlign w:val="center"/>
          </w:tcPr>
          <w:p w:rsidR="00AC40FC" w:rsidRPr="001B05C8" w:rsidRDefault="00AC40FC" w:rsidP="00581946">
            <w:pPr>
              <w:spacing w:after="0"/>
              <w:jc w:val="center"/>
              <w:rPr>
                <w:b/>
                <w:bCs/>
              </w:rPr>
            </w:pPr>
            <w:r>
              <w:rPr>
                <w:b/>
                <w:bCs/>
              </w:rPr>
              <w:t>-2</w:t>
            </w:r>
          </w:p>
        </w:tc>
      </w:tr>
      <w:tr w:rsidR="00AC40FC" w:rsidRPr="00875F2B" w:rsidTr="00581946">
        <w:trPr>
          <w:trHeight w:val="300"/>
          <w:jc w:val="center"/>
        </w:trPr>
        <w:tc>
          <w:tcPr>
            <w:tcW w:w="7919" w:type="dxa"/>
            <w:gridSpan w:val="5"/>
            <w:shd w:val="clear" w:color="auto" w:fill="auto"/>
            <w:noWrap/>
            <w:vAlign w:val="center"/>
          </w:tcPr>
          <w:p w:rsidR="00AC40FC" w:rsidRPr="001B05C8" w:rsidRDefault="00AC40FC" w:rsidP="00581946">
            <w:pPr>
              <w:spacing w:after="0"/>
              <w:jc w:val="left"/>
              <w:rPr>
                <w:bCs/>
              </w:rPr>
            </w:pPr>
            <w:r>
              <w:rPr>
                <w:bCs/>
              </w:rPr>
              <w:t>Sources: DN 01-009a</w:t>
            </w:r>
            <w:r w:rsidRPr="001B05C8">
              <w:rPr>
                <w:bCs/>
              </w:rPr>
              <w:t xml:space="preserve">; </w:t>
            </w:r>
            <w:r>
              <w:rPr>
                <w:bCs/>
              </w:rPr>
              <w:t>DN 18-002-C</w:t>
            </w:r>
          </w:p>
        </w:tc>
      </w:tr>
      <w:tr w:rsidR="00AC40FC" w:rsidRPr="00655316" w:rsidTr="00581946">
        <w:trPr>
          <w:trHeight w:val="300"/>
          <w:jc w:val="center"/>
        </w:trPr>
        <w:tc>
          <w:tcPr>
            <w:tcW w:w="7919" w:type="dxa"/>
            <w:gridSpan w:val="5"/>
            <w:shd w:val="clear" w:color="auto" w:fill="auto"/>
            <w:noWrap/>
          </w:tcPr>
          <w:p w:rsidR="00AC40FC" w:rsidRPr="00655316" w:rsidRDefault="00AC40FC" w:rsidP="00581946">
            <w:pPr>
              <w:spacing w:after="0"/>
              <w:jc w:val="left"/>
            </w:pPr>
            <w:r>
              <w:rPr>
                <w:b/>
              </w:rPr>
              <w:t>*</w:t>
            </w:r>
            <w:r w:rsidRPr="00655316">
              <w:t xml:space="preserve"> Note:  All</w:t>
            </w:r>
            <w:r>
              <w:t xml:space="preserve"> Public Affairs</w:t>
            </w:r>
            <w:r w:rsidRPr="00655316">
              <w:t xml:space="preserve"> positions were classified as </w:t>
            </w:r>
            <w:r>
              <w:t>S</w:t>
            </w:r>
            <w:r w:rsidRPr="00655316">
              <w:t>RC 0210 in 2015.</w:t>
            </w:r>
          </w:p>
        </w:tc>
      </w:tr>
    </w:tbl>
    <w:p w:rsidR="00AC40FC" w:rsidRDefault="00AC40FC" w:rsidP="00581946">
      <w:pPr>
        <w:pStyle w:val="Normal-aftertable"/>
      </w:pPr>
      <w:r>
        <w:t xml:space="preserve">All positions were consolidated into a single SRC in 2015.  There were no changes in the state-facing internal staff; the Senior Manager of State Government Relations position was maintained.  In federal-facing internal staff, the Federal Government Relations Vice President was retained and the Federal Senior Manager departed, leaving that position vacant.  As a budget saving move, the position was reclassified at a lower Manager level.  An administrative position in the Federal Office was eliminated (confidential secretary), and a part-time administrative position was created.  A professional position is shared with the General Counsel’s Office.  Two governmental </w:t>
      </w:r>
      <w:r>
        <w:lastRenderedPageBreak/>
        <w:t>affairs positions in Montana were eliminated (one transferred to Talen, another to Northwestern Energy).</w:t>
      </w:r>
    </w:p>
    <w:p w:rsidR="00AC40FC" w:rsidRDefault="00AC40FC" w:rsidP="00581946">
      <w:r>
        <w:rPr>
          <w:rFonts w:cs="Arial"/>
          <w:szCs w:val="24"/>
        </w:rPr>
        <w:t xml:space="preserve">As far as contract support is concerned, the level of support was reduced from $20,000 per month to $8,500 per month.  </w:t>
      </w:r>
    </w:p>
    <w:p w:rsidR="00AC40FC" w:rsidRPr="00492242" w:rsidRDefault="00AC40FC" w:rsidP="00581946">
      <w:pPr>
        <w:rPr>
          <w:rFonts w:cs="Arial"/>
          <w:szCs w:val="24"/>
        </w:rPr>
      </w:pPr>
      <w:r w:rsidRPr="00345F93">
        <w:rPr>
          <w:b/>
        </w:rPr>
        <w:t>Future Employee and Contractor Changes.</w:t>
      </w:r>
      <w:r>
        <w:t xml:space="preserve">  </w:t>
      </w:r>
      <w:r>
        <w:rPr>
          <w:rFonts w:cs="Arial"/>
          <w:szCs w:val="24"/>
        </w:rPr>
        <w:t>No changes are planned in employee or contractor staffing.</w:t>
      </w:r>
    </w:p>
    <w:p w:rsidR="00AC40FC" w:rsidRPr="006D1B9D" w:rsidRDefault="00AC40FC" w:rsidP="00581946">
      <w:pPr>
        <w:rPr>
          <w:rFonts w:cs="Arial"/>
          <w:szCs w:val="24"/>
        </w:rPr>
      </w:pPr>
      <w:r w:rsidRPr="00345F93">
        <w:rPr>
          <w:b/>
        </w:rPr>
        <w:t>Employee and Contractor Staffing Planning Criteria and Process.</w:t>
      </w:r>
      <w:r>
        <w:t xml:space="preserve">  </w:t>
      </w:r>
      <w:r>
        <w:rPr>
          <w:rFonts w:cs="Arial"/>
          <w:szCs w:val="24"/>
        </w:rPr>
        <w:t xml:space="preserve">Public Affairs is a small work group staffed by professional, specialized individuals and staffing plans are driven by workload.  The group followed the corporate staff planning guidelines for the recent reorganization, but came to conclusions on staffing needs independently.  </w:t>
      </w:r>
    </w:p>
    <w:p w:rsidR="00AC40FC" w:rsidRPr="006D1B9D" w:rsidRDefault="00AC40FC" w:rsidP="00581946">
      <w:pPr>
        <w:rPr>
          <w:rFonts w:cs="Arial"/>
          <w:szCs w:val="24"/>
        </w:rPr>
      </w:pPr>
      <w:r w:rsidRPr="00345F93">
        <w:rPr>
          <w:b/>
        </w:rPr>
        <w:t>The Allocation of Personnel to PPL EU and PPL EUS in the Formation of PPL EUS.</w:t>
      </w:r>
      <w:r>
        <w:t xml:space="preserve">  Public Affairs </w:t>
      </w:r>
      <w:r>
        <w:rPr>
          <w:rFonts w:cs="Arial"/>
          <w:szCs w:val="24"/>
        </w:rPr>
        <w:t xml:space="preserve">had no involvement in the formation of PPL EUS. </w:t>
      </w:r>
    </w:p>
    <w:p w:rsidR="00AC40FC" w:rsidRDefault="00AC40FC" w:rsidP="00581946">
      <w:r w:rsidRPr="00345F93">
        <w:rPr>
          <w:b/>
        </w:rPr>
        <w:t>Plans for Adjusting Staffing As the Talen TSA Winds Down and Terminates.</w:t>
      </w:r>
      <w:r>
        <w:t xml:space="preserve">  Public Affairs </w:t>
      </w:r>
      <w:r>
        <w:rPr>
          <w:rFonts w:cs="Arial"/>
          <w:szCs w:val="24"/>
        </w:rPr>
        <w:t>had a government relations and Pennsylvania compliance support TSA with Talen.</w:t>
      </w:r>
    </w:p>
    <w:p w:rsidR="00AC40FC" w:rsidRPr="00B211D0" w:rsidRDefault="00AC40FC" w:rsidP="00BB665B">
      <w:pPr>
        <w:pStyle w:val="Heading40"/>
      </w:pPr>
      <w:r w:rsidRPr="00B211D0">
        <w:t>Supply Chain</w:t>
      </w:r>
    </w:p>
    <w:p w:rsidR="00AC40FC" w:rsidRDefault="00AC40FC" w:rsidP="00581946">
      <w:r>
        <w:t xml:space="preserve">Supply Chain was transferred from </w:t>
      </w:r>
      <w:r w:rsidRPr="002A37C6">
        <w:t xml:space="preserve">PPL SC </w:t>
      </w:r>
      <w:r>
        <w:t>to PPL EUS at yearend</w:t>
      </w:r>
      <w:r w:rsidRPr="002A37C6">
        <w:t xml:space="preserve"> 2014</w:t>
      </w:r>
      <w:r>
        <w:t>.  It provides procurement, logistics, and materials management services to PPL EU</w:t>
      </w:r>
      <w:r w:rsidRPr="00741D9F">
        <w:rPr>
          <w:rFonts w:cs="Arial"/>
          <w:szCs w:val="24"/>
        </w:rPr>
        <w:t xml:space="preserve"> </w:t>
      </w:r>
      <w:r>
        <w:rPr>
          <w:rFonts w:cs="Arial"/>
          <w:szCs w:val="24"/>
        </w:rPr>
        <w:t>and other PPL Corporation Pennsylvania subsidiaries</w:t>
      </w:r>
      <w:r>
        <w:t>.</w:t>
      </w:r>
    </w:p>
    <w:p w:rsidR="00AC40FC" w:rsidRDefault="00AC40FC" w:rsidP="00581946">
      <w:pPr>
        <w:rPr>
          <w:rFonts w:cs="Arial"/>
          <w:szCs w:val="24"/>
        </w:rPr>
      </w:pPr>
      <w:r w:rsidRPr="00345F93">
        <w:rPr>
          <w:b/>
        </w:rPr>
        <w:t>Staffing Studies.</w:t>
      </w:r>
      <w:r>
        <w:t xml:space="preserve">  </w:t>
      </w:r>
      <w:r w:rsidRPr="002A37C6">
        <w:rPr>
          <w:rFonts w:cs="Arial"/>
          <w:szCs w:val="24"/>
        </w:rPr>
        <w:t>Supply Chain has not conducted a formal staffing study.  The department used</w:t>
      </w:r>
      <w:r>
        <w:rPr>
          <w:rFonts w:cs="Arial"/>
          <w:szCs w:val="24"/>
        </w:rPr>
        <w:t xml:space="preserve"> informal benchmarking in 2015 with several other utility warehouse operations to collect comparative information for a review of the staffing of the service center warehouses from a transactional volume perspective.</w:t>
      </w:r>
    </w:p>
    <w:p w:rsidR="00AC40FC" w:rsidRDefault="00AC40FC" w:rsidP="00581946">
      <w:pPr>
        <w:tabs>
          <w:tab w:val="left" w:pos="2145"/>
        </w:tabs>
        <w:rPr>
          <w:rFonts w:cs="Arial"/>
          <w:szCs w:val="24"/>
        </w:rPr>
      </w:pPr>
      <w:r>
        <w:rPr>
          <w:rFonts w:cs="Arial"/>
          <w:szCs w:val="24"/>
        </w:rPr>
        <w:t>The benchmarking was conducted with two other utilities and two utility distributors and compared the total number</w:t>
      </w:r>
      <w:r w:rsidRPr="009313FC">
        <w:t xml:space="preserve"> of monthly transactions</w:t>
      </w:r>
      <w:r>
        <w:t xml:space="preserve"> (</w:t>
      </w:r>
      <w:r w:rsidRPr="009313FC">
        <w:t>issues, transfers, receipts, returns, and cycle counts</w:t>
      </w:r>
      <w:r>
        <w:t>) to full-time e</w:t>
      </w:r>
      <w:r w:rsidRPr="009313FC">
        <w:t>quivalent staff</w:t>
      </w:r>
      <w:r>
        <w:t xml:space="preserve">ing.  PPL EUS was within ten percent of the mean when all PPL EUS warehousing staff was included in the FTE count and was approximately 14.5% above the mean when only staff with direct transactional responsibilities was included.  </w:t>
      </w:r>
      <w:r>
        <w:rPr>
          <w:rFonts w:cs="Arial"/>
          <w:szCs w:val="24"/>
        </w:rPr>
        <w:t>The study concluded there may be an opportunity to reduce the number of material handlers or helpers at the lower volume service center locations.</w:t>
      </w:r>
    </w:p>
    <w:p w:rsidR="00AC40FC" w:rsidRDefault="00AC40FC" w:rsidP="00581946">
      <w:r w:rsidRPr="00345F93">
        <w:rPr>
          <w:b/>
        </w:rPr>
        <w:t>2015 Employee and Contractor Changes.</w:t>
      </w:r>
      <w:r w:rsidRPr="001A2FB1">
        <w:t xml:space="preserve">  </w:t>
      </w:r>
      <w:r>
        <w:t>The number of Supply Chain staff decreased in 2015 by almost 52%, from 226 to 108, a total of 118 positions.  The Supply Chain department was transferred from PPL SC to PPL EUS during 2015. As a result, a direct and meaningful comparison for the SRC codes is not possible.  Some units from the Supply Chain Department were Generation specific units and represented 89 positions that were likely transferred to Talen during 2015.  An additional 25 to 29 positions from the remaining units were also transferred to Talen.</w:t>
      </w:r>
    </w:p>
    <w:p w:rsidR="00AC40FC" w:rsidRDefault="00AC40FC" w:rsidP="00581946">
      <w:r>
        <w:t xml:space="preserve">Four PPL EUS Supply Chain buyers either transferred to Talen or took jobs elsewhere in 2015.  </w:t>
      </w:r>
      <w:r w:rsidRPr="00C51A28">
        <w:t xml:space="preserve">Supply Chain </w:t>
      </w:r>
      <w:r>
        <w:t>also closed</w:t>
      </w:r>
      <w:r w:rsidRPr="00C51A28">
        <w:t xml:space="preserve"> five regional warehouses </w:t>
      </w:r>
      <w:r>
        <w:t xml:space="preserve">in late 2015 </w:t>
      </w:r>
      <w:r w:rsidRPr="00C51A28">
        <w:t>which result</w:t>
      </w:r>
      <w:r>
        <w:t>ed</w:t>
      </w:r>
      <w:r w:rsidRPr="00C51A28">
        <w:t xml:space="preserve"> in five employees being displaced.  The displaced employees were notified </w:t>
      </w:r>
      <w:r>
        <w:t>in October 2015</w:t>
      </w:r>
      <w:r w:rsidRPr="00C51A28">
        <w:t xml:space="preserve">.  </w:t>
      </w:r>
      <w:r>
        <w:t xml:space="preserve">These individuals retired or transferred to other jobs; layoffs did not occur.  An </w:t>
      </w:r>
      <w:r>
        <w:lastRenderedPageBreak/>
        <w:t>additional two positions were moved to the central warehouse.  Supply Chain converted an open position to a business process improvement Project Manager in 2015.  This position is leading several cost reduction and service improvement projects.</w:t>
      </w:r>
    </w:p>
    <w:p w:rsidR="00AC40FC" w:rsidRPr="00721B9B" w:rsidRDefault="00AC40FC" w:rsidP="00581946">
      <w:r w:rsidRPr="00AE3F2D">
        <w:t>In 2015</w:t>
      </w:r>
      <w:r>
        <w:t>,</w:t>
      </w:r>
      <w:r w:rsidRPr="00AE3F2D">
        <w:t xml:space="preserve"> there were four contractors providing support to the PPL EUS Supply Chain Materials and Non-Operations Services Supply group.  In early 2016, one contractor was hired directly to fill a vacant position.  As of March 2016, there are three contractors.</w:t>
      </w:r>
      <w:r w:rsidRPr="00721B9B">
        <w:t xml:space="preserve">  Two provide support for IT buying and one supports customer service requests.  This contract specialist support is an ongoing need and may be replaced with in-house staff to assure continuity of support.  </w:t>
      </w:r>
      <w:r w:rsidRPr="00AE3F2D">
        <w:t>There may also be a cost advantage to moving these positions in-house.</w:t>
      </w:r>
    </w:p>
    <w:p w:rsidR="00AC40FC" w:rsidRPr="00721B9B" w:rsidRDefault="00AC40FC" w:rsidP="00581946">
      <w:pPr>
        <w:rPr>
          <w:rFonts w:cs="Arial"/>
          <w:szCs w:val="24"/>
        </w:rPr>
      </w:pPr>
      <w:r w:rsidRPr="00721B9B">
        <w:rPr>
          <w:rFonts w:cs="Arial"/>
          <w:szCs w:val="24"/>
        </w:rPr>
        <w:t xml:space="preserve">Approximately four FTEs of contract truck drivers supplement in-house delivery drivers.  </w:t>
      </w:r>
      <w:r w:rsidRPr="00AE3F2D">
        <w:rPr>
          <w:rFonts w:cs="Arial"/>
          <w:szCs w:val="24"/>
        </w:rPr>
        <w:t>One in-house driver recently retired and will not be replaced right away</w:t>
      </w:r>
      <w:r w:rsidRPr="00721B9B">
        <w:rPr>
          <w:rFonts w:cs="Arial"/>
          <w:szCs w:val="24"/>
        </w:rPr>
        <w:t>.  There may be a future need to add a contract driver.</w:t>
      </w:r>
    </w:p>
    <w:p w:rsidR="00AC40FC" w:rsidRDefault="00AC40FC" w:rsidP="00581946">
      <w:r w:rsidRPr="00345F93">
        <w:rPr>
          <w:b/>
        </w:rPr>
        <w:t>Future Employee and Contractor Changes.</w:t>
      </w:r>
      <w:r>
        <w:t xml:space="preserve">  The following table shows the PPL EUS Supply Chain staffing changes projected for 2016.</w:t>
      </w:r>
    </w:p>
    <w:p w:rsidR="00AC40FC" w:rsidRPr="0095117F" w:rsidRDefault="00AC40FC" w:rsidP="00B306CB">
      <w:pPr>
        <w:pStyle w:val="Caption"/>
      </w:pPr>
      <w:bookmarkStart w:id="424" w:name="_Toc462648511"/>
      <w:bookmarkStart w:id="425" w:name="_Toc464553133"/>
      <w:r>
        <w:t xml:space="preserve">Exhibit </w:t>
      </w:r>
      <w:fldSimple w:instr=" STYLEREF 1 \s ">
        <w:r w:rsidR="00A24205">
          <w:rPr>
            <w:noProof/>
          </w:rPr>
          <w:t>XV</w:t>
        </w:r>
      </w:fldSimple>
      <w:r w:rsidR="00264A1B">
        <w:noBreakHyphen/>
      </w:r>
      <w:fldSimple w:instr=" SEQ Exhibit \* ARABIC \s 1 ">
        <w:r w:rsidR="00A24205">
          <w:rPr>
            <w:noProof/>
          </w:rPr>
          <w:t>25</w:t>
        </w:r>
      </w:fldSimple>
      <w:r>
        <w:br/>
      </w:r>
      <w:r w:rsidRPr="0095117F">
        <w:t>PPL EUS Supply Chain Employee Staffing Changes 2015–2016</w:t>
      </w:r>
      <w:bookmarkEnd w:id="424"/>
      <w:bookmarkEnd w:id="4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0"/>
        <w:gridCol w:w="2724"/>
        <w:gridCol w:w="750"/>
        <w:gridCol w:w="1911"/>
        <w:gridCol w:w="1097"/>
      </w:tblGrid>
      <w:tr w:rsidR="00AC40FC" w:rsidRPr="00D6083E" w:rsidTr="00581946">
        <w:trPr>
          <w:cantSplit/>
          <w:trHeight w:val="300"/>
          <w:tblHeader/>
          <w:jc w:val="center"/>
        </w:trPr>
        <w:tc>
          <w:tcPr>
            <w:tcW w:w="0" w:type="auto"/>
            <w:shd w:val="clear" w:color="auto" w:fill="A5CD7E"/>
            <w:noWrap/>
            <w:vAlign w:val="center"/>
            <w:hideMark/>
          </w:tcPr>
          <w:p w:rsidR="00AC40FC" w:rsidRPr="00D6083E" w:rsidRDefault="00AC40FC" w:rsidP="00D6083E">
            <w:pPr>
              <w:spacing w:before="120"/>
              <w:jc w:val="center"/>
              <w:rPr>
                <w:b/>
                <w:bCs/>
              </w:rPr>
            </w:pPr>
            <w:r w:rsidRPr="00D6083E">
              <w:rPr>
                <w:b/>
                <w:bCs/>
              </w:rPr>
              <w:t>SRC</w:t>
            </w:r>
          </w:p>
        </w:tc>
        <w:tc>
          <w:tcPr>
            <w:tcW w:w="0" w:type="auto"/>
            <w:shd w:val="clear" w:color="auto" w:fill="A5CD7E"/>
            <w:noWrap/>
            <w:vAlign w:val="center"/>
            <w:hideMark/>
          </w:tcPr>
          <w:p w:rsidR="00AC40FC" w:rsidRPr="00D6083E" w:rsidRDefault="00AC40FC" w:rsidP="00D6083E">
            <w:pPr>
              <w:spacing w:before="120"/>
              <w:jc w:val="center"/>
              <w:rPr>
                <w:b/>
                <w:bCs/>
              </w:rPr>
            </w:pPr>
            <w:r w:rsidRPr="00D6083E">
              <w:rPr>
                <w:b/>
                <w:bCs/>
              </w:rPr>
              <w:t>Organizational Unit</w:t>
            </w:r>
          </w:p>
        </w:tc>
        <w:tc>
          <w:tcPr>
            <w:tcW w:w="0" w:type="auto"/>
            <w:shd w:val="clear" w:color="auto" w:fill="A5CD7E"/>
            <w:noWrap/>
            <w:vAlign w:val="center"/>
            <w:hideMark/>
          </w:tcPr>
          <w:p w:rsidR="00AC40FC" w:rsidRPr="00D6083E" w:rsidRDefault="00AC40FC" w:rsidP="00D6083E">
            <w:pPr>
              <w:spacing w:before="120"/>
              <w:jc w:val="center"/>
              <w:rPr>
                <w:b/>
                <w:bCs/>
              </w:rPr>
            </w:pPr>
            <w:r w:rsidRPr="00D6083E">
              <w:rPr>
                <w:b/>
                <w:bCs/>
              </w:rPr>
              <w:t>2015</w:t>
            </w:r>
          </w:p>
        </w:tc>
        <w:tc>
          <w:tcPr>
            <w:tcW w:w="0" w:type="auto"/>
            <w:shd w:val="clear" w:color="auto" w:fill="A5CD7E"/>
            <w:noWrap/>
            <w:vAlign w:val="center"/>
            <w:hideMark/>
          </w:tcPr>
          <w:p w:rsidR="00AC40FC" w:rsidRPr="00D6083E" w:rsidRDefault="00AC40FC" w:rsidP="00D6083E">
            <w:pPr>
              <w:spacing w:before="120"/>
              <w:jc w:val="center"/>
              <w:rPr>
                <w:b/>
                <w:bCs/>
              </w:rPr>
            </w:pPr>
            <w:r w:rsidRPr="00D6083E">
              <w:rPr>
                <w:b/>
                <w:bCs/>
              </w:rPr>
              <w:t>Projected 2016</w:t>
            </w:r>
          </w:p>
        </w:tc>
        <w:tc>
          <w:tcPr>
            <w:tcW w:w="0" w:type="auto"/>
            <w:shd w:val="clear" w:color="auto" w:fill="A5CD7E"/>
            <w:vAlign w:val="center"/>
          </w:tcPr>
          <w:p w:rsidR="00AC40FC" w:rsidRPr="00D6083E" w:rsidRDefault="00AC40FC" w:rsidP="00D6083E">
            <w:pPr>
              <w:spacing w:before="120"/>
              <w:jc w:val="center"/>
              <w:rPr>
                <w:b/>
                <w:bCs/>
              </w:rPr>
            </w:pPr>
            <w:r w:rsidRPr="00D6083E">
              <w:rPr>
                <w:b/>
                <w:bCs/>
              </w:rPr>
              <w:t>Change</w:t>
            </w:r>
          </w:p>
        </w:tc>
      </w:tr>
      <w:tr w:rsidR="00AC40FC" w:rsidRPr="00F17825" w:rsidTr="00581946">
        <w:trPr>
          <w:trHeight w:val="300"/>
          <w:jc w:val="center"/>
        </w:trPr>
        <w:tc>
          <w:tcPr>
            <w:tcW w:w="0" w:type="auto"/>
            <w:shd w:val="clear" w:color="auto" w:fill="auto"/>
            <w:noWrap/>
            <w:vAlign w:val="bottom"/>
          </w:tcPr>
          <w:p w:rsidR="00AC40FC" w:rsidRPr="002A37C6" w:rsidRDefault="00AC40FC" w:rsidP="00581946">
            <w:pPr>
              <w:spacing w:after="0"/>
              <w:jc w:val="center"/>
              <w:rPr>
                <w:rFonts w:cs="Arial"/>
                <w:szCs w:val="24"/>
              </w:rPr>
            </w:pPr>
            <w:r w:rsidRPr="002A37C6">
              <w:rPr>
                <w:rFonts w:cs="Arial"/>
                <w:color w:val="000000"/>
              </w:rPr>
              <w:t>1181</w:t>
            </w:r>
          </w:p>
        </w:tc>
        <w:tc>
          <w:tcPr>
            <w:tcW w:w="0" w:type="auto"/>
            <w:shd w:val="clear" w:color="auto" w:fill="auto"/>
            <w:noWrap/>
            <w:vAlign w:val="bottom"/>
          </w:tcPr>
          <w:p w:rsidR="00AC40FC" w:rsidRPr="002A37C6" w:rsidRDefault="00AC40FC" w:rsidP="00581946">
            <w:pPr>
              <w:spacing w:after="0"/>
              <w:rPr>
                <w:rFonts w:cs="Arial"/>
                <w:szCs w:val="24"/>
              </w:rPr>
            </w:pPr>
            <w:r w:rsidRPr="002A37C6">
              <w:rPr>
                <w:rFonts w:cs="Arial"/>
                <w:color w:val="000000"/>
              </w:rPr>
              <w:t>Supply Chain</w:t>
            </w:r>
          </w:p>
        </w:tc>
        <w:tc>
          <w:tcPr>
            <w:tcW w:w="0" w:type="auto"/>
            <w:shd w:val="clear" w:color="auto" w:fill="auto"/>
            <w:noWrap/>
            <w:vAlign w:val="bottom"/>
          </w:tcPr>
          <w:p w:rsidR="00AC40FC" w:rsidRPr="002A37C6" w:rsidRDefault="00AC40FC" w:rsidP="00581946">
            <w:pPr>
              <w:spacing w:after="0"/>
              <w:jc w:val="center"/>
              <w:rPr>
                <w:rFonts w:cs="Arial"/>
                <w:szCs w:val="24"/>
              </w:rPr>
            </w:pPr>
            <w:r w:rsidRPr="002A37C6">
              <w:rPr>
                <w:rFonts w:cs="Arial"/>
                <w:color w:val="000000"/>
              </w:rPr>
              <w:t>9</w:t>
            </w:r>
          </w:p>
        </w:tc>
        <w:tc>
          <w:tcPr>
            <w:tcW w:w="0" w:type="auto"/>
            <w:shd w:val="clear" w:color="auto" w:fill="auto"/>
            <w:noWrap/>
            <w:vAlign w:val="bottom"/>
          </w:tcPr>
          <w:p w:rsidR="00AC40FC" w:rsidRPr="002A37C6" w:rsidRDefault="00AC40FC" w:rsidP="00581946">
            <w:pPr>
              <w:spacing w:after="0"/>
              <w:jc w:val="center"/>
              <w:rPr>
                <w:rFonts w:cs="Arial"/>
                <w:szCs w:val="24"/>
              </w:rPr>
            </w:pPr>
            <w:r>
              <w:rPr>
                <w:rFonts w:cs="Arial"/>
                <w:szCs w:val="24"/>
              </w:rPr>
              <w:t>10</w:t>
            </w:r>
          </w:p>
        </w:tc>
        <w:tc>
          <w:tcPr>
            <w:tcW w:w="0" w:type="auto"/>
          </w:tcPr>
          <w:p w:rsidR="00AC40FC" w:rsidRDefault="00AC40FC" w:rsidP="00581946">
            <w:pPr>
              <w:spacing w:after="0"/>
              <w:jc w:val="center"/>
              <w:rPr>
                <w:rFonts w:cs="Arial"/>
                <w:szCs w:val="24"/>
              </w:rPr>
            </w:pPr>
            <w:r>
              <w:rPr>
                <w:rFonts w:cs="Arial"/>
                <w:szCs w:val="24"/>
              </w:rPr>
              <w:t>+1</w:t>
            </w:r>
          </w:p>
        </w:tc>
      </w:tr>
      <w:tr w:rsidR="00AC40FC" w:rsidRPr="00F17825" w:rsidTr="00581946">
        <w:trPr>
          <w:trHeight w:val="300"/>
          <w:jc w:val="center"/>
        </w:trPr>
        <w:tc>
          <w:tcPr>
            <w:tcW w:w="0" w:type="auto"/>
            <w:shd w:val="clear" w:color="auto" w:fill="auto"/>
            <w:noWrap/>
            <w:vAlign w:val="bottom"/>
          </w:tcPr>
          <w:p w:rsidR="00AC40FC" w:rsidRPr="00016430" w:rsidRDefault="00AC40FC" w:rsidP="00581946">
            <w:pPr>
              <w:spacing w:after="0"/>
              <w:jc w:val="center"/>
              <w:rPr>
                <w:rFonts w:cs="Arial"/>
                <w:szCs w:val="24"/>
              </w:rPr>
            </w:pPr>
            <w:r w:rsidRPr="00016430">
              <w:rPr>
                <w:rFonts w:cs="Arial"/>
                <w:color w:val="000000"/>
              </w:rPr>
              <w:t>1176</w:t>
            </w:r>
          </w:p>
        </w:tc>
        <w:tc>
          <w:tcPr>
            <w:tcW w:w="0" w:type="auto"/>
            <w:shd w:val="clear" w:color="auto" w:fill="auto"/>
            <w:noWrap/>
            <w:vAlign w:val="bottom"/>
          </w:tcPr>
          <w:p w:rsidR="00AC40FC" w:rsidRPr="00016430" w:rsidRDefault="00AC40FC" w:rsidP="00581946">
            <w:pPr>
              <w:spacing w:after="0"/>
              <w:rPr>
                <w:rFonts w:cs="Arial"/>
                <w:szCs w:val="24"/>
              </w:rPr>
            </w:pPr>
            <w:r w:rsidRPr="00016430">
              <w:rPr>
                <w:rFonts w:cs="Arial"/>
                <w:color w:val="000000"/>
              </w:rPr>
              <w:t>Logistics Services Field</w:t>
            </w:r>
          </w:p>
        </w:tc>
        <w:tc>
          <w:tcPr>
            <w:tcW w:w="0" w:type="auto"/>
            <w:shd w:val="clear" w:color="auto" w:fill="auto"/>
            <w:noWrap/>
            <w:vAlign w:val="bottom"/>
          </w:tcPr>
          <w:p w:rsidR="00AC40FC" w:rsidRPr="002A37C6" w:rsidRDefault="00AC40FC" w:rsidP="00581946">
            <w:pPr>
              <w:spacing w:after="0"/>
              <w:jc w:val="center"/>
              <w:rPr>
                <w:rFonts w:cs="Arial"/>
                <w:szCs w:val="24"/>
              </w:rPr>
            </w:pPr>
            <w:r>
              <w:rPr>
                <w:rFonts w:cs="Arial"/>
                <w:color w:val="000000"/>
              </w:rPr>
              <w:t>48</w:t>
            </w:r>
          </w:p>
        </w:tc>
        <w:tc>
          <w:tcPr>
            <w:tcW w:w="0" w:type="auto"/>
            <w:shd w:val="clear" w:color="auto" w:fill="auto"/>
            <w:noWrap/>
            <w:vAlign w:val="bottom"/>
          </w:tcPr>
          <w:p w:rsidR="00AC40FC" w:rsidRPr="002A37C6" w:rsidRDefault="00AC40FC" w:rsidP="00581946">
            <w:pPr>
              <w:spacing w:after="0"/>
              <w:jc w:val="center"/>
              <w:rPr>
                <w:rFonts w:cs="Arial"/>
                <w:szCs w:val="24"/>
              </w:rPr>
            </w:pPr>
            <w:r>
              <w:rPr>
                <w:rFonts w:cs="Arial"/>
                <w:szCs w:val="24"/>
              </w:rPr>
              <w:t>42</w:t>
            </w:r>
          </w:p>
        </w:tc>
        <w:tc>
          <w:tcPr>
            <w:tcW w:w="0" w:type="auto"/>
          </w:tcPr>
          <w:p w:rsidR="00AC40FC" w:rsidRDefault="00AC40FC" w:rsidP="00581946">
            <w:pPr>
              <w:spacing w:after="0"/>
              <w:jc w:val="center"/>
              <w:rPr>
                <w:rFonts w:cs="Arial"/>
                <w:szCs w:val="24"/>
              </w:rPr>
            </w:pPr>
            <w:r>
              <w:rPr>
                <w:rFonts w:cs="Arial"/>
                <w:szCs w:val="24"/>
              </w:rPr>
              <w:t>-6</w:t>
            </w:r>
          </w:p>
        </w:tc>
      </w:tr>
      <w:tr w:rsidR="00AC40FC" w:rsidRPr="00F17825" w:rsidTr="00581946">
        <w:trPr>
          <w:trHeight w:val="300"/>
          <w:jc w:val="center"/>
        </w:trPr>
        <w:tc>
          <w:tcPr>
            <w:tcW w:w="0" w:type="auto"/>
            <w:shd w:val="clear" w:color="auto" w:fill="auto"/>
            <w:noWrap/>
            <w:vAlign w:val="bottom"/>
          </w:tcPr>
          <w:p w:rsidR="00AC40FC" w:rsidRPr="004C44CD" w:rsidRDefault="00AC40FC" w:rsidP="00581946">
            <w:pPr>
              <w:spacing w:after="0"/>
              <w:jc w:val="center"/>
              <w:rPr>
                <w:rFonts w:cs="Arial"/>
                <w:szCs w:val="24"/>
              </w:rPr>
            </w:pPr>
            <w:r w:rsidRPr="004C44CD">
              <w:rPr>
                <w:rFonts w:cs="Arial"/>
                <w:color w:val="000000"/>
              </w:rPr>
              <w:t>1177</w:t>
            </w:r>
          </w:p>
        </w:tc>
        <w:tc>
          <w:tcPr>
            <w:tcW w:w="0" w:type="auto"/>
            <w:shd w:val="clear" w:color="auto" w:fill="auto"/>
            <w:noWrap/>
            <w:vAlign w:val="bottom"/>
          </w:tcPr>
          <w:p w:rsidR="00AC40FC" w:rsidRPr="004C44CD" w:rsidRDefault="00AC40FC" w:rsidP="00581946">
            <w:pPr>
              <w:spacing w:after="0"/>
              <w:rPr>
                <w:rFonts w:cs="Arial"/>
                <w:szCs w:val="24"/>
              </w:rPr>
            </w:pPr>
            <w:r w:rsidRPr="004C44CD">
              <w:rPr>
                <w:rFonts w:cs="Arial"/>
                <w:color w:val="000000"/>
              </w:rPr>
              <w:t>Logistics Services</w:t>
            </w:r>
          </w:p>
        </w:tc>
        <w:tc>
          <w:tcPr>
            <w:tcW w:w="0" w:type="auto"/>
            <w:shd w:val="clear" w:color="auto" w:fill="auto"/>
            <w:noWrap/>
            <w:vAlign w:val="bottom"/>
          </w:tcPr>
          <w:p w:rsidR="00AC40FC" w:rsidRPr="002A37C6" w:rsidRDefault="00AC40FC" w:rsidP="00581946">
            <w:pPr>
              <w:spacing w:after="0"/>
              <w:jc w:val="center"/>
              <w:rPr>
                <w:rFonts w:cs="Arial"/>
                <w:szCs w:val="24"/>
              </w:rPr>
            </w:pPr>
            <w:r w:rsidRPr="002A37C6">
              <w:rPr>
                <w:rFonts w:cs="Arial"/>
                <w:color w:val="000000"/>
              </w:rPr>
              <w:t>34</w:t>
            </w:r>
          </w:p>
        </w:tc>
        <w:tc>
          <w:tcPr>
            <w:tcW w:w="0" w:type="auto"/>
            <w:shd w:val="clear" w:color="auto" w:fill="auto"/>
            <w:noWrap/>
            <w:vAlign w:val="bottom"/>
          </w:tcPr>
          <w:p w:rsidR="00AC40FC" w:rsidRPr="002A37C6" w:rsidRDefault="00AC40FC" w:rsidP="00581946">
            <w:pPr>
              <w:spacing w:after="0"/>
              <w:jc w:val="center"/>
              <w:rPr>
                <w:rFonts w:cs="Arial"/>
                <w:szCs w:val="24"/>
              </w:rPr>
            </w:pPr>
            <w:r>
              <w:rPr>
                <w:rFonts w:cs="Arial"/>
                <w:szCs w:val="24"/>
              </w:rPr>
              <w:t>34</w:t>
            </w:r>
          </w:p>
        </w:tc>
        <w:tc>
          <w:tcPr>
            <w:tcW w:w="0" w:type="auto"/>
          </w:tcPr>
          <w:p w:rsidR="00AC40FC" w:rsidRDefault="00AC40FC" w:rsidP="00581946">
            <w:pPr>
              <w:spacing w:after="0"/>
              <w:jc w:val="center"/>
              <w:rPr>
                <w:rFonts w:cs="Arial"/>
                <w:szCs w:val="24"/>
              </w:rPr>
            </w:pPr>
            <w:r>
              <w:rPr>
                <w:rFonts w:cs="Arial"/>
                <w:szCs w:val="24"/>
              </w:rPr>
              <w:t>0</w:t>
            </w:r>
          </w:p>
        </w:tc>
      </w:tr>
      <w:tr w:rsidR="00AC40FC" w:rsidRPr="00F17825" w:rsidTr="00581946">
        <w:trPr>
          <w:trHeight w:val="300"/>
          <w:jc w:val="center"/>
        </w:trPr>
        <w:tc>
          <w:tcPr>
            <w:tcW w:w="0" w:type="auto"/>
            <w:shd w:val="clear" w:color="auto" w:fill="auto"/>
            <w:noWrap/>
            <w:vAlign w:val="bottom"/>
            <w:hideMark/>
          </w:tcPr>
          <w:p w:rsidR="00AC40FC" w:rsidRPr="002A37C6" w:rsidRDefault="00AC40FC" w:rsidP="00581946">
            <w:pPr>
              <w:spacing w:after="0"/>
              <w:jc w:val="center"/>
              <w:rPr>
                <w:rFonts w:cs="Arial"/>
                <w:szCs w:val="24"/>
              </w:rPr>
            </w:pPr>
            <w:r w:rsidRPr="002A37C6">
              <w:rPr>
                <w:rFonts w:cs="Arial"/>
                <w:color w:val="000000"/>
              </w:rPr>
              <w:t>1178</w:t>
            </w:r>
          </w:p>
        </w:tc>
        <w:tc>
          <w:tcPr>
            <w:tcW w:w="0" w:type="auto"/>
            <w:shd w:val="clear" w:color="auto" w:fill="auto"/>
            <w:noWrap/>
            <w:vAlign w:val="bottom"/>
            <w:hideMark/>
          </w:tcPr>
          <w:p w:rsidR="00AC40FC" w:rsidRPr="002A37C6" w:rsidRDefault="00AC40FC" w:rsidP="00581946">
            <w:pPr>
              <w:spacing w:after="0"/>
              <w:rPr>
                <w:rFonts w:cs="Arial"/>
                <w:szCs w:val="24"/>
              </w:rPr>
            </w:pPr>
            <w:r w:rsidRPr="002A37C6">
              <w:rPr>
                <w:rFonts w:cs="Arial"/>
                <w:color w:val="000000"/>
              </w:rPr>
              <w:t>Corporate Sourcing</w:t>
            </w:r>
          </w:p>
        </w:tc>
        <w:tc>
          <w:tcPr>
            <w:tcW w:w="0" w:type="auto"/>
            <w:shd w:val="clear" w:color="auto" w:fill="auto"/>
            <w:noWrap/>
            <w:vAlign w:val="bottom"/>
          </w:tcPr>
          <w:p w:rsidR="00AC40FC" w:rsidRPr="002A37C6" w:rsidRDefault="00AC40FC" w:rsidP="00581946">
            <w:pPr>
              <w:spacing w:after="0"/>
              <w:jc w:val="center"/>
              <w:rPr>
                <w:rFonts w:cs="Arial"/>
                <w:szCs w:val="24"/>
              </w:rPr>
            </w:pPr>
            <w:r>
              <w:rPr>
                <w:rFonts w:cs="Arial"/>
                <w:color w:val="000000"/>
              </w:rPr>
              <w:t>7</w:t>
            </w:r>
          </w:p>
        </w:tc>
        <w:tc>
          <w:tcPr>
            <w:tcW w:w="0" w:type="auto"/>
            <w:shd w:val="clear" w:color="auto" w:fill="auto"/>
            <w:noWrap/>
            <w:vAlign w:val="bottom"/>
          </w:tcPr>
          <w:p w:rsidR="00AC40FC" w:rsidRPr="002A37C6" w:rsidRDefault="00AC40FC" w:rsidP="00581946">
            <w:pPr>
              <w:spacing w:after="0"/>
              <w:jc w:val="center"/>
              <w:rPr>
                <w:rFonts w:cs="Arial"/>
                <w:szCs w:val="24"/>
              </w:rPr>
            </w:pPr>
            <w:r>
              <w:rPr>
                <w:rFonts w:cs="Arial"/>
                <w:szCs w:val="24"/>
              </w:rPr>
              <w:t>8</w:t>
            </w:r>
          </w:p>
        </w:tc>
        <w:tc>
          <w:tcPr>
            <w:tcW w:w="0" w:type="auto"/>
          </w:tcPr>
          <w:p w:rsidR="00AC40FC" w:rsidRDefault="00AC40FC" w:rsidP="00581946">
            <w:pPr>
              <w:spacing w:after="0"/>
              <w:jc w:val="center"/>
              <w:rPr>
                <w:rFonts w:cs="Arial"/>
                <w:szCs w:val="24"/>
              </w:rPr>
            </w:pPr>
            <w:r>
              <w:rPr>
                <w:rFonts w:cs="Arial"/>
                <w:szCs w:val="24"/>
              </w:rPr>
              <w:t>+1</w:t>
            </w:r>
          </w:p>
        </w:tc>
      </w:tr>
      <w:tr w:rsidR="00AC40FC" w:rsidRPr="00F17825" w:rsidTr="00581946">
        <w:trPr>
          <w:trHeight w:val="300"/>
          <w:jc w:val="center"/>
        </w:trPr>
        <w:tc>
          <w:tcPr>
            <w:tcW w:w="0" w:type="auto"/>
            <w:shd w:val="clear" w:color="auto" w:fill="auto"/>
            <w:noWrap/>
            <w:vAlign w:val="bottom"/>
            <w:hideMark/>
          </w:tcPr>
          <w:p w:rsidR="00AC40FC" w:rsidRPr="002A37C6" w:rsidRDefault="00AC40FC" w:rsidP="00581946">
            <w:pPr>
              <w:spacing w:after="0"/>
              <w:jc w:val="center"/>
              <w:rPr>
                <w:rFonts w:cs="Arial"/>
                <w:szCs w:val="24"/>
              </w:rPr>
            </w:pPr>
            <w:r w:rsidRPr="002A37C6">
              <w:rPr>
                <w:rFonts w:cs="Arial"/>
                <w:color w:val="000000"/>
              </w:rPr>
              <w:t>1179</w:t>
            </w:r>
          </w:p>
        </w:tc>
        <w:tc>
          <w:tcPr>
            <w:tcW w:w="0" w:type="auto"/>
            <w:shd w:val="clear" w:color="auto" w:fill="auto"/>
            <w:noWrap/>
            <w:vAlign w:val="bottom"/>
            <w:hideMark/>
          </w:tcPr>
          <w:p w:rsidR="00AC40FC" w:rsidRPr="002A37C6" w:rsidRDefault="00AC40FC" w:rsidP="00581946">
            <w:pPr>
              <w:spacing w:after="0"/>
              <w:rPr>
                <w:rFonts w:cs="Arial"/>
                <w:szCs w:val="24"/>
              </w:rPr>
            </w:pPr>
            <w:r w:rsidRPr="002A37C6">
              <w:rPr>
                <w:rFonts w:cs="Arial"/>
                <w:color w:val="000000"/>
              </w:rPr>
              <w:t>EU Sourcing</w:t>
            </w:r>
          </w:p>
        </w:tc>
        <w:tc>
          <w:tcPr>
            <w:tcW w:w="0" w:type="auto"/>
            <w:shd w:val="clear" w:color="auto" w:fill="auto"/>
            <w:noWrap/>
            <w:vAlign w:val="bottom"/>
          </w:tcPr>
          <w:p w:rsidR="00AC40FC" w:rsidRPr="002A37C6" w:rsidRDefault="00AC40FC" w:rsidP="00581946">
            <w:pPr>
              <w:spacing w:after="0"/>
              <w:jc w:val="center"/>
              <w:rPr>
                <w:rFonts w:cs="Arial"/>
                <w:szCs w:val="24"/>
              </w:rPr>
            </w:pPr>
            <w:r>
              <w:rPr>
                <w:rFonts w:cs="Arial"/>
                <w:color w:val="000000"/>
              </w:rPr>
              <w:t>6</w:t>
            </w:r>
          </w:p>
        </w:tc>
        <w:tc>
          <w:tcPr>
            <w:tcW w:w="0" w:type="auto"/>
            <w:shd w:val="clear" w:color="auto" w:fill="auto"/>
            <w:noWrap/>
            <w:vAlign w:val="bottom"/>
          </w:tcPr>
          <w:p w:rsidR="00AC40FC" w:rsidRPr="002A37C6" w:rsidRDefault="00AC40FC" w:rsidP="00581946">
            <w:pPr>
              <w:spacing w:after="0"/>
              <w:jc w:val="center"/>
              <w:rPr>
                <w:rFonts w:cs="Arial"/>
                <w:szCs w:val="24"/>
              </w:rPr>
            </w:pPr>
            <w:r>
              <w:rPr>
                <w:rFonts w:cs="Arial"/>
                <w:szCs w:val="24"/>
              </w:rPr>
              <w:t>7</w:t>
            </w:r>
          </w:p>
        </w:tc>
        <w:tc>
          <w:tcPr>
            <w:tcW w:w="0" w:type="auto"/>
          </w:tcPr>
          <w:p w:rsidR="00AC40FC" w:rsidRDefault="00AC40FC" w:rsidP="00581946">
            <w:pPr>
              <w:spacing w:after="0"/>
              <w:jc w:val="center"/>
              <w:rPr>
                <w:rFonts w:cs="Arial"/>
                <w:szCs w:val="24"/>
              </w:rPr>
            </w:pPr>
            <w:r>
              <w:rPr>
                <w:rFonts w:cs="Arial"/>
                <w:szCs w:val="24"/>
              </w:rPr>
              <w:t>+1</w:t>
            </w:r>
          </w:p>
        </w:tc>
      </w:tr>
      <w:tr w:rsidR="00AC40FC" w:rsidRPr="00F17825" w:rsidTr="00581946">
        <w:trPr>
          <w:trHeight w:val="300"/>
          <w:jc w:val="center"/>
        </w:trPr>
        <w:tc>
          <w:tcPr>
            <w:tcW w:w="0" w:type="auto"/>
            <w:shd w:val="clear" w:color="auto" w:fill="auto"/>
            <w:noWrap/>
            <w:vAlign w:val="center"/>
          </w:tcPr>
          <w:p w:rsidR="00AC40FC" w:rsidRPr="002B7907" w:rsidRDefault="00AC40FC" w:rsidP="00581946">
            <w:pPr>
              <w:spacing w:after="0"/>
              <w:jc w:val="center"/>
              <w:rPr>
                <w:rFonts w:cs="Arial"/>
                <w:szCs w:val="24"/>
              </w:rPr>
            </w:pPr>
            <w:r w:rsidRPr="002B7907">
              <w:rPr>
                <w:rFonts w:cs="Arial"/>
                <w:szCs w:val="24"/>
              </w:rPr>
              <w:t>New RC</w:t>
            </w:r>
          </w:p>
        </w:tc>
        <w:tc>
          <w:tcPr>
            <w:tcW w:w="0" w:type="auto"/>
            <w:shd w:val="clear" w:color="auto" w:fill="auto"/>
            <w:noWrap/>
            <w:vAlign w:val="center"/>
          </w:tcPr>
          <w:p w:rsidR="00AC40FC" w:rsidRPr="002B7907" w:rsidRDefault="00AC40FC" w:rsidP="00581946">
            <w:pPr>
              <w:spacing w:after="0"/>
              <w:jc w:val="left"/>
              <w:rPr>
                <w:rFonts w:cs="Arial"/>
                <w:szCs w:val="24"/>
              </w:rPr>
            </w:pPr>
            <w:r w:rsidRPr="002B7907">
              <w:rPr>
                <w:rFonts w:cs="Arial"/>
                <w:szCs w:val="24"/>
              </w:rPr>
              <w:t>Indirect &amp; IT Supply</w:t>
            </w:r>
          </w:p>
        </w:tc>
        <w:tc>
          <w:tcPr>
            <w:tcW w:w="0" w:type="auto"/>
            <w:shd w:val="clear" w:color="auto" w:fill="auto"/>
            <w:noWrap/>
            <w:vAlign w:val="bottom"/>
          </w:tcPr>
          <w:p w:rsidR="00AC40FC" w:rsidRPr="002B7907" w:rsidRDefault="00AC40FC" w:rsidP="00581946">
            <w:pPr>
              <w:spacing w:after="0"/>
              <w:jc w:val="center"/>
              <w:rPr>
                <w:rFonts w:cs="Arial"/>
                <w:szCs w:val="24"/>
              </w:rPr>
            </w:pPr>
            <w:r w:rsidRPr="002B7907">
              <w:rPr>
                <w:rFonts w:cs="Arial"/>
                <w:szCs w:val="24"/>
              </w:rPr>
              <w:t>0</w:t>
            </w:r>
          </w:p>
        </w:tc>
        <w:tc>
          <w:tcPr>
            <w:tcW w:w="0" w:type="auto"/>
            <w:shd w:val="clear" w:color="auto" w:fill="auto"/>
            <w:noWrap/>
            <w:vAlign w:val="bottom"/>
          </w:tcPr>
          <w:p w:rsidR="00AC40FC" w:rsidRPr="002B7907" w:rsidRDefault="00AC40FC" w:rsidP="00581946">
            <w:pPr>
              <w:spacing w:after="0"/>
              <w:jc w:val="center"/>
              <w:rPr>
                <w:rFonts w:cs="Arial"/>
                <w:szCs w:val="24"/>
              </w:rPr>
            </w:pPr>
            <w:r w:rsidRPr="002B7907">
              <w:rPr>
                <w:rFonts w:cs="Arial"/>
                <w:szCs w:val="24"/>
              </w:rPr>
              <w:t>5</w:t>
            </w:r>
          </w:p>
        </w:tc>
        <w:tc>
          <w:tcPr>
            <w:tcW w:w="0" w:type="auto"/>
          </w:tcPr>
          <w:p w:rsidR="00AC40FC" w:rsidRPr="002B7907" w:rsidRDefault="00AC40FC" w:rsidP="00581946">
            <w:pPr>
              <w:spacing w:after="0"/>
              <w:jc w:val="center"/>
              <w:rPr>
                <w:rFonts w:cs="Arial"/>
                <w:szCs w:val="24"/>
              </w:rPr>
            </w:pPr>
            <w:r w:rsidRPr="002B7907">
              <w:rPr>
                <w:rFonts w:cs="Arial"/>
                <w:szCs w:val="24"/>
              </w:rPr>
              <w:t>+5</w:t>
            </w:r>
          </w:p>
        </w:tc>
      </w:tr>
      <w:tr w:rsidR="00AC40FC" w:rsidRPr="00F17825" w:rsidTr="00581946">
        <w:trPr>
          <w:trHeight w:val="300"/>
          <w:jc w:val="center"/>
        </w:trPr>
        <w:tc>
          <w:tcPr>
            <w:tcW w:w="0" w:type="auto"/>
            <w:shd w:val="clear" w:color="auto" w:fill="auto"/>
            <w:noWrap/>
            <w:hideMark/>
          </w:tcPr>
          <w:p w:rsidR="00AC40FC" w:rsidRPr="00F17825" w:rsidRDefault="00AC40FC" w:rsidP="00581946">
            <w:pPr>
              <w:spacing w:after="0"/>
              <w:rPr>
                <w:rFonts w:cs="Arial"/>
                <w:szCs w:val="24"/>
              </w:rPr>
            </w:pPr>
          </w:p>
        </w:tc>
        <w:tc>
          <w:tcPr>
            <w:tcW w:w="0" w:type="auto"/>
            <w:shd w:val="clear" w:color="auto" w:fill="auto"/>
            <w:noWrap/>
            <w:vAlign w:val="center"/>
            <w:hideMark/>
          </w:tcPr>
          <w:p w:rsidR="00AC40FC" w:rsidRPr="00F17825" w:rsidRDefault="00AC40FC" w:rsidP="00581946">
            <w:pPr>
              <w:spacing w:after="0"/>
              <w:jc w:val="center"/>
              <w:rPr>
                <w:rFonts w:cs="Arial"/>
                <w:b/>
                <w:szCs w:val="24"/>
              </w:rPr>
            </w:pPr>
            <w:r w:rsidRPr="00F17825">
              <w:rPr>
                <w:rFonts w:cs="Arial"/>
                <w:b/>
                <w:szCs w:val="24"/>
              </w:rPr>
              <w:t>T</w:t>
            </w:r>
            <w:r>
              <w:rPr>
                <w:rFonts w:cs="Arial"/>
                <w:b/>
                <w:szCs w:val="24"/>
              </w:rPr>
              <w:t>otals</w:t>
            </w:r>
          </w:p>
        </w:tc>
        <w:tc>
          <w:tcPr>
            <w:tcW w:w="0" w:type="auto"/>
            <w:shd w:val="clear" w:color="auto" w:fill="auto"/>
            <w:noWrap/>
            <w:vAlign w:val="bottom"/>
          </w:tcPr>
          <w:p w:rsidR="00AC40FC" w:rsidRPr="00F17825" w:rsidRDefault="00AC40FC" w:rsidP="00581946">
            <w:pPr>
              <w:spacing w:after="0"/>
              <w:jc w:val="center"/>
              <w:rPr>
                <w:rFonts w:cs="Arial"/>
                <w:b/>
                <w:szCs w:val="24"/>
              </w:rPr>
            </w:pPr>
            <w:r>
              <w:rPr>
                <w:rFonts w:cs="Arial"/>
                <w:b/>
                <w:szCs w:val="24"/>
              </w:rPr>
              <w:t>104</w:t>
            </w:r>
          </w:p>
        </w:tc>
        <w:tc>
          <w:tcPr>
            <w:tcW w:w="0" w:type="auto"/>
            <w:shd w:val="clear" w:color="auto" w:fill="auto"/>
            <w:noWrap/>
            <w:vAlign w:val="bottom"/>
          </w:tcPr>
          <w:p w:rsidR="00AC40FC" w:rsidRPr="00F17825" w:rsidRDefault="00AC40FC" w:rsidP="00581946">
            <w:pPr>
              <w:spacing w:after="0"/>
              <w:jc w:val="center"/>
              <w:rPr>
                <w:rFonts w:cs="Arial"/>
                <w:b/>
                <w:szCs w:val="24"/>
              </w:rPr>
            </w:pPr>
            <w:r>
              <w:rPr>
                <w:rFonts w:cs="Arial"/>
                <w:b/>
                <w:szCs w:val="24"/>
              </w:rPr>
              <w:t>106</w:t>
            </w:r>
          </w:p>
        </w:tc>
        <w:tc>
          <w:tcPr>
            <w:tcW w:w="0" w:type="auto"/>
          </w:tcPr>
          <w:p w:rsidR="00AC40FC" w:rsidRDefault="00AC40FC" w:rsidP="00581946">
            <w:pPr>
              <w:spacing w:after="0"/>
              <w:jc w:val="center"/>
              <w:rPr>
                <w:rFonts w:cs="Arial"/>
                <w:b/>
                <w:szCs w:val="24"/>
              </w:rPr>
            </w:pPr>
            <w:r>
              <w:rPr>
                <w:rFonts w:cs="Arial"/>
                <w:b/>
                <w:szCs w:val="24"/>
              </w:rPr>
              <w:t>+2</w:t>
            </w:r>
          </w:p>
        </w:tc>
      </w:tr>
      <w:tr w:rsidR="00AC40FC" w:rsidRPr="00F17825" w:rsidTr="00581946">
        <w:trPr>
          <w:trHeight w:val="300"/>
          <w:jc w:val="center"/>
        </w:trPr>
        <w:tc>
          <w:tcPr>
            <w:tcW w:w="0" w:type="auto"/>
            <w:gridSpan w:val="5"/>
            <w:shd w:val="clear" w:color="auto" w:fill="auto"/>
            <w:noWrap/>
            <w:vAlign w:val="center"/>
          </w:tcPr>
          <w:p w:rsidR="00AC40FC" w:rsidRPr="00F17825" w:rsidRDefault="00AC40FC" w:rsidP="00581946">
            <w:pPr>
              <w:spacing w:after="0"/>
              <w:rPr>
                <w:rFonts w:cs="Arial"/>
                <w:bCs/>
                <w:szCs w:val="24"/>
              </w:rPr>
            </w:pPr>
            <w:r w:rsidRPr="00F17825">
              <w:rPr>
                <w:rFonts w:cs="Arial"/>
                <w:bCs/>
                <w:szCs w:val="24"/>
              </w:rPr>
              <w:t xml:space="preserve">Sources: </w:t>
            </w:r>
            <w:r>
              <w:rPr>
                <w:rFonts w:cs="Arial"/>
                <w:bCs/>
                <w:szCs w:val="24"/>
              </w:rPr>
              <w:t>DN 18-001-C; DN 18-29</w:t>
            </w:r>
          </w:p>
        </w:tc>
      </w:tr>
    </w:tbl>
    <w:p w:rsidR="00AC40FC" w:rsidRDefault="00AC40FC" w:rsidP="00581946">
      <w:pPr>
        <w:pStyle w:val="Normal-aftertable"/>
      </w:pPr>
      <w:r>
        <w:t>Two position additions are projected.  The March 2016 headcount was 106 including 42 materials handlers who are located at the service center warehouses and are under the direct supervision of the regional managers.  This responsibility center is left under Supply Chain to capture the total cost of supply chain related activity but the positions only receive direction on Supply Chain procedures and practices such as issues, returns, and cycle counting for Supply Chain.</w:t>
      </w:r>
    </w:p>
    <w:p w:rsidR="00AC40FC" w:rsidRDefault="00AC40FC" w:rsidP="00581946">
      <w:r>
        <w:t>The t</w:t>
      </w:r>
      <w:r w:rsidRPr="00721B9B">
        <w:t xml:space="preserve">wo </w:t>
      </w:r>
      <w:r>
        <w:t xml:space="preserve">part-time </w:t>
      </w:r>
      <w:r w:rsidRPr="00721B9B">
        <w:t xml:space="preserve">contractors supporting PPL IT enterprise level purchasing were transferred to PPL EUS Supply Chain in February 2016 from the IT Supplier Management group.  </w:t>
      </w:r>
      <w:r>
        <w:t>These</w:t>
      </w:r>
      <w:r w:rsidRPr="00721B9B">
        <w:t xml:space="preserve"> contr</w:t>
      </w:r>
      <w:r>
        <w:t>actors will remain through year-</w:t>
      </w:r>
      <w:r w:rsidRPr="00721B9B">
        <w:t xml:space="preserve">end 2016.  </w:t>
      </w:r>
      <w:r w:rsidRPr="00AE3F2D">
        <w:t>T</w:t>
      </w:r>
      <w:r>
        <w:t>his work will then migrate to LKE SC Supply Chain</w:t>
      </w:r>
      <w:r w:rsidRPr="00AE3F2D">
        <w:t xml:space="preserve"> and the contractor</w:t>
      </w:r>
      <w:r>
        <w:t>s</w:t>
      </w:r>
      <w:r w:rsidRPr="00AE3F2D">
        <w:t xml:space="preserve"> will be let go</w:t>
      </w:r>
      <w:r w:rsidRPr="00721B9B">
        <w:t>.</w:t>
      </w:r>
      <w:r>
        <w:t xml:space="preserve">  There are no further staffing changes currently planned.</w:t>
      </w:r>
    </w:p>
    <w:p w:rsidR="00AC40FC" w:rsidRDefault="00AC40FC" w:rsidP="00581946">
      <w:pPr>
        <w:rPr>
          <w:rFonts w:cs="Arial"/>
          <w:szCs w:val="24"/>
        </w:rPr>
      </w:pPr>
      <w:r w:rsidRPr="00494B78">
        <w:rPr>
          <w:rFonts w:cs="Arial"/>
          <w:szCs w:val="24"/>
        </w:rPr>
        <w:t>Supply Chain expects</w:t>
      </w:r>
      <w:r>
        <w:rPr>
          <w:rFonts w:cs="Arial"/>
          <w:szCs w:val="24"/>
        </w:rPr>
        <w:t xml:space="preserve"> the volume for Transmission contractor capital work to decline by one-third to one-half by 2019.</w:t>
      </w:r>
    </w:p>
    <w:p w:rsidR="00AC40FC" w:rsidRDefault="00AC40FC" w:rsidP="00581946">
      <w:r w:rsidRPr="00CC0A97">
        <w:lastRenderedPageBreak/>
        <w:t>According to the union contract, PPL EU and PPL EUS cannot layoff union workers and replace them with contractors.  However, PPL EU and PPL EUS can decide not to fill open union positions caused by attrition and contract the work.</w:t>
      </w:r>
    </w:p>
    <w:p w:rsidR="00AC40FC" w:rsidRDefault="00AC40FC" w:rsidP="00581946">
      <w:pPr>
        <w:rPr>
          <w:rFonts w:cs="Arial"/>
          <w:szCs w:val="24"/>
        </w:rPr>
      </w:pPr>
      <w:r w:rsidRPr="00345F93">
        <w:rPr>
          <w:b/>
        </w:rPr>
        <w:t>Employee and Contractor Staffing Planning Criteria and Process.</w:t>
      </w:r>
      <w:r w:rsidRPr="008D654F">
        <w:t xml:space="preserve"> </w:t>
      </w:r>
      <w:r>
        <w:t xml:space="preserve"> </w:t>
      </w:r>
      <w:r>
        <w:rPr>
          <w:rFonts w:cs="Arial"/>
          <w:szCs w:val="24"/>
        </w:rPr>
        <w:t>The department is increasing its level of participation in industry groups and in benchmarking to develop ideas for further improvements.  A five year workforce plan is expected to be developed during 2016.</w:t>
      </w:r>
    </w:p>
    <w:p w:rsidR="00AC40FC" w:rsidRDefault="00AC40FC" w:rsidP="00581946">
      <w:r>
        <w:rPr>
          <w:rFonts w:cs="Arial"/>
          <w:szCs w:val="24"/>
        </w:rPr>
        <w:t>Category managers are the most difficult personnel to find and there is a very competitive market for good candidates.  It takes experienced category managers three to four more months to learn the PPL EUS systems, processes, and business units.</w:t>
      </w:r>
    </w:p>
    <w:p w:rsidR="00AC40FC" w:rsidRDefault="00AC40FC" w:rsidP="00581946">
      <w:pPr>
        <w:rPr>
          <w:rFonts w:cs="Arial"/>
          <w:szCs w:val="24"/>
        </w:rPr>
      </w:pPr>
      <w:r>
        <w:rPr>
          <w:rFonts w:cs="Arial"/>
          <w:szCs w:val="24"/>
        </w:rPr>
        <w:t>There is no specific target for Supply Chain O&amp;M cost reduction or eliminating employee positions.  However, Supply Chain is cognizant of the PPL EU initiative to achieve first quartile performance in O&amp;M costs and is aggressively pursuing efficiency opportunities.  There is an expectation that there will be no increases in the O&amp;M budget in future years.  The initial transformation efforts, supported by the business process improvement Project Manager, are expected to be complete by yearend 2016 which will allow for development of a longer term perspective on staffing needs.</w:t>
      </w:r>
    </w:p>
    <w:p w:rsidR="00AC40FC" w:rsidRDefault="00AC40FC" w:rsidP="00581946">
      <w:r w:rsidRPr="00345F93">
        <w:rPr>
          <w:b/>
        </w:rPr>
        <w:t>The Allocation of Personnel to PPL EU and PPL EUS in the Formation of PPL EUS.</w:t>
      </w:r>
      <w:r>
        <w:t xml:space="preserve">  </w:t>
      </w:r>
      <w:r w:rsidRPr="00AE3F2D">
        <w:t>Supply Chain was form</w:t>
      </w:r>
      <w:r>
        <w:t>erly in PPL SC</w:t>
      </w:r>
      <w:r w:rsidRPr="00AE3F2D">
        <w:t xml:space="preserve"> prior to moving to PPL EUS</w:t>
      </w:r>
      <w:r>
        <w:t xml:space="preserve"> in 2015.</w:t>
      </w:r>
    </w:p>
    <w:p w:rsidR="00AC40FC" w:rsidRDefault="00AC40FC" w:rsidP="00581946">
      <w:pPr>
        <w:rPr>
          <w:rFonts w:cs="Arial"/>
          <w:szCs w:val="24"/>
        </w:rPr>
      </w:pPr>
      <w:r w:rsidRPr="00345F93">
        <w:rPr>
          <w:b/>
        </w:rPr>
        <w:t>Plans for Adjusting Staffing As the Talen TSA Winds Down and Terminates.</w:t>
      </w:r>
      <w:r>
        <w:t xml:space="preserve">  </w:t>
      </w:r>
      <w:r>
        <w:rPr>
          <w:rFonts w:cs="Arial"/>
          <w:szCs w:val="24"/>
        </w:rPr>
        <w:t>All Supply Chain staffing adjustments due to the Talen divestiture were completed in 2015.</w:t>
      </w:r>
    </w:p>
    <w:p w:rsidR="00AC40FC" w:rsidRDefault="00AC40FC" w:rsidP="00BB665B">
      <w:pPr>
        <w:pStyle w:val="Heading40"/>
      </w:pPr>
      <w:r>
        <w:t>Facilities Management</w:t>
      </w:r>
    </w:p>
    <w:p w:rsidR="00AC40FC" w:rsidRDefault="00AC40FC" w:rsidP="00581946">
      <w:pPr>
        <w:rPr>
          <w:rFonts w:cs="Arial"/>
          <w:szCs w:val="24"/>
        </w:rPr>
      </w:pPr>
      <w:r>
        <w:rPr>
          <w:rFonts w:cs="Arial"/>
          <w:szCs w:val="24"/>
        </w:rPr>
        <w:t xml:space="preserve">Facilities Management </w:t>
      </w:r>
      <w:r>
        <w:t xml:space="preserve">was transferred from PPL SC to PPL EUS at yearend 2014.  It provides facilities management and maintenance services for all </w:t>
      </w:r>
      <w:r>
        <w:rPr>
          <w:rFonts w:cs="Arial"/>
          <w:szCs w:val="24"/>
        </w:rPr>
        <w:t xml:space="preserve">PPL Corporation owned buildings in Pennsylvania, including PPL EU owned buildings.  </w:t>
      </w:r>
    </w:p>
    <w:p w:rsidR="00AC40FC" w:rsidRPr="00AE3F2D" w:rsidRDefault="00AC40FC" w:rsidP="00581946">
      <w:r w:rsidRPr="00345F93">
        <w:rPr>
          <w:b/>
        </w:rPr>
        <w:t>2015 Employee and Contractor Changes.</w:t>
      </w:r>
      <w:r>
        <w:t xml:space="preserve">  </w:t>
      </w:r>
      <w:r>
        <w:rPr>
          <w:rFonts w:cs="Arial"/>
          <w:szCs w:val="24"/>
        </w:rPr>
        <w:t>The PPL EUS Facilities Management staffing by SRC number and title from the end of 2014 to the end of 2015 is shown on the following table</w:t>
      </w:r>
      <w:r w:rsidRPr="00A32A3F">
        <w:rPr>
          <w:rFonts w:cs="Arial"/>
          <w:szCs w:val="24"/>
        </w:rPr>
        <w:t>.</w:t>
      </w:r>
    </w:p>
    <w:p w:rsidR="00AC40FC" w:rsidRDefault="00AC40FC">
      <w:pPr>
        <w:spacing w:after="0"/>
        <w:jc w:val="left"/>
        <w:rPr>
          <w:b/>
          <w:bCs/>
          <w:szCs w:val="18"/>
        </w:rPr>
      </w:pPr>
      <w:r>
        <w:br w:type="page"/>
      </w:r>
    </w:p>
    <w:p w:rsidR="00AC40FC" w:rsidRDefault="00AC40FC" w:rsidP="00B306CB">
      <w:pPr>
        <w:pStyle w:val="Caption"/>
      </w:pPr>
      <w:bookmarkStart w:id="426" w:name="_Toc462648512"/>
      <w:bookmarkStart w:id="427" w:name="_Toc464553134"/>
      <w:r>
        <w:lastRenderedPageBreak/>
        <w:t xml:space="preserve">Exhibit </w:t>
      </w:r>
      <w:fldSimple w:instr=" STYLEREF 1 \s ">
        <w:r w:rsidR="00A24205">
          <w:rPr>
            <w:noProof/>
          </w:rPr>
          <w:t>XV</w:t>
        </w:r>
      </w:fldSimple>
      <w:r w:rsidR="00264A1B">
        <w:noBreakHyphen/>
      </w:r>
      <w:fldSimple w:instr=" SEQ Exhibit \* ARABIC \s 1 ">
        <w:r w:rsidR="00A24205">
          <w:rPr>
            <w:noProof/>
          </w:rPr>
          <w:t>26</w:t>
        </w:r>
      </w:fldSimple>
      <w:r>
        <w:br/>
      </w:r>
      <w:r w:rsidRPr="00F17825">
        <w:t xml:space="preserve">PPL </w:t>
      </w:r>
      <w:r>
        <w:t>EUS</w:t>
      </w:r>
      <w:r w:rsidRPr="00F17825">
        <w:t xml:space="preserve"> </w:t>
      </w:r>
      <w:r>
        <w:t>Facilities Management</w:t>
      </w:r>
      <w:r w:rsidRPr="00F17825">
        <w:t xml:space="preserve"> Employee Staffing Changes 2014–2015</w:t>
      </w:r>
      <w:bookmarkEnd w:id="426"/>
      <w:bookmarkEnd w:id="4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3506"/>
        <w:gridCol w:w="810"/>
        <w:gridCol w:w="810"/>
        <w:gridCol w:w="1097"/>
      </w:tblGrid>
      <w:tr w:rsidR="00AC40FC" w:rsidRPr="00D6083E" w:rsidTr="00581946">
        <w:trPr>
          <w:cantSplit/>
          <w:trHeight w:val="300"/>
          <w:tblHeader/>
          <w:jc w:val="center"/>
        </w:trPr>
        <w:tc>
          <w:tcPr>
            <w:tcW w:w="960" w:type="dxa"/>
            <w:shd w:val="clear" w:color="auto" w:fill="A5CD7E"/>
            <w:noWrap/>
            <w:vAlign w:val="center"/>
            <w:hideMark/>
          </w:tcPr>
          <w:p w:rsidR="00AC40FC" w:rsidRPr="00D6083E" w:rsidRDefault="00AC40FC" w:rsidP="00D6083E">
            <w:pPr>
              <w:spacing w:before="120"/>
              <w:jc w:val="center"/>
              <w:rPr>
                <w:b/>
                <w:bCs/>
              </w:rPr>
            </w:pPr>
            <w:r w:rsidRPr="00D6083E">
              <w:rPr>
                <w:b/>
                <w:bCs/>
              </w:rPr>
              <w:t>SRC</w:t>
            </w:r>
          </w:p>
        </w:tc>
        <w:tc>
          <w:tcPr>
            <w:tcW w:w="3506" w:type="dxa"/>
            <w:shd w:val="clear" w:color="auto" w:fill="A5CD7E"/>
            <w:noWrap/>
            <w:vAlign w:val="center"/>
            <w:hideMark/>
          </w:tcPr>
          <w:p w:rsidR="00AC40FC" w:rsidRPr="00D6083E" w:rsidRDefault="00AC40FC" w:rsidP="00D6083E">
            <w:pPr>
              <w:spacing w:before="120"/>
              <w:jc w:val="center"/>
              <w:rPr>
                <w:b/>
                <w:bCs/>
              </w:rPr>
            </w:pPr>
            <w:r w:rsidRPr="00D6083E">
              <w:rPr>
                <w:b/>
                <w:bCs/>
              </w:rPr>
              <w:t>Title</w:t>
            </w:r>
          </w:p>
        </w:tc>
        <w:tc>
          <w:tcPr>
            <w:tcW w:w="810" w:type="dxa"/>
            <w:shd w:val="clear" w:color="auto" w:fill="A5CD7E"/>
            <w:noWrap/>
            <w:vAlign w:val="center"/>
            <w:hideMark/>
          </w:tcPr>
          <w:p w:rsidR="00AC40FC" w:rsidRPr="00D6083E" w:rsidRDefault="00AC40FC" w:rsidP="00D6083E">
            <w:pPr>
              <w:spacing w:before="120"/>
              <w:jc w:val="center"/>
              <w:rPr>
                <w:b/>
                <w:bCs/>
              </w:rPr>
            </w:pPr>
            <w:r w:rsidRPr="00D6083E">
              <w:rPr>
                <w:b/>
                <w:bCs/>
              </w:rPr>
              <w:t>2014</w:t>
            </w:r>
          </w:p>
        </w:tc>
        <w:tc>
          <w:tcPr>
            <w:tcW w:w="810" w:type="dxa"/>
            <w:shd w:val="clear" w:color="auto" w:fill="A5CD7E"/>
            <w:noWrap/>
            <w:vAlign w:val="center"/>
            <w:hideMark/>
          </w:tcPr>
          <w:p w:rsidR="00AC40FC" w:rsidRPr="00D6083E" w:rsidRDefault="00AC40FC" w:rsidP="00D6083E">
            <w:pPr>
              <w:spacing w:before="120"/>
              <w:jc w:val="center"/>
              <w:rPr>
                <w:b/>
                <w:bCs/>
              </w:rPr>
            </w:pPr>
            <w:r w:rsidRPr="00D6083E">
              <w:rPr>
                <w:b/>
                <w:bCs/>
              </w:rPr>
              <w:t>2015</w:t>
            </w:r>
          </w:p>
        </w:tc>
        <w:tc>
          <w:tcPr>
            <w:tcW w:w="1097" w:type="dxa"/>
            <w:shd w:val="clear" w:color="auto" w:fill="A5CD7E"/>
            <w:noWrap/>
            <w:vAlign w:val="center"/>
            <w:hideMark/>
          </w:tcPr>
          <w:p w:rsidR="00AC40FC" w:rsidRPr="00D6083E" w:rsidRDefault="00AC40FC" w:rsidP="00D6083E">
            <w:pPr>
              <w:spacing w:before="120"/>
              <w:jc w:val="center"/>
              <w:rPr>
                <w:b/>
                <w:bCs/>
              </w:rPr>
            </w:pPr>
            <w:r w:rsidRPr="00D6083E">
              <w:rPr>
                <w:b/>
                <w:bCs/>
              </w:rPr>
              <w:t>Change</w:t>
            </w:r>
          </w:p>
        </w:tc>
      </w:tr>
      <w:tr w:rsidR="00AC40FC" w:rsidRPr="00F17825" w:rsidTr="00581946">
        <w:trPr>
          <w:trHeight w:val="300"/>
          <w:jc w:val="center"/>
        </w:trPr>
        <w:tc>
          <w:tcPr>
            <w:tcW w:w="960" w:type="dxa"/>
            <w:shd w:val="clear" w:color="auto" w:fill="auto"/>
            <w:noWrap/>
            <w:vAlign w:val="center"/>
          </w:tcPr>
          <w:p w:rsidR="00AC40FC" w:rsidRPr="00276B92" w:rsidRDefault="00AC40FC" w:rsidP="00581946">
            <w:pPr>
              <w:spacing w:after="0"/>
              <w:jc w:val="center"/>
              <w:rPr>
                <w:rFonts w:cs="Arial"/>
                <w:szCs w:val="24"/>
              </w:rPr>
            </w:pPr>
            <w:r w:rsidRPr="008D61EE">
              <w:rPr>
                <w:rFonts w:cs="Arial"/>
                <w:color w:val="000000"/>
              </w:rPr>
              <w:t>889</w:t>
            </w:r>
          </w:p>
        </w:tc>
        <w:tc>
          <w:tcPr>
            <w:tcW w:w="3506" w:type="dxa"/>
            <w:shd w:val="clear" w:color="auto" w:fill="auto"/>
            <w:noWrap/>
            <w:vAlign w:val="bottom"/>
          </w:tcPr>
          <w:p w:rsidR="00AC40FC" w:rsidRPr="000A5AD3" w:rsidRDefault="00AC40FC" w:rsidP="00581946">
            <w:pPr>
              <w:spacing w:after="0"/>
              <w:jc w:val="center"/>
              <w:rPr>
                <w:rFonts w:cs="Arial"/>
                <w:szCs w:val="24"/>
              </w:rPr>
            </w:pPr>
            <w:r w:rsidRPr="008D61EE">
              <w:rPr>
                <w:rFonts w:cs="Arial"/>
                <w:bCs/>
                <w:color w:val="000000"/>
              </w:rPr>
              <w:t>Facilities Management</w:t>
            </w:r>
          </w:p>
        </w:tc>
        <w:tc>
          <w:tcPr>
            <w:tcW w:w="810" w:type="dxa"/>
            <w:shd w:val="clear" w:color="auto" w:fill="auto"/>
            <w:noWrap/>
            <w:vAlign w:val="bottom"/>
          </w:tcPr>
          <w:p w:rsidR="00AC40FC" w:rsidRPr="00276B92" w:rsidRDefault="00AC40FC" w:rsidP="00581946">
            <w:pPr>
              <w:spacing w:after="0"/>
              <w:jc w:val="center"/>
              <w:rPr>
                <w:rFonts w:cs="Arial"/>
                <w:szCs w:val="24"/>
              </w:rPr>
            </w:pPr>
            <w:r w:rsidRPr="008D61EE">
              <w:rPr>
                <w:rFonts w:cs="Arial"/>
                <w:color w:val="000000"/>
              </w:rPr>
              <w:t>14</w:t>
            </w:r>
          </w:p>
        </w:tc>
        <w:tc>
          <w:tcPr>
            <w:tcW w:w="810" w:type="dxa"/>
            <w:shd w:val="clear" w:color="auto" w:fill="auto"/>
            <w:noWrap/>
            <w:vAlign w:val="bottom"/>
          </w:tcPr>
          <w:p w:rsidR="00AC40FC" w:rsidRPr="00276B92" w:rsidRDefault="00AC40FC" w:rsidP="00581946">
            <w:pPr>
              <w:spacing w:after="0"/>
              <w:jc w:val="center"/>
              <w:rPr>
                <w:rFonts w:cs="Arial"/>
                <w:szCs w:val="24"/>
              </w:rPr>
            </w:pPr>
            <w:r w:rsidRPr="008D61EE">
              <w:rPr>
                <w:rFonts w:cs="Arial"/>
                <w:color w:val="000000"/>
              </w:rPr>
              <w:t>3</w:t>
            </w:r>
          </w:p>
        </w:tc>
        <w:tc>
          <w:tcPr>
            <w:tcW w:w="1097" w:type="dxa"/>
            <w:shd w:val="clear" w:color="auto" w:fill="auto"/>
            <w:noWrap/>
            <w:vAlign w:val="bottom"/>
          </w:tcPr>
          <w:p w:rsidR="00AC40FC" w:rsidRPr="00F17825" w:rsidRDefault="00AC40FC" w:rsidP="00581946">
            <w:pPr>
              <w:spacing w:after="0"/>
              <w:jc w:val="center"/>
              <w:rPr>
                <w:rFonts w:cs="Arial"/>
                <w:szCs w:val="24"/>
              </w:rPr>
            </w:pPr>
            <w:r w:rsidRPr="00F17825">
              <w:rPr>
                <w:rFonts w:cs="Arial"/>
                <w:szCs w:val="24"/>
              </w:rPr>
              <w:t>-1</w:t>
            </w:r>
            <w:r>
              <w:rPr>
                <w:rFonts w:cs="Arial"/>
                <w:szCs w:val="24"/>
              </w:rPr>
              <w:t>1</w:t>
            </w:r>
          </w:p>
        </w:tc>
      </w:tr>
      <w:tr w:rsidR="00AC40FC" w:rsidRPr="00F17825" w:rsidTr="00581946">
        <w:trPr>
          <w:trHeight w:val="300"/>
          <w:jc w:val="center"/>
        </w:trPr>
        <w:tc>
          <w:tcPr>
            <w:tcW w:w="960" w:type="dxa"/>
            <w:shd w:val="clear" w:color="auto" w:fill="auto"/>
            <w:noWrap/>
            <w:vAlign w:val="center"/>
          </w:tcPr>
          <w:p w:rsidR="00AC40FC" w:rsidRPr="00276B92" w:rsidRDefault="00AC40FC" w:rsidP="00581946">
            <w:pPr>
              <w:spacing w:after="0"/>
              <w:jc w:val="center"/>
              <w:rPr>
                <w:rFonts w:cs="Arial"/>
                <w:szCs w:val="24"/>
              </w:rPr>
            </w:pPr>
            <w:r w:rsidRPr="008D61EE">
              <w:rPr>
                <w:rFonts w:cs="Arial"/>
                <w:color w:val="000000"/>
              </w:rPr>
              <w:t>891</w:t>
            </w:r>
          </w:p>
        </w:tc>
        <w:tc>
          <w:tcPr>
            <w:tcW w:w="3506" w:type="dxa"/>
            <w:shd w:val="clear" w:color="auto" w:fill="auto"/>
            <w:noWrap/>
            <w:vAlign w:val="bottom"/>
          </w:tcPr>
          <w:p w:rsidR="00AC40FC" w:rsidRPr="000A5AD3" w:rsidRDefault="00AC40FC" w:rsidP="00581946">
            <w:pPr>
              <w:spacing w:after="0"/>
              <w:jc w:val="center"/>
              <w:rPr>
                <w:rFonts w:cs="Arial"/>
                <w:szCs w:val="24"/>
              </w:rPr>
            </w:pPr>
            <w:r w:rsidRPr="008D61EE">
              <w:rPr>
                <w:rFonts w:cs="Arial"/>
                <w:color w:val="000000"/>
              </w:rPr>
              <w:t>Lehigh Bldg. Services</w:t>
            </w:r>
          </w:p>
        </w:tc>
        <w:tc>
          <w:tcPr>
            <w:tcW w:w="810" w:type="dxa"/>
            <w:shd w:val="clear" w:color="auto" w:fill="auto"/>
            <w:noWrap/>
            <w:vAlign w:val="bottom"/>
          </w:tcPr>
          <w:p w:rsidR="00AC40FC" w:rsidRPr="00276B92" w:rsidRDefault="00AC40FC" w:rsidP="00581946">
            <w:pPr>
              <w:spacing w:after="0"/>
              <w:jc w:val="center"/>
              <w:rPr>
                <w:rFonts w:cs="Arial"/>
                <w:szCs w:val="24"/>
              </w:rPr>
            </w:pPr>
            <w:r w:rsidRPr="008D61EE">
              <w:rPr>
                <w:rFonts w:cs="Arial"/>
                <w:color w:val="000000"/>
              </w:rPr>
              <w:t>14</w:t>
            </w:r>
          </w:p>
        </w:tc>
        <w:tc>
          <w:tcPr>
            <w:tcW w:w="810" w:type="dxa"/>
            <w:shd w:val="clear" w:color="auto" w:fill="auto"/>
            <w:noWrap/>
            <w:vAlign w:val="bottom"/>
          </w:tcPr>
          <w:p w:rsidR="00AC40FC" w:rsidRPr="00276B92" w:rsidRDefault="00AC40FC" w:rsidP="00581946">
            <w:pPr>
              <w:spacing w:after="0"/>
              <w:jc w:val="center"/>
              <w:rPr>
                <w:rFonts w:cs="Arial"/>
                <w:szCs w:val="24"/>
              </w:rPr>
            </w:pPr>
            <w:r w:rsidRPr="008D61EE">
              <w:rPr>
                <w:rFonts w:cs="Arial"/>
                <w:color w:val="000000"/>
              </w:rPr>
              <w:t>13</w:t>
            </w:r>
          </w:p>
        </w:tc>
        <w:tc>
          <w:tcPr>
            <w:tcW w:w="1097" w:type="dxa"/>
            <w:shd w:val="clear" w:color="auto" w:fill="auto"/>
            <w:noWrap/>
            <w:vAlign w:val="bottom"/>
          </w:tcPr>
          <w:p w:rsidR="00AC40FC" w:rsidRPr="00F17825" w:rsidRDefault="00AC40FC" w:rsidP="00581946">
            <w:pPr>
              <w:spacing w:after="0"/>
              <w:jc w:val="center"/>
              <w:rPr>
                <w:rFonts w:cs="Arial"/>
                <w:szCs w:val="24"/>
              </w:rPr>
            </w:pPr>
            <w:r>
              <w:rPr>
                <w:rFonts w:cs="Arial"/>
                <w:szCs w:val="24"/>
              </w:rPr>
              <w:t>-</w:t>
            </w:r>
            <w:r w:rsidRPr="00F17825">
              <w:rPr>
                <w:rFonts w:cs="Arial"/>
                <w:szCs w:val="24"/>
              </w:rPr>
              <w:t>1</w:t>
            </w:r>
          </w:p>
        </w:tc>
      </w:tr>
      <w:tr w:rsidR="00AC40FC" w:rsidRPr="00F17825" w:rsidTr="00581946">
        <w:trPr>
          <w:trHeight w:val="300"/>
          <w:jc w:val="center"/>
        </w:trPr>
        <w:tc>
          <w:tcPr>
            <w:tcW w:w="960" w:type="dxa"/>
            <w:shd w:val="clear" w:color="auto" w:fill="auto"/>
            <w:noWrap/>
            <w:vAlign w:val="center"/>
          </w:tcPr>
          <w:p w:rsidR="00AC40FC" w:rsidRPr="00276B92" w:rsidRDefault="00AC40FC" w:rsidP="00581946">
            <w:pPr>
              <w:spacing w:after="0"/>
              <w:jc w:val="center"/>
              <w:rPr>
                <w:rFonts w:cs="Arial"/>
                <w:szCs w:val="24"/>
              </w:rPr>
            </w:pPr>
            <w:r w:rsidRPr="008D61EE">
              <w:rPr>
                <w:rFonts w:cs="Arial"/>
                <w:color w:val="000000"/>
              </w:rPr>
              <w:t>892</w:t>
            </w:r>
          </w:p>
        </w:tc>
        <w:tc>
          <w:tcPr>
            <w:tcW w:w="3506" w:type="dxa"/>
            <w:shd w:val="clear" w:color="auto" w:fill="auto"/>
            <w:noWrap/>
            <w:vAlign w:val="bottom"/>
          </w:tcPr>
          <w:p w:rsidR="00AC40FC" w:rsidRPr="000A5AD3" w:rsidRDefault="00AC40FC" w:rsidP="00581946">
            <w:pPr>
              <w:spacing w:after="0"/>
              <w:jc w:val="center"/>
              <w:rPr>
                <w:rFonts w:cs="Arial"/>
                <w:szCs w:val="24"/>
              </w:rPr>
            </w:pPr>
            <w:r w:rsidRPr="008D61EE">
              <w:rPr>
                <w:rFonts w:cs="Arial"/>
                <w:color w:val="000000"/>
              </w:rPr>
              <w:t>NE Bldg. Services</w:t>
            </w:r>
          </w:p>
        </w:tc>
        <w:tc>
          <w:tcPr>
            <w:tcW w:w="810" w:type="dxa"/>
            <w:shd w:val="clear" w:color="auto" w:fill="auto"/>
            <w:noWrap/>
            <w:vAlign w:val="bottom"/>
          </w:tcPr>
          <w:p w:rsidR="00AC40FC" w:rsidRPr="00276B92" w:rsidRDefault="00AC40FC" w:rsidP="00581946">
            <w:pPr>
              <w:spacing w:after="0"/>
              <w:jc w:val="center"/>
              <w:rPr>
                <w:rFonts w:cs="Arial"/>
                <w:szCs w:val="24"/>
              </w:rPr>
            </w:pPr>
            <w:r w:rsidRPr="008D61EE">
              <w:rPr>
                <w:rFonts w:cs="Arial"/>
                <w:color w:val="000000"/>
              </w:rPr>
              <w:t>10</w:t>
            </w:r>
          </w:p>
        </w:tc>
        <w:tc>
          <w:tcPr>
            <w:tcW w:w="810" w:type="dxa"/>
            <w:shd w:val="clear" w:color="auto" w:fill="auto"/>
            <w:noWrap/>
            <w:vAlign w:val="bottom"/>
          </w:tcPr>
          <w:p w:rsidR="00AC40FC" w:rsidRPr="00276B92" w:rsidRDefault="00AC40FC" w:rsidP="00581946">
            <w:pPr>
              <w:spacing w:after="0"/>
              <w:jc w:val="center"/>
              <w:rPr>
                <w:rFonts w:cs="Arial"/>
                <w:szCs w:val="24"/>
              </w:rPr>
            </w:pPr>
            <w:r w:rsidRPr="008D61EE">
              <w:rPr>
                <w:rFonts w:cs="Arial"/>
                <w:color w:val="000000"/>
              </w:rPr>
              <w:t>9</w:t>
            </w:r>
          </w:p>
        </w:tc>
        <w:tc>
          <w:tcPr>
            <w:tcW w:w="1097" w:type="dxa"/>
            <w:shd w:val="clear" w:color="auto" w:fill="auto"/>
            <w:noWrap/>
            <w:vAlign w:val="bottom"/>
          </w:tcPr>
          <w:p w:rsidR="00AC40FC" w:rsidRPr="00F17825" w:rsidRDefault="00AC40FC" w:rsidP="00581946">
            <w:pPr>
              <w:spacing w:after="0"/>
              <w:jc w:val="center"/>
              <w:rPr>
                <w:rFonts w:cs="Arial"/>
                <w:szCs w:val="24"/>
              </w:rPr>
            </w:pPr>
            <w:r w:rsidRPr="00F17825">
              <w:rPr>
                <w:rFonts w:cs="Arial"/>
                <w:szCs w:val="24"/>
              </w:rPr>
              <w:t>-1</w:t>
            </w:r>
          </w:p>
        </w:tc>
      </w:tr>
      <w:tr w:rsidR="00AC40FC" w:rsidRPr="00F17825" w:rsidTr="00581946">
        <w:trPr>
          <w:trHeight w:val="300"/>
          <w:jc w:val="center"/>
        </w:trPr>
        <w:tc>
          <w:tcPr>
            <w:tcW w:w="960" w:type="dxa"/>
            <w:shd w:val="clear" w:color="auto" w:fill="auto"/>
            <w:noWrap/>
            <w:vAlign w:val="center"/>
            <w:hideMark/>
          </w:tcPr>
          <w:p w:rsidR="00AC40FC" w:rsidRPr="0000580F" w:rsidRDefault="00AC40FC" w:rsidP="00581946">
            <w:pPr>
              <w:spacing w:after="0"/>
              <w:jc w:val="center"/>
              <w:rPr>
                <w:rFonts w:cs="Arial"/>
                <w:szCs w:val="24"/>
              </w:rPr>
            </w:pPr>
            <w:r w:rsidRPr="0000580F">
              <w:rPr>
                <w:rFonts w:cs="Arial"/>
                <w:color w:val="000000"/>
              </w:rPr>
              <w:t>893</w:t>
            </w:r>
          </w:p>
        </w:tc>
        <w:tc>
          <w:tcPr>
            <w:tcW w:w="3506" w:type="dxa"/>
            <w:shd w:val="clear" w:color="auto" w:fill="auto"/>
            <w:noWrap/>
            <w:vAlign w:val="bottom"/>
            <w:hideMark/>
          </w:tcPr>
          <w:p w:rsidR="00AC40FC" w:rsidRPr="0000580F" w:rsidRDefault="00AC40FC" w:rsidP="00581946">
            <w:pPr>
              <w:spacing w:after="0"/>
              <w:jc w:val="center"/>
              <w:rPr>
                <w:rFonts w:cs="Arial"/>
                <w:szCs w:val="24"/>
              </w:rPr>
            </w:pPr>
            <w:r w:rsidRPr="0000580F">
              <w:rPr>
                <w:rFonts w:cs="Arial"/>
                <w:color w:val="000000"/>
              </w:rPr>
              <w:t>General Office Complex</w:t>
            </w:r>
          </w:p>
        </w:tc>
        <w:tc>
          <w:tcPr>
            <w:tcW w:w="810" w:type="dxa"/>
            <w:shd w:val="clear" w:color="auto" w:fill="auto"/>
            <w:noWrap/>
            <w:vAlign w:val="bottom"/>
          </w:tcPr>
          <w:p w:rsidR="00AC40FC" w:rsidRPr="0000580F" w:rsidRDefault="00AC40FC" w:rsidP="00581946">
            <w:pPr>
              <w:spacing w:after="0"/>
              <w:jc w:val="center"/>
              <w:rPr>
                <w:rFonts w:cs="Arial"/>
                <w:szCs w:val="24"/>
              </w:rPr>
            </w:pPr>
            <w:r w:rsidRPr="0000580F">
              <w:rPr>
                <w:rFonts w:cs="Arial"/>
                <w:color w:val="000000"/>
              </w:rPr>
              <w:t>22</w:t>
            </w:r>
          </w:p>
        </w:tc>
        <w:tc>
          <w:tcPr>
            <w:tcW w:w="810" w:type="dxa"/>
            <w:shd w:val="clear" w:color="auto" w:fill="auto"/>
            <w:noWrap/>
            <w:vAlign w:val="bottom"/>
            <w:hideMark/>
          </w:tcPr>
          <w:p w:rsidR="00AC40FC" w:rsidRPr="0000580F" w:rsidRDefault="00AC40FC" w:rsidP="00581946">
            <w:pPr>
              <w:spacing w:after="0"/>
              <w:jc w:val="center"/>
              <w:rPr>
                <w:rFonts w:cs="Arial"/>
                <w:szCs w:val="24"/>
              </w:rPr>
            </w:pPr>
            <w:r w:rsidRPr="0000580F">
              <w:rPr>
                <w:rFonts w:cs="Arial"/>
                <w:color w:val="000000"/>
              </w:rPr>
              <w:t>27</w:t>
            </w:r>
          </w:p>
        </w:tc>
        <w:tc>
          <w:tcPr>
            <w:tcW w:w="1097" w:type="dxa"/>
            <w:shd w:val="clear" w:color="auto" w:fill="auto"/>
            <w:noWrap/>
            <w:vAlign w:val="bottom"/>
            <w:hideMark/>
          </w:tcPr>
          <w:p w:rsidR="00AC40FC" w:rsidRPr="0000580F" w:rsidRDefault="00AC40FC" w:rsidP="00581946">
            <w:pPr>
              <w:spacing w:after="0"/>
              <w:jc w:val="center"/>
              <w:rPr>
                <w:rFonts w:cs="Arial"/>
                <w:szCs w:val="24"/>
              </w:rPr>
            </w:pPr>
            <w:r w:rsidRPr="0000580F">
              <w:rPr>
                <w:rFonts w:cs="Arial"/>
                <w:szCs w:val="24"/>
              </w:rPr>
              <w:t>+5</w:t>
            </w:r>
          </w:p>
        </w:tc>
      </w:tr>
      <w:tr w:rsidR="00AC40FC" w:rsidRPr="00F17825" w:rsidTr="00581946">
        <w:trPr>
          <w:trHeight w:val="300"/>
          <w:jc w:val="center"/>
        </w:trPr>
        <w:tc>
          <w:tcPr>
            <w:tcW w:w="960" w:type="dxa"/>
            <w:shd w:val="clear" w:color="auto" w:fill="auto"/>
            <w:noWrap/>
            <w:vAlign w:val="center"/>
            <w:hideMark/>
          </w:tcPr>
          <w:p w:rsidR="00AC40FC" w:rsidRPr="00276B92" w:rsidRDefault="00AC40FC" w:rsidP="00581946">
            <w:pPr>
              <w:spacing w:after="0"/>
              <w:jc w:val="center"/>
              <w:rPr>
                <w:rFonts w:cs="Arial"/>
                <w:szCs w:val="24"/>
              </w:rPr>
            </w:pPr>
            <w:r w:rsidRPr="008D61EE">
              <w:rPr>
                <w:rFonts w:cs="Arial"/>
                <w:color w:val="000000"/>
              </w:rPr>
              <w:t>894</w:t>
            </w:r>
          </w:p>
        </w:tc>
        <w:tc>
          <w:tcPr>
            <w:tcW w:w="3506" w:type="dxa"/>
            <w:shd w:val="clear" w:color="auto" w:fill="auto"/>
            <w:noWrap/>
            <w:vAlign w:val="bottom"/>
            <w:hideMark/>
          </w:tcPr>
          <w:p w:rsidR="00AC40FC" w:rsidRPr="000A5AD3" w:rsidRDefault="00AC40FC" w:rsidP="00581946">
            <w:pPr>
              <w:spacing w:after="0"/>
              <w:jc w:val="center"/>
              <w:rPr>
                <w:rFonts w:cs="Arial"/>
                <w:szCs w:val="24"/>
              </w:rPr>
            </w:pPr>
            <w:r w:rsidRPr="008D61EE">
              <w:rPr>
                <w:rFonts w:cs="Arial"/>
                <w:color w:val="000000"/>
              </w:rPr>
              <w:t>Susq</w:t>
            </w:r>
            <w:r>
              <w:rPr>
                <w:rFonts w:cs="Arial"/>
                <w:color w:val="000000"/>
              </w:rPr>
              <w:t>uehanna</w:t>
            </w:r>
            <w:r w:rsidRPr="008D61EE">
              <w:rPr>
                <w:rFonts w:cs="Arial"/>
                <w:color w:val="000000"/>
              </w:rPr>
              <w:t xml:space="preserve"> Bldg. Services</w:t>
            </w:r>
          </w:p>
        </w:tc>
        <w:tc>
          <w:tcPr>
            <w:tcW w:w="810" w:type="dxa"/>
            <w:shd w:val="clear" w:color="auto" w:fill="auto"/>
            <w:noWrap/>
            <w:vAlign w:val="bottom"/>
          </w:tcPr>
          <w:p w:rsidR="00AC40FC" w:rsidRPr="00276B92" w:rsidRDefault="00AC40FC" w:rsidP="00581946">
            <w:pPr>
              <w:spacing w:after="0"/>
              <w:jc w:val="center"/>
              <w:rPr>
                <w:rFonts w:cs="Arial"/>
                <w:szCs w:val="24"/>
              </w:rPr>
            </w:pPr>
            <w:r w:rsidRPr="008D61EE">
              <w:rPr>
                <w:rFonts w:cs="Arial"/>
                <w:color w:val="000000"/>
              </w:rPr>
              <w:t>9</w:t>
            </w:r>
          </w:p>
        </w:tc>
        <w:tc>
          <w:tcPr>
            <w:tcW w:w="810" w:type="dxa"/>
            <w:shd w:val="clear" w:color="auto" w:fill="auto"/>
            <w:noWrap/>
            <w:vAlign w:val="bottom"/>
            <w:hideMark/>
          </w:tcPr>
          <w:p w:rsidR="00AC40FC" w:rsidRPr="00276B92" w:rsidRDefault="00AC40FC" w:rsidP="00581946">
            <w:pPr>
              <w:spacing w:after="0"/>
              <w:jc w:val="center"/>
              <w:rPr>
                <w:rFonts w:cs="Arial"/>
                <w:szCs w:val="24"/>
              </w:rPr>
            </w:pPr>
            <w:r w:rsidRPr="008D61EE">
              <w:rPr>
                <w:rFonts w:cs="Arial"/>
                <w:color w:val="000000"/>
              </w:rPr>
              <w:t>9</w:t>
            </w:r>
          </w:p>
        </w:tc>
        <w:tc>
          <w:tcPr>
            <w:tcW w:w="1097" w:type="dxa"/>
            <w:shd w:val="clear" w:color="auto" w:fill="auto"/>
            <w:noWrap/>
            <w:vAlign w:val="bottom"/>
            <w:hideMark/>
          </w:tcPr>
          <w:p w:rsidR="00AC40FC" w:rsidRPr="00F17825" w:rsidRDefault="00AC40FC" w:rsidP="00581946">
            <w:pPr>
              <w:spacing w:after="0"/>
              <w:jc w:val="center"/>
              <w:rPr>
                <w:rFonts w:cs="Arial"/>
                <w:szCs w:val="24"/>
              </w:rPr>
            </w:pPr>
            <w:r>
              <w:rPr>
                <w:rFonts w:cs="Arial"/>
                <w:szCs w:val="24"/>
              </w:rPr>
              <w:t>0</w:t>
            </w:r>
          </w:p>
        </w:tc>
      </w:tr>
      <w:tr w:rsidR="00AC40FC" w:rsidRPr="00F17825" w:rsidTr="00581946">
        <w:trPr>
          <w:trHeight w:val="300"/>
          <w:jc w:val="center"/>
        </w:trPr>
        <w:tc>
          <w:tcPr>
            <w:tcW w:w="960" w:type="dxa"/>
            <w:shd w:val="clear" w:color="auto" w:fill="auto"/>
            <w:noWrap/>
            <w:vAlign w:val="center"/>
          </w:tcPr>
          <w:p w:rsidR="00AC40FC" w:rsidRPr="00276B92" w:rsidRDefault="00AC40FC" w:rsidP="00581946">
            <w:pPr>
              <w:spacing w:after="0"/>
              <w:jc w:val="center"/>
              <w:rPr>
                <w:rFonts w:cs="Arial"/>
                <w:color w:val="000000"/>
              </w:rPr>
            </w:pPr>
            <w:r w:rsidRPr="008D61EE">
              <w:rPr>
                <w:rFonts w:cs="Arial"/>
                <w:color w:val="000000"/>
              </w:rPr>
              <w:t>895</w:t>
            </w:r>
          </w:p>
        </w:tc>
        <w:tc>
          <w:tcPr>
            <w:tcW w:w="3506" w:type="dxa"/>
            <w:shd w:val="clear" w:color="auto" w:fill="auto"/>
            <w:noWrap/>
            <w:vAlign w:val="bottom"/>
          </w:tcPr>
          <w:p w:rsidR="00AC40FC" w:rsidRPr="000A5AD3" w:rsidRDefault="00AC40FC" w:rsidP="00581946">
            <w:pPr>
              <w:spacing w:after="0"/>
              <w:jc w:val="center"/>
              <w:rPr>
                <w:rFonts w:cs="Arial"/>
                <w:color w:val="000000"/>
              </w:rPr>
            </w:pPr>
            <w:r w:rsidRPr="008D61EE">
              <w:rPr>
                <w:rFonts w:cs="Arial"/>
                <w:color w:val="000000"/>
              </w:rPr>
              <w:t>Harrisburg Bldg. Services</w:t>
            </w:r>
          </w:p>
        </w:tc>
        <w:tc>
          <w:tcPr>
            <w:tcW w:w="810" w:type="dxa"/>
            <w:shd w:val="clear" w:color="auto" w:fill="auto"/>
            <w:noWrap/>
            <w:vAlign w:val="bottom"/>
          </w:tcPr>
          <w:p w:rsidR="00AC40FC" w:rsidRPr="00276B92" w:rsidRDefault="00AC40FC" w:rsidP="00581946">
            <w:pPr>
              <w:spacing w:after="0"/>
              <w:jc w:val="center"/>
              <w:rPr>
                <w:rFonts w:cs="Arial"/>
                <w:szCs w:val="24"/>
              </w:rPr>
            </w:pPr>
            <w:r w:rsidRPr="008D61EE">
              <w:rPr>
                <w:rFonts w:cs="Arial"/>
                <w:color w:val="000000"/>
              </w:rPr>
              <w:t>8</w:t>
            </w:r>
          </w:p>
        </w:tc>
        <w:tc>
          <w:tcPr>
            <w:tcW w:w="810" w:type="dxa"/>
            <w:shd w:val="clear" w:color="auto" w:fill="auto"/>
            <w:noWrap/>
            <w:vAlign w:val="bottom"/>
          </w:tcPr>
          <w:p w:rsidR="00AC40FC" w:rsidRPr="00276B92" w:rsidRDefault="00AC40FC" w:rsidP="00581946">
            <w:pPr>
              <w:spacing w:after="0"/>
              <w:jc w:val="center"/>
              <w:rPr>
                <w:rFonts w:cs="Arial"/>
                <w:color w:val="000000"/>
              </w:rPr>
            </w:pPr>
            <w:r w:rsidRPr="008D61EE">
              <w:rPr>
                <w:rFonts w:cs="Arial"/>
                <w:color w:val="000000"/>
              </w:rPr>
              <w:t>8</w:t>
            </w:r>
          </w:p>
        </w:tc>
        <w:tc>
          <w:tcPr>
            <w:tcW w:w="1097" w:type="dxa"/>
            <w:shd w:val="clear" w:color="auto" w:fill="auto"/>
            <w:noWrap/>
            <w:vAlign w:val="bottom"/>
          </w:tcPr>
          <w:p w:rsidR="00AC40FC" w:rsidRPr="00F17825" w:rsidRDefault="00AC40FC" w:rsidP="00581946">
            <w:pPr>
              <w:spacing w:after="0"/>
              <w:jc w:val="center"/>
              <w:rPr>
                <w:rFonts w:cs="Arial"/>
                <w:szCs w:val="24"/>
              </w:rPr>
            </w:pPr>
            <w:r>
              <w:rPr>
                <w:rFonts w:cs="Arial"/>
                <w:szCs w:val="24"/>
              </w:rPr>
              <w:t>0</w:t>
            </w:r>
          </w:p>
        </w:tc>
      </w:tr>
      <w:tr w:rsidR="00AC40FC" w:rsidRPr="00F17825" w:rsidTr="00581946">
        <w:trPr>
          <w:trHeight w:val="300"/>
          <w:jc w:val="center"/>
        </w:trPr>
        <w:tc>
          <w:tcPr>
            <w:tcW w:w="960" w:type="dxa"/>
            <w:shd w:val="clear" w:color="auto" w:fill="auto"/>
            <w:noWrap/>
            <w:vAlign w:val="center"/>
          </w:tcPr>
          <w:p w:rsidR="00AC40FC" w:rsidRPr="00276B92" w:rsidRDefault="00AC40FC" w:rsidP="00581946">
            <w:pPr>
              <w:spacing w:after="0"/>
              <w:jc w:val="center"/>
              <w:rPr>
                <w:rFonts w:cs="Arial"/>
                <w:color w:val="000000"/>
              </w:rPr>
            </w:pPr>
            <w:r w:rsidRPr="008D61EE">
              <w:rPr>
                <w:rFonts w:cs="Arial"/>
                <w:color w:val="000000"/>
              </w:rPr>
              <w:t>896</w:t>
            </w:r>
          </w:p>
        </w:tc>
        <w:tc>
          <w:tcPr>
            <w:tcW w:w="3506" w:type="dxa"/>
            <w:shd w:val="clear" w:color="auto" w:fill="auto"/>
            <w:noWrap/>
            <w:vAlign w:val="bottom"/>
          </w:tcPr>
          <w:p w:rsidR="00AC40FC" w:rsidRPr="000A5AD3" w:rsidRDefault="00AC40FC" w:rsidP="00581946">
            <w:pPr>
              <w:spacing w:after="0"/>
              <w:jc w:val="center"/>
              <w:rPr>
                <w:rFonts w:cs="Arial"/>
                <w:color w:val="000000"/>
              </w:rPr>
            </w:pPr>
            <w:r w:rsidRPr="008D61EE">
              <w:rPr>
                <w:rFonts w:cs="Arial"/>
                <w:color w:val="000000"/>
              </w:rPr>
              <w:t>Lanc</w:t>
            </w:r>
            <w:r>
              <w:rPr>
                <w:rFonts w:cs="Arial"/>
                <w:color w:val="000000"/>
              </w:rPr>
              <w:t>aster</w:t>
            </w:r>
            <w:r w:rsidRPr="008D61EE">
              <w:rPr>
                <w:rFonts w:cs="Arial"/>
                <w:color w:val="000000"/>
              </w:rPr>
              <w:t xml:space="preserve"> Bldg. Services</w:t>
            </w:r>
          </w:p>
        </w:tc>
        <w:tc>
          <w:tcPr>
            <w:tcW w:w="810" w:type="dxa"/>
            <w:shd w:val="clear" w:color="auto" w:fill="auto"/>
            <w:noWrap/>
            <w:vAlign w:val="bottom"/>
          </w:tcPr>
          <w:p w:rsidR="00AC40FC" w:rsidRPr="00276B92" w:rsidRDefault="00AC40FC" w:rsidP="00581946">
            <w:pPr>
              <w:spacing w:after="0"/>
              <w:jc w:val="center"/>
              <w:rPr>
                <w:rFonts w:cs="Arial"/>
                <w:szCs w:val="24"/>
              </w:rPr>
            </w:pPr>
            <w:r w:rsidRPr="008D61EE">
              <w:rPr>
                <w:rFonts w:cs="Arial"/>
                <w:color w:val="000000"/>
              </w:rPr>
              <w:t>8</w:t>
            </w:r>
          </w:p>
        </w:tc>
        <w:tc>
          <w:tcPr>
            <w:tcW w:w="810" w:type="dxa"/>
            <w:shd w:val="clear" w:color="auto" w:fill="auto"/>
            <w:noWrap/>
            <w:vAlign w:val="bottom"/>
          </w:tcPr>
          <w:p w:rsidR="00AC40FC" w:rsidRPr="00276B92" w:rsidRDefault="00AC40FC" w:rsidP="00581946">
            <w:pPr>
              <w:spacing w:after="0"/>
              <w:jc w:val="center"/>
              <w:rPr>
                <w:rFonts w:cs="Arial"/>
                <w:color w:val="000000"/>
              </w:rPr>
            </w:pPr>
            <w:r w:rsidRPr="008D61EE">
              <w:rPr>
                <w:rFonts w:cs="Arial"/>
                <w:color w:val="000000"/>
              </w:rPr>
              <w:t>8</w:t>
            </w:r>
          </w:p>
        </w:tc>
        <w:tc>
          <w:tcPr>
            <w:tcW w:w="1097" w:type="dxa"/>
            <w:shd w:val="clear" w:color="auto" w:fill="auto"/>
            <w:noWrap/>
            <w:vAlign w:val="bottom"/>
          </w:tcPr>
          <w:p w:rsidR="00AC40FC" w:rsidRPr="00F17825" w:rsidRDefault="00AC40FC" w:rsidP="00581946">
            <w:pPr>
              <w:spacing w:after="0"/>
              <w:jc w:val="center"/>
              <w:rPr>
                <w:rFonts w:cs="Arial"/>
                <w:szCs w:val="24"/>
              </w:rPr>
            </w:pPr>
            <w:r>
              <w:rPr>
                <w:rFonts w:cs="Arial"/>
                <w:szCs w:val="24"/>
              </w:rPr>
              <w:t>0</w:t>
            </w:r>
          </w:p>
        </w:tc>
      </w:tr>
      <w:tr w:rsidR="00AC40FC" w:rsidRPr="00F17825" w:rsidTr="00581946">
        <w:trPr>
          <w:trHeight w:val="300"/>
          <w:jc w:val="center"/>
        </w:trPr>
        <w:tc>
          <w:tcPr>
            <w:tcW w:w="960" w:type="dxa"/>
            <w:shd w:val="clear" w:color="auto" w:fill="auto"/>
            <w:noWrap/>
            <w:vAlign w:val="center"/>
          </w:tcPr>
          <w:p w:rsidR="00AC40FC" w:rsidRPr="00276B92" w:rsidRDefault="00AC40FC" w:rsidP="00581946">
            <w:pPr>
              <w:spacing w:after="0"/>
              <w:jc w:val="center"/>
              <w:rPr>
                <w:rFonts w:cs="Arial"/>
                <w:color w:val="000000"/>
              </w:rPr>
            </w:pPr>
            <w:r w:rsidRPr="008D61EE">
              <w:rPr>
                <w:rFonts w:cs="Arial"/>
                <w:color w:val="000000"/>
              </w:rPr>
              <w:t>897</w:t>
            </w:r>
          </w:p>
        </w:tc>
        <w:tc>
          <w:tcPr>
            <w:tcW w:w="3506" w:type="dxa"/>
            <w:shd w:val="clear" w:color="auto" w:fill="auto"/>
            <w:noWrap/>
            <w:vAlign w:val="bottom"/>
          </w:tcPr>
          <w:p w:rsidR="00AC40FC" w:rsidRPr="000A5AD3" w:rsidRDefault="00AC40FC" w:rsidP="00581946">
            <w:pPr>
              <w:spacing w:after="0"/>
              <w:jc w:val="center"/>
              <w:rPr>
                <w:rFonts w:cs="Arial"/>
                <w:color w:val="000000"/>
              </w:rPr>
            </w:pPr>
            <w:r w:rsidRPr="008D61EE">
              <w:rPr>
                <w:rFonts w:cs="Arial"/>
                <w:color w:val="000000"/>
              </w:rPr>
              <w:t>SFC &amp; Schuy Bldg. Services</w:t>
            </w:r>
          </w:p>
        </w:tc>
        <w:tc>
          <w:tcPr>
            <w:tcW w:w="810" w:type="dxa"/>
            <w:shd w:val="clear" w:color="auto" w:fill="auto"/>
            <w:noWrap/>
            <w:vAlign w:val="bottom"/>
          </w:tcPr>
          <w:p w:rsidR="00AC40FC" w:rsidRPr="00276B92" w:rsidRDefault="00AC40FC" w:rsidP="00581946">
            <w:pPr>
              <w:spacing w:after="0"/>
              <w:jc w:val="center"/>
              <w:rPr>
                <w:rFonts w:cs="Arial"/>
                <w:szCs w:val="24"/>
              </w:rPr>
            </w:pPr>
            <w:r w:rsidRPr="008D61EE">
              <w:rPr>
                <w:rFonts w:cs="Arial"/>
                <w:color w:val="000000"/>
              </w:rPr>
              <w:t>13</w:t>
            </w:r>
          </w:p>
        </w:tc>
        <w:tc>
          <w:tcPr>
            <w:tcW w:w="810" w:type="dxa"/>
            <w:shd w:val="clear" w:color="auto" w:fill="auto"/>
            <w:noWrap/>
            <w:vAlign w:val="bottom"/>
          </w:tcPr>
          <w:p w:rsidR="00AC40FC" w:rsidRPr="00276B92" w:rsidRDefault="00AC40FC" w:rsidP="00581946">
            <w:pPr>
              <w:spacing w:after="0"/>
              <w:jc w:val="center"/>
              <w:rPr>
                <w:rFonts w:cs="Arial"/>
                <w:color w:val="000000"/>
              </w:rPr>
            </w:pPr>
            <w:r w:rsidRPr="008D61EE">
              <w:rPr>
                <w:rFonts w:cs="Arial"/>
                <w:color w:val="000000"/>
              </w:rPr>
              <w:t>13</w:t>
            </w:r>
          </w:p>
        </w:tc>
        <w:tc>
          <w:tcPr>
            <w:tcW w:w="1097" w:type="dxa"/>
            <w:shd w:val="clear" w:color="auto" w:fill="auto"/>
            <w:noWrap/>
            <w:vAlign w:val="bottom"/>
          </w:tcPr>
          <w:p w:rsidR="00AC40FC" w:rsidRPr="00F17825" w:rsidRDefault="00AC40FC" w:rsidP="00581946">
            <w:pPr>
              <w:spacing w:after="0"/>
              <w:jc w:val="center"/>
              <w:rPr>
                <w:rFonts w:cs="Arial"/>
                <w:szCs w:val="24"/>
              </w:rPr>
            </w:pPr>
            <w:r>
              <w:rPr>
                <w:rFonts w:cs="Arial"/>
                <w:szCs w:val="24"/>
              </w:rPr>
              <w:t>0</w:t>
            </w:r>
          </w:p>
        </w:tc>
      </w:tr>
      <w:tr w:rsidR="00AC40FC" w:rsidRPr="00F17825" w:rsidTr="00581946">
        <w:trPr>
          <w:trHeight w:val="300"/>
          <w:jc w:val="center"/>
        </w:trPr>
        <w:tc>
          <w:tcPr>
            <w:tcW w:w="960" w:type="dxa"/>
            <w:shd w:val="clear" w:color="auto" w:fill="auto"/>
            <w:noWrap/>
            <w:vAlign w:val="center"/>
          </w:tcPr>
          <w:p w:rsidR="00AC40FC" w:rsidRPr="00276B92" w:rsidRDefault="00AC40FC" w:rsidP="00581946">
            <w:pPr>
              <w:spacing w:after="0"/>
              <w:jc w:val="center"/>
              <w:rPr>
                <w:rFonts w:cs="Arial"/>
                <w:color w:val="000000"/>
              </w:rPr>
            </w:pPr>
            <w:r w:rsidRPr="008D61EE">
              <w:rPr>
                <w:rFonts w:cs="Arial"/>
                <w:color w:val="000000"/>
              </w:rPr>
              <w:t>898</w:t>
            </w:r>
          </w:p>
        </w:tc>
        <w:tc>
          <w:tcPr>
            <w:tcW w:w="3506" w:type="dxa"/>
            <w:shd w:val="clear" w:color="auto" w:fill="auto"/>
            <w:noWrap/>
            <w:vAlign w:val="bottom"/>
          </w:tcPr>
          <w:p w:rsidR="00AC40FC" w:rsidRPr="000A5AD3" w:rsidRDefault="00AC40FC" w:rsidP="00581946">
            <w:pPr>
              <w:spacing w:after="0"/>
              <w:jc w:val="center"/>
              <w:rPr>
                <w:rFonts w:cs="Arial"/>
                <w:color w:val="000000"/>
              </w:rPr>
            </w:pPr>
            <w:r w:rsidRPr="008D61EE">
              <w:rPr>
                <w:rFonts w:cs="Arial"/>
                <w:color w:val="000000"/>
              </w:rPr>
              <w:t xml:space="preserve">Design </w:t>
            </w:r>
            <w:r>
              <w:rPr>
                <w:rFonts w:cs="Arial"/>
                <w:color w:val="000000"/>
              </w:rPr>
              <w:t>and</w:t>
            </w:r>
            <w:r w:rsidRPr="008D61EE">
              <w:rPr>
                <w:rFonts w:cs="Arial"/>
                <w:color w:val="000000"/>
              </w:rPr>
              <w:t xml:space="preserve"> Construction</w:t>
            </w:r>
          </w:p>
        </w:tc>
        <w:tc>
          <w:tcPr>
            <w:tcW w:w="810" w:type="dxa"/>
            <w:shd w:val="clear" w:color="auto" w:fill="auto"/>
            <w:noWrap/>
            <w:vAlign w:val="bottom"/>
          </w:tcPr>
          <w:p w:rsidR="00AC40FC" w:rsidRPr="00276B92" w:rsidRDefault="00AC40FC" w:rsidP="00581946">
            <w:pPr>
              <w:spacing w:after="0"/>
              <w:jc w:val="center"/>
              <w:rPr>
                <w:rFonts w:cs="Arial"/>
                <w:szCs w:val="24"/>
              </w:rPr>
            </w:pPr>
            <w:r w:rsidRPr="008D61EE">
              <w:rPr>
                <w:rFonts w:cs="Arial"/>
                <w:color w:val="000000"/>
              </w:rPr>
              <w:t>9</w:t>
            </w:r>
          </w:p>
        </w:tc>
        <w:tc>
          <w:tcPr>
            <w:tcW w:w="810" w:type="dxa"/>
            <w:shd w:val="clear" w:color="auto" w:fill="auto"/>
            <w:noWrap/>
            <w:vAlign w:val="bottom"/>
          </w:tcPr>
          <w:p w:rsidR="00AC40FC" w:rsidRPr="00276B92" w:rsidRDefault="00AC40FC" w:rsidP="00581946">
            <w:pPr>
              <w:spacing w:after="0"/>
              <w:jc w:val="center"/>
              <w:rPr>
                <w:rFonts w:cs="Arial"/>
                <w:color w:val="000000"/>
              </w:rPr>
            </w:pPr>
            <w:r w:rsidRPr="008D61EE">
              <w:rPr>
                <w:rFonts w:cs="Arial"/>
                <w:color w:val="000000"/>
              </w:rPr>
              <w:t>9</w:t>
            </w:r>
          </w:p>
        </w:tc>
        <w:tc>
          <w:tcPr>
            <w:tcW w:w="1097" w:type="dxa"/>
            <w:shd w:val="clear" w:color="auto" w:fill="auto"/>
            <w:noWrap/>
            <w:vAlign w:val="bottom"/>
          </w:tcPr>
          <w:p w:rsidR="00AC40FC" w:rsidRPr="00F17825" w:rsidRDefault="00AC40FC" w:rsidP="00581946">
            <w:pPr>
              <w:spacing w:after="0"/>
              <w:jc w:val="center"/>
              <w:rPr>
                <w:rFonts w:cs="Arial"/>
                <w:szCs w:val="24"/>
              </w:rPr>
            </w:pPr>
            <w:r>
              <w:rPr>
                <w:rFonts w:cs="Arial"/>
                <w:szCs w:val="24"/>
              </w:rPr>
              <w:t>0</w:t>
            </w:r>
          </w:p>
        </w:tc>
      </w:tr>
      <w:tr w:rsidR="00AC40FC" w:rsidRPr="00F17825" w:rsidTr="00581946">
        <w:trPr>
          <w:trHeight w:val="300"/>
          <w:jc w:val="center"/>
        </w:trPr>
        <w:tc>
          <w:tcPr>
            <w:tcW w:w="960" w:type="dxa"/>
            <w:shd w:val="clear" w:color="auto" w:fill="auto"/>
            <w:noWrap/>
            <w:hideMark/>
          </w:tcPr>
          <w:p w:rsidR="00AC40FC" w:rsidRPr="00F17825" w:rsidRDefault="00AC40FC" w:rsidP="00581946">
            <w:pPr>
              <w:spacing w:after="0"/>
              <w:rPr>
                <w:rFonts w:cs="Arial"/>
                <w:szCs w:val="24"/>
              </w:rPr>
            </w:pPr>
          </w:p>
        </w:tc>
        <w:tc>
          <w:tcPr>
            <w:tcW w:w="3506" w:type="dxa"/>
            <w:shd w:val="clear" w:color="auto" w:fill="auto"/>
            <w:noWrap/>
            <w:vAlign w:val="center"/>
            <w:hideMark/>
          </w:tcPr>
          <w:p w:rsidR="00AC40FC" w:rsidRPr="00F17825" w:rsidRDefault="00AC40FC" w:rsidP="00581946">
            <w:pPr>
              <w:spacing w:after="0"/>
              <w:jc w:val="center"/>
              <w:rPr>
                <w:rFonts w:cs="Arial"/>
                <w:b/>
                <w:szCs w:val="24"/>
              </w:rPr>
            </w:pPr>
            <w:r w:rsidRPr="00F17825">
              <w:rPr>
                <w:rFonts w:cs="Arial"/>
                <w:b/>
                <w:szCs w:val="24"/>
              </w:rPr>
              <w:t>T</w:t>
            </w:r>
            <w:r>
              <w:rPr>
                <w:rFonts w:cs="Arial"/>
                <w:b/>
                <w:szCs w:val="24"/>
              </w:rPr>
              <w:t>otals</w:t>
            </w:r>
          </w:p>
        </w:tc>
        <w:tc>
          <w:tcPr>
            <w:tcW w:w="810" w:type="dxa"/>
            <w:shd w:val="clear" w:color="auto" w:fill="auto"/>
            <w:noWrap/>
            <w:vAlign w:val="bottom"/>
          </w:tcPr>
          <w:p w:rsidR="00AC40FC" w:rsidRPr="00276B92" w:rsidRDefault="00AC40FC" w:rsidP="00581946">
            <w:pPr>
              <w:spacing w:after="0"/>
              <w:jc w:val="center"/>
              <w:rPr>
                <w:rFonts w:cs="Arial"/>
                <w:b/>
                <w:szCs w:val="24"/>
              </w:rPr>
            </w:pPr>
            <w:r w:rsidRPr="008D61EE">
              <w:rPr>
                <w:rFonts w:cs="Arial"/>
                <w:b/>
                <w:color w:val="000000"/>
              </w:rPr>
              <w:t>107</w:t>
            </w:r>
          </w:p>
        </w:tc>
        <w:tc>
          <w:tcPr>
            <w:tcW w:w="810" w:type="dxa"/>
            <w:shd w:val="clear" w:color="auto" w:fill="auto"/>
            <w:noWrap/>
            <w:vAlign w:val="bottom"/>
          </w:tcPr>
          <w:p w:rsidR="00AC40FC" w:rsidRPr="00276B92" w:rsidRDefault="00AC40FC" w:rsidP="00581946">
            <w:pPr>
              <w:spacing w:after="0"/>
              <w:jc w:val="center"/>
              <w:rPr>
                <w:rFonts w:cs="Arial"/>
                <w:b/>
                <w:szCs w:val="24"/>
              </w:rPr>
            </w:pPr>
            <w:r w:rsidRPr="008D61EE">
              <w:rPr>
                <w:rFonts w:cs="Arial"/>
                <w:b/>
                <w:color w:val="000000"/>
              </w:rPr>
              <w:t>99</w:t>
            </w:r>
          </w:p>
        </w:tc>
        <w:tc>
          <w:tcPr>
            <w:tcW w:w="1097" w:type="dxa"/>
            <w:shd w:val="clear" w:color="auto" w:fill="auto"/>
            <w:noWrap/>
            <w:vAlign w:val="bottom"/>
          </w:tcPr>
          <w:p w:rsidR="00AC40FC" w:rsidRPr="00F17825" w:rsidRDefault="00AC40FC" w:rsidP="00581946">
            <w:pPr>
              <w:spacing w:after="0"/>
              <w:jc w:val="center"/>
              <w:rPr>
                <w:rFonts w:cs="Arial"/>
                <w:b/>
                <w:szCs w:val="24"/>
              </w:rPr>
            </w:pPr>
            <w:r w:rsidRPr="00F17825">
              <w:rPr>
                <w:rFonts w:cs="Arial"/>
                <w:b/>
                <w:szCs w:val="24"/>
              </w:rPr>
              <w:t>-</w:t>
            </w:r>
            <w:r>
              <w:rPr>
                <w:rFonts w:cs="Arial"/>
                <w:b/>
                <w:szCs w:val="24"/>
              </w:rPr>
              <w:t>8</w:t>
            </w:r>
          </w:p>
        </w:tc>
      </w:tr>
      <w:tr w:rsidR="00AC40FC" w:rsidRPr="00F17825" w:rsidTr="00581946">
        <w:trPr>
          <w:trHeight w:val="300"/>
          <w:jc w:val="center"/>
        </w:trPr>
        <w:tc>
          <w:tcPr>
            <w:tcW w:w="7183" w:type="dxa"/>
            <w:gridSpan w:val="5"/>
            <w:shd w:val="clear" w:color="auto" w:fill="auto"/>
            <w:noWrap/>
            <w:vAlign w:val="center"/>
          </w:tcPr>
          <w:p w:rsidR="00AC40FC" w:rsidRPr="00F17825" w:rsidRDefault="00AC40FC" w:rsidP="00581946">
            <w:pPr>
              <w:spacing w:after="0"/>
              <w:rPr>
                <w:rFonts w:cs="Arial"/>
                <w:bCs/>
                <w:szCs w:val="24"/>
              </w:rPr>
            </w:pPr>
            <w:r w:rsidRPr="00F17825">
              <w:rPr>
                <w:rFonts w:cs="Arial"/>
                <w:bCs/>
                <w:szCs w:val="24"/>
              </w:rPr>
              <w:t xml:space="preserve">Sources: </w:t>
            </w:r>
            <w:r w:rsidRPr="002A37C6">
              <w:rPr>
                <w:rFonts w:cs="Arial"/>
                <w:bCs/>
                <w:szCs w:val="24"/>
              </w:rPr>
              <w:t>DN 01-071;</w:t>
            </w:r>
            <w:r w:rsidRPr="00F17825">
              <w:rPr>
                <w:rFonts w:cs="Arial"/>
                <w:bCs/>
                <w:szCs w:val="24"/>
              </w:rPr>
              <w:t xml:space="preserve"> </w:t>
            </w:r>
            <w:r>
              <w:rPr>
                <w:rFonts w:cs="Arial"/>
                <w:bCs/>
                <w:szCs w:val="24"/>
              </w:rPr>
              <w:t>DN 18-001-C</w:t>
            </w:r>
          </w:p>
        </w:tc>
      </w:tr>
    </w:tbl>
    <w:p w:rsidR="00AC40FC" w:rsidRDefault="00AC40FC" w:rsidP="00581946">
      <w:pPr>
        <w:pStyle w:val="Normal-aftertable"/>
        <w:rPr>
          <w:rFonts w:cs="Arial"/>
          <w:szCs w:val="24"/>
        </w:rPr>
      </w:pPr>
      <w:r w:rsidRPr="00BA3B18">
        <w:t>T</w:t>
      </w:r>
      <w:r w:rsidRPr="00BA3B18">
        <w:rPr>
          <w:rFonts w:cs="Arial"/>
          <w:szCs w:val="24"/>
        </w:rPr>
        <w:t>he</w:t>
      </w:r>
      <w:r>
        <w:rPr>
          <w:rFonts w:cs="Arial"/>
          <w:szCs w:val="24"/>
        </w:rPr>
        <w:t xml:space="preserve"> number of Facilities Management staff decreased in 2015 by 7.5%, from 107 to 99.  </w:t>
      </w:r>
    </w:p>
    <w:p w:rsidR="00AC40FC" w:rsidRDefault="00AC40FC" w:rsidP="00581946">
      <w:r>
        <w:t>A facilities asset management system was implemented in 2015 that enabled automated scheduling and work tracking</w:t>
      </w:r>
      <w:r w:rsidRPr="006427B9">
        <w:t>.  As a result, approximately eight management and supervisory positions were eliminated in Facilities Management</w:t>
      </w:r>
      <w:r>
        <w:t>.  An additional five administrative</w:t>
      </w:r>
      <w:r w:rsidRPr="006427B9">
        <w:t xml:space="preserve"> and analyst positions were reclassified as Logistics Workers in 2015 to manage office supply warehousing and inventory control in SRC 893.</w:t>
      </w:r>
    </w:p>
    <w:p w:rsidR="00AC40FC" w:rsidRDefault="00AC40FC" w:rsidP="00581946">
      <w:pPr>
        <w:rPr>
          <w:rFonts w:cs="Arial"/>
          <w:szCs w:val="24"/>
        </w:rPr>
      </w:pPr>
      <w:r>
        <w:rPr>
          <w:rFonts w:cs="Arial"/>
          <w:szCs w:val="24"/>
        </w:rPr>
        <w:t>Large construction jobs are contracted out along with most janitorial work, snow removal, and landscaping maintenance.  Specialized maintenance on elevators and HVAC systems is also contracted out.</w:t>
      </w:r>
    </w:p>
    <w:p w:rsidR="00AC40FC" w:rsidRDefault="00AC40FC" w:rsidP="00581946">
      <w:pPr>
        <w:rPr>
          <w:rFonts w:cs="Arial"/>
          <w:szCs w:val="24"/>
        </w:rPr>
      </w:pPr>
      <w:r>
        <w:rPr>
          <w:rFonts w:cs="Arial"/>
          <w:szCs w:val="24"/>
        </w:rPr>
        <w:t>Facilities Management utilizes contractors to provide janitorial, lawn care, snow removal, and pest control services.  The approximate FTE equivalency for these services is:</w:t>
      </w:r>
    </w:p>
    <w:p w:rsidR="00AC40FC" w:rsidRDefault="00AC40FC" w:rsidP="00581946">
      <w:pPr>
        <w:pStyle w:val="Bullet"/>
      </w:pPr>
      <w:r>
        <w:t>Janitorial – 20.5 FTEs</w:t>
      </w:r>
    </w:p>
    <w:p w:rsidR="00AC40FC" w:rsidRDefault="00AC40FC" w:rsidP="00581946">
      <w:pPr>
        <w:pStyle w:val="Bullet"/>
      </w:pPr>
      <w:r>
        <w:t>Lawn Care – 3.5 FTEs</w:t>
      </w:r>
    </w:p>
    <w:p w:rsidR="00AC40FC" w:rsidRDefault="00AC40FC" w:rsidP="00581946">
      <w:pPr>
        <w:pStyle w:val="Bullet"/>
      </w:pPr>
      <w:r>
        <w:t>Snow Removal – 2.3 FTEs</w:t>
      </w:r>
    </w:p>
    <w:p w:rsidR="00AC40FC" w:rsidRPr="0059784C" w:rsidRDefault="00AC40FC" w:rsidP="00581946">
      <w:pPr>
        <w:pStyle w:val="Bullet"/>
      </w:pPr>
      <w:r>
        <w:t>Pest Control – 0.1 FTE</w:t>
      </w:r>
    </w:p>
    <w:p w:rsidR="00AC40FC" w:rsidRDefault="00AC40FC" w:rsidP="00581946">
      <w:pPr>
        <w:pStyle w:val="Normal-aftertable"/>
      </w:pPr>
      <w:r>
        <w:t>The overall facilities workload is currently expected to remain constant.  A formal workload plan is not prepared.</w:t>
      </w:r>
    </w:p>
    <w:p w:rsidR="00AC40FC" w:rsidRDefault="00AC40FC" w:rsidP="00581946">
      <w:pPr>
        <w:rPr>
          <w:rFonts w:cs="Arial"/>
          <w:szCs w:val="24"/>
        </w:rPr>
      </w:pPr>
      <w:r w:rsidRPr="00345F93">
        <w:rPr>
          <w:b/>
        </w:rPr>
        <w:t>Future Employee and Contractor Changes.</w:t>
      </w:r>
      <w:r>
        <w:t xml:space="preserve">  </w:t>
      </w:r>
      <w:r w:rsidRPr="00AE3F2D">
        <w:rPr>
          <w:rFonts w:cs="Arial"/>
          <w:szCs w:val="24"/>
        </w:rPr>
        <w:t xml:space="preserve">Facilities Management plans on shifting the remaining janitorial services from PPL </w:t>
      </w:r>
      <w:r>
        <w:rPr>
          <w:rFonts w:cs="Arial"/>
          <w:szCs w:val="24"/>
        </w:rPr>
        <w:t xml:space="preserve">EUS </w:t>
      </w:r>
      <w:r w:rsidRPr="00AE3F2D">
        <w:rPr>
          <w:rFonts w:cs="Arial"/>
          <w:szCs w:val="24"/>
        </w:rPr>
        <w:t>union represented staff to contractors over the next two years as attrition occurs.  This will affect 10 to 12 positions</w:t>
      </w:r>
      <w:r w:rsidRPr="00721B9B">
        <w:rPr>
          <w:rFonts w:cs="Arial"/>
          <w:szCs w:val="24"/>
        </w:rPr>
        <w:t>.</w:t>
      </w:r>
      <w:r>
        <w:t xml:space="preserve">  </w:t>
      </w:r>
      <w:r>
        <w:rPr>
          <w:rFonts w:cs="Arial"/>
          <w:szCs w:val="24"/>
        </w:rPr>
        <w:t>The remaining in-house union represented staff will continue to perform minor maintenance and small construction work.</w:t>
      </w:r>
    </w:p>
    <w:p w:rsidR="00AC40FC" w:rsidRPr="004F465F" w:rsidRDefault="00AC40FC" w:rsidP="00581946">
      <w:pPr>
        <w:rPr>
          <w:rFonts w:cs="Arial"/>
          <w:szCs w:val="24"/>
        </w:rPr>
      </w:pPr>
      <w:r>
        <w:rPr>
          <w:rFonts w:cs="Arial"/>
          <w:szCs w:val="24"/>
        </w:rPr>
        <w:t xml:space="preserve">No training programs existed for the maintenance staff in the past.  Programs are now being developed for the technicians.  Performance plans are also being implemented for the managers and supervisors.  Staff is being encouraged to achieve industry </w:t>
      </w:r>
      <w:r>
        <w:rPr>
          <w:rFonts w:cs="Arial"/>
          <w:szCs w:val="24"/>
        </w:rPr>
        <w:lastRenderedPageBreak/>
        <w:t>certifications in their respective skill areas.  The technical and maintenance staff is being cross trained to broaden skill sets and improve efficiency.</w:t>
      </w:r>
    </w:p>
    <w:p w:rsidR="00AC40FC" w:rsidRDefault="00AC40FC" w:rsidP="00581946">
      <w:pPr>
        <w:rPr>
          <w:rFonts w:cs="Arial"/>
          <w:szCs w:val="24"/>
        </w:rPr>
      </w:pPr>
      <w:r>
        <w:rPr>
          <w:rFonts w:cs="Arial"/>
          <w:szCs w:val="24"/>
        </w:rPr>
        <w:t>Maintenance staff and contractors may be reduced in the future as PPL EUS develops and implements its long term facilities asset plan over the next five years and more fully populates the facilities asset management system</w:t>
      </w:r>
      <w:r w:rsidRPr="00496CA6">
        <w:rPr>
          <w:rFonts w:cs="Arial"/>
          <w:szCs w:val="24"/>
        </w:rPr>
        <w:t xml:space="preserve"> </w:t>
      </w:r>
      <w:r>
        <w:rPr>
          <w:rFonts w:cs="Arial"/>
          <w:szCs w:val="24"/>
        </w:rPr>
        <w:t>with building and equipment details to implement additional capabilities of the application.</w:t>
      </w:r>
    </w:p>
    <w:p w:rsidR="00AC40FC" w:rsidRDefault="00AC40FC" w:rsidP="00581946">
      <w:pPr>
        <w:rPr>
          <w:rFonts w:cs="Arial"/>
          <w:szCs w:val="24"/>
        </w:rPr>
      </w:pPr>
      <w:r>
        <w:rPr>
          <w:rFonts w:cs="Arial"/>
          <w:szCs w:val="24"/>
        </w:rPr>
        <w:t>Facilities Management is also planning to increase the use of remote facility monitoring which may improve the overall efficiency of the staff and facilitate predictive maintenance activities.  This technology may also impact staffing needs.</w:t>
      </w:r>
    </w:p>
    <w:p w:rsidR="00AC40FC" w:rsidRDefault="00AC40FC" w:rsidP="00581946">
      <w:pPr>
        <w:rPr>
          <w:rFonts w:cs="Arial"/>
          <w:szCs w:val="24"/>
        </w:rPr>
      </w:pPr>
      <w:r w:rsidRPr="00345F93">
        <w:rPr>
          <w:b/>
        </w:rPr>
        <w:t>Employee and Contractor Staffing Planning Criteria and Process.</w:t>
      </w:r>
      <w:r w:rsidRPr="008D654F">
        <w:t xml:space="preserve"> </w:t>
      </w:r>
      <w:r>
        <w:t xml:space="preserve"> </w:t>
      </w:r>
      <w:r>
        <w:rPr>
          <w:rFonts w:cs="Arial"/>
          <w:szCs w:val="24"/>
        </w:rPr>
        <w:t>Data from the new facilities asset management system is being used to develop workload indicators and workload projections.  The projections will be used to prepare and update the staffing plan.</w:t>
      </w:r>
    </w:p>
    <w:p w:rsidR="00AC40FC" w:rsidRDefault="00AC40FC" w:rsidP="00581946">
      <w:pPr>
        <w:rPr>
          <w:rFonts w:cs="Arial"/>
          <w:szCs w:val="24"/>
        </w:rPr>
      </w:pPr>
      <w:r w:rsidRPr="00345F93">
        <w:rPr>
          <w:b/>
        </w:rPr>
        <w:t>The Allocation of Personnel to PPL EU and PPL EUS in the Formation of PPL EUS.</w:t>
      </w:r>
      <w:r>
        <w:t xml:space="preserve">  </w:t>
      </w:r>
      <w:r>
        <w:rPr>
          <w:rFonts w:cs="Arial"/>
          <w:szCs w:val="24"/>
        </w:rPr>
        <w:t>Facilities Management was formerly in PPL SC and was transferred to PPL EUS in 2015.</w:t>
      </w:r>
    </w:p>
    <w:p w:rsidR="00AC40FC" w:rsidRDefault="00AC40FC" w:rsidP="00581946">
      <w:pPr>
        <w:rPr>
          <w:rFonts w:cs="Arial"/>
          <w:szCs w:val="24"/>
        </w:rPr>
      </w:pPr>
      <w:r w:rsidRPr="00345F93">
        <w:rPr>
          <w:b/>
        </w:rPr>
        <w:t>Plans for Adjusting Staffing As the Talen TSA Winds Down and Terminates.</w:t>
      </w:r>
      <w:r>
        <w:t xml:space="preserve">  Facilities Management </w:t>
      </w:r>
      <w:r>
        <w:rPr>
          <w:rFonts w:cs="Arial"/>
          <w:szCs w:val="24"/>
        </w:rPr>
        <w:t>is not currently supporting Talen and does not expect any further staffing adjustments due to the Talen divestiture.</w:t>
      </w:r>
    </w:p>
    <w:p w:rsidR="00AC40FC" w:rsidRDefault="00AC40FC" w:rsidP="00BB665B">
      <w:pPr>
        <w:pStyle w:val="Heading40"/>
      </w:pPr>
      <w:r>
        <w:t>Protective Services</w:t>
      </w:r>
    </w:p>
    <w:p w:rsidR="00AC40FC" w:rsidRDefault="00AC40FC" w:rsidP="00581946">
      <w:r>
        <w:t xml:space="preserve">Protective Services is a part of PPL SC.  It provides corporate security and </w:t>
      </w:r>
      <w:r w:rsidRPr="007831D0">
        <w:t xml:space="preserve">emergency management planning for </w:t>
      </w:r>
      <w:r>
        <w:t xml:space="preserve">all </w:t>
      </w:r>
      <w:r w:rsidRPr="007831D0">
        <w:t xml:space="preserve">PPL Corporation entities in Pennsylvania, </w:t>
      </w:r>
      <w:r>
        <w:t>including</w:t>
      </w:r>
      <w:r w:rsidRPr="007831D0">
        <w:t xml:space="preserve"> PPL EU, PPL EU</w:t>
      </w:r>
      <w:r>
        <w:t>S</w:t>
      </w:r>
      <w:r w:rsidRPr="007831D0">
        <w:t>, PPL S</w:t>
      </w:r>
      <w:r>
        <w:t>C</w:t>
      </w:r>
      <w:r w:rsidRPr="007831D0">
        <w:t>, and</w:t>
      </w:r>
      <w:r w:rsidRPr="00741D9F">
        <w:t xml:space="preserve"> </w:t>
      </w:r>
      <w:r>
        <w:t>PPL</w:t>
      </w:r>
      <w:r w:rsidRPr="007831D0">
        <w:t>Solutions</w:t>
      </w:r>
      <w:r>
        <w:t xml:space="preserve">.  </w:t>
      </w:r>
    </w:p>
    <w:p w:rsidR="00AC40FC" w:rsidRDefault="00AC40FC" w:rsidP="00581946">
      <w:pPr>
        <w:rPr>
          <w:b/>
        </w:rPr>
      </w:pPr>
      <w:r w:rsidRPr="00345F93">
        <w:rPr>
          <w:b/>
        </w:rPr>
        <w:t>2015 Employee and Contractor Changes.</w:t>
      </w:r>
      <w:r>
        <w:t xml:space="preserve">  </w:t>
      </w:r>
      <w:r>
        <w:rPr>
          <w:rFonts w:cs="Arial"/>
          <w:szCs w:val="24"/>
        </w:rPr>
        <w:t>The PPL SC Protective Services staffing by SRC number and title from the end of 2014 to the end of 2015 is shown on the following table</w:t>
      </w:r>
      <w:r w:rsidRPr="00A32A3F">
        <w:rPr>
          <w:rFonts w:cs="Arial"/>
          <w:szCs w:val="24"/>
        </w:rPr>
        <w:t>.</w:t>
      </w:r>
    </w:p>
    <w:p w:rsidR="00AC40FC" w:rsidRPr="00F17825" w:rsidRDefault="00AC40FC" w:rsidP="00B306CB">
      <w:pPr>
        <w:pStyle w:val="Caption"/>
      </w:pPr>
      <w:bookmarkStart w:id="428" w:name="_Toc462648513"/>
      <w:bookmarkStart w:id="429" w:name="_Toc464553135"/>
      <w:r>
        <w:t xml:space="preserve">Exhibit </w:t>
      </w:r>
      <w:fldSimple w:instr=" STYLEREF 1 \s ">
        <w:r w:rsidR="00A24205">
          <w:rPr>
            <w:noProof/>
          </w:rPr>
          <w:t>XV</w:t>
        </w:r>
      </w:fldSimple>
      <w:r w:rsidR="00264A1B">
        <w:noBreakHyphen/>
      </w:r>
      <w:fldSimple w:instr=" SEQ Exhibit \* ARABIC \s 1 ">
        <w:r w:rsidR="00A24205">
          <w:rPr>
            <w:noProof/>
          </w:rPr>
          <w:t>27</w:t>
        </w:r>
      </w:fldSimple>
      <w:r>
        <w:br/>
      </w:r>
      <w:r w:rsidRPr="00F17825">
        <w:t xml:space="preserve">PPL </w:t>
      </w:r>
      <w:r>
        <w:t>SC Protective Services</w:t>
      </w:r>
      <w:r w:rsidRPr="00F17825">
        <w:t xml:space="preserve"> Employee Staffing Changes 2014–2015</w:t>
      </w:r>
      <w:bookmarkEnd w:id="428"/>
      <w:bookmarkEnd w:id="4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2966"/>
        <w:gridCol w:w="810"/>
        <w:gridCol w:w="810"/>
        <w:gridCol w:w="1097"/>
      </w:tblGrid>
      <w:tr w:rsidR="00AC40FC" w:rsidRPr="00D6083E" w:rsidTr="00581946">
        <w:trPr>
          <w:cantSplit/>
          <w:trHeight w:val="300"/>
          <w:tblHeader/>
          <w:jc w:val="center"/>
        </w:trPr>
        <w:tc>
          <w:tcPr>
            <w:tcW w:w="960" w:type="dxa"/>
            <w:shd w:val="clear" w:color="auto" w:fill="A5CD7E"/>
            <w:noWrap/>
            <w:vAlign w:val="center"/>
            <w:hideMark/>
          </w:tcPr>
          <w:p w:rsidR="00AC40FC" w:rsidRPr="00D6083E" w:rsidRDefault="00AC40FC" w:rsidP="00D6083E">
            <w:pPr>
              <w:spacing w:before="120"/>
              <w:jc w:val="center"/>
              <w:rPr>
                <w:b/>
                <w:bCs/>
              </w:rPr>
            </w:pPr>
            <w:r w:rsidRPr="00D6083E">
              <w:rPr>
                <w:b/>
                <w:bCs/>
              </w:rPr>
              <w:t>SRC</w:t>
            </w:r>
          </w:p>
        </w:tc>
        <w:tc>
          <w:tcPr>
            <w:tcW w:w="2966" w:type="dxa"/>
            <w:shd w:val="clear" w:color="auto" w:fill="A5CD7E"/>
            <w:noWrap/>
            <w:vAlign w:val="center"/>
            <w:hideMark/>
          </w:tcPr>
          <w:p w:rsidR="00AC40FC" w:rsidRPr="00D6083E" w:rsidRDefault="00AC40FC" w:rsidP="00D6083E">
            <w:pPr>
              <w:spacing w:before="120"/>
              <w:jc w:val="center"/>
              <w:rPr>
                <w:b/>
                <w:bCs/>
              </w:rPr>
            </w:pPr>
            <w:r w:rsidRPr="00D6083E">
              <w:rPr>
                <w:b/>
                <w:bCs/>
              </w:rPr>
              <w:t>Title</w:t>
            </w:r>
          </w:p>
        </w:tc>
        <w:tc>
          <w:tcPr>
            <w:tcW w:w="810" w:type="dxa"/>
            <w:shd w:val="clear" w:color="auto" w:fill="A5CD7E"/>
            <w:noWrap/>
            <w:vAlign w:val="center"/>
            <w:hideMark/>
          </w:tcPr>
          <w:p w:rsidR="00AC40FC" w:rsidRPr="00D6083E" w:rsidRDefault="00AC40FC" w:rsidP="00D6083E">
            <w:pPr>
              <w:spacing w:before="120"/>
              <w:jc w:val="center"/>
              <w:rPr>
                <w:b/>
                <w:bCs/>
              </w:rPr>
            </w:pPr>
            <w:r w:rsidRPr="00D6083E">
              <w:rPr>
                <w:b/>
                <w:bCs/>
              </w:rPr>
              <w:t>2014</w:t>
            </w:r>
          </w:p>
        </w:tc>
        <w:tc>
          <w:tcPr>
            <w:tcW w:w="810" w:type="dxa"/>
            <w:shd w:val="clear" w:color="auto" w:fill="A5CD7E"/>
            <w:noWrap/>
            <w:vAlign w:val="center"/>
            <w:hideMark/>
          </w:tcPr>
          <w:p w:rsidR="00AC40FC" w:rsidRPr="00D6083E" w:rsidRDefault="00AC40FC" w:rsidP="00D6083E">
            <w:pPr>
              <w:spacing w:before="120"/>
              <w:jc w:val="center"/>
              <w:rPr>
                <w:b/>
                <w:bCs/>
              </w:rPr>
            </w:pPr>
            <w:r w:rsidRPr="00D6083E">
              <w:rPr>
                <w:b/>
                <w:bCs/>
              </w:rPr>
              <w:t>2015</w:t>
            </w:r>
          </w:p>
        </w:tc>
        <w:tc>
          <w:tcPr>
            <w:tcW w:w="1097" w:type="dxa"/>
            <w:shd w:val="clear" w:color="auto" w:fill="A5CD7E"/>
            <w:noWrap/>
            <w:vAlign w:val="center"/>
            <w:hideMark/>
          </w:tcPr>
          <w:p w:rsidR="00AC40FC" w:rsidRPr="00D6083E" w:rsidRDefault="00AC40FC" w:rsidP="00D6083E">
            <w:pPr>
              <w:spacing w:before="120"/>
              <w:jc w:val="center"/>
              <w:rPr>
                <w:b/>
                <w:bCs/>
              </w:rPr>
            </w:pPr>
            <w:r w:rsidRPr="00D6083E">
              <w:rPr>
                <w:b/>
                <w:bCs/>
              </w:rPr>
              <w:t>Change</w:t>
            </w:r>
          </w:p>
        </w:tc>
      </w:tr>
      <w:tr w:rsidR="00AC40FC" w:rsidRPr="00F17825" w:rsidTr="00581946">
        <w:trPr>
          <w:trHeight w:val="305"/>
          <w:jc w:val="center"/>
        </w:trPr>
        <w:tc>
          <w:tcPr>
            <w:tcW w:w="960" w:type="dxa"/>
            <w:shd w:val="clear" w:color="auto" w:fill="auto"/>
            <w:noWrap/>
            <w:vAlign w:val="bottom"/>
          </w:tcPr>
          <w:p w:rsidR="00AC40FC" w:rsidRPr="000A5AD3" w:rsidRDefault="00AC40FC" w:rsidP="00581946">
            <w:pPr>
              <w:spacing w:after="0"/>
              <w:jc w:val="center"/>
              <w:rPr>
                <w:rFonts w:cs="Arial"/>
                <w:szCs w:val="24"/>
              </w:rPr>
            </w:pPr>
            <w:r w:rsidRPr="008D61EE">
              <w:rPr>
                <w:rFonts w:cs="Arial"/>
                <w:color w:val="000000"/>
              </w:rPr>
              <w:t>253</w:t>
            </w:r>
          </w:p>
        </w:tc>
        <w:tc>
          <w:tcPr>
            <w:tcW w:w="2966" w:type="dxa"/>
            <w:shd w:val="clear" w:color="auto" w:fill="auto"/>
            <w:noWrap/>
            <w:vAlign w:val="bottom"/>
          </w:tcPr>
          <w:p w:rsidR="00AC40FC" w:rsidRPr="000A5AD3" w:rsidRDefault="00AC40FC" w:rsidP="00581946">
            <w:pPr>
              <w:spacing w:after="0"/>
              <w:rPr>
                <w:rFonts w:cs="Arial"/>
                <w:szCs w:val="24"/>
              </w:rPr>
            </w:pPr>
            <w:r w:rsidRPr="008D61EE">
              <w:rPr>
                <w:rFonts w:cs="Arial"/>
                <w:color w:val="000000"/>
              </w:rPr>
              <w:t>Protective Services TSA</w:t>
            </w:r>
          </w:p>
        </w:tc>
        <w:tc>
          <w:tcPr>
            <w:tcW w:w="810" w:type="dxa"/>
            <w:shd w:val="clear" w:color="auto" w:fill="auto"/>
            <w:noWrap/>
            <w:vAlign w:val="bottom"/>
          </w:tcPr>
          <w:p w:rsidR="00AC40FC" w:rsidRPr="00F17825" w:rsidRDefault="00AC40FC" w:rsidP="00581946">
            <w:pPr>
              <w:spacing w:after="0"/>
              <w:jc w:val="center"/>
              <w:rPr>
                <w:rFonts w:cs="Arial"/>
                <w:szCs w:val="24"/>
              </w:rPr>
            </w:pPr>
            <w:r>
              <w:rPr>
                <w:rFonts w:cs="Arial"/>
                <w:szCs w:val="24"/>
              </w:rPr>
              <w:t>1</w:t>
            </w:r>
          </w:p>
        </w:tc>
        <w:tc>
          <w:tcPr>
            <w:tcW w:w="810" w:type="dxa"/>
            <w:shd w:val="clear" w:color="auto" w:fill="auto"/>
            <w:noWrap/>
            <w:vAlign w:val="bottom"/>
          </w:tcPr>
          <w:p w:rsidR="00AC40FC" w:rsidRPr="002A37C6" w:rsidRDefault="00AC40FC" w:rsidP="00581946">
            <w:pPr>
              <w:spacing w:after="0"/>
              <w:jc w:val="center"/>
              <w:rPr>
                <w:rFonts w:cs="Arial"/>
                <w:szCs w:val="24"/>
              </w:rPr>
            </w:pPr>
            <w:r>
              <w:rPr>
                <w:rFonts w:cs="Arial"/>
                <w:szCs w:val="24"/>
              </w:rPr>
              <w:t>2</w:t>
            </w:r>
          </w:p>
        </w:tc>
        <w:tc>
          <w:tcPr>
            <w:tcW w:w="1097" w:type="dxa"/>
            <w:shd w:val="clear" w:color="auto" w:fill="auto"/>
            <w:noWrap/>
            <w:vAlign w:val="bottom"/>
          </w:tcPr>
          <w:p w:rsidR="00AC40FC" w:rsidRPr="00F17825" w:rsidRDefault="00AC40FC" w:rsidP="00581946">
            <w:pPr>
              <w:spacing w:after="0"/>
              <w:jc w:val="center"/>
              <w:rPr>
                <w:rFonts w:cs="Arial"/>
                <w:szCs w:val="24"/>
              </w:rPr>
            </w:pPr>
            <w:r>
              <w:rPr>
                <w:rFonts w:cs="Arial"/>
                <w:szCs w:val="24"/>
              </w:rPr>
              <w:t>+1</w:t>
            </w:r>
          </w:p>
        </w:tc>
      </w:tr>
      <w:tr w:rsidR="00AC40FC" w:rsidRPr="00F17825" w:rsidTr="00581946">
        <w:trPr>
          <w:trHeight w:val="300"/>
          <w:jc w:val="center"/>
        </w:trPr>
        <w:tc>
          <w:tcPr>
            <w:tcW w:w="960" w:type="dxa"/>
            <w:shd w:val="clear" w:color="auto" w:fill="auto"/>
            <w:noWrap/>
            <w:vAlign w:val="bottom"/>
          </w:tcPr>
          <w:p w:rsidR="00AC40FC" w:rsidRPr="000A5AD3" w:rsidRDefault="00AC40FC" w:rsidP="00581946">
            <w:pPr>
              <w:spacing w:after="0"/>
              <w:jc w:val="center"/>
              <w:rPr>
                <w:rFonts w:cs="Arial"/>
                <w:szCs w:val="24"/>
              </w:rPr>
            </w:pPr>
            <w:r w:rsidRPr="008D61EE">
              <w:rPr>
                <w:rFonts w:cs="Arial"/>
                <w:color w:val="000000"/>
              </w:rPr>
              <w:t>270</w:t>
            </w:r>
          </w:p>
        </w:tc>
        <w:tc>
          <w:tcPr>
            <w:tcW w:w="2966" w:type="dxa"/>
            <w:shd w:val="clear" w:color="auto" w:fill="auto"/>
            <w:noWrap/>
            <w:vAlign w:val="bottom"/>
          </w:tcPr>
          <w:p w:rsidR="00AC40FC" w:rsidRPr="000A5AD3" w:rsidRDefault="00AC40FC" w:rsidP="00581946">
            <w:pPr>
              <w:spacing w:after="0"/>
              <w:rPr>
                <w:rFonts w:cs="Arial"/>
                <w:szCs w:val="24"/>
              </w:rPr>
            </w:pPr>
            <w:r w:rsidRPr="008D61EE">
              <w:rPr>
                <w:rFonts w:cs="Arial"/>
                <w:color w:val="000000"/>
              </w:rPr>
              <w:t>Security</w:t>
            </w:r>
          </w:p>
        </w:tc>
        <w:tc>
          <w:tcPr>
            <w:tcW w:w="810" w:type="dxa"/>
            <w:shd w:val="clear" w:color="auto" w:fill="auto"/>
            <w:noWrap/>
            <w:vAlign w:val="bottom"/>
          </w:tcPr>
          <w:p w:rsidR="00AC40FC" w:rsidRPr="00F17825" w:rsidRDefault="00AC40FC" w:rsidP="00581946">
            <w:pPr>
              <w:spacing w:after="0"/>
              <w:jc w:val="center"/>
              <w:rPr>
                <w:rFonts w:cs="Arial"/>
                <w:szCs w:val="24"/>
              </w:rPr>
            </w:pPr>
            <w:r>
              <w:rPr>
                <w:rFonts w:cs="Arial"/>
                <w:szCs w:val="24"/>
              </w:rPr>
              <w:t>8</w:t>
            </w:r>
          </w:p>
        </w:tc>
        <w:tc>
          <w:tcPr>
            <w:tcW w:w="810" w:type="dxa"/>
            <w:shd w:val="clear" w:color="auto" w:fill="auto"/>
            <w:noWrap/>
            <w:vAlign w:val="bottom"/>
          </w:tcPr>
          <w:p w:rsidR="00AC40FC" w:rsidRPr="002A37C6" w:rsidRDefault="00AC40FC" w:rsidP="00581946">
            <w:pPr>
              <w:spacing w:after="0"/>
              <w:jc w:val="center"/>
              <w:rPr>
                <w:rFonts w:cs="Arial"/>
                <w:szCs w:val="24"/>
              </w:rPr>
            </w:pPr>
            <w:r>
              <w:rPr>
                <w:rFonts w:cs="Arial"/>
                <w:szCs w:val="24"/>
              </w:rPr>
              <w:t>6</w:t>
            </w:r>
          </w:p>
        </w:tc>
        <w:tc>
          <w:tcPr>
            <w:tcW w:w="1097" w:type="dxa"/>
            <w:shd w:val="clear" w:color="auto" w:fill="auto"/>
            <w:noWrap/>
            <w:vAlign w:val="bottom"/>
          </w:tcPr>
          <w:p w:rsidR="00AC40FC" w:rsidRPr="00F17825" w:rsidRDefault="00AC40FC" w:rsidP="00581946">
            <w:pPr>
              <w:spacing w:after="0"/>
              <w:jc w:val="center"/>
              <w:rPr>
                <w:rFonts w:cs="Arial"/>
                <w:szCs w:val="24"/>
              </w:rPr>
            </w:pPr>
            <w:r>
              <w:rPr>
                <w:rFonts w:cs="Arial"/>
                <w:szCs w:val="24"/>
              </w:rPr>
              <w:t>-2</w:t>
            </w:r>
          </w:p>
        </w:tc>
      </w:tr>
      <w:tr w:rsidR="00AC40FC" w:rsidRPr="00F17825" w:rsidTr="00581946">
        <w:trPr>
          <w:trHeight w:val="300"/>
          <w:jc w:val="center"/>
        </w:trPr>
        <w:tc>
          <w:tcPr>
            <w:tcW w:w="960" w:type="dxa"/>
            <w:shd w:val="clear" w:color="auto" w:fill="auto"/>
            <w:noWrap/>
            <w:hideMark/>
          </w:tcPr>
          <w:p w:rsidR="00AC40FC" w:rsidRPr="00F17825" w:rsidRDefault="00AC40FC" w:rsidP="00581946">
            <w:pPr>
              <w:spacing w:after="0"/>
              <w:jc w:val="center"/>
              <w:rPr>
                <w:rFonts w:cs="Arial"/>
                <w:szCs w:val="24"/>
              </w:rPr>
            </w:pPr>
          </w:p>
        </w:tc>
        <w:tc>
          <w:tcPr>
            <w:tcW w:w="2966" w:type="dxa"/>
            <w:shd w:val="clear" w:color="auto" w:fill="auto"/>
            <w:noWrap/>
            <w:vAlign w:val="center"/>
            <w:hideMark/>
          </w:tcPr>
          <w:p w:rsidR="00AC40FC" w:rsidRPr="00F17825" w:rsidRDefault="00AC40FC" w:rsidP="00581946">
            <w:pPr>
              <w:spacing w:after="0"/>
              <w:jc w:val="center"/>
              <w:rPr>
                <w:rFonts w:cs="Arial"/>
                <w:b/>
                <w:szCs w:val="24"/>
              </w:rPr>
            </w:pPr>
            <w:r w:rsidRPr="00F17825">
              <w:rPr>
                <w:rFonts w:cs="Arial"/>
                <w:b/>
                <w:szCs w:val="24"/>
              </w:rPr>
              <w:t>T</w:t>
            </w:r>
            <w:r>
              <w:rPr>
                <w:rFonts w:cs="Arial"/>
                <w:b/>
                <w:szCs w:val="24"/>
              </w:rPr>
              <w:t>otals</w:t>
            </w:r>
          </w:p>
        </w:tc>
        <w:tc>
          <w:tcPr>
            <w:tcW w:w="810" w:type="dxa"/>
            <w:shd w:val="clear" w:color="auto" w:fill="auto"/>
            <w:noWrap/>
            <w:vAlign w:val="bottom"/>
          </w:tcPr>
          <w:p w:rsidR="00AC40FC" w:rsidRPr="00F17825" w:rsidRDefault="00AC40FC" w:rsidP="00581946">
            <w:pPr>
              <w:spacing w:after="0"/>
              <w:jc w:val="center"/>
              <w:rPr>
                <w:rFonts w:cs="Arial"/>
                <w:b/>
                <w:szCs w:val="24"/>
              </w:rPr>
            </w:pPr>
            <w:r>
              <w:rPr>
                <w:rFonts w:cs="Arial"/>
                <w:b/>
                <w:szCs w:val="24"/>
              </w:rPr>
              <w:t>9</w:t>
            </w:r>
          </w:p>
        </w:tc>
        <w:tc>
          <w:tcPr>
            <w:tcW w:w="810" w:type="dxa"/>
            <w:shd w:val="clear" w:color="auto" w:fill="auto"/>
            <w:noWrap/>
            <w:vAlign w:val="bottom"/>
          </w:tcPr>
          <w:p w:rsidR="00AC40FC" w:rsidRPr="00F17825" w:rsidRDefault="00AC40FC" w:rsidP="00581946">
            <w:pPr>
              <w:spacing w:after="0"/>
              <w:jc w:val="center"/>
              <w:rPr>
                <w:rFonts w:cs="Arial"/>
                <w:b/>
                <w:szCs w:val="24"/>
              </w:rPr>
            </w:pPr>
            <w:r>
              <w:rPr>
                <w:rFonts w:cs="Arial"/>
                <w:b/>
                <w:szCs w:val="24"/>
              </w:rPr>
              <w:t>8</w:t>
            </w:r>
          </w:p>
        </w:tc>
        <w:tc>
          <w:tcPr>
            <w:tcW w:w="1097" w:type="dxa"/>
            <w:shd w:val="clear" w:color="auto" w:fill="auto"/>
            <w:noWrap/>
            <w:vAlign w:val="bottom"/>
          </w:tcPr>
          <w:p w:rsidR="00AC40FC" w:rsidRPr="00F17825" w:rsidRDefault="00AC40FC" w:rsidP="00581946">
            <w:pPr>
              <w:spacing w:after="0"/>
              <w:jc w:val="center"/>
              <w:rPr>
                <w:rFonts w:cs="Arial"/>
                <w:b/>
                <w:szCs w:val="24"/>
              </w:rPr>
            </w:pPr>
            <w:r>
              <w:rPr>
                <w:rFonts w:cs="Arial"/>
                <w:b/>
                <w:szCs w:val="24"/>
              </w:rPr>
              <w:t>-1</w:t>
            </w:r>
          </w:p>
        </w:tc>
      </w:tr>
      <w:tr w:rsidR="00AC40FC" w:rsidRPr="00F17825" w:rsidTr="00581946">
        <w:trPr>
          <w:trHeight w:val="300"/>
          <w:jc w:val="center"/>
        </w:trPr>
        <w:tc>
          <w:tcPr>
            <w:tcW w:w="6643" w:type="dxa"/>
            <w:gridSpan w:val="5"/>
            <w:shd w:val="clear" w:color="auto" w:fill="auto"/>
            <w:noWrap/>
            <w:vAlign w:val="center"/>
          </w:tcPr>
          <w:p w:rsidR="00AC40FC" w:rsidRPr="00F17825" w:rsidRDefault="00AC40FC" w:rsidP="00581946">
            <w:pPr>
              <w:spacing w:after="0"/>
              <w:rPr>
                <w:rFonts w:cs="Arial"/>
                <w:bCs/>
                <w:szCs w:val="24"/>
              </w:rPr>
            </w:pPr>
            <w:r w:rsidRPr="00F17825">
              <w:rPr>
                <w:rFonts w:cs="Arial"/>
                <w:bCs/>
                <w:szCs w:val="24"/>
              </w:rPr>
              <w:t xml:space="preserve">Sources: </w:t>
            </w:r>
            <w:r w:rsidRPr="002A37C6">
              <w:rPr>
                <w:rFonts w:cs="Arial"/>
                <w:bCs/>
                <w:szCs w:val="24"/>
              </w:rPr>
              <w:t>DN 01-07</w:t>
            </w:r>
            <w:r>
              <w:rPr>
                <w:rFonts w:cs="Arial"/>
                <w:bCs/>
                <w:szCs w:val="24"/>
              </w:rPr>
              <w:t>2</w:t>
            </w:r>
            <w:r w:rsidRPr="002A37C6">
              <w:rPr>
                <w:rFonts w:cs="Arial"/>
                <w:bCs/>
                <w:szCs w:val="24"/>
              </w:rPr>
              <w:t>;</w:t>
            </w:r>
            <w:r w:rsidRPr="00F17825">
              <w:rPr>
                <w:rFonts w:cs="Arial"/>
                <w:bCs/>
                <w:szCs w:val="24"/>
              </w:rPr>
              <w:t xml:space="preserve"> </w:t>
            </w:r>
            <w:r>
              <w:rPr>
                <w:rFonts w:cs="Arial"/>
                <w:bCs/>
                <w:szCs w:val="24"/>
              </w:rPr>
              <w:t>DN 18-001-C; DN 18-098</w:t>
            </w:r>
          </w:p>
        </w:tc>
      </w:tr>
    </w:tbl>
    <w:p w:rsidR="00AC40FC" w:rsidRDefault="00AC40FC" w:rsidP="00581946">
      <w:pPr>
        <w:pStyle w:val="Normal-aftertable"/>
      </w:pPr>
      <w:r w:rsidRPr="001A2FB1">
        <w:t>T</w:t>
      </w:r>
      <w:r w:rsidRPr="001A2FB1">
        <w:rPr>
          <w:rFonts w:cs="Arial"/>
          <w:szCs w:val="24"/>
        </w:rPr>
        <w:t>he</w:t>
      </w:r>
      <w:r>
        <w:rPr>
          <w:rFonts w:cs="Arial"/>
          <w:szCs w:val="24"/>
        </w:rPr>
        <w:t xml:space="preserve"> number of Protective Services staff decreased in 2015 by one position or approximately 12%, from 9 to 8.  </w:t>
      </w:r>
      <w:r>
        <w:t>In late 2014, three positions were transferred to Talen.  Existing security contracts related to generation facilities were also transferred to Talen.</w:t>
      </w:r>
    </w:p>
    <w:p w:rsidR="00AC40FC" w:rsidRDefault="00AC40FC" w:rsidP="00581946">
      <w:pPr>
        <w:rPr>
          <w:rFonts w:cs="Arial"/>
          <w:szCs w:val="24"/>
        </w:rPr>
      </w:pPr>
      <w:r>
        <w:rPr>
          <w:rFonts w:cs="Arial"/>
          <w:szCs w:val="24"/>
        </w:rPr>
        <w:t>There were two retirements in 2015 that were not backfilled.  One employee was transferred to IT.  An additional position was added in early 2016 to support background checks as part of the critical infrastructure protection program.  Protective Services does not use contractors to augment its core staff.</w:t>
      </w:r>
    </w:p>
    <w:p w:rsidR="00AC40FC" w:rsidRDefault="00AC40FC" w:rsidP="00581946">
      <w:pPr>
        <w:rPr>
          <w:rFonts w:cs="Arial"/>
          <w:szCs w:val="24"/>
        </w:rPr>
      </w:pPr>
      <w:r>
        <w:rPr>
          <w:rFonts w:cs="Arial"/>
          <w:szCs w:val="24"/>
        </w:rPr>
        <w:lastRenderedPageBreak/>
        <w:t>Contractors provide on-site security at four facilities – Scranton Service Center, Lehigh Service Center, Windsor, and the Allentown General Offices.  Contractors also staff the security command center.  In 2016, 42 security contractor FTEs provide coverage for PPL Corporation Pennsylvania facilities and operations.</w:t>
      </w:r>
    </w:p>
    <w:p w:rsidR="00AC40FC" w:rsidRDefault="00AC40FC" w:rsidP="00581946">
      <w:pPr>
        <w:rPr>
          <w:rFonts w:cs="Arial"/>
          <w:szCs w:val="24"/>
        </w:rPr>
      </w:pPr>
      <w:r w:rsidRPr="00345F93">
        <w:rPr>
          <w:b/>
        </w:rPr>
        <w:t>Future Employee and Contractor Changes.</w:t>
      </w:r>
      <w:r>
        <w:t xml:space="preserve">  </w:t>
      </w:r>
      <w:r>
        <w:rPr>
          <w:rFonts w:cs="Arial"/>
          <w:szCs w:val="24"/>
        </w:rPr>
        <w:t>There are no staffing or contracting changes planned at this time.</w:t>
      </w:r>
    </w:p>
    <w:p w:rsidR="00AC40FC" w:rsidRPr="006D1B9D" w:rsidRDefault="00AC40FC" w:rsidP="00581946">
      <w:pPr>
        <w:rPr>
          <w:rFonts w:cs="Arial"/>
          <w:szCs w:val="24"/>
        </w:rPr>
      </w:pPr>
      <w:r>
        <w:rPr>
          <w:rFonts w:cs="Arial"/>
          <w:szCs w:val="24"/>
        </w:rPr>
        <w:t>Three key Protective Services personnel are close to retirement.  Newer staff are being mentored and encouraged to develop collaborative internal and external relationships.</w:t>
      </w:r>
      <w:r w:rsidRPr="000F4DB4">
        <w:rPr>
          <w:rFonts w:cs="Arial"/>
          <w:szCs w:val="24"/>
        </w:rPr>
        <w:t xml:space="preserve"> </w:t>
      </w:r>
      <w:r>
        <w:rPr>
          <w:rFonts w:cs="Arial"/>
          <w:szCs w:val="24"/>
        </w:rPr>
        <w:t xml:space="preserve"> The Director of Protective Services has been actively including a qualified staff member in his activities to help develop a capable successor.</w:t>
      </w:r>
    </w:p>
    <w:p w:rsidR="00AC40FC" w:rsidRPr="006D1B9D" w:rsidRDefault="00AC40FC" w:rsidP="00581946">
      <w:pPr>
        <w:rPr>
          <w:rFonts w:cs="Arial"/>
          <w:szCs w:val="24"/>
        </w:rPr>
      </w:pPr>
      <w:r w:rsidRPr="00345F93">
        <w:rPr>
          <w:b/>
        </w:rPr>
        <w:t>Employee and Contractor Staffing Planning Criteria and Process.</w:t>
      </w:r>
      <w:r w:rsidRPr="008D654F">
        <w:t xml:space="preserve"> </w:t>
      </w:r>
      <w:r>
        <w:t xml:space="preserve"> </w:t>
      </w:r>
      <w:r>
        <w:rPr>
          <w:rFonts w:cs="Arial"/>
          <w:szCs w:val="24"/>
        </w:rPr>
        <w:t>Protective Services staffing needs are driven by the level of security, number of locations, and any special situations, such as labor contract renewals and security alerts.</w:t>
      </w:r>
    </w:p>
    <w:p w:rsidR="00AC40FC" w:rsidRDefault="00AC40FC" w:rsidP="00581946">
      <w:r w:rsidRPr="00345F93">
        <w:rPr>
          <w:b/>
        </w:rPr>
        <w:t>The Allocation of Personnel to PPL EU and PPL EUS in the Formation of PPL EUS.</w:t>
      </w:r>
      <w:r>
        <w:t xml:space="preserve">  </w:t>
      </w:r>
      <w:r w:rsidRPr="008A0ED2">
        <w:t>The staffing of Protective Services was not impacted by the formation of PPL EUS.</w:t>
      </w:r>
    </w:p>
    <w:p w:rsidR="00AC40FC" w:rsidRDefault="00AC40FC" w:rsidP="00581946">
      <w:pPr>
        <w:rPr>
          <w:rFonts w:cs="Arial"/>
          <w:szCs w:val="24"/>
        </w:rPr>
      </w:pPr>
      <w:r w:rsidRPr="00345F93">
        <w:rPr>
          <w:b/>
        </w:rPr>
        <w:t>Plans for Adjusting Staffing As the Talen TSA Winds Down and Terminates.</w:t>
      </w:r>
      <w:r>
        <w:t xml:space="preserve">  </w:t>
      </w:r>
      <w:r>
        <w:rPr>
          <w:rFonts w:cs="Arial"/>
          <w:szCs w:val="24"/>
        </w:rPr>
        <w:t>There is no additional attrition in staffing expected due to the PPL EUS formation or the wind down of the Talen TSA regarding inclusion in the PPL Corporate Security Plans.</w:t>
      </w:r>
    </w:p>
    <w:p w:rsidR="00AC40FC" w:rsidRDefault="00AC40FC" w:rsidP="00BB665B">
      <w:pPr>
        <w:pStyle w:val="Heading-forToC"/>
      </w:pPr>
      <w:bookmarkStart w:id="430" w:name="_Toc462647918"/>
      <w:bookmarkStart w:id="431" w:name="_Toc464552157"/>
      <w:r>
        <w:t>Findings</w:t>
      </w:r>
      <w:bookmarkEnd w:id="430"/>
      <w:bookmarkEnd w:id="431"/>
    </w:p>
    <w:p w:rsidR="00AC40FC" w:rsidRDefault="00AC40FC" w:rsidP="004F00E5">
      <w:pPr>
        <w:pStyle w:val="Findings"/>
        <w:numPr>
          <w:ilvl w:val="0"/>
          <w:numId w:val="142"/>
        </w:numPr>
      </w:pPr>
      <w:r>
        <w:t>The support services organizations reviewed in this section have achieved considerable staffing reductions apart from the movement of positions to Talen.</w:t>
      </w:r>
    </w:p>
    <w:p w:rsidR="00AC40FC" w:rsidRDefault="00AC40FC" w:rsidP="00581946">
      <w:r>
        <w:t xml:space="preserve">The divestiture of the PPL Energy Supply, LLC organization to Talen resulted in the establishment of a financial goal that the </w:t>
      </w:r>
      <w:r>
        <w:rPr>
          <w:rFonts w:cs="Arial"/>
          <w:szCs w:val="24"/>
        </w:rPr>
        <w:t xml:space="preserve">regulated entities would not be negatively impacted financially after the energy supply organization was divested.  This was an internal goal set with the help of an independent consultant.  As a result, position reductions, where required to meet this goal, were conducted in most of the support services organizations. </w:t>
      </w:r>
    </w:p>
    <w:p w:rsidR="00AC40FC" w:rsidRDefault="00AC40FC" w:rsidP="002708E8">
      <w:pPr>
        <w:pStyle w:val="Findings"/>
      </w:pPr>
      <w:r w:rsidRPr="002708E8">
        <w:t>Some</w:t>
      </w:r>
      <w:r>
        <w:t xml:space="preserve"> of the departments reviewed in this section have performed, or are planning to perform, informal benchmarking studies.</w:t>
      </w:r>
    </w:p>
    <w:p w:rsidR="00AC40FC" w:rsidRDefault="00AC40FC" w:rsidP="00581946">
      <w:r>
        <w:t>Informal benchmarking can be used as an interim measure, as illustrated by the recent Supply Chain and Public Affairs efforts and the planned Facilities Management benchmarking.  However, all support functions serving PPL EU should participate in a formal benchmarking or staffing study at least every three years.</w:t>
      </w:r>
    </w:p>
    <w:p w:rsidR="00AC40FC" w:rsidRDefault="00AC40FC" w:rsidP="002708E8">
      <w:pPr>
        <w:pStyle w:val="Findings"/>
      </w:pPr>
      <w:r>
        <w:t xml:space="preserve">The CIO is </w:t>
      </w:r>
      <w:r w:rsidRPr="002708E8">
        <w:t>taking</w:t>
      </w:r>
      <w:r>
        <w:t xml:space="preserve"> appropriate measures to restructure the IT organization to achieve greater efficiency and improved performance in conjunction with the LKE SC and PPL SC synergy initiative.</w:t>
      </w:r>
    </w:p>
    <w:p w:rsidR="00AC40FC" w:rsidRDefault="00AC40FC" w:rsidP="00581946">
      <w:r w:rsidRPr="00592983">
        <w:rPr>
          <w:rFonts w:cs="Arial"/>
          <w:szCs w:val="24"/>
        </w:rPr>
        <w:t xml:space="preserve">In November 2015, </w:t>
      </w:r>
      <w:r>
        <w:rPr>
          <w:rFonts w:cs="Arial"/>
          <w:szCs w:val="24"/>
        </w:rPr>
        <w:t xml:space="preserve">as part of an initiative to capture synergies from the merger between PPL Corporation and LKE, </w:t>
      </w:r>
      <w:r w:rsidRPr="00592983">
        <w:rPr>
          <w:rFonts w:cs="Arial"/>
          <w:szCs w:val="24"/>
        </w:rPr>
        <w:t xml:space="preserve">the CIO took steps to reorganize the domestic IT functions </w:t>
      </w:r>
      <w:r>
        <w:rPr>
          <w:rFonts w:cs="Arial"/>
          <w:szCs w:val="24"/>
        </w:rPr>
        <w:t>by merging the Pennsylvania and Kentucky</w:t>
      </w:r>
      <w:r w:rsidRPr="00592983">
        <w:rPr>
          <w:rFonts w:cs="Arial"/>
          <w:szCs w:val="24"/>
        </w:rPr>
        <w:t xml:space="preserve"> IT organizations</w:t>
      </w:r>
      <w:r>
        <w:rPr>
          <w:rFonts w:cs="Arial"/>
          <w:szCs w:val="24"/>
        </w:rPr>
        <w:t xml:space="preserve"> at the top level</w:t>
      </w:r>
      <w:r w:rsidRPr="00592983">
        <w:rPr>
          <w:rFonts w:cs="Arial"/>
          <w:szCs w:val="24"/>
        </w:rPr>
        <w:t xml:space="preserve">.  Under the </w:t>
      </w:r>
      <w:r w:rsidRPr="00592983">
        <w:rPr>
          <w:rFonts w:cs="Arial"/>
          <w:szCs w:val="24"/>
        </w:rPr>
        <w:lastRenderedPageBreak/>
        <w:t>reorganization, similar IT functions being performed in the two locations are now led by a single director, manager</w:t>
      </w:r>
      <w:r>
        <w:rPr>
          <w:rFonts w:cs="Arial"/>
          <w:szCs w:val="24"/>
        </w:rPr>
        <w:t>,</w:t>
      </w:r>
      <w:r w:rsidRPr="00592983">
        <w:rPr>
          <w:rFonts w:cs="Arial"/>
          <w:szCs w:val="24"/>
        </w:rPr>
        <w:t xml:space="preserve"> or supervisor,</w:t>
      </w:r>
      <w:r>
        <w:rPr>
          <w:rFonts w:cs="Arial"/>
          <w:szCs w:val="24"/>
        </w:rPr>
        <w:t xml:space="preserve"> as appropriate.  Thus, some of the</w:t>
      </w:r>
      <w:r w:rsidRPr="00592983">
        <w:rPr>
          <w:rFonts w:cs="Arial"/>
          <w:szCs w:val="24"/>
        </w:rPr>
        <w:t xml:space="preserve"> duplication </w:t>
      </w:r>
      <w:r>
        <w:rPr>
          <w:rFonts w:cs="Arial"/>
          <w:szCs w:val="24"/>
        </w:rPr>
        <w:t>of management and supervision for individual functions has been</w:t>
      </w:r>
      <w:r w:rsidRPr="00592983">
        <w:rPr>
          <w:rFonts w:cs="Arial"/>
          <w:szCs w:val="24"/>
        </w:rPr>
        <w:t xml:space="preserve"> eliminated.  </w:t>
      </w:r>
    </w:p>
    <w:p w:rsidR="00AC40FC" w:rsidRDefault="00AC40FC" w:rsidP="00B306CB">
      <w:pPr>
        <w:pStyle w:val="Findings"/>
        <w:keepNext/>
      </w:pPr>
      <w:r>
        <w:t xml:space="preserve">The </w:t>
      </w:r>
      <w:r w:rsidRPr="002708E8">
        <w:t>planned</w:t>
      </w:r>
      <w:r>
        <w:t xml:space="preserve"> attrition of PPL EUS Facilities Management janitorial and training staffs is appropriate.</w:t>
      </w:r>
    </w:p>
    <w:p w:rsidR="00AC40FC" w:rsidRDefault="00AC40FC" w:rsidP="00581946">
      <w:r>
        <w:t>Facilities Management plans to continue to attrit 10 to 12 janitorial positions as openings occur.  Contracting is generally a more cost effective and efficient means to provide this non-core function.</w:t>
      </w:r>
    </w:p>
    <w:p w:rsidR="00AC40FC" w:rsidRDefault="00AC40FC" w:rsidP="002708E8">
      <w:pPr>
        <w:pStyle w:val="Findings"/>
      </w:pPr>
      <w:r>
        <w:t xml:space="preserve">The </w:t>
      </w:r>
      <w:r w:rsidRPr="002708E8">
        <w:t>use</w:t>
      </w:r>
      <w:r>
        <w:t xml:space="preserve"> of contractors is focused in non-core areas of specialized expertise and part time needs.</w:t>
      </w:r>
    </w:p>
    <w:p w:rsidR="00AC40FC" w:rsidRDefault="00AC40FC" w:rsidP="00581946">
      <w:r>
        <w:t xml:space="preserve">The departments are generally taking a traditional approach to contracting.  Contractors are utilized for short term, part time, and specialized needs.  Some contracting is used for staff augmentation to support the in-house staff during workload peaks. </w:t>
      </w:r>
    </w:p>
    <w:p w:rsidR="00AC40FC" w:rsidRDefault="00AC40FC" w:rsidP="002708E8">
      <w:pPr>
        <w:pStyle w:val="Findings"/>
      </w:pPr>
      <w:r w:rsidRPr="002708E8">
        <w:t>Facilities</w:t>
      </w:r>
      <w:r>
        <w:t xml:space="preserve"> Management is developing training to improve skill sets and knowledge transfer among the maintenance staff.</w:t>
      </w:r>
    </w:p>
    <w:p w:rsidR="00AC40FC" w:rsidRDefault="00AC40FC" w:rsidP="00581946">
      <w:r>
        <w:t>The new Facilities Management Director identified a gap in maintaining and growing the skill sets among the maintenance positions.  Training programs are being developed to develop and broaden electrical, plumbing, and mechanical skill sets.  The staff is also being encouraged to obtain tradecraft certifications.  Implementation of these efforts will help improve the overall effectiveness of the maintenance staff and address knowledge transfer as attrition occurs.</w:t>
      </w:r>
    </w:p>
    <w:p w:rsidR="00AC40FC" w:rsidRDefault="00AC40FC" w:rsidP="00BB665B">
      <w:pPr>
        <w:pStyle w:val="Heading-forToC"/>
      </w:pPr>
      <w:bookmarkStart w:id="432" w:name="_Toc462647919"/>
      <w:bookmarkStart w:id="433" w:name="_Toc464552158"/>
      <w:r>
        <w:t>Recommendations</w:t>
      </w:r>
      <w:bookmarkEnd w:id="432"/>
      <w:bookmarkEnd w:id="433"/>
    </w:p>
    <w:p w:rsidR="00AC40FC" w:rsidRDefault="00AC40FC" w:rsidP="00581946">
      <w:r>
        <w:t>None</w:t>
      </w:r>
    </w:p>
    <w:p w:rsidR="00AC40FC" w:rsidRDefault="00AC40FC" w:rsidP="004F00E5">
      <w:pPr>
        <w:pStyle w:val="Heading2"/>
        <w:numPr>
          <w:ilvl w:val="0"/>
          <w:numId w:val="113"/>
        </w:numPr>
      </w:pPr>
      <w:bookmarkStart w:id="434" w:name="_Toc462647920"/>
      <w:bookmarkStart w:id="435" w:name="_Toc464552159"/>
      <w:r>
        <w:t>Enterprise-wide</w:t>
      </w:r>
      <w:bookmarkEnd w:id="434"/>
      <w:bookmarkEnd w:id="435"/>
    </w:p>
    <w:p w:rsidR="00AC40FC" w:rsidRDefault="00AC40FC" w:rsidP="00BB665B">
      <w:pPr>
        <w:pStyle w:val="Heading-forToC"/>
      </w:pPr>
      <w:bookmarkStart w:id="436" w:name="_Toc462647921"/>
      <w:bookmarkStart w:id="437" w:name="_Toc464552160"/>
      <w:r>
        <w:t>Background</w:t>
      </w:r>
      <w:bookmarkEnd w:id="436"/>
      <w:bookmarkEnd w:id="437"/>
    </w:p>
    <w:p w:rsidR="00AC40FC" w:rsidRDefault="00AC40FC" w:rsidP="00581946">
      <w:r>
        <w:t>This section presents findings and recommendations that are generally applicable to PPL EU, PPL EUS, and PPL SC.</w:t>
      </w:r>
    </w:p>
    <w:p w:rsidR="00AC40FC" w:rsidRDefault="00AC40FC" w:rsidP="00BB665B">
      <w:pPr>
        <w:pStyle w:val="Heading-forToC"/>
      </w:pPr>
      <w:bookmarkStart w:id="438" w:name="_Toc462647922"/>
      <w:bookmarkStart w:id="439" w:name="_Toc464552161"/>
      <w:r>
        <w:t>findings</w:t>
      </w:r>
      <w:bookmarkEnd w:id="438"/>
      <w:bookmarkEnd w:id="439"/>
    </w:p>
    <w:p w:rsidR="00AC40FC" w:rsidRDefault="00AC40FC" w:rsidP="004F00E5">
      <w:pPr>
        <w:pStyle w:val="Findings"/>
        <w:numPr>
          <w:ilvl w:val="0"/>
          <w:numId w:val="143"/>
        </w:numPr>
      </w:pPr>
      <w:r w:rsidRPr="002708E8">
        <w:t>PPL</w:t>
      </w:r>
      <w:r>
        <w:t xml:space="preserve"> Corporation has a good employee position and contractor cost budgeting system but it is not preceded by a consistent workforce planning process.</w:t>
      </w:r>
    </w:p>
    <w:p w:rsidR="00AC40FC" w:rsidRDefault="00AC40FC" w:rsidP="00581946">
      <w:r>
        <w:t>The budgeting system requires five year forecasted employee positions and contractor payments for both O&amp;M and capital expenditures by SRC.  This is a good practice.  However, as noted in the prior sections of this chapter, PPL Corporation does not have a companion workforce planning process to develop the future employee position and contractor needs.  As a result, the employee and contractor projections in the budget are treated as a financial planning effort and are not directly related to any workforce planning efforts in most organizational units.</w:t>
      </w:r>
    </w:p>
    <w:p w:rsidR="00AC40FC" w:rsidRDefault="00AC40FC" w:rsidP="00581946">
      <w:r>
        <w:t xml:space="preserve">Workforce planning has to be function specific because the type of work to be done is generally unique to each organizational functional unit.  For example, engineering work </w:t>
      </w:r>
      <w:r>
        <w:lastRenderedPageBreak/>
        <w:t>is different than accounting work.  However, there can be a consistent workforce planning process within a large organization that all functions can follow.  The overall workforce planning process should include:</w:t>
      </w:r>
    </w:p>
    <w:p w:rsidR="00AC40FC" w:rsidRDefault="00AC40FC" w:rsidP="00581946">
      <w:pPr>
        <w:pStyle w:val="Bullet"/>
      </w:pPr>
      <w:r>
        <w:t>Inclusion of both employee and contractor components of the workforce</w:t>
      </w:r>
    </w:p>
    <w:p w:rsidR="00AC40FC" w:rsidRDefault="00AC40FC" w:rsidP="00581946">
      <w:pPr>
        <w:pStyle w:val="Bullet"/>
      </w:pPr>
      <w:r>
        <w:t>Analysis of the relative costs, productivity, and work quality of employees and contractors</w:t>
      </w:r>
    </w:p>
    <w:p w:rsidR="00AC40FC" w:rsidRDefault="00AC40FC" w:rsidP="00581946">
      <w:pPr>
        <w:pStyle w:val="Bullet"/>
      </w:pPr>
      <w:r>
        <w:t>Inclusion of both capital and expense work</w:t>
      </w:r>
    </w:p>
    <w:p w:rsidR="00AC40FC" w:rsidRDefault="00AC40FC" w:rsidP="00581946">
      <w:pPr>
        <w:pStyle w:val="Bullet"/>
      </w:pPr>
      <w:r>
        <w:t>Recognition of the mix of unique project work (e.g., engineering a new transmission line) and repetitive task work (e.g., processing a customer payment)</w:t>
      </w:r>
    </w:p>
    <w:p w:rsidR="00AC40FC" w:rsidRDefault="00AC40FC" w:rsidP="00581946">
      <w:pPr>
        <w:pStyle w:val="Bullet"/>
      </w:pPr>
      <w:r>
        <w:t>Quantified workload indicators of both future project work and task work with at least five years of projected workloads by organizational unit</w:t>
      </w:r>
    </w:p>
    <w:p w:rsidR="00AC40FC" w:rsidRDefault="00AC40FC" w:rsidP="00581946">
      <w:pPr>
        <w:pStyle w:val="Bullet"/>
      </w:pPr>
      <w:r>
        <w:t>Consideration of anticipated changes in technology, information systems, and work processes and any required improvements in service levels</w:t>
      </w:r>
    </w:p>
    <w:p w:rsidR="00AC40FC" w:rsidRDefault="00AC40FC" w:rsidP="00581946">
      <w:pPr>
        <w:pStyle w:val="Bullet"/>
      </w:pPr>
      <w:r>
        <w:t>Consideration of core competency and institutional knowledge factors</w:t>
      </w:r>
    </w:p>
    <w:p w:rsidR="00AC40FC" w:rsidRDefault="00AC40FC" w:rsidP="00581946">
      <w:pPr>
        <w:pStyle w:val="Normal-aftertable"/>
      </w:pPr>
      <w:r>
        <w:t>A general workforce planning process that can be applied as appropriate to each work unit would facilitate communication about future employee and contractor needs.</w:t>
      </w:r>
    </w:p>
    <w:p w:rsidR="00AC40FC" w:rsidRDefault="00AC40FC" w:rsidP="002708E8">
      <w:pPr>
        <w:pStyle w:val="Findings"/>
      </w:pPr>
      <w:r>
        <w:t>PPL EU, PPL EUS, and PPL SC are inconsistent in the use of staffing, cost, and benchmarking studies for workforce planning.</w:t>
      </w:r>
    </w:p>
    <w:p w:rsidR="00AC40FC" w:rsidRDefault="00AC40FC" w:rsidP="00581946">
      <w:r>
        <w:t>There has been good use of staffing studies within PPL EU and PPL SC:</w:t>
      </w:r>
    </w:p>
    <w:p w:rsidR="00AC40FC" w:rsidRDefault="00AC40FC" w:rsidP="00581946">
      <w:pPr>
        <w:pStyle w:val="Bullet"/>
      </w:pPr>
      <w:r>
        <w:t xml:space="preserve">Distribution Operations is using a staffing study to guide its long-term workforce planning. </w:t>
      </w:r>
    </w:p>
    <w:p w:rsidR="00AC40FC" w:rsidRDefault="00AC40FC" w:rsidP="00581946">
      <w:pPr>
        <w:pStyle w:val="Bullet"/>
      </w:pPr>
      <w:r>
        <w:t>IT utilized an organization and staffing study to guide its LKE SC and PPL SC management consolidation.</w:t>
      </w:r>
    </w:p>
    <w:p w:rsidR="00AC40FC" w:rsidRDefault="00AC40FC" w:rsidP="00581946">
      <w:pPr>
        <w:pStyle w:val="Normal-aftertable"/>
      </w:pPr>
      <w:r>
        <w:t>There are other examples of cost studies that have guided workforce planning, such as:</w:t>
      </w:r>
    </w:p>
    <w:p w:rsidR="00AC40FC" w:rsidRDefault="00AC40FC" w:rsidP="00581946">
      <w:pPr>
        <w:pStyle w:val="Bullet"/>
      </w:pPr>
      <w:r>
        <w:t>A cost study related to the Talen spinoff that calculated the amount of cost reductions needed in PPL SC to not increase the overhead costs to PPL EU.  Because most of the PPL SC costs are labor related, the cost reduction targets translated to position reduction targets in most functional units.</w:t>
      </w:r>
    </w:p>
    <w:p w:rsidR="00AC40FC" w:rsidRDefault="00AC40FC" w:rsidP="00581946">
      <w:pPr>
        <w:pStyle w:val="Bullet"/>
      </w:pPr>
      <w:r>
        <w:t>PPL EU did a rate case related cost benchmarking study in March of 2015.  The findings also guided functional workforce planning efforts in PPL EU and PPL EUS.</w:t>
      </w:r>
    </w:p>
    <w:p w:rsidR="00AC40FC" w:rsidRDefault="00AC40FC" w:rsidP="00581946">
      <w:pPr>
        <w:pStyle w:val="Normal-aftertable"/>
      </w:pPr>
      <w:r>
        <w:t>There have also been several informal benchmarking efforts that included staffing information by:</w:t>
      </w:r>
    </w:p>
    <w:p w:rsidR="00AC40FC" w:rsidRDefault="00AC40FC" w:rsidP="00581946">
      <w:pPr>
        <w:pStyle w:val="Bullet"/>
      </w:pPr>
      <w:r>
        <w:t xml:space="preserve">Supply Chain </w:t>
      </w:r>
    </w:p>
    <w:p w:rsidR="00AC40FC" w:rsidRDefault="00AC40FC" w:rsidP="00581946">
      <w:pPr>
        <w:pStyle w:val="Bullet"/>
      </w:pPr>
      <w:r>
        <w:t xml:space="preserve">Fleet Management </w:t>
      </w:r>
    </w:p>
    <w:p w:rsidR="00AC40FC" w:rsidRDefault="00AC40FC" w:rsidP="00581946">
      <w:pPr>
        <w:pStyle w:val="Bullet"/>
      </w:pPr>
      <w:r>
        <w:t>Public Affairs</w:t>
      </w:r>
    </w:p>
    <w:p w:rsidR="00AC40FC" w:rsidRDefault="00AC40FC" w:rsidP="00581946">
      <w:pPr>
        <w:pStyle w:val="Bullet"/>
      </w:pPr>
      <w:r>
        <w:t>Corporate Communications</w:t>
      </w:r>
    </w:p>
    <w:p w:rsidR="00AC40FC" w:rsidRDefault="00AC40FC" w:rsidP="00581946">
      <w:pPr>
        <w:pStyle w:val="Normal-aftertable"/>
      </w:pPr>
      <w:r>
        <w:t>Additionally, there have been internal analyses performed and new tools developed for workforce planning, including:</w:t>
      </w:r>
    </w:p>
    <w:p w:rsidR="00AC40FC" w:rsidRDefault="00AC40FC" w:rsidP="00581946">
      <w:pPr>
        <w:pStyle w:val="Bullet"/>
      </w:pPr>
      <w:r>
        <w:lastRenderedPageBreak/>
        <w:t>Customer Services chartered a new unit that is developing and implementing call center workforce planning tools</w:t>
      </w:r>
    </w:p>
    <w:p w:rsidR="00AC40FC" w:rsidRDefault="00AC40FC" w:rsidP="00581946">
      <w:pPr>
        <w:pStyle w:val="Bullet"/>
      </w:pPr>
      <w:r>
        <w:t>Distribution Operations has developed a succession planning process that guides its workforce planning</w:t>
      </w:r>
    </w:p>
    <w:p w:rsidR="00AC40FC" w:rsidRDefault="00AC40FC" w:rsidP="00581946">
      <w:pPr>
        <w:pStyle w:val="Normal-aftertable"/>
      </w:pPr>
      <w:r>
        <w:t>However, other important areas, such as, Transmission and Substations and the Office of General Counsel, have not participated in staffing related studies.</w:t>
      </w:r>
    </w:p>
    <w:p w:rsidR="00AC40FC" w:rsidRDefault="00AC40FC" w:rsidP="00581946">
      <w:r>
        <w:t>It is a good practice to participate in benchmarking studies including staffing information at least every three years to guide workforce planning.</w:t>
      </w:r>
    </w:p>
    <w:p w:rsidR="00AC40FC" w:rsidRPr="00685862" w:rsidRDefault="00AC40FC" w:rsidP="002708E8">
      <w:pPr>
        <w:pStyle w:val="Findings"/>
      </w:pPr>
      <w:r w:rsidRPr="00685862">
        <w:t xml:space="preserve">The respective cost of contractors versus in-house staff has not been </w:t>
      </w:r>
      <w:r>
        <w:t xml:space="preserve">formally </w:t>
      </w:r>
      <w:r w:rsidRPr="00685862">
        <w:t>evaluated in most areas.</w:t>
      </w:r>
    </w:p>
    <w:p w:rsidR="00AC40FC" w:rsidRDefault="00AC40FC" w:rsidP="00581946">
      <w:r>
        <w:t>Contractors are used, or could be used, by almost all PPL EU, PPL EUS, and PPL SC work units.  As part of the workforce planning process, the use of employees or contractors should be regularly reconsidered for each work category.  However,</w:t>
      </w:r>
      <w:r w:rsidRPr="00D67D73">
        <w:t xml:space="preserve"> </w:t>
      </w:r>
      <w:r>
        <w:t>the full costs of employees in a format directly comparable to contractor costs are generally not available</w:t>
      </w:r>
      <w:r w:rsidRPr="00D67D73">
        <w:t>.</w:t>
      </w:r>
      <w:r>
        <w:t xml:space="preserve">  To do an employee versus contractor comparison, the full cost of employees must be calculated in the format the contractors use for charging clients.  </w:t>
      </w:r>
    </w:p>
    <w:p w:rsidR="00AC40FC" w:rsidRDefault="00AC40FC" w:rsidP="00581946">
      <w:r>
        <w:t xml:space="preserve">For example, contractors often price services based upon “billable hours,” that is, the amount of hours directly worked for the client.  Billable hours exclude vacation, holiday, sick leave, training, and administrative time not spent on client work.  The employee versus contractor comparison challenge in this case is to convert employee cost into cost per billable hour.  </w:t>
      </w:r>
    </w:p>
    <w:p w:rsidR="00AC40FC" w:rsidRDefault="00AC40FC" w:rsidP="00581946">
      <w:r>
        <w:t>To calculate employee billable hours, all costs of having employees must be considered, including HR costs, facilities, information technology, and any other costs of having an employee that are not already included in overhead rates.  Then, the number of billable hours for employees must be calculated by subtracting hours that are not spent on directly productive work, similar to what contractors would charge for.  For example, if contract crew work billable time starts at the job site while employee paid time starts at the work center, the travel time to the job site must be deducted in the billable hours calculation.</w:t>
      </w:r>
    </w:p>
    <w:p w:rsidR="00AC40FC" w:rsidRDefault="00AC40FC" w:rsidP="00581946">
      <w:r>
        <w:t>In other cases, contractors may bill on “crew hours,” such as a three person crew including equipment and minor materials.  If</w:t>
      </w:r>
      <w:r w:rsidRPr="00D67D73">
        <w:t xml:space="preserve"> </w:t>
      </w:r>
      <w:r>
        <w:t>this is the way contractors charge, then the employee crew costs should be calculated on a directly comparable basis.</w:t>
      </w:r>
    </w:p>
    <w:p w:rsidR="00AC40FC" w:rsidRDefault="00AC40FC" w:rsidP="00581946">
      <w:r>
        <w:t>Contractors may also bill on a unit basis, such as feet of trench or payment processed.  If this is the case, the comparable cost per unit of employees doing the work must be calculated.</w:t>
      </w:r>
      <w:r w:rsidRPr="00D67D73">
        <w:t xml:space="preserve"> </w:t>
      </w:r>
    </w:p>
    <w:p w:rsidR="00AC40FC" w:rsidRDefault="00AC40FC" w:rsidP="00581946">
      <w:r>
        <w:t>Any productivity or work quality differences between employees and contractors should also be considered.  Another consideration is core competencies and institutional knowledge.  It may be prudent to retain some employees even when contractors have a significant cost advantage to retain core competencies and build institutional knowledge.</w:t>
      </w:r>
    </w:p>
    <w:p w:rsidR="00AC40FC" w:rsidRDefault="00AC40FC" w:rsidP="00BB665B">
      <w:pPr>
        <w:pStyle w:val="Heading-forToC"/>
      </w:pPr>
      <w:bookmarkStart w:id="440" w:name="_Toc462647923"/>
      <w:bookmarkStart w:id="441" w:name="_Toc464552162"/>
      <w:r>
        <w:lastRenderedPageBreak/>
        <w:t>recommendations</w:t>
      </w:r>
      <w:bookmarkEnd w:id="440"/>
      <w:bookmarkEnd w:id="441"/>
    </w:p>
    <w:p w:rsidR="00AC40FC" w:rsidRDefault="00AC40FC" w:rsidP="004F00E5">
      <w:pPr>
        <w:pStyle w:val="Findings"/>
        <w:numPr>
          <w:ilvl w:val="0"/>
          <w:numId w:val="144"/>
        </w:numPr>
      </w:pPr>
      <w:r w:rsidRPr="002708E8">
        <w:t>Implement</w:t>
      </w:r>
      <w:r>
        <w:t xml:space="preserve"> a PPL Corporation level workforce planning process to precede the budgeting process for PPL EU, PPL SC, and PPL EUS.  (See Finding 1)</w:t>
      </w:r>
    </w:p>
    <w:p w:rsidR="00AC40FC" w:rsidRDefault="00AC40FC" w:rsidP="00581946">
      <w:r>
        <w:t>A good workforce planning process should include employee positions as well as contractors and consultants.  It should have a strong emphasis on achieving the lowest total long-term labor cost but should be adjusted as necessary to maintain core competencies and institutional knowledge.  The workforce planning process should anticipate changes in workload, technology, work processes, organization structure, and employee and contractor economics.  The workforce planning process should precede the budgeting process.</w:t>
      </w:r>
    </w:p>
    <w:p w:rsidR="00AC40FC" w:rsidRDefault="00AC40FC" w:rsidP="002708E8">
      <w:pPr>
        <w:pStyle w:val="Findings"/>
      </w:pPr>
      <w:r>
        <w:t xml:space="preserve"> Conduct a staffing study or participate in a benchmarking study that </w:t>
      </w:r>
      <w:r w:rsidRPr="002708E8">
        <w:t>evaluates</w:t>
      </w:r>
      <w:r>
        <w:t xml:space="preserve"> staffing levels or labor cost at least every three years.  (see Finding 2)</w:t>
      </w:r>
    </w:p>
    <w:p w:rsidR="00AC40FC" w:rsidRDefault="00AC40FC" w:rsidP="00581946">
      <w:r>
        <w:t>Each functional unit in PPL EU, PPL EUS, and PPL SC should periodically participate in a benchmarking or staffing study to evaluating staffing levels or labor cost.  PPL EU’s goal of first quartile performance in all categories requires determining relative performance against peers.  Benchmarking studies that include staffing levels or labor costs are a good way to determine relative performance and identify opportunities for improvement, particularly with workforce planning decisions.  Periodic participation in benchmarking studies is also a good practice overall.</w:t>
      </w:r>
    </w:p>
    <w:p w:rsidR="00AC40FC" w:rsidRDefault="00AC40FC" w:rsidP="00581946">
      <w:r>
        <w:t>If benchmarking studies that include staffing levels or labor costs are not readily available for a function, staffing studies should be chartered to assess the labor costs for the function and the employee and contractor mix.</w:t>
      </w:r>
    </w:p>
    <w:p w:rsidR="00AC40FC" w:rsidRDefault="00AC40FC" w:rsidP="002708E8">
      <w:pPr>
        <w:pStyle w:val="Findings"/>
      </w:pPr>
      <w:r>
        <w:t xml:space="preserve">Reevaluate the employee and contractor mix in each function on a directly </w:t>
      </w:r>
      <w:r w:rsidRPr="002708E8">
        <w:t>comparable</w:t>
      </w:r>
      <w:r>
        <w:t xml:space="preserve"> basis during each annual workforce planning process.  (See Finding 3)</w:t>
      </w:r>
    </w:p>
    <w:p w:rsidR="00AC40FC" w:rsidRDefault="00AC40FC" w:rsidP="00581946">
      <w:r>
        <w:t xml:space="preserve">The reevaluation of the employee and contractor mix should be a part of the annual workforce planning process.  Employee costs for each function should be compared to contractor costs on the basis by which the contractors charge for the services.  For example, if the contractor charges on billable hours, the employee costs should be calculated on a comparable basis using all of the costs of having employees divided by the hours that would be charged to a client.  Where significant effort is required to calculate employee and contractor costs, the comparable cost calculations should be updated at least every three years.  </w:t>
      </w:r>
    </w:p>
    <w:p w:rsidR="00AC40FC" w:rsidRDefault="00AC40FC" w:rsidP="00581946">
      <w:r>
        <w:t xml:space="preserve">Additional considerations should include productivity and work quality differences between employees and contractors and the preservation of core competencies and the development of institutional knowledge.    </w:t>
      </w:r>
    </w:p>
    <w:p w:rsidR="00AC40FC" w:rsidRDefault="00AC40FC" w:rsidP="00E142EC"/>
    <w:p w:rsidR="00AC40FC" w:rsidRDefault="00AC40FC" w:rsidP="00E142EC">
      <w:pPr>
        <w:sectPr w:rsidR="00AC40FC" w:rsidSect="00681434">
          <w:footerReference w:type="default" r:id="rId90"/>
          <w:type w:val="continuous"/>
          <w:pgSz w:w="12240" w:h="15840"/>
          <w:pgMar w:top="1440" w:right="1440" w:bottom="1440" w:left="1440" w:header="720" w:footer="576" w:gutter="0"/>
          <w:cols w:space="720"/>
          <w:docGrid w:linePitch="360"/>
        </w:sectPr>
      </w:pPr>
    </w:p>
    <w:p w:rsidR="00AC40FC" w:rsidRPr="004E114A" w:rsidRDefault="00AC40FC" w:rsidP="00AC40FC">
      <w:pPr>
        <w:pStyle w:val="Heading1"/>
        <w:ind w:left="720"/>
      </w:pPr>
      <w:bookmarkStart w:id="442" w:name="_Toc462647924"/>
      <w:bookmarkStart w:id="443" w:name="_Toc464552163"/>
      <w:r>
        <w:lastRenderedPageBreak/>
        <w:t>Merger Synergy Opportunities</w:t>
      </w:r>
      <w:bookmarkEnd w:id="442"/>
      <w:bookmarkEnd w:id="443"/>
    </w:p>
    <w:p w:rsidR="00AC40FC" w:rsidRPr="004E114A" w:rsidRDefault="00AC40FC" w:rsidP="004E114A">
      <w:r w:rsidRPr="004E114A">
        <w:t xml:space="preserve">During Phases I and II of this management audit, it was discovered that synergies were not part of the justification for the PPL Corporation acquisition of E.ON U.S. LLC (E.ON U.S.), since renamed LG&amp;E and KU Energy, LLC (LKE), and that only limited efforts had been made to identify and capture merger synergies between the Pennsylvania and Kentucky utility operations.  This chapter contains an analysis of the potential synergies between the PPL Corporation Pennsylvania and Kentucky utility operations that may benefit PPL Electric Utilities Corporation (PPL EU) ratepayers.  </w:t>
      </w:r>
    </w:p>
    <w:p w:rsidR="00AC40FC" w:rsidRPr="004E114A" w:rsidRDefault="00AC40FC" w:rsidP="004E114A">
      <w:r w:rsidRPr="004E114A">
        <w:t>PPL Corporation acquired LKE in 2010.  LKE has two utility operating companies with electric transmission and distribution systems similar to PPL EU:</w:t>
      </w:r>
    </w:p>
    <w:p w:rsidR="00AC40FC" w:rsidRPr="004E114A" w:rsidRDefault="00AC40FC" w:rsidP="004E114A">
      <w:pPr>
        <w:pStyle w:val="Bullet"/>
      </w:pPr>
      <w:r w:rsidRPr="004E114A">
        <w:t>Louisville Gas and Electric Company (LG&amp;E) serves 397,000 electric customers in Kentucky</w:t>
      </w:r>
    </w:p>
    <w:p w:rsidR="00AC40FC" w:rsidRPr="004E114A" w:rsidRDefault="00AC40FC" w:rsidP="004E114A">
      <w:pPr>
        <w:pStyle w:val="Bullet"/>
      </w:pPr>
      <w:r w:rsidRPr="004E114A">
        <w:t>Kentucky Utilities Company (KU) serves 543,000 electric customers in Kentucky, Virginia, and Tennessee</w:t>
      </w:r>
    </w:p>
    <w:p w:rsidR="00AC40FC" w:rsidRPr="004E114A" w:rsidRDefault="00AC40FC" w:rsidP="004E114A">
      <w:pPr>
        <w:spacing w:before="120"/>
      </w:pPr>
      <w:r w:rsidRPr="004E114A">
        <w:t xml:space="preserve">In addition, LG&amp;E and KU have regulated generation and LG&amp;E operates a natural gas local distribution service.  </w:t>
      </w:r>
    </w:p>
    <w:p w:rsidR="00AC40FC" w:rsidRPr="004E114A" w:rsidRDefault="00AC40FC" w:rsidP="004E114A">
      <w:r w:rsidRPr="004E114A">
        <w:t>Further, LKE has a service company, LG&amp;E and KU Services Company (LKE SC) that serves LG&amp;E, KU, and other LKE subsidiaries.  LKE SC was formed in 2000 in conjunction with the Powergen acquisition of LG&amp;E and KU Energy.  It continued through the 2002 acquisition of Powergen by E.ON and the 2010 acquisition of LKE by PPL Corporation in 2010.</w:t>
      </w:r>
      <w:r w:rsidR="00E5412E">
        <w:t xml:space="preserve">  </w:t>
      </w:r>
    </w:p>
    <w:p w:rsidR="00AC40FC" w:rsidRPr="004E114A" w:rsidRDefault="00AC40FC" w:rsidP="004E114A">
      <w:r w:rsidRPr="004E114A">
        <w:t>LKE SC is a fully consolidated service company including the following functions:</w:t>
      </w:r>
    </w:p>
    <w:p w:rsidR="00AC40FC" w:rsidRPr="004E114A" w:rsidRDefault="00AC40FC" w:rsidP="004E114A">
      <w:pPr>
        <w:pStyle w:val="Bullet"/>
      </w:pPr>
      <w:r w:rsidRPr="004E114A">
        <w:t>Executive Management</w:t>
      </w:r>
    </w:p>
    <w:p w:rsidR="00AC40FC" w:rsidRPr="004E114A" w:rsidRDefault="00AC40FC" w:rsidP="004E114A">
      <w:pPr>
        <w:pStyle w:val="Bullet"/>
      </w:pPr>
      <w:r w:rsidRPr="004E114A">
        <w:t>Generation</w:t>
      </w:r>
    </w:p>
    <w:p w:rsidR="00AC40FC" w:rsidRPr="004E114A" w:rsidRDefault="00AC40FC" w:rsidP="004E114A">
      <w:pPr>
        <w:pStyle w:val="Bullet"/>
      </w:pPr>
      <w:r w:rsidRPr="004E114A">
        <w:t>Transmission – most all employees are in LKE SC</w:t>
      </w:r>
    </w:p>
    <w:p w:rsidR="00AC40FC" w:rsidRPr="004E114A" w:rsidRDefault="00AC40FC" w:rsidP="004E114A">
      <w:pPr>
        <w:pStyle w:val="Bullet"/>
      </w:pPr>
      <w:r w:rsidRPr="004E114A">
        <w:t>Distribution – the management is in LKE SC but there are some LG&amp;E and KU operating company employees</w:t>
      </w:r>
    </w:p>
    <w:p w:rsidR="00AC40FC" w:rsidRPr="004E114A" w:rsidRDefault="00AC40FC" w:rsidP="004E114A">
      <w:pPr>
        <w:pStyle w:val="Bullet"/>
      </w:pPr>
      <w:r w:rsidRPr="004E114A">
        <w:t xml:space="preserve">Customer Services – most employees are in LKE SC </w:t>
      </w:r>
    </w:p>
    <w:p w:rsidR="00AC40FC" w:rsidRPr="004E114A" w:rsidRDefault="00AC40FC" w:rsidP="004E114A">
      <w:pPr>
        <w:pStyle w:val="Bullet"/>
      </w:pPr>
      <w:r w:rsidRPr="004E114A">
        <w:t>Shared Services - most employees are in LKE SC:</w:t>
      </w:r>
    </w:p>
    <w:p w:rsidR="00AC40FC" w:rsidRPr="004E114A" w:rsidRDefault="00AC40FC" w:rsidP="004E114A">
      <w:pPr>
        <w:pStyle w:val="Bullet-indent1"/>
      </w:pPr>
      <w:r w:rsidRPr="004E114A">
        <w:t>Legal</w:t>
      </w:r>
    </w:p>
    <w:p w:rsidR="00AC40FC" w:rsidRPr="004E114A" w:rsidRDefault="00AC40FC" w:rsidP="004E114A">
      <w:pPr>
        <w:pStyle w:val="Bullet-indent1"/>
      </w:pPr>
      <w:r w:rsidRPr="004E114A">
        <w:t xml:space="preserve">Internal Audit </w:t>
      </w:r>
    </w:p>
    <w:p w:rsidR="00AC40FC" w:rsidRPr="004E114A" w:rsidRDefault="00AC40FC" w:rsidP="004E114A">
      <w:pPr>
        <w:pStyle w:val="Bullet-indent1"/>
      </w:pPr>
      <w:r w:rsidRPr="004E114A">
        <w:t>Compliance</w:t>
      </w:r>
    </w:p>
    <w:p w:rsidR="00AC40FC" w:rsidRPr="004E114A" w:rsidRDefault="00AC40FC" w:rsidP="004E114A">
      <w:pPr>
        <w:pStyle w:val="Bullet-indent1"/>
      </w:pPr>
      <w:r w:rsidRPr="004E114A">
        <w:t>Finance</w:t>
      </w:r>
    </w:p>
    <w:p w:rsidR="00AC40FC" w:rsidRPr="004E114A" w:rsidRDefault="00AC40FC" w:rsidP="004E114A">
      <w:pPr>
        <w:pStyle w:val="Bullet-indent1"/>
      </w:pPr>
      <w:r w:rsidRPr="004E114A">
        <w:t>Accounting</w:t>
      </w:r>
    </w:p>
    <w:p w:rsidR="00AC40FC" w:rsidRPr="004E114A" w:rsidRDefault="00AC40FC" w:rsidP="004E114A">
      <w:pPr>
        <w:pStyle w:val="Bullet-indent1"/>
      </w:pPr>
      <w:r w:rsidRPr="004E114A">
        <w:t>Treasury</w:t>
      </w:r>
    </w:p>
    <w:p w:rsidR="00AC40FC" w:rsidRPr="004E114A" w:rsidRDefault="00AC40FC" w:rsidP="004E114A">
      <w:pPr>
        <w:pStyle w:val="Bullet-indent1"/>
      </w:pPr>
      <w:r w:rsidRPr="004E114A">
        <w:t>Finance</w:t>
      </w:r>
    </w:p>
    <w:p w:rsidR="00AC40FC" w:rsidRPr="004E114A" w:rsidRDefault="00AC40FC" w:rsidP="004E114A">
      <w:pPr>
        <w:pStyle w:val="Bullet-indent1"/>
      </w:pPr>
      <w:r w:rsidRPr="004E114A">
        <w:t>Human Resources</w:t>
      </w:r>
    </w:p>
    <w:p w:rsidR="00AC40FC" w:rsidRPr="004E114A" w:rsidRDefault="00AC40FC" w:rsidP="004E114A">
      <w:pPr>
        <w:pStyle w:val="Bullet-indent1"/>
      </w:pPr>
      <w:r w:rsidRPr="004E114A">
        <w:t>Supply Chain</w:t>
      </w:r>
    </w:p>
    <w:p w:rsidR="00AC40FC" w:rsidRPr="004E114A" w:rsidRDefault="00AC40FC" w:rsidP="004E114A">
      <w:pPr>
        <w:pStyle w:val="Bullet-indent1"/>
      </w:pPr>
      <w:r w:rsidRPr="004E114A">
        <w:t>Information Technology including Telecommunications</w:t>
      </w:r>
    </w:p>
    <w:p w:rsidR="00AC40FC" w:rsidRPr="004E114A" w:rsidRDefault="00AC40FC" w:rsidP="004E114A">
      <w:pPr>
        <w:pStyle w:val="Bullet-indent1"/>
      </w:pPr>
      <w:r w:rsidRPr="004E114A">
        <w:lastRenderedPageBreak/>
        <w:t>Communications – external and employee</w:t>
      </w:r>
    </w:p>
    <w:p w:rsidR="00AC40FC" w:rsidRPr="004E114A" w:rsidRDefault="00AC40FC" w:rsidP="004E114A">
      <w:pPr>
        <w:pStyle w:val="Bullet-indent1"/>
      </w:pPr>
      <w:r w:rsidRPr="004E114A">
        <w:t>Regulatory Affairs</w:t>
      </w:r>
    </w:p>
    <w:p w:rsidR="00AC40FC" w:rsidRPr="004E114A" w:rsidRDefault="00AC40FC" w:rsidP="004E114A">
      <w:pPr>
        <w:pStyle w:val="Bullet-indent1"/>
      </w:pPr>
      <w:r w:rsidRPr="004E114A">
        <w:t>Government Affairs</w:t>
      </w:r>
    </w:p>
    <w:p w:rsidR="00AC40FC" w:rsidRPr="004E114A" w:rsidRDefault="00AC40FC" w:rsidP="004E114A">
      <w:pPr>
        <w:pStyle w:val="Bullet-indent1"/>
      </w:pPr>
      <w:r w:rsidRPr="004E114A">
        <w:t>Safety – with additional safety representatives in the operating companies</w:t>
      </w:r>
    </w:p>
    <w:p w:rsidR="00AC40FC" w:rsidRPr="004E114A" w:rsidRDefault="00AC40FC" w:rsidP="004E114A">
      <w:pPr>
        <w:pStyle w:val="Bullet-indent1"/>
      </w:pPr>
      <w:r w:rsidRPr="004E114A">
        <w:t xml:space="preserve">Physical Security </w:t>
      </w:r>
    </w:p>
    <w:p w:rsidR="00AC40FC" w:rsidRPr="004E114A" w:rsidRDefault="00AC40FC" w:rsidP="004E114A">
      <w:r w:rsidRPr="004E114A">
        <w:t>This chapter includes the following sections.</w:t>
      </w:r>
    </w:p>
    <w:p w:rsidR="00AC40FC" w:rsidRPr="004E114A" w:rsidRDefault="00AC40FC" w:rsidP="005740A9">
      <w:pPr>
        <w:pStyle w:val="Normalindent"/>
      </w:pPr>
      <w:r>
        <w:t xml:space="preserve">A. </w:t>
      </w:r>
      <w:r w:rsidRPr="004E114A">
        <w:t>Merger Synergies Research</w:t>
      </w:r>
    </w:p>
    <w:p w:rsidR="00AC40FC" w:rsidRPr="004E114A" w:rsidRDefault="00AC40FC" w:rsidP="005740A9">
      <w:pPr>
        <w:pStyle w:val="Normalindent"/>
      </w:pPr>
      <w:r>
        <w:t xml:space="preserve">B. </w:t>
      </w:r>
      <w:r w:rsidRPr="004E114A">
        <w:t>Case Studies on Recent Merger Synergies</w:t>
      </w:r>
    </w:p>
    <w:p w:rsidR="00AC40FC" w:rsidRPr="004E114A" w:rsidRDefault="00AC40FC" w:rsidP="005740A9">
      <w:pPr>
        <w:pStyle w:val="Normalindent"/>
      </w:pPr>
      <w:r>
        <w:t xml:space="preserve">C. </w:t>
      </w:r>
      <w:r w:rsidRPr="004E114A">
        <w:t>PPL Corporation Merger with LKE</w:t>
      </w:r>
    </w:p>
    <w:p w:rsidR="00AC40FC" w:rsidRPr="004E114A" w:rsidRDefault="00AC40FC" w:rsidP="005740A9">
      <w:pPr>
        <w:pStyle w:val="Normalindent"/>
      </w:pPr>
      <w:r>
        <w:t xml:space="preserve">D. </w:t>
      </w:r>
      <w:r w:rsidRPr="004E114A">
        <w:t>PPL Corporation Merger Synergy Initiatives</w:t>
      </w:r>
    </w:p>
    <w:p w:rsidR="00AC40FC" w:rsidRPr="004E114A" w:rsidRDefault="00AC40FC" w:rsidP="005740A9">
      <w:pPr>
        <w:pStyle w:val="Normalindent"/>
      </w:pPr>
      <w:r>
        <w:t xml:space="preserve">E. </w:t>
      </w:r>
      <w:r w:rsidRPr="004E114A">
        <w:t xml:space="preserve">Findings </w:t>
      </w:r>
    </w:p>
    <w:p w:rsidR="00AC40FC" w:rsidRPr="004E114A" w:rsidRDefault="00AC40FC" w:rsidP="005740A9">
      <w:pPr>
        <w:pStyle w:val="Normalindent"/>
      </w:pPr>
      <w:r>
        <w:t xml:space="preserve">F. </w:t>
      </w:r>
      <w:r w:rsidRPr="004E114A">
        <w:t>Recommendations</w:t>
      </w:r>
    </w:p>
    <w:p w:rsidR="00AC40FC" w:rsidRPr="004E114A" w:rsidRDefault="00AC40FC" w:rsidP="004F00E5">
      <w:pPr>
        <w:pStyle w:val="Heading2"/>
        <w:numPr>
          <w:ilvl w:val="0"/>
          <w:numId w:val="145"/>
        </w:numPr>
      </w:pPr>
      <w:bookmarkStart w:id="444" w:name="_Toc462647925"/>
      <w:bookmarkStart w:id="445" w:name="_Toc464552164"/>
      <w:r w:rsidRPr="004E114A">
        <w:t>MERGER synergies research</w:t>
      </w:r>
      <w:bookmarkEnd w:id="444"/>
      <w:bookmarkEnd w:id="445"/>
    </w:p>
    <w:p w:rsidR="00AC40FC" w:rsidRPr="004E114A" w:rsidRDefault="00AC40FC" w:rsidP="004E114A">
      <w:r w:rsidRPr="004E114A">
        <w:t>This section summarizes publicly available information on the possible synergies and benefits to customers of utility company mergers.</w:t>
      </w:r>
    </w:p>
    <w:p w:rsidR="00AC40FC" w:rsidRPr="004E114A" w:rsidRDefault="00AC40FC" w:rsidP="004E114A">
      <w:pPr>
        <w:pStyle w:val="Heading30"/>
      </w:pPr>
      <w:r w:rsidRPr="004E114A">
        <w:t>black &amp; veaTch economies of scale and scope in electric utility mergers</w:t>
      </w:r>
    </w:p>
    <w:p w:rsidR="00AC40FC" w:rsidRPr="004E114A" w:rsidRDefault="00AC40FC" w:rsidP="004E114A">
      <w:r w:rsidRPr="004E114A">
        <w:t>This October 10, 2011 PowerPoint presentation covered several topics, including merger cost savings.  It listed potential sources of cost savings as:</w:t>
      </w:r>
    </w:p>
    <w:p w:rsidR="00AC40FC" w:rsidRPr="004E114A" w:rsidRDefault="00AC40FC" w:rsidP="004E114A">
      <w:pPr>
        <w:pStyle w:val="Bullet"/>
      </w:pPr>
      <w:r w:rsidRPr="004E114A">
        <w:t>Reduction in corporate positions</w:t>
      </w:r>
    </w:p>
    <w:p w:rsidR="00AC40FC" w:rsidRPr="004E114A" w:rsidRDefault="00AC40FC" w:rsidP="004E114A">
      <w:pPr>
        <w:pStyle w:val="Bullet"/>
      </w:pPr>
      <w:r w:rsidRPr="004E114A">
        <w:t>Reduction in transmission and distribution positions</w:t>
      </w:r>
    </w:p>
    <w:p w:rsidR="00AC40FC" w:rsidRPr="004E114A" w:rsidRDefault="00AC40FC" w:rsidP="004E114A">
      <w:pPr>
        <w:pStyle w:val="Bullet"/>
      </w:pPr>
      <w:r w:rsidRPr="004E114A">
        <w:t>Reduction in other operations positions</w:t>
      </w:r>
    </w:p>
    <w:p w:rsidR="00AC40FC" w:rsidRPr="004E114A" w:rsidRDefault="00AC40FC" w:rsidP="004E114A">
      <w:pPr>
        <w:pStyle w:val="Bullet"/>
      </w:pPr>
      <w:r w:rsidRPr="004E114A">
        <w:t>Reduction in corporate programs</w:t>
      </w:r>
    </w:p>
    <w:p w:rsidR="00AC40FC" w:rsidRPr="004E114A" w:rsidRDefault="00AC40FC" w:rsidP="004E114A">
      <w:pPr>
        <w:pStyle w:val="Bullet"/>
      </w:pPr>
      <w:r w:rsidRPr="004E114A">
        <w:t>Nonfuel purchasing economies</w:t>
      </w:r>
    </w:p>
    <w:p w:rsidR="00AC40FC" w:rsidRPr="004E114A" w:rsidRDefault="00AC40FC" w:rsidP="004E114A">
      <w:pPr>
        <w:pStyle w:val="Bullet"/>
      </w:pPr>
      <w:r w:rsidRPr="004E114A">
        <w:t>Avoided or deferred capital expenditures</w:t>
      </w:r>
    </w:p>
    <w:p w:rsidR="00AC40FC" w:rsidRPr="004E114A" w:rsidRDefault="00AC40FC" w:rsidP="004E114A">
      <w:pPr>
        <w:pStyle w:val="Bullet"/>
      </w:pPr>
      <w:r w:rsidRPr="004E114A">
        <w:t>Reduction in financing costs</w:t>
      </w:r>
    </w:p>
    <w:p w:rsidR="00AC40FC" w:rsidRPr="004E114A" w:rsidRDefault="00AC40FC" w:rsidP="004E114A">
      <w:pPr>
        <w:pStyle w:val="Bullet"/>
      </w:pPr>
      <w:r w:rsidRPr="004E114A">
        <w:t>Best practices implementation and process redesigns</w:t>
      </w:r>
    </w:p>
    <w:p w:rsidR="00AC40FC" w:rsidRPr="004E114A" w:rsidRDefault="00AC40FC" w:rsidP="004E114A">
      <w:pPr>
        <w:spacing w:before="120"/>
      </w:pPr>
      <w:r w:rsidRPr="004E114A">
        <w:t>These savings would be offset to some degree by the costs to achieve the savings.</w:t>
      </w:r>
    </w:p>
    <w:p w:rsidR="00AC40FC" w:rsidRPr="004E114A" w:rsidRDefault="00AC40FC" w:rsidP="004E114A">
      <w:pPr>
        <w:pStyle w:val="Heading40"/>
      </w:pPr>
      <w:r w:rsidRPr="004E114A">
        <w:t>Nonfuel Operations and Maintenance Expense Savings</w:t>
      </w:r>
    </w:p>
    <w:p w:rsidR="00AC40FC" w:rsidRPr="004E114A" w:rsidRDefault="00AC40FC" w:rsidP="004E114A">
      <w:r w:rsidRPr="004E114A">
        <w:t>In an analysis of 26 mergers, the study found that the range of announced synergies as a percent of utility nonfuel operations and maintenance expenses (O&amp;M) was 1% to 22%, with a median of 8%.  It also found that cost savings actually achieved within three years were between 120% and 200% of the announced synergies.</w:t>
      </w:r>
    </w:p>
    <w:p w:rsidR="00AC40FC" w:rsidRPr="004E114A" w:rsidRDefault="00AC40FC" w:rsidP="004E114A">
      <w:r w:rsidRPr="004E114A">
        <w:t xml:space="preserve">The median post-transaction changes in electric utility costs four years after the merger varied by function: </w:t>
      </w:r>
    </w:p>
    <w:p w:rsidR="00AC40FC" w:rsidRPr="004E114A" w:rsidRDefault="00AC40FC" w:rsidP="004E114A">
      <w:pPr>
        <w:pStyle w:val="Bullet"/>
      </w:pPr>
      <w:r w:rsidRPr="004E114A">
        <w:t>Transmission O&amp;M: -7%</w:t>
      </w:r>
    </w:p>
    <w:p w:rsidR="00AC40FC" w:rsidRPr="004E114A" w:rsidRDefault="00AC40FC" w:rsidP="004E114A">
      <w:pPr>
        <w:pStyle w:val="Bullet"/>
      </w:pPr>
      <w:r w:rsidRPr="004E114A">
        <w:t>Distribution O&amp;M: 0%</w:t>
      </w:r>
    </w:p>
    <w:p w:rsidR="00AC40FC" w:rsidRPr="004E114A" w:rsidRDefault="00AC40FC" w:rsidP="004E114A">
      <w:pPr>
        <w:pStyle w:val="Bullet"/>
      </w:pPr>
      <w:r w:rsidRPr="004E114A">
        <w:lastRenderedPageBreak/>
        <w:t>Customer Service: -4%</w:t>
      </w:r>
    </w:p>
    <w:p w:rsidR="00AC40FC" w:rsidRPr="004E114A" w:rsidRDefault="00AC40FC" w:rsidP="004E114A">
      <w:pPr>
        <w:pStyle w:val="Bullet"/>
      </w:pPr>
      <w:r w:rsidRPr="004E114A">
        <w:t>Administrative and General: -10%</w:t>
      </w:r>
    </w:p>
    <w:p w:rsidR="00AC40FC" w:rsidRDefault="00AC40FC" w:rsidP="004E114A">
      <w:pPr>
        <w:spacing w:before="120"/>
      </w:pPr>
      <w:r w:rsidRPr="004E114A">
        <w:t>Comparing the mean four year cost of 32 merged utilities to a control group of 19 non-merged utilities found that the mean four year cost changes were lower for the merged group as shown in the following table.</w:t>
      </w:r>
    </w:p>
    <w:p w:rsidR="00AC40FC" w:rsidRPr="004E114A" w:rsidRDefault="00AC40FC" w:rsidP="004E114A">
      <w:pPr>
        <w:pStyle w:val="Caption"/>
      </w:pPr>
      <w:bookmarkStart w:id="446" w:name="_Toc462648514"/>
      <w:bookmarkStart w:id="447" w:name="_Toc464553136"/>
      <w:r>
        <w:t xml:space="preserve">Exhibit </w:t>
      </w:r>
      <w:fldSimple w:instr=" STYLEREF 1 \s ">
        <w:r w:rsidR="00A24205">
          <w:rPr>
            <w:noProof/>
          </w:rPr>
          <w:t>XVI</w:t>
        </w:r>
      </w:fldSimple>
      <w:r w:rsidR="00264A1B">
        <w:noBreakHyphen/>
      </w:r>
      <w:fldSimple w:instr=" SEQ Exhibit \* ARABIC \s 1 ">
        <w:r w:rsidR="00A24205">
          <w:rPr>
            <w:noProof/>
          </w:rPr>
          <w:t>1</w:t>
        </w:r>
      </w:fldSimple>
      <w:r>
        <w:br/>
      </w:r>
      <w:r w:rsidRPr="004E114A">
        <w:t>Utility O&amp;M Cost Changes over Four Years (ye</w:t>
      </w:r>
      <w:r w:rsidR="00B7713A">
        <w:t>ar before to three years after)</w:t>
      </w:r>
      <w:r w:rsidRPr="004E114A">
        <w:br/>
        <w:t>for 32 Merged Utilities versus 19 Non-Merged Utilities</w:t>
      </w:r>
      <w:bookmarkEnd w:id="446"/>
      <w:bookmarkEnd w:id="4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15" w:type="dxa"/>
          <w:bottom w:w="14" w:type="dxa"/>
          <w:right w:w="115" w:type="dxa"/>
        </w:tblCellMar>
        <w:tblLook w:val="04A0"/>
      </w:tblPr>
      <w:tblGrid>
        <w:gridCol w:w="2214"/>
        <w:gridCol w:w="1800"/>
        <w:gridCol w:w="1890"/>
        <w:gridCol w:w="1620"/>
      </w:tblGrid>
      <w:tr w:rsidR="00AC40FC" w:rsidRPr="00D6083E" w:rsidTr="004E114A">
        <w:trPr>
          <w:cantSplit/>
          <w:tblHeader/>
          <w:jc w:val="center"/>
        </w:trPr>
        <w:tc>
          <w:tcPr>
            <w:tcW w:w="2214" w:type="dxa"/>
            <w:shd w:val="clear" w:color="auto" w:fill="A5CD7E"/>
            <w:vAlign w:val="center"/>
          </w:tcPr>
          <w:p w:rsidR="00AC40FC" w:rsidRPr="00D6083E" w:rsidRDefault="00AC40FC" w:rsidP="00D6083E">
            <w:pPr>
              <w:spacing w:before="120"/>
              <w:jc w:val="center"/>
              <w:rPr>
                <w:b/>
                <w:bCs/>
              </w:rPr>
            </w:pPr>
            <w:r w:rsidRPr="00D6083E">
              <w:rPr>
                <w:b/>
                <w:bCs/>
              </w:rPr>
              <w:t>Function</w:t>
            </w:r>
          </w:p>
        </w:tc>
        <w:tc>
          <w:tcPr>
            <w:tcW w:w="1800" w:type="dxa"/>
            <w:shd w:val="clear" w:color="auto" w:fill="A5CD7E"/>
            <w:vAlign w:val="center"/>
          </w:tcPr>
          <w:p w:rsidR="00AC40FC" w:rsidRPr="00D6083E" w:rsidRDefault="00AC40FC" w:rsidP="00D6083E">
            <w:pPr>
              <w:spacing w:before="120"/>
              <w:jc w:val="center"/>
              <w:rPr>
                <w:b/>
                <w:bCs/>
              </w:rPr>
            </w:pPr>
            <w:r w:rsidRPr="00D6083E">
              <w:rPr>
                <w:b/>
                <w:bCs/>
              </w:rPr>
              <w:t>Merger Group Cost</w:t>
            </w:r>
          </w:p>
        </w:tc>
        <w:tc>
          <w:tcPr>
            <w:tcW w:w="1890" w:type="dxa"/>
            <w:shd w:val="clear" w:color="auto" w:fill="A5CD7E"/>
            <w:vAlign w:val="center"/>
          </w:tcPr>
          <w:p w:rsidR="00AC40FC" w:rsidRPr="00D6083E" w:rsidRDefault="00AC40FC" w:rsidP="00D6083E">
            <w:pPr>
              <w:spacing w:before="120"/>
              <w:jc w:val="center"/>
              <w:rPr>
                <w:b/>
                <w:bCs/>
              </w:rPr>
            </w:pPr>
            <w:r w:rsidRPr="00D6083E">
              <w:rPr>
                <w:b/>
                <w:bCs/>
              </w:rPr>
              <w:t>Non-Merger Group Cost</w:t>
            </w:r>
          </w:p>
        </w:tc>
        <w:tc>
          <w:tcPr>
            <w:tcW w:w="1620" w:type="dxa"/>
            <w:shd w:val="clear" w:color="auto" w:fill="A5CD7E"/>
            <w:vAlign w:val="center"/>
          </w:tcPr>
          <w:p w:rsidR="00AC40FC" w:rsidRPr="00D6083E" w:rsidRDefault="00AC40FC" w:rsidP="00D6083E">
            <w:pPr>
              <w:spacing w:before="120"/>
              <w:jc w:val="center"/>
              <w:rPr>
                <w:b/>
                <w:bCs/>
              </w:rPr>
            </w:pPr>
            <w:r w:rsidRPr="00D6083E">
              <w:rPr>
                <w:b/>
                <w:bCs/>
              </w:rPr>
              <w:t>Difference</w:t>
            </w:r>
          </w:p>
        </w:tc>
      </w:tr>
      <w:tr w:rsidR="00AC40FC" w:rsidRPr="004E114A" w:rsidTr="004E114A">
        <w:trPr>
          <w:jc w:val="center"/>
        </w:trPr>
        <w:tc>
          <w:tcPr>
            <w:tcW w:w="2214" w:type="dxa"/>
            <w:shd w:val="clear" w:color="auto" w:fill="auto"/>
            <w:vAlign w:val="center"/>
          </w:tcPr>
          <w:p w:rsidR="00AC40FC" w:rsidRPr="004E114A" w:rsidRDefault="00AC40FC" w:rsidP="004E114A">
            <w:pPr>
              <w:spacing w:after="0"/>
              <w:jc w:val="center"/>
            </w:pPr>
            <w:r w:rsidRPr="004E114A">
              <w:t xml:space="preserve">Transmission </w:t>
            </w:r>
          </w:p>
        </w:tc>
        <w:tc>
          <w:tcPr>
            <w:tcW w:w="1800" w:type="dxa"/>
            <w:shd w:val="clear" w:color="auto" w:fill="auto"/>
            <w:vAlign w:val="center"/>
          </w:tcPr>
          <w:p w:rsidR="00AC40FC" w:rsidRPr="004E114A" w:rsidRDefault="00AC40FC" w:rsidP="004E114A">
            <w:pPr>
              <w:spacing w:after="0"/>
              <w:jc w:val="center"/>
            </w:pPr>
            <w:r w:rsidRPr="004E114A">
              <w:t>-27.70%</w:t>
            </w:r>
          </w:p>
        </w:tc>
        <w:tc>
          <w:tcPr>
            <w:tcW w:w="1890" w:type="dxa"/>
            <w:shd w:val="clear" w:color="auto" w:fill="auto"/>
            <w:vAlign w:val="center"/>
          </w:tcPr>
          <w:p w:rsidR="00AC40FC" w:rsidRPr="004E114A" w:rsidRDefault="00AC40FC" w:rsidP="004E114A">
            <w:pPr>
              <w:spacing w:after="0"/>
              <w:jc w:val="center"/>
            </w:pPr>
            <w:r w:rsidRPr="004E114A">
              <w:t>17.39%</w:t>
            </w:r>
          </w:p>
        </w:tc>
        <w:tc>
          <w:tcPr>
            <w:tcW w:w="1620" w:type="dxa"/>
            <w:shd w:val="clear" w:color="auto" w:fill="auto"/>
            <w:vAlign w:val="center"/>
          </w:tcPr>
          <w:p w:rsidR="00AC40FC" w:rsidRPr="004E114A" w:rsidRDefault="00AC40FC" w:rsidP="004E114A">
            <w:pPr>
              <w:spacing w:after="0"/>
              <w:jc w:val="center"/>
            </w:pPr>
            <w:r w:rsidRPr="004E114A">
              <w:t>-45.09%</w:t>
            </w:r>
          </w:p>
        </w:tc>
      </w:tr>
      <w:tr w:rsidR="00AC40FC" w:rsidRPr="004E114A" w:rsidTr="004E114A">
        <w:trPr>
          <w:jc w:val="center"/>
        </w:trPr>
        <w:tc>
          <w:tcPr>
            <w:tcW w:w="2214" w:type="dxa"/>
            <w:shd w:val="clear" w:color="auto" w:fill="auto"/>
            <w:vAlign w:val="center"/>
          </w:tcPr>
          <w:p w:rsidR="00AC40FC" w:rsidRPr="004E114A" w:rsidRDefault="00AC40FC" w:rsidP="004E114A">
            <w:pPr>
              <w:spacing w:after="0"/>
              <w:jc w:val="center"/>
            </w:pPr>
            <w:r w:rsidRPr="004E114A">
              <w:t xml:space="preserve">Distribution </w:t>
            </w:r>
          </w:p>
        </w:tc>
        <w:tc>
          <w:tcPr>
            <w:tcW w:w="1800" w:type="dxa"/>
            <w:shd w:val="clear" w:color="auto" w:fill="auto"/>
            <w:vAlign w:val="center"/>
          </w:tcPr>
          <w:p w:rsidR="00AC40FC" w:rsidRPr="004E114A" w:rsidRDefault="00AC40FC" w:rsidP="004E114A">
            <w:pPr>
              <w:spacing w:after="0"/>
              <w:jc w:val="center"/>
            </w:pPr>
            <w:r w:rsidRPr="004E114A">
              <w:t>3.75%</w:t>
            </w:r>
          </w:p>
        </w:tc>
        <w:tc>
          <w:tcPr>
            <w:tcW w:w="1890" w:type="dxa"/>
            <w:shd w:val="clear" w:color="auto" w:fill="auto"/>
            <w:vAlign w:val="center"/>
          </w:tcPr>
          <w:p w:rsidR="00AC40FC" w:rsidRPr="004E114A" w:rsidRDefault="00AC40FC" w:rsidP="004E114A">
            <w:pPr>
              <w:spacing w:after="0"/>
              <w:jc w:val="center"/>
            </w:pPr>
            <w:r w:rsidRPr="004E114A">
              <w:t>4.83%</w:t>
            </w:r>
          </w:p>
        </w:tc>
        <w:tc>
          <w:tcPr>
            <w:tcW w:w="1620" w:type="dxa"/>
            <w:shd w:val="clear" w:color="auto" w:fill="auto"/>
            <w:vAlign w:val="center"/>
          </w:tcPr>
          <w:p w:rsidR="00AC40FC" w:rsidRPr="004E114A" w:rsidRDefault="00AC40FC" w:rsidP="004E114A">
            <w:pPr>
              <w:spacing w:after="0"/>
              <w:jc w:val="center"/>
            </w:pPr>
            <w:r w:rsidRPr="004E114A">
              <w:t>-1.08%</w:t>
            </w:r>
          </w:p>
        </w:tc>
      </w:tr>
      <w:tr w:rsidR="00AC40FC" w:rsidRPr="004E114A" w:rsidTr="004E114A">
        <w:trPr>
          <w:jc w:val="center"/>
        </w:trPr>
        <w:tc>
          <w:tcPr>
            <w:tcW w:w="2214" w:type="dxa"/>
            <w:shd w:val="clear" w:color="auto" w:fill="auto"/>
            <w:vAlign w:val="center"/>
          </w:tcPr>
          <w:p w:rsidR="00AC40FC" w:rsidRPr="004E114A" w:rsidRDefault="00AC40FC" w:rsidP="004E114A">
            <w:pPr>
              <w:spacing w:after="0"/>
              <w:jc w:val="center"/>
            </w:pPr>
            <w:r w:rsidRPr="004E114A">
              <w:t>Customer Service</w:t>
            </w:r>
          </w:p>
        </w:tc>
        <w:tc>
          <w:tcPr>
            <w:tcW w:w="1800" w:type="dxa"/>
            <w:shd w:val="clear" w:color="auto" w:fill="auto"/>
            <w:vAlign w:val="center"/>
          </w:tcPr>
          <w:p w:rsidR="00AC40FC" w:rsidRPr="004E114A" w:rsidRDefault="00AC40FC" w:rsidP="004E114A">
            <w:pPr>
              <w:spacing w:after="0"/>
              <w:jc w:val="center"/>
            </w:pPr>
            <w:r w:rsidRPr="004E114A">
              <w:t>0.04%</w:t>
            </w:r>
          </w:p>
        </w:tc>
        <w:tc>
          <w:tcPr>
            <w:tcW w:w="1890" w:type="dxa"/>
            <w:shd w:val="clear" w:color="auto" w:fill="auto"/>
            <w:vAlign w:val="center"/>
          </w:tcPr>
          <w:p w:rsidR="00AC40FC" w:rsidRPr="004E114A" w:rsidRDefault="00AC40FC" w:rsidP="004E114A">
            <w:pPr>
              <w:spacing w:after="0"/>
              <w:jc w:val="center"/>
            </w:pPr>
            <w:r w:rsidRPr="004E114A">
              <w:t>24.01%</w:t>
            </w:r>
          </w:p>
        </w:tc>
        <w:tc>
          <w:tcPr>
            <w:tcW w:w="1620" w:type="dxa"/>
            <w:shd w:val="clear" w:color="auto" w:fill="auto"/>
            <w:vAlign w:val="center"/>
          </w:tcPr>
          <w:p w:rsidR="00AC40FC" w:rsidRPr="004E114A" w:rsidRDefault="00AC40FC" w:rsidP="004E114A">
            <w:pPr>
              <w:spacing w:after="0"/>
              <w:jc w:val="center"/>
            </w:pPr>
            <w:r w:rsidRPr="004E114A">
              <w:t>-23.97%</w:t>
            </w:r>
          </w:p>
        </w:tc>
      </w:tr>
      <w:tr w:rsidR="00AC40FC" w:rsidRPr="004E114A" w:rsidTr="004E114A">
        <w:trPr>
          <w:jc w:val="center"/>
        </w:trPr>
        <w:tc>
          <w:tcPr>
            <w:tcW w:w="2214" w:type="dxa"/>
            <w:shd w:val="clear" w:color="auto" w:fill="auto"/>
            <w:vAlign w:val="center"/>
          </w:tcPr>
          <w:p w:rsidR="00AC40FC" w:rsidRPr="004E114A" w:rsidRDefault="00AC40FC" w:rsidP="004E114A">
            <w:pPr>
              <w:spacing w:after="0"/>
              <w:jc w:val="center"/>
            </w:pPr>
            <w:r w:rsidRPr="004E114A">
              <w:t>Administrative and General</w:t>
            </w:r>
          </w:p>
        </w:tc>
        <w:tc>
          <w:tcPr>
            <w:tcW w:w="1800" w:type="dxa"/>
            <w:shd w:val="clear" w:color="auto" w:fill="auto"/>
            <w:vAlign w:val="center"/>
          </w:tcPr>
          <w:p w:rsidR="00AC40FC" w:rsidRPr="004E114A" w:rsidRDefault="00AC40FC" w:rsidP="004E114A">
            <w:pPr>
              <w:spacing w:after="0"/>
              <w:jc w:val="center"/>
            </w:pPr>
            <w:r w:rsidRPr="004E114A">
              <w:t>-5.50%</w:t>
            </w:r>
          </w:p>
        </w:tc>
        <w:tc>
          <w:tcPr>
            <w:tcW w:w="1890" w:type="dxa"/>
            <w:shd w:val="clear" w:color="auto" w:fill="auto"/>
            <w:vAlign w:val="center"/>
          </w:tcPr>
          <w:p w:rsidR="00AC40FC" w:rsidRPr="004E114A" w:rsidRDefault="00AC40FC" w:rsidP="004E114A">
            <w:pPr>
              <w:spacing w:after="0"/>
              <w:jc w:val="center"/>
            </w:pPr>
            <w:r w:rsidRPr="004E114A">
              <w:t>7.08%</w:t>
            </w:r>
          </w:p>
        </w:tc>
        <w:tc>
          <w:tcPr>
            <w:tcW w:w="1620" w:type="dxa"/>
            <w:shd w:val="clear" w:color="auto" w:fill="auto"/>
            <w:vAlign w:val="center"/>
          </w:tcPr>
          <w:p w:rsidR="00AC40FC" w:rsidRPr="004E114A" w:rsidRDefault="00AC40FC" w:rsidP="004E114A">
            <w:pPr>
              <w:spacing w:after="0"/>
              <w:jc w:val="center"/>
            </w:pPr>
            <w:r w:rsidRPr="004E114A">
              <w:t>-12.58%</w:t>
            </w:r>
          </w:p>
        </w:tc>
      </w:tr>
      <w:tr w:rsidR="00AC40FC" w:rsidRPr="004E114A" w:rsidTr="004E114A">
        <w:trPr>
          <w:jc w:val="center"/>
        </w:trPr>
        <w:tc>
          <w:tcPr>
            <w:tcW w:w="2214" w:type="dxa"/>
            <w:shd w:val="clear" w:color="auto" w:fill="auto"/>
            <w:vAlign w:val="center"/>
          </w:tcPr>
          <w:p w:rsidR="00AC40FC" w:rsidRPr="004E114A" w:rsidRDefault="00AC40FC" w:rsidP="004E114A">
            <w:pPr>
              <w:spacing w:after="0"/>
              <w:jc w:val="center"/>
            </w:pPr>
            <w:r w:rsidRPr="004E114A">
              <w:t>Total Nonfuel</w:t>
            </w:r>
          </w:p>
        </w:tc>
        <w:tc>
          <w:tcPr>
            <w:tcW w:w="1800" w:type="dxa"/>
            <w:shd w:val="clear" w:color="auto" w:fill="auto"/>
            <w:vAlign w:val="center"/>
          </w:tcPr>
          <w:p w:rsidR="00AC40FC" w:rsidRPr="004E114A" w:rsidRDefault="00AC40FC" w:rsidP="004E114A">
            <w:pPr>
              <w:spacing w:after="0"/>
              <w:jc w:val="center"/>
            </w:pPr>
            <w:r w:rsidRPr="004E114A">
              <w:t>-2.42%</w:t>
            </w:r>
          </w:p>
        </w:tc>
        <w:tc>
          <w:tcPr>
            <w:tcW w:w="1890" w:type="dxa"/>
            <w:shd w:val="clear" w:color="auto" w:fill="auto"/>
            <w:vAlign w:val="center"/>
          </w:tcPr>
          <w:p w:rsidR="00AC40FC" w:rsidRPr="004E114A" w:rsidRDefault="00AC40FC" w:rsidP="004E114A">
            <w:pPr>
              <w:spacing w:after="0"/>
              <w:jc w:val="center"/>
            </w:pPr>
            <w:r w:rsidRPr="004E114A">
              <w:t>9.68%</w:t>
            </w:r>
          </w:p>
        </w:tc>
        <w:tc>
          <w:tcPr>
            <w:tcW w:w="1620" w:type="dxa"/>
            <w:shd w:val="clear" w:color="auto" w:fill="auto"/>
            <w:vAlign w:val="center"/>
          </w:tcPr>
          <w:p w:rsidR="00AC40FC" w:rsidRPr="004E114A" w:rsidRDefault="00AC40FC" w:rsidP="004E114A">
            <w:pPr>
              <w:spacing w:after="0"/>
              <w:jc w:val="center"/>
            </w:pPr>
            <w:r w:rsidRPr="004E114A">
              <w:t>-12.10%</w:t>
            </w:r>
          </w:p>
        </w:tc>
      </w:tr>
      <w:tr w:rsidR="00AC40FC" w:rsidRPr="004E114A" w:rsidTr="004E114A">
        <w:trPr>
          <w:jc w:val="center"/>
        </w:trPr>
        <w:tc>
          <w:tcPr>
            <w:tcW w:w="7524" w:type="dxa"/>
            <w:gridSpan w:val="4"/>
            <w:shd w:val="clear" w:color="auto" w:fill="auto"/>
            <w:vAlign w:val="center"/>
          </w:tcPr>
          <w:p w:rsidR="00AC40FC" w:rsidRPr="004E114A" w:rsidRDefault="00AC40FC" w:rsidP="004E114A">
            <w:pPr>
              <w:spacing w:after="0"/>
            </w:pPr>
            <w:r w:rsidRPr="004E114A">
              <w:t>Source: Black &amp; Veatch Economies Of Scale And Scope In Electric Utility Mergers</w:t>
            </w:r>
          </w:p>
        </w:tc>
      </w:tr>
    </w:tbl>
    <w:p w:rsidR="00AC40FC" w:rsidRPr="004E114A" w:rsidRDefault="00AC40FC" w:rsidP="004E114A">
      <w:pPr>
        <w:pStyle w:val="Heading40"/>
      </w:pPr>
      <w:r w:rsidRPr="004E114A">
        <w:t>Proximity of Merged Firms</w:t>
      </w:r>
    </w:p>
    <w:p w:rsidR="00AC40FC" w:rsidRPr="004E114A" w:rsidRDefault="00AC40FC" w:rsidP="004E114A">
      <w:pPr>
        <w:spacing w:before="120"/>
      </w:pPr>
      <w:r w:rsidRPr="004E114A">
        <w:t>Regarding the proximity of the merged firms, the study found less dependence on proximity-related cost savings.  While distribution O&amp;M savings were larger for geographically close pairs of firms, there was no difference for administrative and general O&amp;M savings between geographically close and distant utilities.  Customer service O&amp;M savings were much larger for distant pairs of firms.  Overall, total achieved savings were not related to geographic proximity.</w:t>
      </w:r>
    </w:p>
    <w:p w:rsidR="00AC40FC" w:rsidRPr="004E114A" w:rsidRDefault="00AC40FC" w:rsidP="004E114A">
      <w:r w:rsidRPr="004E114A">
        <w:t>For mergers of electric and gas utilities (rather than two electric or two gas utilities), the administrative and general and customer service cost savings were similar to two of the same commodity synergy savings.  However, there were very limited synergies in fuel procurement and logistics.</w:t>
      </w:r>
    </w:p>
    <w:p w:rsidR="00AC40FC" w:rsidRPr="004E114A" w:rsidRDefault="00AC40FC" w:rsidP="004E114A">
      <w:r w:rsidRPr="004E114A">
        <w:t xml:space="preserve">The study concluded that there were typical savings of 8 to 12% of the merged utilities nonfuel O&amp;M expenses and the percentage savings were not related to the size of the deal.  However, the scale of savings varies by functional area.  </w:t>
      </w:r>
    </w:p>
    <w:p w:rsidR="00AC40FC" w:rsidRPr="004E114A" w:rsidRDefault="00AC40FC" w:rsidP="004E114A">
      <w:pPr>
        <w:pStyle w:val="Heading30"/>
      </w:pPr>
      <w:r w:rsidRPr="004E114A">
        <w:t>Marsh &amp; McLennan Companies Oliver Wyman Today’s Utility Mergers: The Search for Financial Strength</w:t>
      </w:r>
    </w:p>
    <w:p w:rsidR="00AC40FC" w:rsidRPr="004E114A" w:rsidRDefault="00AC40FC" w:rsidP="004E114A">
      <w:r w:rsidRPr="004E114A">
        <w:t>This paper was written in 2011 during an active period in utility mergers similar to two prior waves of consolidation in 1999–2000 and 2005–2007.  The principal premise is that the mergers in the 2010–2011 timeframe were driven primarily by needs for capital and financial strength rather than the capture of economies of scale or earnings growth.  It notes that synergies (10- or 20-year savings estimates) are mentioned in only half of the transactions at that time.</w:t>
      </w:r>
    </w:p>
    <w:p w:rsidR="00AC40FC" w:rsidRPr="004E114A" w:rsidRDefault="00AC40FC" w:rsidP="004E114A">
      <w:r w:rsidRPr="004E114A">
        <w:lastRenderedPageBreak/>
        <w:t>The paper has the following estimates of the sources of synergy savings in mergers:</w:t>
      </w:r>
    </w:p>
    <w:p w:rsidR="00AC40FC" w:rsidRPr="004E114A" w:rsidRDefault="00AC40FC" w:rsidP="004E114A">
      <w:pPr>
        <w:pStyle w:val="Bullet"/>
      </w:pPr>
      <w:r w:rsidRPr="004E114A">
        <w:t>Labor: 50–65%</w:t>
      </w:r>
    </w:p>
    <w:p w:rsidR="00AC40FC" w:rsidRPr="004E114A" w:rsidRDefault="00AC40FC" w:rsidP="004E114A">
      <w:pPr>
        <w:pStyle w:val="Bullet"/>
      </w:pPr>
      <w:r w:rsidRPr="004E114A">
        <w:t>Administrative and General Expenses: 10–20%</w:t>
      </w:r>
    </w:p>
    <w:p w:rsidR="00AC40FC" w:rsidRPr="004E114A" w:rsidRDefault="00AC40FC" w:rsidP="004E114A">
      <w:pPr>
        <w:pStyle w:val="Bullet"/>
      </w:pPr>
      <w:r w:rsidRPr="004E114A">
        <w:t>Facilities: 5–10%</w:t>
      </w:r>
    </w:p>
    <w:p w:rsidR="00AC40FC" w:rsidRPr="004E114A" w:rsidRDefault="00AC40FC" w:rsidP="004E114A">
      <w:pPr>
        <w:pStyle w:val="Bullet"/>
      </w:pPr>
      <w:r w:rsidRPr="004E114A">
        <w:t>Supply Chain: 5–15%</w:t>
      </w:r>
    </w:p>
    <w:p w:rsidR="00AC40FC" w:rsidRPr="004E114A" w:rsidRDefault="00AC40FC" w:rsidP="004E114A">
      <w:pPr>
        <w:pStyle w:val="Bullet"/>
      </w:pPr>
      <w:r w:rsidRPr="004E114A">
        <w:t>Information Services: 5–15%</w:t>
      </w:r>
    </w:p>
    <w:p w:rsidR="00AC40FC" w:rsidRPr="004E114A" w:rsidRDefault="00AC40FC" w:rsidP="004E114A">
      <w:pPr>
        <w:spacing w:before="120"/>
      </w:pPr>
      <w:r w:rsidRPr="004E114A">
        <w:t>The PPL Corporation merger with LKE occurred during the time period covered by this study.  However, PPL Corporation indicated the merger was not justified on merger synergy cost savings but rather other strategic purposes.</w:t>
      </w:r>
    </w:p>
    <w:p w:rsidR="00AC40FC" w:rsidRPr="004E114A" w:rsidRDefault="00AC40FC" w:rsidP="00935281">
      <w:pPr>
        <w:pStyle w:val="Heading30"/>
      </w:pPr>
      <w:r w:rsidRPr="004E114A">
        <w:t>The Boston Consulting Group Utility MERGERS &amp; AQUISITIONS: Beating the Odds</w:t>
      </w:r>
    </w:p>
    <w:p w:rsidR="00AC40FC" w:rsidRPr="004E114A" w:rsidRDefault="00AC40FC" w:rsidP="004E114A">
      <w:r w:rsidRPr="004E114A">
        <w:t xml:space="preserve">This paper was published on March 1, 2007.  It has a broad perspective but includes specific information on merger synergies and recommendations for the best way to capture the synergies.  </w:t>
      </w:r>
    </w:p>
    <w:p w:rsidR="00AC40FC" w:rsidRDefault="00AC40FC" w:rsidP="004E114A">
      <w:r w:rsidRPr="004E114A">
        <w:t>The paper estimates that non-fuel O&amp;M merger synergy cost savings available are substantial, as shown in the following table.</w:t>
      </w:r>
    </w:p>
    <w:p w:rsidR="00AC40FC" w:rsidRPr="004E114A" w:rsidRDefault="00AC40FC" w:rsidP="00935281">
      <w:pPr>
        <w:pStyle w:val="Caption"/>
      </w:pPr>
      <w:bookmarkStart w:id="448" w:name="_Toc462648515"/>
      <w:bookmarkStart w:id="449" w:name="_Toc464553137"/>
      <w:r>
        <w:t xml:space="preserve">Exhibit </w:t>
      </w:r>
      <w:fldSimple w:instr=" STYLEREF 1 \s ">
        <w:r w:rsidR="00A24205">
          <w:rPr>
            <w:noProof/>
          </w:rPr>
          <w:t>XVI</w:t>
        </w:r>
      </w:fldSimple>
      <w:r w:rsidR="00264A1B">
        <w:noBreakHyphen/>
      </w:r>
      <w:fldSimple w:instr=" SEQ Exhibit \* ARABIC \s 1 ">
        <w:r w:rsidR="00A24205">
          <w:rPr>
            <w:noProof/>
          </w:rPr>
          <w:t>2</w:t>
        </w:r>
      </w:fldSimple>
      <w:r>
        <w:br/>
      </w:r>
      <w:r w:rsidRPr="00935281">
        <w:t>Non-Fuel O&amp;M Merger Synergy Post-Merger Savings</w:t>
      </w:r>
      <w:r w:rsidRPr="004E114A">
        <w:rPr>
          <w:b w:val="0"/>
        </w:rPr>
        <w:t xml:space="preserve"> </w:t>
      </w:r>
      <w:r w:rsidRPr="004E114A">
        <w:rPr>
          <w:b w:val="0"/>
        </w:rPr>
        <w:br/>
      </w:r>
      <w:r>
        <w:t>For</w:t>
      </w:r>
      <w:r w:rsidRPr="00B306CB">
        <w:t xml:space="preserve"> a One Million Customer Utility)</w:t>
      </w:r>
      <w:bookmarkEnd w:id="448"/>
      <w:bookmarkEnd w:id="4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tblPr>
      <w:tblGrid>
        <w:gridCol w:w="2728"/>
        <w:gridCol w:w="750"/>
        <w:gridCol w:w="1417"/>
        <w:gridCol w:w="1373"/>
        <w:gridCol w:w="1260"/>
        <w:gridCol w:w="1065"/>
        <w:gridCol w:w="883"/>
      </w:tblGrid>
      <w:tr w:rsidR="00AC40FC" w:rsidRPr="004E114A" w:rsidTr="00BB665B">
        <w:trPr>
          <w:cantSplit/>
          <w:tblHeader/>
          <w:jc w:val="center"/>
        </w:trPr>
        <w:tc>
          <w:tcPr>
            <w:tcW w:w="2728" w:type="dxa"/>
            <w:shd w:val="clear" w:color="auto" w:fill="A5CD7E"/>
            <w:vAlign w:val="center"/>
          </w:tcPr>
          <w:p w:rsidR="00AC40FC" w:rsidRPr="004E114A" w:rsidRDefault="00AC40FC" w:rsidP="00D6083E">
            <w:pPr>
              <w:spacing w:before="120"/>
              <w:jc w:val="center"/>
              <w:rPr>
                <w:b/>
                <w:sz w:val="20"/>
                <w:szCs w:val="20"/>
              </w:rPr>
            </w:pPr>
            <w:r w:rsidRPr="004E114A">
              <w:rPr>
                <w:b/>
                <w:sz w:val="20"/>
                <w:szCs w:val="20"/>
              </w:rPr>
              <w:t>Function</w:t>
            </w:r>
          </w:p>
        </w:tc>
        <w:tc>
          <w:tcPr>
            <w:tcW w:w="750" w:type="dxa"/>
            <w:shd w:val="clear" w:color="auto" w:fill="A5CD7E"/>
            <w:vAlign w:val="center"/>
          </w:tcPr>
          <w:p w:rsidR="00AC40FC" w:rsidRPr="004E114A" w:rsidRDefault="00AC40FC" w:rsidP="00D6083E">
            <w:pPr>
              <w:spacing w:before="120"/>
              <w:jc w:val="center"/>
              <w:rPr>
                <w:b/>
                <w:sz w:val="20"/>
                <w:szCs w:val="20"/>
              </w:rPr>
            </w:pPr>
            <w:r w:rsidRPr="004E114A">
              <w:rPr>
                <w:b/>
                <w:sz w:val="20"/>
                <w:szCs w:val="20"/>
              </w:rPr>
              <w:t>Cost Before</w:t>
            </w:r>
          </w:p>
        </w:tc>
        <w:tc>
          <w:tcPr>
            <w:tcW w:w="1417" w:type="dxa"/>
            <w:shd w:val="clear" w:color="auto" w:fill="A5CD7E"/>
            <w:vAlign w:val="center"/>
          </w:tcPr>
          <w:p w:rsidR="00AC40FC" w:rsidRPr="004E114A" w:rsidRDefault="00AC40FC" w:rsidP="00BB665B">
            <w:pPr>
              <w:spacing w:before="120"/>
              <w:jc w:val="center"/>
              <w:rPr>
                <w:b/>
                <w:sz w:val="20"/>
                <w:szCs w:val="20"/>
              </w:rPr>
            </w:pPr>
            <w:r w:rsidRPr="004E114A">
              <w:rPr>
                <w:b/>
                <w:sz w:val="20"/>
                <w:szCs w:val="20"/>
              </w:rPr>
              <w:t xml:space="preserve">Cost After </w:t>
            </w:r>
            <w:r>
              <w:rPr>
                <w:b/>
                <w:sz w:val="20"/>
                <w:szCs w:val="20"/>
              </w:rPr>
              <w:t>–</w:t>
            </w:r>
            <w:r w:rsidRPr="004E114A">
              <w:rPr>
                <w:b/>
                <w:sz w:val="20"/>
                <w:szCs w:val="20"/>
              </w:rPr>
              <w:t xml:space="preserve"> Conservative</w:t>
            </w:r>
          </w:p>
        </w:tc>
        <w:tc>
          <w:tcPr>
            <w:tcW w:w="1373" w:type="dxa"/>
            <w:shd w:val="clear" w:color="auto" w:fill="A5CD7E"/>
            <w:vAlign w:val="center"/>
          </w:tcPr>
          <w:p w:rsidR="00AC40FC" w:rsidRPr="004E114A" w:rsidRDefault="00AC40FC" w:rsidP="00D6083E">
            <w:pPr>
              <w:spacing w:before="120"/>
              <w:jc w:val="center"/>
              <w:rPr>
                <w:b/>
                <w:sz w:val="20"/>
                <w:szCs w:val="20"/>
              </w:rPr>
            </w:pPr>
            <w:r w:rsidRPr="004E114A">
              <w:rPr>
                <w:b/>
                <w:sz w:val="20"/>
                <w:szCs w:val="20"/>
              </w:rPr>
              <w:t>Conservative Savings</w:t>
            </w:r>
          </w:p>
        </w:tc>
        <w:tc>
          <w:tcPr>
            <w:tcW w:w="1260" w:type="dxa"/>
            <w:shd w:val="clear" w:color="auto" w:fill="A5CD7E"/>
            <w:vAlign w:val="center"/>
          </w:tcPr>
          <w:p w:rsidR="00AC40FC" w:rsidRPr="004E114A" w:rsidRDefault="00AC40FC" w:rsidP="00BB665B">
            <w:pPr>
              <w:spacing w:before="120"/>
              <w:jc w:val="center"/>
              <w:rPr>
                <w:b/>
                <w:sz w:val="20"/>
                <w:szCs w:val="20"/>
              </w:rPr>
            </w:pPr>
            <w:r w:rsidRPr="004E114A">
              <w:rPr>
                <w:b/>
                <w:sz w:val="20"/>
                <w:szCs w:val="20"/>
              </w:rPr>
              <w:t xml:space="preserve">Cost After </w:t>
            </w:r>
            <w:r>
              <w:rPr>
                <w:b/>
                <w:sz w:val="20"/>
                <w:szCs w:val="20"/>
              </w:rPr>
              <w:t>–</w:t>
            </w:r>
            <w:r w:rsidRPr="004E114A">
              <w:rPr>
                <w:b/>
                <w:sz w:val="20"/>
                <w:szCs w:val="20"/>
              </w:rPr>
              <w:t xml:space="preserve"> Aggressive</w:t>
            </w:r>
          </w:p>
        </w:tc>
        <w:tc>
          <w:tcPr>
            <w:tcW w:w="1065" w:type="dxa"/>
            <w:shd w:val="clear" w:color="auto" w:fill="A5CD7E"/>
            <w:vAlign w:val="center"/>
          </w:tcPr>
          <w:p w:rsidR="00AC40FC" w:rsidRPr="004E114A" w:rsidRDefault="00AC40FC" w:rsidP="00D6083E">
            <w:pPr>
              <w:spacing w:before="120"/>
              <w:jc w:val="center"/>
              <w:rPr>
                <w:b/>
                <w:sz w:val="20"/>
                <w:szCs w:val="20"/>
              </w:rPr>
            </w:pPr>
            <w:r w:rsidRPr="004E114A">
              <w:rPr>
                <w:b/>
                <w:sz w:val="20"/>
                <w:szCs w:val="20"/>
              </w:rPr>
              <w:t>Maximum Savings</w:t>
            </w:r>
          </w:p>
        </w:tc>
        <w:tc>
          <w:tcPr>
            <w:tcW w:w="883" w:type="dxa"/>
            <w:shd w:val="clear" w:color="auto" w:fill="A5CD7E"/>
            <w:vAlign w:val="center"/>
          </w:tcPr>
          <w:p w:rsidR="00AC40FC" w:rsidRPr="004E114A" w:rsidRDefault="00AC40FC" w:rsidP="00D6083E">
            <w:pPr>
              <w:spacing w:before="120"/>
              <w:jc w:val="center"/>
              <w:rPr>
                <w:b/>
                <w:sz w:val="20"/>
                <w:szCs w:val="20"/>
              </w:rPr>
            </w:pPr>
            <w:r w:rsidRPr="004E114A">
              <w:rPr>
                <w:b/>
                <w:sz w:val="20"/>
                <w:szCs w:val="20"/>
              </w:rPr>
              <w:t>Percent Savings</w:t>
            </w:r>
          </w:p>
        </w:tc>
      </w:tr>
      <w:tr w:rsidR="00AC40FC" w:rsidRPr="004E114A" w:rsidTr="00BB665B">
        <w:trPr>
          <w:cantSplit/>
          <w:jc w:val="center"/>
        </w:trPr>
        <w:tc>
          <w:tcPr>
            <w:tcW w:w="2728" w:type="dxa"/>
            <w:shd w:val="clear" w:color="auto" w:fill="auto"/>
            <w:vAlign w:val="center"/>
          </w:tcPr>
          <w:p w:rsidR="00AC40FC" w:rsidRPr="004E114A" w:rsidRDefault="00AC40FC" w:rsidP="004E114A">
            <w:pPr>
              <w:spacing w:after="0"/>
              <w:jc w:val="center"/>
              <w:rPr>
                <w:sz w:val="20"/>
                <w:szCs w:val="20"/>
              </w:rPr>
            </w:pPr>
            <w:r w:rsidRPr="004E114A">
              <w:rPr>
                <w:sz w:val="20"/>
                <w:szCs w:val="20"/>
              </w:rPr>
              <w:t>Transmission and Distribution</w:t>
            </w:r>
            <w:r>
              <w:rPr>
                <w:sz w:val="20"/>
                <w:szCs w:val="20"/>
              </w:rPr>
              <w:t xml:space="preserve"> (millions)</w:t>
            </w:r>
          </w:p>
        </w:tc>
        <w:tc>
          <w:tcPr>
            <w:tcW w:w="750" w:type="dxa"/>
            <w:shd w:val="clear" w:color="auto" w:fill="auto"/>
            <w:vAlign w:val="center"/>
          </w:tcPr>
          <w:p w:rsidR="00AC40FC" w:rsidRPr="004E114A" w:rsidRDefault="00AC40FC" w:rsidP="004E114A">
            <w:pPr>
              <w:spacing w:after="0"/>
              <w:jc w:val="center"/>
              <w:rPr>
                <w:sz w:val="20"/>
                <w:szCs w:val="20"/>
              </w:rPr>
            </w:pPr>
            <w:r>
              <w:rPr>
                <w:sz w:val="20"/>
                <w:szCs w:val="20"/>
              </w:rPr>
              <w:t>$</w:t>
            </w:r>
            <w:r w:rsidRPr="004E114A">
              <w:rPr>
                <w:sz w:val="20"/>
                <w:szCs w:val="20"/>
              </w:rPr>
              <w:t>134</w:t>
            </w:r>
          </w:p>
        </w:tc>
        <w:tc>
          <w:tcPr>
            <w:tcW w:w="1417" w:type="dxa"/>
            <w:shd w:val="clear" w:color="auto" w:fill="auto"/>
            <w:vAlign w:val="center"/>
          </w:tcPr>
          <w:p w:rsidR="00AC40FC" w:rsidRPr="004E114A" w:rsidRDefault="00AC40FC" w:rsidP="004E114A">
            <w:pPr>
              <w:spacing w:after="0"/>
              <w:jc w:val="center"/>
              <w:rPr>
                <w:sz w:val="20"/>
                <w:szCs w:val="20"/>
              </w:rPr>
            </w:pPr>
            <w:r>
              <w:rPr>
                <w:sz w:val="20"/>
                <w:szCs w:val="20"/>
              </w:rPr>
              <w:t>$</w:t>
            </w:r>
            <w:r w:rsidRPr="004E114A">
              <w:rPr>
                <w:sz w:val="20"/>
                <w:szCs w:val="20"/>
              </w:rPr>
              <w:t>127</w:t>
            </w:r>
          </w:p>
        </w:tc>
        <w:tc>
          <w:tcPr>
            <w:tcW w:w="1373" w:type="dxa"/>
            <w:vAlign w:val="center"/>
          </w:tcPr>
          <w:p w:rsidR="00AC40FC" w:rsidRPr="004E114A" w:rsidRDefault="00AC40FC" w:rsidP="004E114A">
            <w:pPr>
              <w:spacing w:after="0"/>
              <w:jc w:val="center"/>
              <w:rPr>
                <w:sz w:val="20"/>
                <w:szCs w:val="20"/>
              </w:rPr>
            </w:pPr>
            <w:r w:rsidRPr="004E114A">
              <w:rPr>
                <w:sz w:val="20"/>
                <w:szCs w:val="20"/>
              </w:rPr>
              <w:t>5.2%</w:t>
            </w:r>
          </w:p>
        </w:tc>
        <w:tc>
          <w:tcPr>
            <w:tcW w:w="1260" w:type="dxa"/>
            <w:shd w:val="clear" w:color="auto" w:fill="auto"/>
            <w:vAlign w:val="center"/>
          </w:tcPr>
          <w:p w:rsidR="00AC40FC" w:rsidRPr="004E114A" w:rsidRDefault="00AC40FC" w:rsidP="004E114A">
            <w:pPr>
              <w:spacing w:after="0"/>
              <w:jc w:val="center"/>
              <w:rPr>
                <w:sz w:val="20"/>
                <w:szCs w:val="20"/>
              </w:rPr>
            </w:pPr>
            <w:r>
              <w:rPr>
                <w:sz w:val="20"/>
                <w:szCs w:val="20"/>
              </w:rPr>
              <w:t>$</w:t>
            </w:r>
            <w:r w:rsidRPr="004E114A">
              <w:rPr>
                <w:sz w:val="20"/>
                <w:szCs w:val="20"/>
              </w:rPr>
              <w:t>120</w:t>
            </w:r>
          </w:p>
        </w:tc>
        <w:tc>
          <w:tcPr>
            <w:tcW w:w="1065" w:type="dxa"/>
            <w:shd w:val="clear" w:color="auto" w:fill="auto"/>
            <w:vAlign w:val="center"/>
          </w:tcPr>
          <w:p w:rsidR="00AC40FC" w:rsidRPr="004E114A" w:rsidRDefault="00AC40FC" w:rsidP="004E114A">
            <w:pPr>
              <w:spacing w:after="0"/>
              <w:jc w:val="center"/>
              <w:rPr>
                <w:sz w:val="20"/>
                <w:szCs w:val="20"/>
              </w:rPr>
            </w:pPr>
            <w:r>
              <w:rPr>
                <w:sz w:val="20"/>
                <w:szCs w:val="20"/>
              </w:rPr>
              <w:t>$</w:t>
            </w:r>
            <w:r w:rsidRPr="004E114A">
              <w:rPr>
                <w:sz w:val="20"/>
                <w:szCs w:val="20"/>
              </w:rPr>
              <w:t>14</w:t>
            </w:r>
          </w:p>
        </w:tc>
        <w:tc>
          <w:tcPr>
            <w:tcW w:w="883" w:type="dxa"/>
            <w:shd w:val="clear" w:color="auto" w:fill="auto"/>
            <w:vAlign w:val="center"/>
          </w:tcPr>
          <w:p w:rsidR="00AC40FC" w:rsidRPr="004E114A" w:rsidRDefault="00AC40FC" w:rsidP="004E114A">
            <w:pPr>
              <w:spacing w:after="0"/>
              <w:jc w:val="center"/>
              <w:rPr>
                <w:sz w:val="20"/>
                <w:szCs w:val="20"/>
              </w:rPr>
            </w:pPr>
            <w:r w:rsidRPr="004E114A">
              <w:rPr>
                <w:sz w:val="20"/>
                <w:szCs w:val="20"/>
              </w:rPr>
              <w:t>10.4%</w:t>
            </w:r>
          </w:p>
        </w:tc>
      </w:tr>
      <w:tr w:rsidR="00AC40FC" w:rsidRPr="004E114A" w:rsidTr="00BB665B">
        <w:trPr>
          <w:cantSplit/>
          <w:jc w:val="center"/>
        </w:trPr>
        <w:tc>
          <w:tcPr>
            <w:tcW w:w="2728" w:type="dxa"/>
            <w:shd w:val="clear" w:color="auto" w:fill="auto"/>
            <w:vAlign w:val="center"/>
          </w:tcPr>
          <w:p w:rsidR="00AC40FC" w:rsidRPr="004E114A" w:rsidRDefault="00AC40FC" w:rsidP="004E114A">
            <w:pPr>
              <w:spacing w:after="0"/>
              <w:jc w:val="center"/>
              <w:rPr>
                <w:sz w:val="20"/>
                <w:szCs w:val="20"/>
              </w:rPr>
            </w:pPr>
            <w:r w:rsidRPr="004E114A">
              <w:rPr>
                <w:sz w:val="20"/>
                <w:szCs w:val="20"/>
              </w:rPr>
              <w:t>Customer Services</w:t>
            </w:r>
            <w:r>
              <w:rPr>
                <w:sz w:val="20"/>
                <w:szCs w:val="20"/>
              </w:rPr>
              <w:t xml:space="preserve"> (millions)</w:t>
            </w:r>
          </w:p>
        </w:tc>
        <w:tc>
          <w:tcPr>
            <w:tcW w:w="750" w:type="dxa"/>
            <w:shd w:val="clear" w:color="auto" w:fill="auto"/>
            <w:vAlign w:val="center"/>
          </w:tcPr>
          <w:p w:rsidR="00AC40FC" w:rsidRPr="004E114A" w:rsidRDefault="00AC40FC" w:rsidP="004E114A">
            <w:pPr>
              <w:spacing w:after="0"/>
              <w:jc w:val="center"/>
              <w:rPr>
                <w:sz w:val="20"/>
                <w:szCs w:val="20"/>
              </w:rPr>
            </w:pPr>
            <w:r>
              <w:rPr>
                <w:sz w:val="20"/>
                <w:szCs w:val="20"/>
              </w:rPr>
              <w:t>$</w:t>
            </w:r>
            <w:r w:rsidRPr="004E114A">
              <w:rPr>
                <w:sz w:val="20"/>
                <w:szCs w:val="20"/>
              </w:rPr>
              <w:t>65</w:t>
            </w:r>
          </w:p>
        </w:tc>
        <w:tc>
          <w:tcPr>
            <w:tcW w:w="1417" w:type="dxa"/>
            <w:shd w:val="clear" w:color="auto" w:fill="auto"/>
            <w:vAlign w:val="center"/>
          </w:tcPr>
          <w:p w:rsidR="00AC40FC" w:rsidRPr="004E114A" w:rsidRDefault="00AC40FC" w:rsidP="004E114A">
            <w:pPr>
              <w:spacing w:after="0"/>
              <w:jc w:val="center"/>
              <w:rPr>
                <w:sz w:val="20"/>
                <w:szCs w:val="20"/>
              </w:rPr>
            </w:pPr>
            <w:r>
              <w:rPr>
                <w:sz w:val="20"/>
                <w:szCs w:val="20"/>
              </w:rPr>
              <w:t>$</w:t>
            </w:r>
            <w:r w:rsidRPr="004E114A">
              <w:rPr>
                <w:sz w:val="20"/>
                <w:szCs w:val="20"/>
              </w:rPr>
              <w:t>49</w:t>
            </w:r>
          </w:p>
        </w:tc>
        <w:tc>
          <w:tcPr>
            <w:tcW w:w="1373" w:type="dxa"/>
            <w:vAlign w:val="center"/>
          </w:tcPr>
          <w:p w:rsidR="00AC40FC" w:rsidRPr="004E114A" w:rsidRDefault="00AC40FC" w:rsidP="004E114A">
            <w:pPr>
              <w:spacing w:after="0"/>
              <w:jc w:val="center"/>
              <w:rPr>
                <w:sz w:val="20"/>
                <w:szCs w:val="20"/>
              </w:rPr>
            </w:pPr>
            <w:r w:rsidRPr="004E114A">
              <w:rPr>
                <w:sz w:val="20"/>
                <w:szCs w:val="20"/>
              </w:rPr>
              <w:t>24.6%</w:t>
            </w:r>
          </w:p>
        </w:tc>
        <w:tc>
          <w:tcPr>
            <w:tcW w:w="1260" w:type="dxa"/>
            <w:shd w:val="clear" w:color="auto" w:fill="auto"/>
            <w:vAlign w:val="center"/>
          </w:tcPr>
          <w:p w:rsidR="00AC40FC" w:rsidRPr="004E114A" w:rsidRDefault="00AC40FC" w:rsidP="004E114A">
            <w:pPr>
              <w:spacing w:after="0"/>
              <w:jc w:val="center"/>
              <w:rPr>
                <w:sz w:val="20"/>
                <w:szCs w:val="20"/>
              </w:rPr>
            </w:pPr>
            <w:r>
              <w:rPr>
                <w:sz w:val="20"/>
                <w:szCs w:val="20"/>
              </w:rPr>
              <w:t>$</w:t>
            </w:r>
            <w:r w:rsidRPr="004E114A">
              <w:rPr>
                <w:sz w:val="20"/>
                <w:szCs w:val="20"/>
              </w:rPr>
              <w:t>39</w:t>
            </w:r>
          </w:p>
        </w:tc>
        <w:tc>
          <w:tcPr>
            <w:tcW w:w="1065" w:type="dxa"/>
            <w:shd w:val="clear" w:color="auto" w:fill="auto"/>
            <w:vAlign w:val="center"/>
          </w:tcPr>
          <w:p w:rsidR="00AC40FC" w:rsidRPr="004E114A" w:rsidRDefault="00AC40FC" w:rsidP="004E114A">
            <w:pPr>
              <w:spacing w:after="0"/>
              <w:jc w:val="center"/>
              <w:rPr>
                <w:sz w:val="20"/>
                <w:szCs w:val="20"/>
              </w:rPr>
            </w:pPr>
            <w:r>
              <w:rPr>
                <w:sz w:val="20"/>
                <w:szCs w:val="20"/>
              </w:rPr>
              <w:t>$</w:t>
            </w:r>
            <w:r w:rsidRPr="004E114A">
              <w:rPr>
                <w:sz w:val="20"/>
                <w:szCs w:val="20"/>
              </w:rPr>
              <w:t>26</w:t>
            </w:r>
          </w:p>
        </w:tc>
        <w:tc>
          <w:tcPr>
            <w:tcW w:w="883" w:type="dxa"/>
            <w:shd w:val="clear" w:color="auto" w:fill="auto"/>
            <w:vAlign w:val="center"/>
          </w:tcPr>
          <w:p w:rsidR="00AC40FC" w:rsidRPr="004E114A" w:rsidRDefault="00AC40FC" w:rsidP="004E114A">
            <w:pPr>
              <w:spacing w:after="0"/>
              <w:jc w:val="center"/>
              <w:rPr>
                <w:sz w:val="20"/>
                <w:szCs w:val="20"/>
              </w:rPr>
            </w:pPr>
            <w:r w:rsidRPr="004E114A">
              <w:rPr>
                <w:sz w:val="20"/>
                <w:szCs w:val="20"/>
              </w:rPr>
              <w:t>40.0%</w:t>
            </w:r>
          </w:p>
        </w:tc>
      </w:tr>
      <w:tr w:rsidR="00AC40FC" w:rsidRPr="004E114A" w:rsidTr="00BB665B">
        <w:trPr>
          <w:cantSplit/>
          <w:jc w:val="center"/>
        </w:trPr>
        <w:tc>
          <w:tcPr>
            <w:tcW w:w="2728" w:type="dxa"/>
            <w:shd w:val="clear" w:color="auto" w:fill="auto"/>
            <w:vAlign w:val="center"/>
          </w:tcPr>
          <w:p w:rsidR="00AC40FC" w:rsidRPr="004E114A" w:rsidRDefault="00AC40FC" w:rsidP="004E114A">
            <w:pPr>
              <w:spacing w:after="0"/>
              <w:jc w:val="center"/>
              <w:rPr>
                <w:sz w:val="20"/>
                <w:szCs w:val="20"/>
              </w:rPr>
            </w:pPr>
            <w:r w:rsidRPr="004E114A">
              <w:rPr>
                <w:sz w:val="20"/>
                <w:szCs w:val="20"/>
              </w:rPr>
              <w:t>Sales, General, and Administrative</w:t>
            </w:r>
            <w:r>
              <w:rPr>
                <w:sz w:val="20"/>
                <w:szCs w:val="20"/>
              </w:rPr>
              <w:t xml:space="preserve"> (millions)</w:t>
            </w:r>
          </w:p>
        </w:tc>
        <w:tc>
          <w:tcPr>
            <w:tcW w:w="750" w:type="dxa"/>
            <w:shd w:val="clear" w:color="auto" w:fill="auto"/>
            <w:vAlign w:val="center"/>
          </w:tcPr>
          <w:p w:rsidR="00AC40FC" w:rsidRPr="004E114A" w:rsidRDefault="00AC40FC" w:rsidP="004E114A">
            <w:pPr>
              <w:spacing w:after="0"/>
              <w:jc w:val="center"/>
              <w:rPr>
                <w:sz w:val="20"/>
                <w:szCs w:val="20"/>
              </w:rPr>
            </w:pPr>
            <w:r>
              <w:rPr>
                <w:sz w:val="20"/>
                <w:szCs w:val="20"/>
              </w:rPr>
              <w:t>$</w:t>
            </w:r>
            <w:r w:rsidRPr="004E114A">
              <w:rPr>
                <w:sz w:val="20"/>
                <w:szCs w:val="20"/>
              </w:rPr>
              <w:t>140</w:t>
            </w:r>
          </w:p>
        </w:tc>
        <w:tc>
          <w:tcPr>
            <w:tcW w:w="1417" w:type="dxa"/>
            <w:shd w:val="clear" w:color="auto" w:fill="auto"/>
            <w:vAlign w:val="center"/>
          </w:tcPr>
          <w:p w:rsidR="00AC40FC" w:rsidRPr="004E114A" w:rsidRDefault="00AC40FC" w:rsidP="004E114A">
            <w:pPr>
              <w:spacing w:after="0"/>
              <w:jc w:val="center"/>
              <w:rPr>
                <w:sz w:val="20"/>
                <w:szCs w:val="20"/>
              </w:rPr>
            </w:pPr>
            <w:r>
              <w:rPr>
                <w:sz w:val="20"/>
                <w:szCs w:val="20"/>
              </w:rPr>
              <w:t>$</w:t>
            </w:r>
            <w:r w:rsidRPr="004E114A">
              <w:rPr>
                <w:sz w:val="20"/>
                <w:szCs w:val="20"/>
              </w:rPr>
              <w:t>112</w:t>
            </w:r>
          </w:p>
        </w:tc>
        <w:tc>
          <w:tcPr>
            <w:tcW w:w="1373" w:type="dxa"/>
            <w:vAlign w:val="center"/>
          </w:tcPr>
          <w:p w:rsidR="00AC40FC" w:rsidRPr="004E114A" w:rsidRDefault="00AC40FC" w:rsidP="004E114A">
            <w:pPr>
              <w:spacing w:after="0"/>
              <w:jc w:val="center"/>
              <w:rPr>
                <w:sz w:val="20"/>
                <w:szCs w:val="20"/>
              </w:rPr>
            </w:pPr>
            <w:r w:rsidRPr="004E114A">
              <w:rPr>
                <w:sz w:val="20"/>
                <w:szCs w:val="20"/>
              </w:rPr>
              <w:t>20.0%</w:t>
            </w:r>
          </w:p>
        </w:tc>
        <w:tc>
          <w:tcPr>
            <w:tcW w:w="1260" w:type="dxa"/>
            <w:shd w:val="clear" w:color="auto" w:fill="auto"/>
            <w:vAlign w:val="center"/>
          </w:tcPr>
          <w:p w:rsidR="00AC40FC" w:rsidRPr="004E114A" w:rsidRDefault="00AC40FC" w:rsidP="004E114A">
            <w:pPr>
              <w:spacing w:after="0"/>
              <w:jc w:val="center"/>
              <w:rPr>
                <w:sz w:val="20"/>
                <w:szCs w:val="20"/>
              </w:rPr>
            </w:pPr>
            <w:r>
              <w:rPr>
                <w:sz w:val="20"/>
                <w:szCs w:val="20"/>
              </w:rPr>
              <w:t>$</w:t>
            </w:r>
            <w:r w:rsidRPr="004E114A">
              <w:rPr>
                <w:sz w:val="20"/>
                <w:szCs w:val="20"/>
              </w:rPr>
              <w:t>98</w:t>
            </w:r>
          </w:p>
        </w:tc>
        <w:tc>
          <w:tcPr>
            <w:tcW w:w="1065" w:type="dxa"/>
            <w:shd w:val="clear" w:color="auto" w:fill="auto"/>
            <w:vAlign w:val="center"/>
          </w:tcPr>
          <w:p w:rsidR="00AC40FC" w:rsidRPr="004E114A" w:rsidRDefault="00AC40FC" w:rsidP="004E114A">
            <w:pPr>
              <w:spacing w:after="0"/>
              <w:jc w:val="center"/>
              <w:rPr>
                <w:sz w:val="20"/>
                <w:szCs w:val="20"/>
              </w:rPr>
            </w:pPr>
            <w:r>
              <w:rPr>
                <w:sz w:val="20"/>
                <w:szCs w:val="20"/>
              </w:rPr>
              <w:t>$</w:t>
            </w:r>
            <w:r w:rsidRPr="004E114A">
              <w:rPr>
                <w:sz w:val="20"/>
                <w:szCs w:val="20"/>
              </w:rPr>
              <w:t>42</w:t>
            </w:r>
          </w:p>
        </w:tc>
        <w:tc>
          <w:tcPr>
            <w:tcW w:w="883" w:type="dxa"/>
            <w:shd w:val="clear" w:color="auto" w:fill="auto"/>
            <w:vAlign w:val="center"/>
          </w:tcPr>
          <w:p w:rsidR="00AC40FC" w:rsidRPr="004E114A" w:rsidRDefault="00AC40FC" w:rsidP="004E114A">
            <w:pPr>
              <w:spacing w:after="0"/>
              <w:jc w:val="center"/>
              <w:rPr>
                <w:sz w:val="20"/>
                <w:szCs w:val="20"/>
              </w:rPr>
            </w:pPr>
            <w:r w:rsidRPr="004E114A">
              <w:rPr>
                <w:sz w:val="20"/>
                <w:szCs w:val="20"/>
              </w:rPr>
              <w:t>30.0%</w:t>
            </w:r>
          </w:p>
        </w:tc>
      </w:tr>
      <w:tr w:rsidR="00AC40FC" w:rsidRPr="00C418E7" w:rsidTr="00BB665B">
        <w:trPr>
          <w:cantSplit/>
          <w:jc w:val="center"/>
        </w:trPr>
        <w:tc>
          <w:tcPr>
            <w:tcW w:w="2728" w:type="dxa"/>
            <w:shd w:val="clear" w:color="auto" w:fill="auto"/>
            <w:vAlign w:val="center"/>
          </w:tcPr>
          <w:p w:rsidR="00AC40FC" w:rsidRPr="00C418E7" w:rsidRDefault="00AC40FC" w:rsidP="004E114A">
            <w:pPr>
              <w:spacing w:after="0"/>
              <w:jc w:val="right"/>
              <w:rPr>
                <w:b/>
                <w:sz w:val="20"/>
                <w:szCs w:val="20"/>
              </w:rPr>
            </w:pPr>
            <w:r w:rsidRPr="00C418E7">
              <w:rPr>
                <w:b/>
                <w:sz w:val="20"/>
                <w:szCs w:val="20"/>
              </w:rPr>
              <w:t>Totals (millions)</w:t>
            </w:r>
          </w:p>
        </w:tc>
        <w:tc>
          <w:tcPr>
            <w:tcW w:w="750" w:type="dxa"/>
            <w:shd w:val="clear" w:color="auto" w:fill="auto"/>
            <w:vAlign w:val="center"/>
          </w:tcPr>
          <w:p w:rsidR="00AC40FC" w:rsidRPr="00C418E7" w:rsidRDefault="00AC40FC" w:rsidP="004E114A">
            <w:pPr>
              <w:spacing w:after="0"/>
              <w:jc w:val="center"/>
              <w:rPr>
                <w:b/>
                <w:sz w:val="20"/>
                <w:szCs w:val="20"/>
              </w:rPr>
            </w:pPr>
            <w:r w:rsidRPr="00C418E7">
              <w:rPr>
                <w:b/>
                <w:sz w:val="20"/>
                <w:szCs w:val="20"/>
              </w:rPr>
              <w:t>$369</w:t>
            </w:r>
          </w:p>
        </w:tc>
        <w:tc>
          <w:tcPr>
            <w:tcW w:w="1417" w:type="dxa"/>
            <w:shd w:val="clear" w:color="auto" w:fill="auto"/>
            <w:vAlign w:val="center"/>
          </w:tcPr>
          <w:p w:rsidR="00AC40FC" w:rsidRPr="00C418E7" w:rsidRDefault="00AC40FC" w:rsidP="004E114A">
            <w:pPr>
              <w:spacing w:after="0"/>
              <w:jc w:val="center"/>
              <w:rPr>
                <w:b/>
                <w:sz w:val="20"/>
                <w:szCs w:val="20"/>
              </w:rPr>
            </w:pPr>
            <w:r w:rsidRPr="00C418E7">
              <w:rPr>
                <w:b/>
                <w:sz w:val="20"/>
                <w:szCs w:val="20"/>
              </w:rPr>
              <w:t>$288</w:t>
            </w:r>
          </w:p>
        </w:tc>
        <w:tc>
          <w:tcPr>
            <w:tcW w:w="1373" w:type="dxa"/>
            <w:vAlign w:val="center"/>
          </w:tcPr>
          <w:p w:rsidR="00AC40FC" w:rsidRPr="00C418E7" w:rsidRDefault="00AC40FC" w:rsidP="004E114A">
            <w:pPr>
              <w:spacing w:after="0"/>
              <w:jc w:val="center"/>
              <w:rPr>
                <w:b/>
                <w:sz w:val="20"/>
                <w:szCs w:val="20"/>
              </w:rPr>
            </w:pPr>
            <w:r w:rsidRPr="00C418E7">
              <w:rPr>
                <w:b/>
                <w:sz w:val="20"/>
                <w:szCs w:val="20"/>
              </w:rPr>
              <w:t>22.0%</w:t>
            </w:r>
          </w:p>
        </w:tc>
        <w:tc>
          <w:tcPr>
            <w:tcW w:w="1260" w:type="dxa"/>
            <w:shd w:val="clear" w:color="auto" w:fill="auto"/>
            <w:vAlign w:val="center"/>
          </w:tcPr>
          <w:p w:rsidR="00AC40FC" w:rsidRPr="00C418E7" w:rsidRDefault="00AC40FC" w:rsidP="004E114A">
            <w:pPr>
              <w:spacing w:after="0"/>
              <w:jc w:val="center"/>
              <w:rPr>
                <w:b/>
                <w:sz w:val="20"/>
                <w:szCs w:val="20"/>
              </w:rPr>
            </w:pPr>
            <w:r w:rsidRPr="00C418E7">
              <w:rPr>
                <w:b/>
                <w:sz w:val="20"/>
                <w:szCs w:val="20"/>
              </w:rPr>
              <w:t>$257</w:t>
            </w:r>
          </w:p>
        </w:tc>
        <w:tc>
          <w:tcPr>
            <w:tcW w:w="1065" w:type="dxa"/>
            <w:shd w:val="clear" w:color="auto" w:fill="auto"/>
            <w:vAlign w:val="center"/>
          </w:tcPr>
          <w:p w:rsidR="00AC40FC" w:rsidRPr="00C418E7" w:rsidRDefault="00AC40FC" w:rsidP="004E114A">
            <w:pPr>
              <w:spacing w:after="0"/>
              <w:jc w:val="center"/>
              <w:rPr>
                <w:b/>
                <w:sz w:val="20"/>
                <w:szCs w:val="20"/>
              </w:rPr>
            </w:pPr>
            <w:r w:rsidRPr="00C418E7">
              <w:rPr>
                <w:b/>
                <w:sz w:val="20"/>
                <w:szCs w:val="20"/>
              </w:rPr>
              <w:t>$112</w:t>
            </w:r>
          </w:p>
        </w:tc>
        <w:tc>
          <w:tcPr>
            <w:tcW w:w="883" w:type="dxa"/>
            <w:shd w:val="clear" w:color="auto" w:fill="auto"/>
            <w:vAlign w:val="center"/>
          </w:tcPr>
          <w:p w:rsidR="00AC40FC" w:rsidRPr="00C418E7" w:rsidRDefault="00AC40FC" w:rsidP="004E114A">
            <w:pPr>
              <w:spacing w:after="0"/>
              <w:jc w:val="center"/>
              <w:rPr>
                <w:b/>
                <w:sz w:val="20"/>
                <w:szCs w:val="20"/>
              </w:rPr>
            </w:pPr>
            <w:r w:rsidRPr="00C418E7">
              <w:rPr>
                <w:b/>
                <w:sz w:val="20"/>
                <w:szCs w:val="20"/>
              </w:rPr>
              <w:t>30.4%</w:t>
            </w:r>
          </w:p>
        </w:tc>
      </w:tr>
      <w:tr w:rsidR="00AC40FC" w:rsidRPr="004E114A" w:rsidTr="00BB665B">
        <w:trPr>
          <w:cantSplit/>
          <w:jc w:val="center"/>
        </w:trPr>
        <w:tc>
          <w:tcPr>
            <w:tcW w:w="9476" w:type="dxa"/>
            <w:gridSpan w:val="7"/>
            <w:shd w:val="clear" w:color="auto" w:fill="auto"/>
            <w:vAlign w:val="center"/>
          </w:tcPr>
          <w:p w:rsidR="00AC40FC" w:rsidRPr="004E114A" w:rsidRDefault="00AC40FC" w:rsidP="004E114A">
            <w:pPr>
              <w:spacing w:after="0"/>
              <w:jc w:val="left"/>
              <w:rPr>
                <w:sz w:val="20"/>
                <w:szCs w:val="20"/>
              </w:rPr>
            </w:pPr>
            <w:r w:rsidRPr="004E114A">
              <w:rPr>
                <w:sz w:val="20"/>
                <w:szCs w:val="20"/>
              </w:rPr>
              <w:t>Source: The Boston Consulting Group Utility Mergers &amp; Acquisitions: Beating the Odds</w:t>
            </w:r>
          </w:p>
        </w:tc>
      </w:tr>
    </w:tbl>
    <w:p w:rsidR="00AC40FC" w:rsidRPr="004E114A" w:rsidRDefault="00AC40FC" w:rsidP="004E114A">
      <w:pPr>
        <w:spacing w:before="120"/>
      </w:pPr>
      <w:r w:rsidRPr="004E114A">
        <w:t>The estimates of potential non-fuel O&amp;M cost savings from merger synergies range from 22.0% to 30.4%.</w:t>
      </w:r>
    </w:p>
    <w:p w:rsidR="00AC40FC" w:rsidRPr="004E114A" w:rsidRDefault="00AC40FC" w:rsidP="004E114A">
      <w:pPr>
        <w:spacing w:before="120"/>
      </w:pPr>
      <w:r w:rsidRPr="004E114A">
        <w:t>The paper offered four broad objectives that enhance mergers and acquisitions (M&amp;A) value creation:</w:t>
      </w:r>
    </w:p>
    <w:p w:rsidR="00AC40FC" w:rsidRPr="004E114A" w:rsidRDefault="00AC40FC" w:rsidP="004F00E5">
      <w:pPr>
        <w:pStyle w:val="Numbering"/>
        <w:numPr>
          <w:ilvl w:val="0"/>
          <w:numId w:val="146"/>
        </w:numPr>
        <w:ind w:left="720"/>
      </w:pPr>
      <w:r w:rsidRPr="004E114A">
        <w:t>Establish a compelling strategic logic and rationale for the deal, including merger synergies.</w:t>
      </w:r>
    </w:p>
    <w:p w:rsidR="00AC40FC" w:rsidRPr="004E114A" w:rsidRDefault="00AC40FC" w:rsidP="00935281">
      <w:pPr>
        <w:pStyle w:val="Numbering"/>
      </w:pPr>
      <w:r w:rsidRPr="004E114A">
        <w:t>Carefully manage the regulatory approval process, emphasizing synergies and rate reductions, among other points.</w:t>
      </w:r>
    </w:p>
    <w:p w:rsidR="00AC40FC" w:rsidRPr="004E114A" w:rsidRDefault="00AC40FC" w:rsidP="00935281">
      <w:pPr>
        <w:pStyle w:val="Numbering"/>
      </w:pPr>
      <w:r w:rsidRPr="004E114A">
        <w:t>Integrate early and aggressively.</w:t>
      </w:r>
    </w:p>
    <w:p w:rsidR="00AC40FC" w:rsidRPr="004E114A" w:rsidRDefault="00AC40FC" w:rsidP="00935281">
      <w:pPr>
        <w:pStyle w:val="Numbering"/>
      </w:pPr>
      <w:r w:rsidRPr="004E114A">
        <w:t>Use a top-down approach to design realistic but ambitious economic targets.</w:t>
      </w:r>
    </w:p>
    <w:p w:rsidR="00AC40FC" w:rsidRPr="004E114A" w:rsidRDefault="00AC40FC" w:rsidP="004E114A">
      <w:pPr>
        <w:spacing w:before="120"/>
      </w:pPr>
      <w:r w:rsidRPr="004E114A">
        <w:t>The Northeast Utilities merger with NSTAR described below in the case studies section followed these steps to achieve large merger synergies.</w:t>
      </w:r>
    </w:p>
    <w:p w:rsidR="00AC40FC" w:rsidRPr="004E114A" w:rsidRDefault="00AC40FC" w:rsidP="00935281">
      <w:pPr>
        <w:pStyle w:val="Heading30"/>
      </w:pPr>
      <w:r w:rsidRPr="004E114A">
        <w:lastRenderedPageBreak/>
        <w:t>Sources of Gains in Corporate Mergers: Refined Tests from a Neglected Industry</w:t>
      </w:r>
    </w:p>
    <w:p w:rsidR="00AC40FC" w:rsidRPr="004E114A" w:rsidRDefault="00AC40FC" w:rsidP="004E114A">
      <w:r w:rsidRPr="004E114A">
        <w:t>This is an October 27, 2010 academic paper by three professors from Drexel University and the University of Georgia published in the Journal of Financial and Quantitative Analysis.  The paper covers a number of topics but included an analysis of electric rates of 56 completed mergers.  It found that there were cost/price reductions after mergers due to economies of scale.  After the merger, average electric utility rates for residential, commercial, and industrial customers measured in cents per kilowatt hour declined .5% on average.</w:t>
      </w:r>
    </w:p>
    <w:p w:rsidR="00AC40FC" w:rsidRPr="004E114A" w:rsidRDefault="00AC40FC" w:rsidP="004F00E5">
      <w:pPr>
        <w:pStyle w:val="Heading2"/>
        <w:numPr>
          <w:ilvl w:val="0"/>
          <w:numId w:val="115"/>
        </w:numPr>
      </w:pPr>
      <w:bookmarkStart w:id="450" w:name="_Toc462647926"/>
      <w:bookmarkStart w:id="451" w:name="_Toc464552165"/>
      <w:r w:rsidRPr="004E114A">
        <w:t>case studies on recent utility merger synergies</w:t>
      </w:r>
      <w:bookmarkEnd w:id="450"/>
      <w:bookmarkEnd w:id="451"/>
    </w:p>
    <w:p w:rsidR="00AC40FC" w:rsidRPr="004E114A" w:rsidRDefault="00AC40FC" w:rsidP="004E114A">
      <w:r w:rsidRPr="004E114A">
        <w:t>This section presents case studies of recent utility mergers.  The customer benefits and merger synergy cost savings identified are highlighted in each case study.</w:t>
      </w:r>
    </w:p>
    <w:p w:rsidR="00AC40FC" w:rsidRPr="004E114A" w:rsidRDefault="00AC40FC" w:rsidP="00935281">
      <w:pPr>
        <w:pStyle w:val="Heading30"/>
      </w:pPr>
      <w:r w:rsidRPr="004E114A">
        <w:t xml:space="preserve">Northeast utilities acquisition of nstar </w:t>
      </w:r>
    </w:p>
    <w:p w:rsidR="00AC40FC" w:rsidRPr="004E114A" w:rsidRDefault="00AC40FC" w:rsidP="004E114A">
      <w:r w:rsidRPr="004E114A">
        <w:t>Northeast Utilities (NU) acquired NSTAR on April 10, 2012.  The merged company was renamed Eversource Energy in 2015.  NU had four utility operating companies:</w:t>
      </w:r>
    </w:p>
    <w:p w:rsidR="00AC40FC" w:rsidRPr="004E114A" w:rsidRDefault="00AC40FC" w:rsidP="00935281">
      <w:pPr>
        <w:pStyle w:val="Bullet"/>
      </w:pPr>
      <w:r w:rsidRPr="004E114A">
        <w:t>The Connecticut Light and Power Company (CL&amp;P), a regulated electric utility that serves customers in parts of Connecticut</w:t>
      </w:r>
    </w:p>
    <w:p w:rsidR="00AC40FC" w:rsidRPr="004E114A" w:rsidRDefault="00AC40FC" w:rsidP="00935281">
      <w:pPr>
        <w:pStyle w:val="Bullet"/>
      </w:pPr>
      <w:r w:rsidRPr="004E114A">
        <w:t>Public Service Company of New Hampshire (PSNH), a regulated electric utility that serves customers in parts of New Hampshire and owns generation assets used to serve customers</w:t>
      </w:r>
    </w:p>
    <w:p w:rsidR="00AC40FC" w:rsidRPr="004E114A" w:rsidRDefault="00AC40FC" w:rsidP="00935281">
      <w:pPr>
        <w:pStyle w:val="Bullet"/>
      </w:pPr>
      <w:r w:rsidRPr="004E114A">
        <w:t>Western Massachusetts Electric Company (WMECO), a regulated electric utility that serves customers in parts of western Massachusetts and owns solar generating assets</w:t>
      </w:r>
    </w:p>
    <w:p w:rsidR="00AC40FC" w:rsidRPr="004E114A" w:rsidRDefault="00AC40FC" w:rsidP="00935281">
      <w:pPr>
        <w:pStyle w:val="Bullet"/>
      </w:pPr>
      <w:r w:rsidRPr="004E114A">
        <w:t>Yankee Gas Services Company (YGS), a regulated natural gas utility that serves customers in parts of Connecticut</w:t>
      </w:r>
    </w:p>
    <w:p w:rsidR="00AC40FC" w:rsidRPr="004E114A" w:rsidRDefault="00AC40FC" w:rsidP="004E114A">
      <w:pPr>
        <w:spacing w:before="120"/>
      </w:pPr>
      <w:r w:rsidRPr="004E114A">
        <w:t>NSTAR had two utility operating companies:</w:t>
      </w:r>
    </w:p>
    <w:p w:rsidR="00AC40FC" w:rsidRPr="004E114A" w:rsidRDefault="00AC40FC" w:rsidP="00935281">
      <w:pPr>
        <w:pStyle w:val="Bullet"/>
      </w:pPr>
      <w:r w:rsidRPr="004E114A">
        <w:t>NSTAR Electric Company, a regulated electric utility that serves customers in eastern Massachusetts</w:t>
      </w:r>
    </w:p>
    <w:p w:rsidR="00AC40FC" w:rsidRPr="004E114A" w:rsidRDefault="00AC40FC" w:rsidP="00935281">
      <w:pPr>
        <w:pStyle w:val="Bullet"/>
      </w:pPr>
      <w:r w:rsidRPr="004E114A">
        <w:t>NSTAR Gas Company, a regulated natural gas utility that serves customers in eastern Massachusetts</w:t>
      </w:r>
    </w:p>
    <w:p w:rsidR="00AC40FC" w:rsidRPr="004E114A" w:rsidRDefault="00AC40FC" w:rsidP="004E114A">
      <w:pPr>
        <w:spacing w:before="120"/>
      </w:pPr>
      <w:r w:rsidRPr="004E114A">
        <w:t xml:space="preserve">NU served 1.9 million electric customers and 200,000 natural gas customers.  NSTAR served 1.1 million electric customers and 300,000 natural gas customers.  Both Northeast Utilities and NSTAR had service companies to provide common shared services to their regulated and unregulated subsidiaries. </w:t>
      </w:r>
    </w:p>
    <w:p w:rsidR="00AC40FC" w:rsidRPr="004E114A" w:rsidRDefault="00AC40FC" w:rsidP="00935281">
      <w:pPr>
        <w:pStyle w:val="Heading40"/>
      </w:pPr>
      <w:r w:rsidRPr="004E114A">
        <w:t>Consolidated Post-Merger Organization Structure</w:t>
      </w:r>
    </w:p>
    <w:p w:rsidR="00AC40FC" w:rsidRPr="004E114A" w:rsidRDefault="00AC40FC" w:rsidP="004E114A">
      <w:r w:rsidRPr="004E114A">
        <w:t>Following the merger, the two companies’ management structures were consolidated with one senior executive for each utility and shared services function responsible for both companies.  The consolidated functions included:</w:t>
      </w:r>
    </w:p>
    <w:p w:rsidR="00AC40FC" w:rsidRPr="004E114A" w:rsidRDefault="00AC40FC" w:rsidP="00935281">
      <w:pPr>
        <w:pStyle w:val="Bullet"/>
      </w:pPr>
      <w:r w:rsidRPr="004E114A">
        <w:t>Electric Operations</w:t>
      </w:r>
    </w:p>
    <w:p w:rsidR="00AC40FC" w:rsidRPr="004E114A" w:rsidRDefault="00AC40FC" w:rsidP="00935281">
      <w:pPr>
        <w:pStyle w:val="Bullet"/>
      </w:pPr>
      <w:r w:rsidRPr="004E114A">
        <w:t>Gas Operations</w:t>
      </w:r>
    </w:p>
    <w:p w:rsidR="00AC40FC" w:rsidRPr="004E114A" w:rsidRDefault="00AC40FC" w:rsidP="00935281">
      <w:pPr>
        <w:pStyle w:val="Bullet"/>
      </w:pPr>
      <w:r w:rsidRPr="004E114A">
        <w:lastRenderedPageBreak/>
        <w:t>Energy Supply</w:t>
      </w:r>
    </w:p>
    <w:p w:rsidR="00AC40FC" w:rsidRPr="004E114A" w:rsidRDefault="00AC40FC" w:rsidP="00935281">
      <w:pPr>
        <w:pStyle w:val="Bullet"/>
      </w:pPr>
      <w:r w:rsidRPr="004E114A">
        <w:t>Customer Service</w:t>
      </w:r>
    </w:p>
    <w:p w:rsidR="00AC40FC" w:rsidRPr="004E114A" w:rsidRDefault="00AC40FC" w:rsidP="00935281">
      <w:pPr>
        <w:pStyle w:val="Bullet"/>
      </w:pPr>
      <w:r w:rsidRPr="004E114A">
        <w:t>Supply Chain</w:t>
      </w:r>
    </w:p>
    <w:p w:rsidR="00AC40FC" w:rsidRPr="004E114A" w:rsidRDefault="00AC40FC" w:rsidP="00935281">
      <w:pPr>
        <w:pStyle w:val="Bullet"/>
      </w:pPr>
      <w:r w:rsidRPr="004E114A">
        <w:t>Information Technology</w:t>
      </w:r>
    </w:p>
    <w:p w:rsidR="00AC40FC" w:rsidRPr="004E114A" w:rsidRDefault="00AC40FC" w:rsidP="00935281">
      <w:pPr>
        <w:pStyle w:val="Bullet"/>
      </w:pPr>
      <w:r w:rsidRPr="004E114A">
        <w:t>Legal and Corporate Secretary</w:t>
      </w:r>
    </w:p>
    <w:p w:rsidR="00AC40FC" w:rsidRPr="004E114A" w:rsidRDefault="00AC40FC" w:rsidP="00935281">
      <w:pPr>
        <w:pStyle w:val="Bullet"/>
      </w:pPr>
      <w:r w:rsidRPr="004E114A">
        <w:t>Human Resources</w:t>
      </w:r>
    </w:p>
    <w:p w:rsidR="00AC40FC" w:rsidRPr="004E114A" w:rsidRDefault="00AC40FC" w:rsidP="00935281">
      <w:pPr>
        <w:pStyle w:val="Bullet"/>
      </w:pPr>
      <w:r w:rsidRPr="004E114A">
        <w:t>Finance and Accounting</w:t>
      </w:r>
    </w:p>
    <w:p w:rsidR="00AC40FC" w:rsidRPr="004E114A" w:rsidRDefault="00AC40FC" w:rsidP="00935281">
      <w:pPr>
        <w:pStyle w:val="Bullet"/>
      </w:pPr>
      <w:r w:rsidRPr="004E114A">
        <w:t>Corporate Relations</w:t>
      </w:r>
    </w:p>
    <w:p w:rsidR="00AC40FC" w:rsidRPr="004E114A" w:rsidRDefault="00AC40FC" w:rsidP="004E114A">
      <w:pPr>
        <w:spacing w:before="120"/>
      </w:pPr>
      <w:r w:rsidRPr="004E114A">
        <w:t>The executives and managers of each consolidated function were responsible for planning and implementing the consolidated function and achieving merger synergies.</w:t>
      </w:r>
    </w:p>
    <w:p w:rsidR="00AC40FC" w:rsidRPr="004E114A" w:rsidRDefault="00AC40FC" w:rsidP="004E114A">
      <w:r w:rsidRPr="004E114A">
        <w:t xml:space="preserve">The centralization of utility functions and support services also enabled the capture of economies of scale and the sharing of good practices across the operating companies within each function and support service.  For example, the implementation of a single outage management system across all four electric utility operating companies spread the cost of the system over four companies and enabled better sharing of resources among the four companies during storms. </w:t>
      </w:r>
    </w:p>
    <w:p w:rsidR="00AC40FC" w:rsidRPr="004E114A" w:rsidRDefault="00AC40FC" w:rsidP="00935281">
      <w:pPr>
        <w:pStyle w:val="Heading40"/>
      </w:pPr>
      <w:r w:rsidRPr="004E114A">
        <w:t>Customer Benefits</w:t>
      </w:r>
    </w:p>
    <w:p w:rsidR="00AC40FC" w:rsidRPr="004E114A" w:rsidRDefault="00AC40FC" w:rsidP="004E114A">
      <w:pPr>
        <w:rPr>
          <w:rFonts w:cs="Arial"/>
          <w:color w:val="000000"/>
          <w:szCs w:val="24"/>
        </w:rPr>
      </w:pPr>
      <w:r w:rsidRPr="004E114A">
        <w:rPr>
          <w:rFonts w:cs="Arial"/>
          <w:color w:val="000000"/>
          <w:szCs w:val="24"/>
        </w:rPr>
        <w:t>On February 15, 2012, NU and NSTAR reached comprehensive merger settlement agreements with the Massachusetts Attorney General and the Department of Energy Resources (DOER).  The Attorney General settlement agreement covered a variety of rate-making and rate design issues, including a base distribution rate freeze through 2015 for NSTAR Electric, NSTAR Gas, and WMECO, and $15 million, $3 million, and $3 million in the form of rate credits to their respective customers.</w:t>
      </w:r>
    </w:p>
    <w:p w:rsidR="00AC40FC" w:rsidRPr="004E114A" w:rsidRDefault="00AC40FC" w:rsidP="004E114A">
      <w:pPr>
        <w:rPr>
          <w:rFonts w:cs="Arial"/>
          <w:color w:val="000000"/>
          <w:szCs w:val="24"/>
        </w:rPr>
      </w:pPr>
      <w:r w:rsidRPr="004E114A">
        <w:rPr>
          <w:rFonts w:cs="Arial"/>
          <w:color w:val="000000"/>
          <w:szCs w:val="24"/>
        </w:rPr>
        <w:t>On March 13, 2012, NU and NSTAR reached a comprehensive merger settlement agreement with the Connecticut Attorney General and the Connecticut Office of Consumer Counsel.  The settlement agreement covers a variety of matters, including a $25 million rate credit to CL&amp;P customers, a CL&amp;P base distribution rate freeze until December 1, 2014, and the establishment of a $15 million fund for energy efficiency and other initiatives to be disbursed at the direction of the Connecticut Public Utilities Regulatory Authority (PURA).  In the agreement, CL&amp;P agreed to forego rate recovery of $40 million of the deferred storm restoration costs associated with restoration activities following Tropical Storm Irene and the October 2011 snowstorm.</w:t>
      </w:r>
    </w:p>
    <w:p w:rsidR="00AC40FC" w:rsidRPr="004E114A" w:rsidRDefault="00AC40FC" w:rsidP="004E114A">
      <w:pPr>
        <w:rPr>
          <w:rFonts w:cs="Arial"/>
          <w:szCs w:val="24"/>
        </w:rPr>
      </w:pPr>
      <w:r w:rsidRPr="004E114A">
        <w:rPr>
          <w:rFonts w:cs="Arial"/>
          <w:color w:val="000000"/>
          <w:szCs w:val="24"/>
        </w:rPr>
        <w:t>The merged company also committed to “green” initiatives including the development of electric vehicle infrastructure, microgrids, and other renewable energy generation technologies.</w:t>
      </w:r>
    </w:p>
    <w:p w:rsidR="00AC40FC" w:rsidRPr="004E114A" w:rsidRDefault="00AC40FC" w:rsidP="00935281">
      <w:pPr>
        <w:pStyle w:val="Heading40"/>
      </w:pPr>
      <w:r w:rsidRPr="004E114A">
        <w:t>Merger Cost Savings</w:t>
      </w:r>
    </w:p>
    <w:p w:rsidR="00AC40FC" w:rsidRPr="004E114A" w:rsidRDefault="00AC40FC" w:rsidP="004E114A">
      <w:pPr>
        <w:rPr>
          <w:rFonts w:cs="Arial"/>
          <w:i/>
          <w:szCs w:val="24"/>
        </w:rPr>
      </w:pPr>
      <w:r w:rsidRPr="004E114A">
        <w:t xml:space="preserve">The merger process projected cost savings from increased operating efficiencies, implementation of best practices and process improvements, increased purchasing leverage, and staffing reductions through attrition and retirement.  The April 8, 2011 Net Benefits Analysis projected operational savings to be approximately $948 million on an enterprise-wide basis over the first ten years after the merger, offset by approximately </w:t>
      </w:r>
      <w:r w:rsidRPr="004E114A">
        <w:lastRenderedPageBreak/>
        <w:t>$164 million in merger-related costs, resulting in enterprise-wide net savings of approximately $784 million.  The gross and net savings by area projected were:</w:t>
      </w:r>
    </w:p>
    <w:p w:rsidR="00AC40FC" w:rsidRPr="004E114A" w:rsidRDefault="00AC40FC" w:rsidP="00935281">
      <w:pPr>
        <w:pStyle w:val="Bullet"/>
      </w:pPr>
      <w:r w:rsidRPr="004E114A">
        <w:t>Labor Savings $449.1 million</w:t>
      </w:r>
    </w:p>
    <w:p w:rsidR="00AC40FC" w:rsidRPr="004E114A" w:rsidRDefault="00AC40FC" w:rsidP="00935281">
      <w:pPr>
        <w:pStyle w:val="Bullet"/>
      </w:pPr>
      <w:r w:rsidRPr="004E114A">
        <w:t>Corporate and Administrative Savings $276.0 million</w:t>
      </w:r>
    </w:p>
    <w:p w:rsidR="00AC40FC" w:rsidRPr="004E114A" w:rsidRDefault="00AC40FC" w:rsidP="00935281">
      <w:pPr>
        <w:pStyle w:val="Bullet"/>
      </w:pPr>
      <w:r w:rsidRPr="004E114A">
        <w:t>Purchasing Savings $223.0 million</w:t>
      </w:r>
    </w:p>
    <w:p w:rsidR="00AC40FC" w:rsidRPr="004E114A" w:rsidRDefault="00AC40FC" w:rsidP="00935281">
      <w:pPr>
        <w:pStyle w:val="Bullet"/>
      </w:pPr>
      <w:r w:rsidRPr="004E114A">
        <w:t>Total Gross Savings $948.1 million</w:t>
      </w:r>
    </w:p>
    <w:p w:rsidR="00AC40FC" w:rsidRPr="004E114A" w:rsidRDefault="00AC40FC" w:rsidP="00935281">
      <w:pPr>
        <w:pStyle w:val="Bullet"/>
      </w:pPr>
      <w:r w:rsidRPr="004E114A">
        <w:t>Merger-Related Costs Amortization ($164.3 million)</w:t>
      </w:r>
    </w:p>
    <w:p w:rsidR="00AC40FC" w:rsidRPr="004E114A" w:rsidRDefault="00AC40FC" w:rsidP="00935281">
      <w:pPr>
        <w:pStyle w:val="Bullet"/>
      </w:pPr>
      <w:r w:rsidRPr="004E114A">
        <w:t>Total Net Savings $783.8 million</w:t>
      </w:r>
    </w:p>
    <w:p w:rsidR="00AC40FC" w:rsidRPr="004E114A" w:rsidRDefault="00AC40FC" w:rsidP="00935281">
      <w:pPr>
        <w:pStyle w:val="Normal-aftertable"/>
      </w:pPr>
      <w:r w:rsidRPr="004E114A">
        <w:t xml:space="preserve">There was no specific NU/NSTAR integration plan that prescribed post-close details for the consolidation with pre-determined time tables.  Instead, integration details were delegated to the executives in charge of the consolidated functions who were also assigned to lead the integration efforts in each functional area.  The Company achieved cost efficiencies through the implementation of best practices among the operating affiliates, through leveraging the greater size and scope of the combined organization, and through labor reductions where it was possible to reduce staffing while continuing to meet reliability and customer-service objectives.  </w:t>
      </w:r>
    </w:p>
    <w:p w:rsidR="00AC40FC" w:rsidRPr="004E114A" w:rsidRDefault="00AC40FC" w:rsidP="004E114A">
      <w:pPr>
        <w:autoSpaceDE w:val="0"/>
        <w:autoSpaceDN w:val="0"/>
        <w:adjustRightInd w:val="0"/>
        <w:rPr>
          <w:rFonts w:cs="Helv"/>
          <w:color w:val="000000"/>
          <w:szCs w:val="20"/>
        </w:rPr>
      </w:pPr>
      <w:r w:rsidRPr="004E114A">
        <w:rPr>
          <w:rFonts w:cs="Helv"/>
          <w:color w:val="000000"/>
          <w:szCs w:val="20"/>
        </w:rPr>
        <w:t>Eversource Energy has achieved the cost efficiencies promised by the merger, while also providing the best reliability results on record.  One of Eversource's regulatory commitments from the merger was to provide updates identifying the net benefits achieved from the merger by functional area.  The latest merger integration report shows the ten year projected net savings to be $996.0 million enterprise-wide, which is higher than the pre-merger estimate of $783.8 million.</w:t>
      </w:r>
    </w:p>
    <w:p w:rsidR="00AC40FC" w:rsidRPr="004E114A" w:rsidRDefault="00AC40FC" w:rsidP="004E114A">
      <w:r w:rsidRPr="004E114A">
        <w:t>The Eversource Energy CEO stated that the mission of the merger integration was to “simplify and standardize.”  Following are several anecdotes from the merger integration efforts that illustrate how the merger benefits have been achieved.</w:t>
      </w:r>
    </w:p>
    <w:p w:rsidR="00AC40FC" w:rsidRPr="004E114A" w:rsidRDefault="00AC40FC" w:rsidP="00935281">
      <w:pPr>
        <w:pStyle w:val="Bullet"/>
      </w:pPr>
      <w:r w:rsidRPr="004E114A">
        <w:t>At the point of merger, NU and NST</w:t>
      </w:r>
      <w:r w:rsidRPr="004E114A">
        <w:rPr>
          <w:caps/>
        </w:rPr>
        <w:t xml:space="preserve">Ar </w:t>
      </w:r>
      <w:r w:rsidRPr="004E114A">
        <w:t>had 37 standard pole types.  This has been reduced to six at Eversource.</w:t>
      </w:r>
    </w:p>
    <w:p w:rsidR="00AC40FC" w:rsidRPr="004E114A" w:rsidRDefault="00AC40FC" w:rsidP="00935281">
      <w:pPr>
        <w:pStyle w:val="Bullet"/>
      </w:pPr>
      <w:r w:rsidRPr="004E114A">
        <w:t>At the merger, CL&amp;P had bad reliability and poor storm performance.  Outage response was slowed by not having trouble technicians on second shifts due to union resistance.  This has been resolved in the interim with contractors and reliability has improved.</w:t>
      </w:r>
    </w:p>
    <w:p w:rsidR="00AC40FC" w:rsidRPr="004E114A" w:rsidRDefault="00AC40FC" w:rsidP="00935281">
      <w:pPr>
        <w:pStyle w:val="Bullet"/>
      </w:pPr>
      <w:r w:rsidRPr="004E114A">
        <w:t>Facilities are being consolidated and optimized.  The “Work Center of the Future” is being implemented.</w:t>
      </w:r>
    </w:p>
    <w:p w:rsidR="00AC40FC" w:rsidRPr="004E114A" w:rsidRDefault="00AC40FC" w:rsidP="00935281">
      <w:pPr>
        <w:pStyle w:val="Bullet"/>
      </w:pPr>
      <w:r w:rsidRPr="004E114A">
        <w:t>Materials are being pre-staged and new emphasis is being placed on planning, scheduling, and executing work.</w:t>
      </w:r>
    </w:p>
    <w:p w:rsidR="00AC40FC" w:rsidRPr="004E114A" w:rsidRDefault="00AC40FC" w:rsidP="00935281">
      <w:pPr>
        <w:pStyle w:val="Bullet"/>
      </w:pPr>
      <w:r w:rsidRPr="004E114A">
        <w:t>The Eversource workforce strategy has been evolving.  NSTAR did more outsourcing in functions like Human Resources and Information Technology than NU and Eversource has been identifying and implementing the better insource or outsource practice in each function over time.</w:t>
      </w:r>
    </w:p>
    <w:p w:rsidR="00AC40FC" w:rsidRPr="004E114A" w:rsidRDefault="00AC40FC" w:rsidP="00935281">
      <w:pPr>
        <w:pStyle w:val="Bullet"/>
      </w:pPr>
      <w:r w:rsidRPr="004E114A">
        <w:t xml:space="preserve">The merger improved geographic diversity for both companies and facilitated storm response resource sharing. </w:t>
      </w:r>
    </w:p>
    <w:p w:rsidR="00AC40FC" w:rsidRPr="004E114A" w:rsidRDefault="00AC40FC" w:rsidP="00935281">
      <w:pPr>
        <w:pStyle w:val="Bullet"/>
      </w:pPr>
      <w:r w:rsidRPr="004E114A">
        <w:lastRenderedPageBreak/>
        <w:t xml:space="preserve">The effort produced a “one company” climate with centers of excellence for consolidated functions.  The capstone on the “one company” strategy is the name change to Eversource. </w:t>
      </w:r>
    </w:p>
    <w:p w:rsidR="00AC40FC" w:rsidRPr="004E114A" w:rsidRDefault="00AC40FC" w:rsidP="00935281">
      <w:pPr>
        <w:pStyle w:val="Heading30"/>
      </w:pPr>
      <w:r w:rsidRPr="004E114A">
        <w:t>Duke Energy acquisition of progress Energy</w:t>
      </w:r>
    </w:p>
    <w:p w:rsidR="00AC40FC" w:rsidRPr="004E114A" w:rsidRDefault="00AC40FC" w:rsidP="004E114A">
      <w:r w:rsidRPr="004E114A">
        <w:t xml:space="preserve">On July 2, 2012, Duke Energy Corporation (Duke) acquired Progress Energy, Inc. (Progress) to create the largest electric utility in the United States (measured by number of customers).  Duke has over seven million retail customers spanning six states.  </w:t>
      </w:r>
    </w:p>
    <w:p w:rsidR="00AC40FC" w:rsidRPr="004E114A" w:rsidRDefault="00AC40FC" w:rsidP="00935281">
      <w:pPr>
        <w:pStyle w:val="Heading40"/>
      </w:pPr>
      <w:r w:rsidRPr="004E114A">
        <w:t>North Carolina Regulatory Review</w:t>
      </w:r>
    </w:p>
    <w:p w:rsidR="00AC40FC" w:rsidRPr="004E114A" w:rsidRDefault="00AC40FC" w:rsidP="004E114A">
      <w:r w:rsidRPr="004E114A">
        <w:t xml:space="preserve">On April 4, 2011, Duke and Progress jointly filed an application with the North Carolina Utility Commission (NCUC) seeking approval to combine Duke Energy Carolinas, LLC (DEC) and Progress Energy Carolinas, Inc. (PEC).  DEC's service territory in North Carolina and South Carolina encompasses over 24,000 square miles and contains nearly 2.4 million customers.  PEC's service territory in North Carolina and South Carolina encompasses over 34,000 square miles and contains nearly 1.5 million customers. </w:t>
      </w:r>
    </w:p>
    <w:p w:rsidR="00AC40FC" w:rsidRPr="004E114A" w:rsidRDefault="00AC40FC" w:rsidP="00935281">
      <w:pPr>
        <w:pStyle w:val="Heading40"/>
      </w:pPr>
      <w:r w:rsidRPr="004E114A">
        <w:t>Cost Savings</w:t>
      </w:r>
    </w:p>
    <w:p w:rsidR="00AC40FC" w:rsidRPr="004E114A" w:rsidRDefault="00AC40FC" w:rsidP="004E114A">
      <w:r w:rsidRPr="004E114A">
        <w:rPr>
          <w:b/>
        </w:rPr>
        <w:t>Non-Fuel Merger Cost Savings.</w:t>
      </w:r>
      <w:r w:rsidRPr="004E114A">
        <w:t xml:space="preserve">  The merged entity expected to achieve five to seven percent savings in annual nonfuel operations and maintenance expenses beginning in 2014.  It is anticipated that upon the actual integration of Duke and Progress and their service companies, substantial non-fuel O&amp;M cost savings would result from the integration of Duke and Progress over the long term.  Additional known and potential benefits include economies of scale and scope and the leveraging of best practices, both of which are expected to result in operating efficiencies and improvements over time.</w:t>
      </w:r>
    </w:p>
    <w:p w:rsidR="00AC40FC" w:rsidRPr="004E114A" w:rsidRDefault="00AC40FC" w:rsidP="004E114A">
      <w:r w:rsidRPr="004E114A">
        <w:t>The integration process will involve workforce reductions as functions are consolidated and duplicate positions are eliminated. These workforce reductions are estimated to include the elimination of approximately 1,860 positions across the combined company, mostly in the Carolinas. The elimination of these positions is expected to account for a substantial portion of the non-fuel O&amp;M cost savings resulting from the merger.</w:t>
      </w:r>
    </w:p>
    <w:p w:rsidR="00AC40FC" w:rsidRPr="004E114A" w:rsidRDefault="00AC40FC" w:rsidP="00935281">
      <w:pPr>
        <w:pStyle w:val="Heading40"/>
      </w:pPr>
      <w:r w:rsidRPr="004E114A">
        <w:t>North Carolina Customer Benefits</w:t>
      </w:r>
    </w:p>
    <w:p w:rsidR="00AC40FC" w:rsidRPr="004E114A" w:rsidRDefault="00AC40FC" w:rsidP="004E114A">
      <w:r w:rsidRPr="004E114A">
        <w:rPr>
          <w:b/>
        </w:rPr>
        <w:t>Rate Reductions.</w:t>
      </w:r>
      <w:r w:rsidRPr="004E114A">
        <w:t xml:space="preserve">  The combined monthly impact of all merger related rate changes for a residential customer using 1,000 kWh per month was a decrease of 85¢.  The monthly impact for commercial and industrial customers varied based on consumption.</w:t>
      </w:r>
    </w:p>
    <w:p w:rsidR="00AC40FC" w:rsidRPr="004E114A" w:rsidRDefault="00AC40FC" w:rsidP="004E114A">
      <w:r w:rsidRPr="004E114A">
        <w:rPr>
          <w:b/>
        </w:rPr>
        <w:t>Other Customer Benefits.</w:t>
      </w:r>
      <w:r w:rsidRPr="004E114A">
        <w:t xml:space="preserve">  Other customer benefits include:</w:t>
      </w:r>
    </w:p>
    <w:p w:rsidR="00AC40FC" w:rsidRPr="004E114A" w:rsidRDefault="00AC40FC" w:rsidP="00935281">
      <w:pPr>
        <w:pStyle w:val="Bullet"/>
      </w:pPr>
      <w:r w:rsidRPr="004E114A">
        <w:t>The merged companies committed $16.48 million annually in community and charitable support during the first four years following the merger.</w:t>
      </w:r>
    </w:p>
    <w:p w:rsidR="00AC40FC" w:rsidRPr="004E114A" w:rsidRDefault="00AC40FC" w:rsidP="00935281">
      <w:pPr>
        <w:pStyle w:val="Bullet"/>
      </w:pPr>
      <w:r w:rsidRPr="004E114A">
        <w:t>The merged companies committed $10 million in energy assistance for low-income customers, $5 million for workforce development, and $2 million for NC Greenpower, a nonprofit promoting renewable energy.</w:t>
      </w:r>
    </w:p>
    <w:p w:rsidR="00AC40FC" w:rsidRPr="004E114A" w:rsidRDefault="00AC40FC" w:rsidP="00935281">
      <w:pPr>
        <w:pStyle w:val="Bullet"/>
      </w:pPr>
      <w:r w:rsidRPr="004E114A">
        <w:t>Progress Energy and PEC maintain a significant corporate and utility presence in downtown Raleigh following the close of the merger.</w:t>
      </w:r>
    </w:p>
    <w:p w:rsidR="00AC40FC" w:rsidRPr="004E114A" w:rsidRDefault="00AC40FC" w:rsidP="00935281">
      <w:pPr>
        <w:pStyle w:val="Heading30"/>
      </w:pPr>
      <w:r w:rsidRPr="004E114A">
        <w:lastRenderedPageBreak/>
        <w:t xml:space="preserve">exelon’s proposed acquisition of pepco </w:t>
      </w:r>
    </w:p>
    <w:p w:rsidR="00AC40FC" w:rsidRPr="004E114A" w:rsidRDefault="00AC40FC" w:rsidP="004E114A">
      <w:r w:rsidRPr="004E114A">
        <w:t xml:space="preserve">In April 2014, Chicago-based Exelon Corporation (Exelon) proposed acquiring Pepco Holdings Inc. (PHI), the utility holding company that provides electricity to Washington, D.C. and parts of Maryland, Delaware, and New Jersey.  </w:t>
      </w:r>
    </w:p>
    <w:p w:rsidR="00AC40FC" w:rsidRPr="004E114A" w:rsidRDefault="00AC40FC" w:rsidP="004E114A">
      <w:r w:rsidRPr="004E114A">
        <w:t>Exelon is a public utility holding company whose utility subsidiaries distribute electricity to approximately 6.6 million customers in Illinois, Pennsylvania, and Maryland, and natural gas to approximately 1.15 million customers in the Philadelphia and Baltimore areas.  Principal subsidiaries are Exelon Energy Delivery Company (Exelon Delivery) and Exelon Generation Company, LLC (Exelon Generation).  Exelon Delivery owns Exelon’s three franchised public utilities:</w:t>
      </w:r>
    </w:p>
    <w:p w:rsidR="00AC40FC" w:rsidRPr="004E114A" w:rsidRDefault="00AC40FC" w:rsidP="00935281">
      <w:pPr>
        <w:pStyle w:val="Bullet"/>
      </w:pPr>
      <w:r w:rsidRPr="004E114A">
        <w:t xml:space="preserve">Commonwealth Edison is a regulated utility that serves 3.8 million residential, commercial, industrial, and wholesale customers in northern Illinois and the City of Chicago. </w:t>
      </w:r>
    </w:p>
    <w:p w:rsidR="00AC40FC" w:rsidRPr="004E114A" w:rsidRDefault="00AC40FC" w:rsidP="00935281">
      <w:pPr>
        <w:pStyle w:val="Bullet"/>
      </w:pPr>
      <w:r w:rsidRPr="004E114A">
        <w:t xml:space="preserve">PECO is a regulated utility serving 1.6 million electric and 500,000 gas customers in southeastern Pennsylvania. </w:t>
      </w:r>
    </w:p>
    <w:p w:rsidR="00AC40FC" w:rsidRPr="004E114A" w:rsidRDefault="00AC40FC" w:rsidP="00935281">
      <w:pPr>
        <w:pStyle w:val="Bullet"/>
      </w:pPr>
      <w:r w:rsidRPr="004E114A">
        <w:t xml:space="preserve">Baltimore Gas &amp; Electric is a regulated utility that provides electricity to over 1.2 million electric customers </w:t>
      </w:r>
      <w:r w:rsidRPr="004E114A">
        <w:rPr>
          <w:spacing w:val="-1"/>
        </w:rPr>
        <w:t>in all or part of 10 counties in central Maryland and the City of Baltimore.</w:t>
      </w:r>
    </w:p>
    <w:p w:rsidR="00AC40FC" w:rsidRPr="004E114A" w:rsidRDefault="00AC40FC" w:rsidP="004E114A">
      <w:pPr>
        <w:spacing w:before="120"/>
        <w:rPr>
          <w:b/>
          <w:bCs/>
          <w:sz w:val="17"/>
          <w:szCs w:val="17"/>
        </w:rPr>
      </w:pPr>
      <w:r w:rsidRPr="004E114A">
        <w:t>PHI is a holding company with three regulated public utility subsidiaries: Potomac Electric Power Company (Pepco), Delmarva Power &amp; Light Company (Delmarva), and Atlantic City Electric Company (Atlantic City Electric).</w:t>
      </w:r>
    </w:p>
    <w:p w:rsidR="00AC40FC" w:rsidRPr="004E114A" w:rsidRDefault="00AC40FC" w:rsidP="00935281">
      <w:pPr>
        <w:pStyle w:val="Bullet"/>
      </w:pPr>
      <w:r w:rsidRPr="004E114A">
        <w:t xml:space="preserve">Pepco distributes electricity to approximately 264,000 customers in the District of Columbia and 537,000 customers in the Montgomery and Prince George Counties in Maryland.  </w:t>
      </w:r>
    </w:p>
    <w:p w:rsidR="00AC40FC" w:rsidRPr="004E114A" w:rsidRDefault="00AC40FC" w:rsidP="00935281">
      <w:pPr>
        <w:pStyle w:val="Bullet"/>
      </w:pPr>
      <w:r w:rsidRPr="004E114A">
        <w:t>Delmarva provides electricity to 506,000 customers in portions of Delaware and Maryland and delivers natural gas to 126,000 retail customers in New Castle County, Delaware.</w:t>
      </w:r>
    </w:p>
    <w:p w:rsidR="00AC40FC" w:rsidRPr="004E114A" w:rsidRDefault="00AC40FC" w:rsidP="00935281">
      <w:pPr>
        <w:pStyle w:val="Bullet"/>
      </w:pPr>
      <w:r w:rsidRPr="004E114A">
        <w:t>Atlantic City Electric distributes electricity to approximately 545,000 customers in New Jersey.</w:t>
      </w:r>
    </w:p>
    <w:p w:rsidR="00AC40FC" w:rsidRPr="004E114A" w:rsidRDefault="00AC40FC" w:rsidP="00935281">
      <w:pPr>
        <w:pStyle w:val="Heading40"/>
      </w:pPr>
      <w:r w:rsidRPr="004E114A">
        <w:t>Customer Benefits</w:t>
      </w:r>
    </w:p>
    <w:p w:rsidR="00AC40FC" w:rsidRPr="004E114A" w:rsidRDefault="00AC40FC" w:rsidP="004E114A">
      <w:r w:rsidRPr="004E114A">
        <w:t xml:space="preserve">Benefits to ratepayers that were touted by the merger applicants included faster response to power outages during storms, smaller rate hikes than might have occurred without the merger, enhanced electric service, and more sustainability benefits.  </w:t>
      </w:r>
    </w:p>
    <w:p w:rsidR="00AC40FC" w:rsidRPr="004E114A" w:rsidRDefault="00AC40FC" w:rsidP="00935281">
      <w:pPr>
        <w:pStyle w:val="Heading40"/>
      </w:pPr>
      <w:r w:rsidRPr="004E114A">
        <w:t>Merger Cost Savings</w:t>
      </w:r>
    </w:p>
    <w:p w:rsidR="00AC40FC" w:rsidRPr="004E114A" w:rsidRDefault="00AC40FC" w:rsidP="004E114A">
      <w:r w:rsidRPr="004E114A">
        <w:t>The merger is expected to provide net synergies of $250 million over the first five years, with most of the savings derived through a reduction of PHI’s operational and maintenance expenses.</w:t>
      </w:r>
    </w:p>
    <w:p w:rsidR="00AC40FC" w:rsidRPr="004E114A" w:rsidRDefault="00AC40FC" w:rsidP="00935281">
      <w:pPr>
        <w:pStyle w:val="Heading30"/>
      </w:pPr>
      <w:r w:rsidRPr="004E114A">
        <w:t>Iberdrola acquisition of UIL</w:t>
      </w:r>
    </w:p>
    <w:p w:rsidR="00AC40FC" w:rsidRPr="004E114A" w:rsidRDefault="00AC40FC" w:rsidP="004E114A">
      <w:pPr>
        <w:rPr>
          <w:shd w:val="clear" w:color="auto" w:fill="FFFFFF"/>
        </w:rPr>
      </w:pPr>
      <w:r w:rsidRPr="004E114A">
        <w:rPr>
          <w:shd w:val="clear" w:color="auto" w:fill="FFFFFF"/>
        </w:rPr>
        <w:t xml:space="preserve">In December, 2015, UIL Holdings Corporation (UIL) was merged with Iberdrola USA, Inc. to form AVANGRID, Inc. (NYSE: AGR), a U.S. based, diversified energy and utility </w:t>
      </w:r>
      <w:r w:rsidRPr="004E114A">
        <w:rPr>
          <w:shd w:val="clear" w:color="auto" w:fill="FFFFFF"/>
        </w:rPr>
        <w:lastRenderedPageBreak/>
        <w:t>company with $30 billion in assets, operations in 25 states, and nearly 7,000 employees across the United States.</w:t>
      </w:r>
    </w:p>
    <w:p w:rsidR="00AC40FC" w:rsidRPr="004E114A" w:rsidRDefault="00AC40FC" w:rsidP="004E114A">
      <w:r w:rsidRPr="004E114A">
        <w:t xml:space="preserve">Iberdrola USA, Inc. was the sub-holding company of Iberdrola S.A. in the United States (US).  Iberdrola S.A. is a Spanish public multinational utility company.  Iberdrola USA held the Iberdrola S.A. US subsidiaries.  At the time of the UIL merger, the Iberdrola USA regulated utility subsidiaries were Central Maine Power, Maine Natural Gas, New York State Electric and Gas, Rochester Gas and Electric, and New Hampshire Gas.  Together, they served about 2.4 million customers.  </w:t>
      </w:r>
    </w:p>
    <w:p w:rsidR="00AC40FC" w:rsidRPr="004E114A" w:rsidRDefault="00AC40FC" w:rsidP="004E114A">
      <w:r w:rsidRPr="004E114A">
        <w:t xml:space="preserve">UIL was a holding company for United Illuminating (UI), a Connecticut electric transmission and distribution utility, Southern Connecticut Gas Company (SCG), Connecticut Natural Gas Corporation (CNG), and The Berkshire Gas Company (Berkshire Gas). SCG and CNG are natural gas distribution companies that serve customers in Connecticut, while Berkshire Gas serves natural gas customers in western Massachusetts. </w:t>
      </w:r>
      <w:r w:rsidRPr="004E114A">
        <w:rPr>
          <w:rFonts w:ascii="MS Mincho" w:eastAsia="MS Mincho" w:hAnsi="MS Mincho" w:cs="MS Mincho" w:hint="eastAsia"/>
          <w:szCs w:val="24"/>
        </w:rPr>
        <w:t> </w:t>
      </w:r>
      <w:r w:rsidRPr="004E114A">
        <w:rPr>
          <w:rFonts w:eastAsia="MS Mincho"/>
        </w:rPr>
        <w:t>UIL was</w:t>
      </w:r>
      <w:r w:rsidRPr="004E114A">
        <w:t xml:space="preserve"> an energy delivery company with 1,860 employees that served approximately 690,000 utility customers in 66 communities across two states.</w:t>
      </w:r>
    </w:p>
    <w:p w:rsidR="00AC40FC" w:rsidRPr="004E114A" w:rsidRDefault="00AC40FC" w:rsidP="00935281">
      <w:pPr>
        <w:pStyle w:val="Heading40"/>
        <w:rPr>
          <w:highlight w:val="yellow"/>
        </w:rPr>
      </w:pPr>
      <w:r w:rsidRPr="004E114A">
        <w:t>Post-Merger Organization Structure</w:t>
      </w:r>
    </w:p>
    <w:p w:rsidR="00AC40FC" w:rsidRPr="004E114A" w:rsidRDefault="00AC40FC" w:rsidP="004E114A">
      <w:r w:rsidRPr="004E114A">
        <w:t>The previous 2010 acquisition by UIL of the local distribution companies (LDCs) resulted in consolidation of a number of functions and departments, including:</w:t>
      </w:r>
    </w:p>
    <w:p w:rsidR="00AC40FC" w:rsidRPr="004E114A" w:rsidRDefault="00AC40FC" w:rsidP="00935281">
      <w:pPr>
        <w:pStyle w:val="Bullet"/>
        <w:rPr>
          <w:rFonts w:ascii="Times" w:hAnsi="Times" w:cs="Times"/>
          <w:szCs w:val="24"/>
        </w:rPr>
      </w:pPr>
      <w:r w:rsidRPr="004E114A">
        <w:t>Finance</w:t>
      </w:r>
    </w:p>
    <w:p w:rsidR="00AC40FC" w:rsidRPr="004E114A" w:rsidRDefault="00AC40FC" w:rsidP="00935281">
      <w:pPr>
        <w:pStyle w:val="Bullet"/>
        <w:rPr>
          <w:rFonts w:ascii="Times" w:hAnsi="Times" w:cs="Times"/>
          <w:szCs w:val="24"/>
        </w:rPr>
      </w:pPr>
      <w:r w:rsidRPr="004E114A">
        <w:t>Governmental Relations</w:t>
      </w:r>
    </w:p>
    <w:p w:rsidR="00AC40FC" w:rsidRPr="004E114A" w:rsidRDefault="00AC40FC" w:rsidP="00935281">
      <w:pPr>
        <w:pStyle w:val="Bullet"/>
        <w:rPr>
          <w:rFonts w:ascii="Times" w:hAnsi="Times" w:cs="Times"/>
          <w:szCs w:val="24"/>
        </w:rPr>
      </w:pPr>
      <w:r w:rsidRPr="004E114A">
        <w:t>Human Resources</w:t>
      </w:r>
    </w:p>
    <w:p w:rsidR="00AC40FC" w:rsidRPr="004E114A" w:rsidRDefault="00AC40FC" w:rsidP="00935281">
      <w:pPr>
        <w:pStyle w:val="Bullet"/>
        <w:rPr>
          <w:rFonts w:ascii="Times" w:hAnsi="Times" w:cs="Times"/>
          <w:szCs w:val="24"/>
        </w:rPr>
      </w:pPr>
      <w:r w:rsidRPr="004E114A">
        <w:t>Legal</w:t>
      </w:r>
    </w:p>
    <w:p w:rsidR="00AC40FC" w:rsidRPr="004E114A" w:rsidRDefault="00AC40FC" w:rsidP="004E114A">
      <w:pPr>
        <w:numPr>
          <w:ilvl w:val="0"/>
          <w:numId w:val="1"/>
        </w:numPr>
        <w:tabs>
          <w:tab w:val="left" w:pos="720"/>
        </w:tabs>
        <w:spacing w:after="60"/>
        <w:rPr>
          <w:rFonts w:ascii="Times" w:hAnsi="Times" w:cs="Times"/>
          <w:szCs w:val="24"/>
        </w:rPr>
      </w:pPr>
      <w:r w:rsidRPr="004E114A">
        <w:t>Customer and Business Services</w:t>
      </w:r>
    </w:p>
    <w:p w:rsidR="00AC40FC" w:rsidRPr="004E114A" w:rsidRDefault="00AC40FC" w:rsidP="004E114A">
      <w:pPr>
        <w:spacing w:before="120"/>
        <w:rPr>
          <w:rFonts w:ascii="Times" w:hAnsi="Times" w:cs="Times"/>
          <w:szCs w:val="24"/>
        </w:rPr>
      </w:pPr>
      <w:r w:rsidRPr="004E114A">
        <w:t>In some instances, the merged departments are fully integrated with both electric and gas services and a number of leading practices have been shared between the merged entities.  In other instances, the reporting entities have remained as electric or gas sub-departments reporting to an individual with joint electric and gas responsibilities.  IT system development, such as the SAP rollout and expansion, covers all companies and extracts processing synergies and efficiencies.</w:t>
      </w:r>
    </w:p>
    <w:p w:rsidR="00AC40FC" w:rsidRPr="004E114A" w:rsidRDefault="00AC40FC" w:rsidP="00935281">
      <w:pPr>
        <w:pStyle w:val="Heading40"/>
      </w:pPr>
      <w:r w:rsidRPr="004E114A">
        <w:t>Connecticut Customer Benefits</w:t>
      </w:r>
    </w:p>
    <w:p w:rsidR="00AC40FC" w:rsidRPr="004E114A" w:rsidRDefault="00AC40FC" w:rsidP="004E114A">
      <w:pPr>
        <w:spacing w:before="120"/>
      </w:pPr>
      <w:r w:rsidRPr="004E114A">
        <w:t>The settlement agreement provides for:</w:t>
      </w:r>
    </w:p>
    <w:p w:rsidR="00AC40FC" w:rsidRPr="004E114A" w:rsidRDefault="00AC40FC" w:rsidP="00935281">
      <w:pPr>
        <w:pStyle w:val="Bullet"/>
      </w:pPr>
      <w:r w:rsidRPr="004E114A">
        <w:t>$40 million in ratepayer credits to the existing customers of the UIL Utilities ($20 million to UI, SCG, and CNG) in the first 12 months after the merger closes, plus $7.5 million in credits and $1.6 million in savings associated with gas main replacements for SCG customers</w:t>
      </w:r>
    </w:p>
    <w:p w:rsidR="00AC40FC" w:rsidRPr="004E114A" w:rsidRDefault="00AC40FC" w:rsidP="00935281">
      <w:pPr>
        <w:pStyle w:val="Bullet"/>
      </w:pPr>
      <w:r w:rsidRPr="004E114A">
        <w:t>$45.4 million in potential avoided cost recovery associated with the increasing pipeline safety and storm resiliency activity and rate freezes</w:t>
      </w:r>
    </w:p>
    <w:p w:rsidR="00AC40FC" w:rsidRPr="004E114A" w:rsidRDefault="00AC40FC" w:rsidP="00935281">
      <w:pPr>
        <w:pStyle w:val="Bullet"/>
      </w:pPr>
      <w:r w:rsidRPr="004E114A">
        <w:t>$39 million in public benefits associated with environmental remediation, charitable contributions, and customer disaster relief</w:t>
      </w:r>
    </w:p>
    <w:p w:rsidR="00AC40FC" w:rsidRPr="004E114A" w:rsidRDefault="00AC40FC" w:rsidP="004F00E5">
      <w:pPr>
        <w:pStyle w:val="Heading2"/>
        <w:numPr>
          <w:ilvl w:val="0"/>
          <w:numId w:val="115"/>
        </w:numPr>
      </w:pPr>
      <w:bookmarkStart w:id="452" w:name="_Toc462647927"/>
      <w:bookmarkStart w:id="453" w:name="_Toc464552166"/>
      <w:r w:rsidRPr="004E114A">
        <w:lastRenderedPageBreak/>
        <w:t>PPL Corporation merger with E.on U.S. LLC</w:t>
      </w:r>
      <w:bookmarkEnd w:id="452"/>
      <w:bookmarkEnd w:id="453"/>
    </w:p>
    <w:p w:rsidR="00AC40FC" w:rsidRPr="004E114A" w:rsidRDefault="00AC40FC" w:rsidP="004E114A">
      <w:r w:rsidRPr="004E114A">
        <w:t>PPL Corporation acquired E.ON U.S. LLC (E.ON U.S.), the parent company of two of Kentucky’s major utilities, Louisville Gas &amp; Electric Company (LG&amp;E) and Kentucky Utilities Company (KU)</w:t>
      </w:r>
      <w:r w:rsidRPr="004E114A" w:rsidDel="0033271F">
        <w:t xml:space="preserve"> </w:t>
      </w:r>
      <w:r w:rsidRPr="004E114A">
        <w:t>on November 2, 2010.</w:t>
      </w:r>
    </w:p>
    <w:p w:rsidR="00AC40FC" w:rsidRPr="004E114A" w:rsidRDefault="00AC40FC" w:rsidP="004E114A">
      <w:bookmarkStart w:id="454" w:name="linktopagetop"/>
      <w:bookmarkEnd w:id="454"/>
      <w:r w:rsidRPr="004E114A">
        <w:t>E.ON U.S., through LG&amp;E and KU, provided electricity service to 941,000 customers, mostly in the state of Kentucky, with some customers in Virginia and Tennessee.  LG&amp;E also provides natural gas delivery service to 321,000 customers in Kentucky.  E.ON U.S. had about 3,100 employees and owned and operated about 8,000 megawatts of regulated electric generation capacity at the point of acquisition.</w:t>
      </w:r>
    </w:p>
    <w:p w:rsidR="00AC40FC" w:rsidRPr="004E114A" w:rsidRDefault="00AC40FC" w:rsidP="004E114A">
      <w:r w:rsidRPr="004E114A">
        <w:t>PPL Corporation sold energy in key U.S. markets and delivered electricity to about four million customers in Pennsylvania and the United Kingdom. The company had about 10,000 employees at the point of acquisition of E.ON U.S.  The 2010 acquisition transformed PPL Corporation into a more geographically diverse utility holding company with combined annual revenues of about $10 billion and serving nearly five million electricity customers in the United States and the United Kingdom.</w:t>
      </w:r>
    </w:p>
    <w:p w:rsidR="00AC40FC" w:rsidRPr="004E114A" w:rsidRDefault="00AC40FC" w:rsidP="00935281">
      <w:pPr>
        <w:pStyle w:val="Heading30"/>
      </w:pPr>
      <w:r w:rsidRPr="004E114A">
        <w:t>post-merger structure</w:t>
      </w:r>
    </w:p>
    <w:p w:rsidR="00AC40FC" w:rsidRPr="004E114A" w:rsidRDefault="00AC40FC" w:rsidP="004E114A">
      <w:r w:rsidRPr="004E114A">
        <w:t>At the time of the acquisition, the PPL Corporation Chairman indicated that PPL Corporation intended to operate LKE as a wholly owned subsidiary of PPL Corporation, retaining the headquarters in Louisville, as had been the case during E.ON AG ownership.  Customers would continue to be served by LG&amp;E and KU, with operational headquarters in Louisville and Lexington, respectively.  No changes in Kentucky employment levels were anticipated as a result of this transaction.”  The commitment to maintain the LKE headquarters in Louisville remains in place for 15 years following consummation of the acquisition.</w:t>
      </w:r>
    </w:p>
    <w:p w:rsidR="00AC40FC" w:rsidRPr="004E114A" w:rsidRDefault="00AC40FC" w:rsidP="004E114A">
      <w:pPr>
        <w:rPr>
          <w:rFonts w:cs="Arial"/>
          <w:color w:val="000000"/>
          <w:szCs w:val="24"/>
        </w:rPr>
      </w:pPr>
      <w:r w:rsidRPr="004E114A">
        <w:rPr>
          <w:rFonts w:cs="Arial"/>
          <w:color w:val="000000"/>
          <w:szCs w:val="24"/>
        </w:rPr>
        <w:t>Immediately following the acquisition, PPL served roughly 5.2 million utility customers, including 2.6 million in the United Kingdom, 1.4 million in Pennsylvania, and 1.2 million in Kentucky.  The company now had annual revenues estimated to exceed $10 billion (up from $7.6 billion recorded in 2009).  The company employed 13,500 people, including about 3,100 in Kentucky.</w:t>
      </w:r>
    </w:p>
    <w:p w:rsidR="00AC40FC" w:rsidRPr="004E114A" w:rsidRDefault="00AC40FC" w:rsidP="00935281">
      <w:pPr>
        <w:pStyle w:val="Heading30"/>
      </w:pPr>
      <w:r w:rsidRPr="004E114A">
        <w:t>customer benefits</w:t>
      </w:r>
    </w:p>
    <w:p w:rsidR="00AC40FC" w:rsidRPr="004E114A" w:rsidRDefault="00AC40FC" w:rsidP="004E114A">
      <w:r w:rsidRPr="004E114A">
        <w:t xml:space="preserve">PPL Services Corporation (PPL SC) executives have stated that the acquisition of LKE was not a “merger synergies deal” and there were no merger cost savings projected from the merger.  It was justified on other grounds.  Nonetheless, there were customer benefits included in the orders from the state regulatory commissions that approved the merger.  </w:t>
      </w:r>
    </w:p>
    <w:p w:rsidR="00AC40FC" w:rsidRPr="004E114A" w:rsidRDefault="00AC40FC" w:rsidP="004E114A">
      <w:r w:rsidRPr="004E114A">
        <w:t>The PPL Corporation acquisition of LKE was reviewed and approved by three state regulatory agencies: the Kentucky Public Service Commission (KPSC), the Virginia State Corporation Commission (VSCC), and the Tennessee Regulatory Authority (TRA).  However, only the KPSC imposed customer benefits in its order.  Approval for the merger was not required from Pennsylvania, and, therefore, no Pennsylvania customer benefits were promised.  Examples of the customer benefits outlined in the final order from the KPSC are summarized below:</w:t>
      </w:r>
    </w:p>
    <w:p w:rsidR="00AC40FC" w:rsidRPr="004E114A" w:rsidRDefault="00AC40FC" w:rsidP="00935281">
      <w:pPr>
        <w:pStyle w:val="Bullet"/>
      </w:pPr>
      <w:r w:rsidRPr="004E114A">
        <w:lastRenderedPageBreak/>
        <w:t>Section 1.1. LG&amp;E and KU committed to a base-rate "stay out" until January 1, 2013, such that any proposed new base rates shall not take effect before that date.  Therefore, LG&amp;E and KU would have been permitted to file rate applications during 2012, but the proposed base rates would not take effect before January 1, 2013.</w:t>
      </w:r>
    </w:p>
    <w:p w:rsidR="00AC40FC" w:rsidRPr="004E114A" w:rsidRDefault="00AC40FC" w:rsidP="00935281">
      <w:pPr>
        <w:pStyle w:val="Bullet"/>
        <w:rPr>
          <w:szCs w:val="24"/>
        </w:rPr>
      </w:pPr>
      <w:r w:rsidRPr="004E114A">
        <w:t>Section 2.1. In exchange for eliminating Regulatory Commitment No. 39 (requiring the filing</w:t>
      </w:r>
      <w:r w:rsidRPr="004E114A">
        <w:rPr>
          <w:sz w:val="19"/>
          <w:szCs w:val="19"/>
        </w:rPr>
        <w:t xml:space="preserve"> </w:t>
      </w:r>
      <w:r w:rsidRPr="004E114A">
        <w:rPr>
          <w:sz w:val="25"/>
          <w:szCs w:val="25"/>
        </w:rPr>
        <w:t xml:space="preserve">of </w:t>
      </w:r>
      <w:r w:rsidRPr="004E114A">
        <w:t>a synergies analysis and sharing</w:t>
      </w:r>
      <w:r w:rsidRPr="004E114A">
        <w:rPr>
          <w:sz w:val="19"/>
          <w:szCs w:val="19"/>
        </w:rPr>
        <w:t xml:space="preserve"> </w:t>
      </w:r>
      <w:r w:rsidRPr="004E114A">
        <w:t>methodology),</w:t>
      </w:r>
      <w:r w:rsidRPr="004E114A">
        <w:rPr>
          <w:sz w:val="21"/>
          <w:szCs w:val="21"/>
        </w:rPr>
        <w:t xml:space="preserve"> </w:t>
      </w:r>
      <w:r w:rsidRPr="004E114A">
        <w:t>LG&amp;E and KU</w:t>
      </w:r>
      <w:r w:rsidRPr="004E114A">
        <w:rPr>
          <w:sz w:val="21"/>
          <w:szCs w:val="21"/>
        </w:rPr>
        <w:t xml:space="preserve"> </w:t>
      </w:r>
      <w:r w:rsidRPr="004E114A">
        <w:t>agreed to adopt and implement the Acquisition Savings Sharing Deferral (ASSD) methodology</w:t>
      </w:r>
      <w:r w:rsidRPr="004E114A">
        <w:rPr>
          <w:szCs w:val="24"/>
        </w:rPr>
        <w:t>.</w:t>
      </w:r>
    </w:p>
    <w:p w:rsidR="00AC40FC" w:rsidRPr="004E114A" w:rsidRDefault="00AC40FC" w:rsidP="00935281">
      <w:pPr>
        <w:pStyle w:val="Bullet"/>
        <w:rPr>
          <w:sz w:val="22"/>
        </w:rPr>
      </w:pPr>
      <w:r w:rsidRPr="004E114A">
        <w:t>Section 2.7. The annual ASSD deferral amount, if any, as established by the Commission Order in Section 2.5 was to be recorded by each utility operation in a regulatory liability account and returned to customers through an annual amortized amount in base rates for a period to be determined in the utility operation's next base rate case.  The ASSD operated for two years before terminating with the filing of base rate cases by LG&amp;E and KU.  The annual ASSD results showed LG&amp;E and KU earned returns were less than their authorized returns.  As a result, no benefits were shared with customers under the ASSD mechanism.</w:t>
      </w:r>
    </w:p>
    <w:p w:rsidR="00AC40FC" w:rsidRPr="004E114A" w:rsidRDefault="00AC40FC" w:rsidP="00935281">
      <w:pPr>
        <w:pStyle w:val="Bullet"/>
        <w:rPr>
          <w:sz w:val="22"/>
        </w:rPr>
      </w:pPr>
      <w:r w:rsidRPr="004E114A">
        <w:t>Appendix C, No. 12. PPL, E.ON U.S., LG&amp;E and KU commit to advising the Commission at least annually on the adoption and implementation of best practices at both LG&amp;E and KU following the consummation of the acquisition.</w:t>
      </w:r>
    </w:p>
    <w:p w:rsidR="00AC40FC" w:rsidRPr="004E114A" w:rsidRDefault="00AC40FC" w:rsidP="004F00E5">
      <w:pPr>
        <w:pStyle w:val="Heading2"/>
        <w:numPr>
          <w:ilvl w:val="0"/>
          <w:numId w:val="115"/>
        </w:numPr>
      </w:pPr>
      <w:bookmarkStart w:id="455" w:name="_Toc462647928"/>
      <w:bookmarkStart w:id="456" w:name="_Toc464552167"/>
      <w:r w:rsidRPr="004E114A">
        <w:t>PPL Corporation Merger Synergy Initiatives</w:t>
      </w:r>
      <w:bookmarkEnd w:id="455"/>
      <w:bookmarkEnd w:id="456"/>
    </w:p>
    <w:p w:rsidR="00AC40FC" w:rsidRPr="004E114A" w:rsidRDefault="00AC40FC" w:rsidP="004E114A">
      <w:r w:rsidRPr="004E114A">
        <w:t xml:space="preserve">This section addresses the merger synergy initiatives that have occurred since the merger in 2010 through 2015 among PPL EU, PPL EUS, PPL SC, LG&amp;E, KU, and LKE SC. </w:t>
      </w:r>
    </w:p>
    <w:p w:rsidR="00AC40FC" w:rsidRPr="004E114A" w:rsidRDefault="00AC40FC" w:rsidP="004E114A">
      <w:pPr>
        <w:rPr>
          <w:rFonts w:cs="Arial"/>
          <w:szCs w:val="24"/>
        </w:rPr>
      </w:pPr>
      <w:r w:rsidRPr="004E114A">
        <w:t xml:space="preserve">Much of the merger synergy work through December 2015 was documented in LG&amp;E’s and KU’s Best Practice reports to the KPSC.  </w:t>
      </w:r>
      <w:r w:rsidRPr="004E114A">
        <w:rPr>
          <w:rFonts w:cs="Arial"/>
          <w:szCs w:val="24"/>
        </w:rPr>
        <w:t>LG&amp;E and KU are required by the merger order from the KPSC (Case No. 2010-00204) to file an annual update on the adoption and implementation of best practices at LG&amp;E and KU.  Each functional area below presents a summary of these initiatives identified in the Best Practice reports from 2011 through 2015.  Additional merger synergy information gathered from interviews with PPL EU, PPL EUS, and PPL SC executives and managers is also presented along with information from document request responses in each functional area.</w:t>
      </w:r>
    </w:p>
    <w:p w:rsidR="00AC40FC" w:rsidRPr="004E114A" w:rsidRDefault="00AC40FC" w:rsidP="004E114A">
      <w:pPr>
        <w:rPr>
          <w:rFonts w:cs="Arial"/>
          <w:szCs w:val="24"/>
        </w:rPr>
      </w:pPr>
      <w:r w:rsidRPr="004E114A">
        <w:t>The merger synergy work is discussed in this section under each of the following functional areas</w:t>
      </w:r>
      <w:r w:rsidRPr="004E114A">
        <w:rPr>
          <w:rFonts w:cs="Arial"/>
          <w:szCs w:val="24"/>
        </w:rPr>
        <w:t>:</w:t>
      </w:r>
    </w:p>
    <w:p w:rsidR="00AC40FC" w:rsidRPr="00935281" w:rsidRDefault="00AC40FC" w:rsidP="00935281">
      <w:pPr>
        <w:pStyle w:val="Bullet"/>
      </w:pPr>
      <w:r w:rsidRPr="00935281">
        <w:t>Transmission and Substations</w:t>
      </w:r>
    </w:p>
    <w:p w:rsidR="00AC40FC" w:rsidRPr="00935281" w:rsidRDefault="00AC40FC" w:rsidP="00935281">
      <w:pPr>
        <w:pStyle w:val="Bullet"/>
      </w:pPr>
      <w:r w:rsidRPr="00935281">
        <w:t>Distribution Operations</w:t>
      </w:r>
    </w:p>
    <w:p w:rsidR="00AC40FC" w:rsidRPr="00935281" w:rsidRDefault="00AC40FC" w:rsidP="00935281">
      <w:pPr>
        <w:pStyle w:val="Bullet"/>
      </w:pPr>
      <w:r w:rsidRPr="00935281">
        <w:t>Customer Services and Energy Efficiency</w:t>
      </w:r>
    </w:p>
    <w:p w:rsidR="00AC40FC" w:rsidRPr="00935281" w:rsidRDefault="00AC40FC" w:rsidP="00935281">
      <w:pPr>
        <w:pStyle w:val="Bullet"/>
      </w:pPr>
      <w:r w:rsidRPr="00935281">
        <w:t>Finance, Accounting, and Audit</w:t>
      </w:r>
    </w:p>
    <w:p w:rsidR="00AC40FC" w:rsidRPr="004E114A" w:rsidRDefault="00AC40FC" w:rsidP="00935281">
      <w:pPr>
        <w:pStyle w:val="Bullet"/>
      </w:pPr>
      <w:r w:rsidRPr="00935281">
        <w:t>Support</w:t>
      </w:r>
      <w:r w:rsidRPr="004E114A">
        <w:t xml:space="preserve"> Services</w:t>
      </w:r>
    </w:p>
    <w:p w:rsidR="00AC40FC" w:rsidRPr="004E114A" w:rsidRDefault="00AC40FC" w:rsidP="00935281">
      <w:pPr>
        <w:pStyle w:val="Heading30"/>
      </w:pPr>
      <w:r w:rsidRPr="004E114A">
        <w:lastRenderedPageBreak/>
        <w:t>transmission and substations</w:t>
      </w:r>
    </w:p>
    <w:p w:rsidR="00AC40FC" w:rsidRPr="004E114A" w:rsidRDefault="00AC40FC" w:rsidP="00935281">
      <w:pPr>
        <w:pStyle w:val="Heading40"/>
      </w:pPr>
      <w:r w:rsidRPr="004E114A">
        <w:t>Kentucky PSC Merger Reports</w:t>
      </w:r>
    </w:p>
    <w:p w:rsidR="00AC40FC" w:rsidRPr="004E114A" w:rsidRDefault="00AC40FC" w:rsidP="004E114A">
      <w:pPr>
        <w:rPr>
          <w:rFonts w:eastAsiaTheme="minorHAnsi"/>
        </w:rPr>
      </w:pPr>
      <w:r w:rsidRPr="004E114A">
        <w:t>The transmission and distribution functions have been grouped together in the annual Kentucky PSC merger reports.  From 2011 through 2015, Kentucky and Pennsylvania transmission and distribution operations teams worked together to share practices and processes in the areas of safety, reliability, emergency restoration, construction methods, work management, project management</w:t>
      </w:r>
      <w:r w:rsidRPr="004E114A">
        <w:rPr>
          <w:color w:val="5B5A5A"/>
        </w:rPr>
        <w:t xml:space="preserve">, </w:t>
      </w:r>
      <w:r w:rsidRPr="004E114A">
        <w:t>technology, engineering</w:t>
      </w:r>
      <w:r w:rsidRPr="004E114A">
        <w:rPr>
          <w:color w:val="5B5A5A"/>
        </w:rPr>
        <w:t xml:space="preserve">, </w:t>
      </w:r>
      <w:r w:rsidRPr="004E114A">
        <w:t xml:space="preserve">and fleet management.  </w:t>
      </w:r>
      <w:r w:rsidRPr="004E114A">
        <w:rPr>
          <w:rFonts w:eastAsiaTheme="minorHAnsi"/>
        </w:rPr>
        <w:t>No tangible initiatives, benefits, or cost savings were identified for any of the above interactions.</w:t>
      </w:r>
    </w:p>
    <w:p w:rsidR="00AC40FC" w:rsidRPr="004E114A" w:rsidRDefault="00AC40FC" w:rsidP="00935281">
      <w:pPr>
        <w:pStyle w:val="Heading40"/>
      </w:pPr>
      <w:r w:rsidRPr="004E114A">
        <w:t>PPL EU Transmission and Substations</w:t>
      </w:r>
    </w:p>
    <w:p w:rsidR="00AC40FC" w:rsidRPr="004E114A" w:rsidRDefault="00AC40FC" w:rsidP="004E114A">
      <w:pPr>
        <w:rPr>
          <w:rFonts w:cs="Arial"/>
          <w:szCs w:val="24"/>
        </w:rPr>
      </w:pPr>
      <w:r w:rsidRPr="004E114A">
        <w:t>PPL EU Transmission and Substations and LKE SC Transmission and Substations personnel participated in</w:t>
      </w:r>
      <w:r w:rsidRPr="004E114A">
        <w:rPr>
          <w:rFonts w:cs="Arial"/>
          <w:szCs w:val="24"/>
        </w:rPr>
        <w:t xml:space="preserve"> monthly calls and visits in the 2011 to 2012 timeframe.    </w:t>
      </w:r>
      <w:r w:rsidRPr="004E114A">
        <w:t xml:space="preserve">Various groups in Transmission and Substations continue to maintain regular communications with their counterparts in LKE SC to discuss industry research results, share technical knowledge, provide expertise on shared applications, share processes and procedures, and conduct informal benchmarking.  </w:t>
      </w:r>
      <w:r w:rsidRPr="004E114A">
        <w:rPr>
          <w:rFonts w:cs="Arial"/>
          <w:szCs w:val="24"/>
        </w:rPr>
        <w:t>The respective organizational structures and businesses are currently different so most of the sharing is of a general nature.  The focus in 2015 and 2016 is on specific issues and use of common systems and applications.</w:t>
      </w:r>
    </w:p>
    <w:p w:rsidR="00AC40FC" w:rsidRPr="004E114A" w:rsidRDefault="00AC40FC" w:rsidP="004E114A">
      <w:r w:rsidRPr="004E114A">
        <w:rPr>
          <w:rFonts w:cs="Arial"/>
          <w:szCs w:val="24"/>
        </w:rPr>
        <w:t xml:space="preserve">Following are anecdotal examples of cooperation regarding the transmission and substations functions between PPL EU and LKE SC.  </w:t>
      </w:r>
    </w:p>
    <w:p w:rsidR="00AC40FC" w:rsidRPr="004E114A" w:rsidRDefault="00AC40FC" w:rsidP="004E114A">
      <w:r w:rsidRPr="004E114A">
        <w:rPr>
          <w:rFonts w:cs="Arial"/>
          <w:b/>
          <w:szCs w:val="24"/>
        </w:rPr>
        <w:t>Transmission Project Management.</w:t>
      </w:r>
      <w:r w:rsidRPr="004E114A">
        <w:rPr>
          <w:rFonts w:cs="Arial"/>
          <w:szCs w:val="24"/>
        </w:rPr>
        <w:t xml:space="preserve">  </w:t>
      </w:r>
      <w:r w:rsidRPr="004E114A">
        <w:t>LKE SC visited PPL EU in March 2016 to review how projects are managed at PPL EU and the systems and processes used.  LKE is considering implementing a project management group.</w:t>
      </w:r>
    </w:p>
    <w:p w:rsidR="00AC40FC" w:rsidRPr="004E114A" w:rsidRDefault="00AC40FC" w:rsidP="004E114A">
      <w:r w:rsidRPr="004E114A">
        <w:rPr>
          <w:b/>
        </w:rPr>
        <w:t>Reliability Compliance.</w:t>
      </w:r>
      <w:r w:rsidRPr="004E114A">
        <w:t xml:space="preserve">  </w:t>
      </w:r>
      <w:r w:rsidRPr="004E114A">
        <w:rPr>
          <w:rFonts w:cs="Arial"/>
          <w:szCs w:val="24"/>
        </w:rPr>
        <w:t>The Reliability Compliance groups at LKE SC and PPL EU participate in a monthly call to discuss NERC standards under development and implementation approaches to new standards.  In some cases, PPL EU and LKE SC can generate a combined or similar approach while others require specific response by each company.</w:t>
      </w:r>
    </w:p>
    <w:p w:rsidR="00AC40FC" w:rsidRPr="004E114A" w:rsidRDefault="00AC40FC" w:rsidP="004E114A">
      <w:r w:rsidRPr="004E114A">
        <w:rPr>
          <w:b/>
        </w:rPr>
        <w:t>Geomagnetic Disturbance</w:t>
      </w:r>
      <w:r w:rsidRPr="004E114A">
        <w:t>.  PPL EU Transmission Operations adapted LKE SC’s geomagnetic disturbance (GMD) procedure for its use.</w:t>
      </w:r>
    </w:p>
    <w:p w:rsidR="00AC40FC" w:rsidRPr="004E114A" w:rsidRDefault="00AC40FC" w:rsidP="004E114A">
      <w:pPr>
        <w:rPr>
          <w:rFonts w:cs="Arial"/>
          <w:szCs w:val="24"/>
        </w:rPr>
      </w:pPr>
      <w:r w:rsidRPr="004E114A">
        <w:rPr>
          <w:rFonts w:cs="Arial"/>
          <w:b/>
          <w:szCs w:val="24"/>
        </w:rPr>
        <w:t>Project Delivery.</w:t>
      </w:r>
      <w:r w:rsidRPr="004E114A">
        <w:rPr>
          <w:rFonts w:cs="Arial"/>
          <w:szCs w:val="24"/>
        </w:rPr>
        <w:t xml:space="preserve">  There is some sharing of critical parts, industry research efforts, and PPL EU’s experience gained with project management tools and project management processes.</w:t>
      </w:r>
    </w:p>
    <w:p w:rsidR="00AC40FC" w:rsidRPr="004E114A" w:rsidRDefault="00AC40FC" w:rsidP="004E114A">
      <w:pPr>
        <w:rPr>
          <w:rFonts w:cs="Arial"/>
          <w:szCs w:val="24"/>
        </w:rPr>
      </w:pPr>
      <w:r w:rsidRPr="004E114A">
        <w:rPr>
          <w:rFonts w:cs="Arial"/>
          <w:b/>
          <w:szCs w:val="24"/>
        </w:rPr>
        <w:t>Asset Management.</w:t>
      </w:r>
      <w:r w:rsidRPr="004E114A">
        <w:rPr>
          <w:rFonts w:cs="Arial"/>
          <w:szCs w:val="24"/>
        </w:rPr>
        <w:t xml:space="preserve">  PPL EU Asset Management is implementing a planning tool used by LKE SC and some representatives from LKE SC will be traveling to PPL EU to show how the tool is used at LKE SC.</w:t>
      </w:r>
    </w:p>
    <w:p w:rsidR="00AC40FC" w:rsidRPr="004E114A" w:rsidRDefault="00AC40FC" w:rsidP="004E114A">
      <w:pPr>
        <w:rPr>
          <w:rFonts w:cs="Arial"/>
          <w:szCs w:val="24"/>
        </w:rPr>
      </w:pPr>
      <w:r w:rsidRPr="004E114A">
        <w:rPr>
          <w:rFonts w:cs="Arial"/>
          <w:b/>
          <w:szCs w:val="24"/>
        </w:rPr>
        <w:t>Contractor Safety Management.</w:t>
      </w:r>
      <w:r w:rsidRPr="004E114A">
        <w:rPr>
          <w:rFonts w:cs="Arial"/>
          <w:szCs w:val="24"/>
        </w:rPr>
        <w:t xml:space="preserve">  PPL EU and LKE SC have shared contractor safety management practices and programs with each other, along with contractor scorecard reviews and other contractor management aspects.</w:t>
      </w:r>
    </w:p>
    <w:p w:rsidR="00AC40FC" w:rsidRPr="004E114A" w:rsidRDefault="00AC40FC" w:rsidP="004E114A">
      <w:pPr>
        <w:rPr>
          <w:rFonts w:cs="Arial"/>
          <w:szCs w:val="24"/>
        </w:rPr>
      </w:pPr>
      <w:r w:rsidRPr="004E114A">
        <w:rPr>
          <w:rFonts w:cs="Arial"/>
          <w:b/>
          <w:szCs w:val="24"/>
        </w:rPr>
        <w:lastRenderedPageBreak/>
        <w:t>Vegetation Management.</w:t>
      </w:r>
      <w:r w:rsidRPr="004E114A">
        <w:rPr>
          <w:rFonts w:cs="Arial"/>
          <w:szCs w:val="24"/>
        </w:rPr>
        <w:t xml:space="preserve">  There are regular PPL EU communications with LKE SC counterparts on specific vegetation management topics.  The PPL EU Vegetation Management staff hosted their LKE SC counterparts during 2014, and then visited LKE SC for two days during 2015 to share best practices, procedures, processes, and review NERC FAC-003 compliance plans.  PPL EU staff members have also communicated with counterparts in LKE SC on use of LIDAR and geospatial applications for transmission line vegetation management.</w:t>
      </w:r>
    </w:p>
    <w:p w:rsidR="00AC40FC" w:rsidRPr="004E114A" w:rsidRDefault="00AC40FC" w:rsidP="00935281">
      <w:pPr>
        <w:pStyle w:val="Heading30"/>
      </w:pPr>
      <w:r w:rsidRPr="004E114A">
        <w:t>Distribution operations</w:t>
      </w:r>
    </w:p>
    <w:p w:rsidR="00AC40FC" w:rsidRPr="004E114A" w:rsidRDefault="00AC40FC" w:rsidP="004E114A">
      <w:r w:rsidRPr="004E114A">
        <w:t>PPL EU Distribution Operations began communicating with counterparts in LKE SC after the merger to establish connections and share activities to generate ideas for improvements in the respective operations.  Overall, interactions with LKE SC have been on specific topics of interest to PPL EU or LKE SC Distribution Operations.  No general or periodic information sharing process was in place as of early 2016.</w:t>
      </w:r>
    </w:p>
    <w:p w:rsidR="00AC40FC" w:rsidRPr="004E114A" w:rsidRDefault="00AC40FC" w:rsidP="004E114A">
      <w:r w:rsidRPr="004E114A">
        <w:rPr>
          <w:rFonts w:cs="Arial"/>
          <w:szCs w:val="24"/>
        </w:rPr>
        <w:t xml:space="preserve">Following are anecdotal examples of cooperation regarding the distribution operations functions between PPL EU and LKE SC.  </w:t>
      </w:r>
    </w:p>
    <w:p w:rsidR="00AC40FC" w:rsidRPr="004E114A" w:rsidRDefault="00AC40FC" w:rsidP="004E114A">
      <w:r w:rsidRPr="004E114A">
        <w:rPr>
          <w:b/>
        </w:rPr>
        <w:t>Low Tension Network.</w:t>
      </w:r>
      <w:r w:rsidRPr="004E114A">
        <w:t xml:space="preserve">  PPL EU and LKE SC shared information on their respective low tension networks (LTNs).  In 2013, LKE SC initiated a consultant review of its LTN system and shared information on the results with PPL EU.  PPL EU then used the same consultant to evaluate the condition of its LTN networks in 2013 and make recommendations for improving reliability of its networks.  Representatives from the PPL EU work methods group visited LKE SC in 2013 and 2014 and brought back some ideas for improving work methods on the Low Tension Network.</w:t>
      </w:r>
    </w:p>
    <w:p w:rsidR="00AC40FC" w:rsidRPr="004E114A" w:rsidRDefault="00AC40FC" w:rsidP="004E114A">
      <w:r w:rsidRPr="004E114A">
        <w:rPr>
          <w:b/>
        </w:rPr>
        <w:t>Customers Experiencing Multiple Interruptions.</w:t>
      </w:r>
      <w:r w:rsidRPr="004E114A">
        <w:t xml:space="preserve">  PPL EU has also implemented some of LKE SC’s best practices to help simplify the PPL EU Customers Experiencing Multiple Interruptions (CEMI) program processes. </w:t>
      </w:r>
    </w:p>
    <w:p w:rsidR="00AC40FC" w:rsidRPr="004E114A" w:rsidRDefault="00AC40FC" w:rsidP="004E114A">
      <w:pPr>
        <w:rPr>
          <w:rFonts w:cs="Arial"/>
          <w:szCs w:val="24"/>
        </w:rPr>
      </w:pPr>
      <w:r w:rsidRPr="004E114A">
        <w:rPr>
          <w:rFonts w:cs="Arial"/>
          <w:b/>
          <w:szCs w:val="24"/>
        </w:rPr>
        <w:t>Safety.</w:t>
      </w:r>
      <w:r w:rsidRPr="004E114A">
        <w:rPr>
          <w:rFonts w:cs="Arial"/>
          <w:szCs w:val="24"/>
        </w:rPr>
        <w:t xml:space="preserve">  The PPL EU VP Distribution Operations and the Health and Safety Manager confer with their LKE SC counterparts on a regular basis to share safety programs and results achieved.</w:t>
      </w:r>
    </w:p>
    <w:p w:rsidR="00AC40FC" w:rsidRPr="004E114A" w:rsidRDefault="00AC40FC" w:rsidP="004E114A">
      <w:pPr>
        <w:rPr>
          <w:rFonts w:cs="Arial"/>
          <w:szCs w:val="24"/>
        </w:rPr>
      </w:pPr>
      <w:r w:rsidRPr="004E114A">
        <w:rPr>
          <w:rFonts w:cs="Arial"/>
          <w:b/>
          <w:szCs w:val="24"/>
        </w:rPr>
        <w:t>Fleet Services.</w:t>
      </w:r>
      <w:r w:rsidRPr="004E114A">
        <w:rPr>
          <w:rFonts w:cs="Arial"/>
          <w:szCs w:val="24"/>
        </w:rPr>
        <w:t xml:space="preserve">  There is ongoing informal sharing of ideas and information regarding fleet services between PPL EU and LKE SC.  LKE SC transitioned to outsourced fleet management in the 1990s and is using the same contractor as PPL EU with three in-house staff supporting the program.  LKE SC has been a good resource to PPL EU in planning for the future delivery of fleet services.  PPL EU has visited the LKE SC fleet operation twice, once in 2013 and once in 2014.  LKE SC leases its vehicles while PPL EU purchases the vehicles in its fleet.</w:t>
      </w:r>
    </w:p>
    <w:p w:rsidR="00AC40FC" w:rsidRPr="004E114A" w:rsidRDefault="00AC40FC" w:rsidP="004E114A">
      <w:pPr>
        <w:rPr>
          <w:rFonts w:cs="Arial"/>
          <w:szCs w:val="24"/>
        </w:rPr>
      </w:pPr>
      <w:r w:rsidRPr="004E114A">
        <w:rPr>
          <w:rFonts w:cs="Arial"/>
          <w:szCs w:val="24"/>
        </w:rPr>
        <w:t xml:space="preserve">The new fleet management system installed at PPL EU in 2015 is the same as that used by LKE SC.  Both PPL EU and LKE SC are using the same GPS and vehicle condition platform which allows each entity to see crew vehicle locations sent to the other utility to support mutual assistance storm restoration work.  However, both are under separate contracts.  </w:t>
      </w:r>
    </w:p>
    <w:p w:rsidR="00AC40FC" w:rsidRPr="004E114A" w:rsidRDefault="00AC40FC" w:rsidP="004E114A">
      <w:r w:rsidRPr="004E114A">
        <w:rPr>
          <w:rFonts w:cs="Arial"/>
          <w:b/>
          <w:szCs w:val="24"/>
        </w:rPr>
        <w:t>Budget Processes.</w:t>
      </w:r>
      <w:r w:rsidRPr="004E114A">
        <w:rPr>
          <w:rFonts w:cs="Arial"/>
          <w:szCs w:val="24"/>
        </w:rPr>
        <w:t xml:space="preserve">  </w:t>
      </w:r>
      <w:r w:rsidRPr="004E114A">
        <w:t xml:space="preserve">In 2015, PPL EU representatives participated in a conference call with LKE SC on budget processes as part of identifying refinements to the Distribution </w:t>
      </w:r>
      <w:r w:rsidRPr="004E114A">
        <w:lastRenderedPageBreak/>
        <w:t>Operations Model (DOM).  Some good ideas on governance of the budget process were incorporated into the PPL EU DOM process.</w:t>
      </w:r>
    </w:p>
    <w:p w:rsidR="00AC40FC" w:rsidRPr="004E114A" w:rsidRDefault="00AC40FC" w:rsidP="004E114A">
      <w:r w:rsidRPr="004E114A">
        <w:rPr>
          <w:rFonts w:cs="Arial"/>
          <w:b/>
          <w:szCs w:val="24"/>
        </w:rPr>
        <w:t>Technical Development and Improvement.</w:t>
      </w:r>
      <w:r w:rsidRPr="004E114A">
        <w:rPr>
          <w:rFonts w:cs="Arial"/>
          <w:szCs w:val="24"/>
        </w:rPr>
        <w:t xml:space="preserve">  </w:t>
      </w:r>
      <w:r w:rsidRPr="004E114A">
        <w:t xml:space="preserve">The PPL EU Director of Technical Development and Improvement communicates with his LKE SC counterpart at least monthly to discuss the impact of new federal regulations, such as from the Occupational Health and Safety Agency (OSHA) and the Environmental Protection Agency (EPA), on the organizations and other topics of mutual interest.  The PPL EU Vice President of Distribution Operations and the Director, Technical Development and Improvement have begun annual visits with LKE SC, alternating hosting for the visits.  </w:t>
      </w:r>
    </w:p>
    <w:p w:rsidR="00AC40FC" w:rsidRPr="004E114A" w:rsidRDefault="00AC40FC" w:rsidP="004E114A">
      <w:r w:rsidRPr="004E114A">
        <w:rPr>
          <w:b/>
        </w:rPr>
        <w:t>Distribution Automation.</w:t>
      </w:r>
      <w:r w:rsidRPr="004E114A">
        <w:t xml:space="preserve">  LKE SC is planning to expand its use of distribution automation (DA) and acquire a Distribution Management System (DMS).  However, no decision has been made regarding a vendor.  LKE SC initially visited PPL EU in November 2014, after learning of the successes of PPL EU’s DA program, and soon after proposed a multi-year DA program.  Since then, LKE SC has visited PPL EU multiple times to observe the DMS and Distribution Supervisory Control and Data Acquisition (DSCADA) systems deployed at PPL EU and to discuss PPL EU’s DA program implementation.</w:t>
      </w:r>
    </w:p>
    <w:p w:rsidR="00AC40FC" w:rsidRPr="004E114A" w:rsidRDefault="00AC40FC" w:rsidP="004E114A">
      <w:pPr>
        <w:rPr>
          <w:rFonts w:cs="Arial"/>
          <w:szCs w:val="24"/>
        </w:rPr>
      </w:pPr>
      <w:r w:rsidRPr="004E114A">
        <w:t>LKE SC has adopted PPL EU’s recloser and recloser control standards and is evaluating implementation of PPL EU’s overcurrent protection guidelines for application in its DA program.  The PPL EU Director-Distribution Engineering is also serving on LKE SC’s distribution automation team and DMS Steering Committee.  Standards are regularly shared with LKE SC and there are regular discussions on topics such as LTN maintenance, spare parts, and operational practices.</w:t>
      </w:r>
    </w:p>
    <w:p w:rsidR="00AC40FC" w:rsidRPr="004E114A" w:rsidRDefault="00AC40FC" w:rsidP="004E114A">
      <w:r w:rsidRPr="004E114A">
        <w:rPr>
          <w:b/>
        </w:rPr>
        <w:t>Animal Contacts.</w:t>
      </w:r>
      <w:r w:rsidRPr="004E114A">
        <w:t xml:space="preserve">  LKE SC contacted PPL EU in February 2016 regarding methods to reduce animal contacts with overhead power lines.  LKE SC substation group is also utilizing best practices from PPL EU to develop a proposal for a multi-year distribution substation wildlife program.</w:t>
      </w:r>
    </w:p>
    <w:p w:rsidR="00AC40FC" w:rsidRPr="004E114A" w:rsidRDefault="00AC40FC" w:rsidP="004E114A">
      <w:r w:rsidRPr="004E114A">
        <w:rPr>
          <w:b/>
        </w:rPr>
        <w:t>Real Time Data Collection and Analysis.</w:t>
      </w:r>
      <w:r w:rsidRPr="004E114A">
        <w:t xml:space="preserve">  Both PPL EU and LKE SC are using the same software product for real time data collection and analysis.  Past attempts to work with the vendor on a joint license at reduced cost have been unsuccessful.  PPL EU’s current pricing is more favorable than LKE SC’s.</w:t>
      </w:r>
    </w:p>
    <w:p w:rsidR="00AC40FC" w:rsidRPr="004E114A" w:rsidRDefault="00AC40FC" w:rsidP="004E114A">
      <w:r w:rsidRPr="004E114A">
        <w:rPr>
          <w:b/>
        </w:rPr>
        <w:t>Relay Management.</w:t>
      </w:r>
      <w:r w:rsidRPr="004E114A">
        <w:t xml:space="preserve">  In 2014, PPL EU visited LKE SC for a presentation and demonstration of its repository system for all relay records, settings, test plans, and test results and later that year began work transitioning to the application.  PPL EU completed its implementation of this system in 2015.</w:t>
      </w:r>
    </w:p>
    <w:p w:rsidR="00AC40FC" w:rsidRPr="004E114A" w:rsidRDefault="00AC40FC" w:rsidP="004E114A">
      <w:pPr>
        <w:rPr>
          <w:b/>
        </w:rPr>
      </w:pPr>
      <w:r w:rsidRPr="004E114A">
        <w:rPr>
          <w:b/>
        </w:rPr>
        <w:t>Common Training Programs.</w:t>
      </w:r>
      <w:r w:rsidRPr="004E114A">
        <w:t xml:space="preserve">  Two training programs have joint participants from PPL EU and LKE SC which allows for informal networking and establishing contacts with counterparts.  The Managing People and Processes course is for supervisors and the Leading People and Processes course is for managers and directors.</w:t>
      </w:r>
    </w:p>
    <w:p w:rsidR="00AC40FC" w:rsidRPr="004E114A" w:rsidRDefault="00AC40FC" w:rsidP="004E114A">
      <w:pPr>
        <w:rPr>
          <w:rFonts w:cs="Arial"/>
          <w:szCs w:val="24"/>
        </w:rPr>
      </w:pPr>
      <w:r w:rsidRPr="004E114A">
        <w:rPr>
          <w:b/>
        </w:rPr>
        <w:t>Mutual Aid.</w:t>
      </w:r>
      <w:r w:rsidRPr="004E114A">
        <w:t xml:space="preserve">   PPL EU and LKE SC have released mutual assistance resources to each other to assist with restoration and repair of their electric systems following significant weather events.  Both companies are considered to be reliable </w:t>
      </w:r>
      <w:r w:rsidRPr="004E114A">
        <w:rPr>
          <w:rFonts w:cs="Arial"/>
          <w:szCs w:val="24"/>
        </w:rPr>
        <w:t>for storm restoration support</w:t>
      </w:r>
      <w:r w:rsidRPr="004E114A">
        <w:t xml:space="preserve">.  Typically, PPL EU and LKE SC are not impacted by the same storm systems, </w:t>
      </w:r>
      <w:r w:rsidRPr="004E114A">
        <w:lastRenderedPageBreak/>
        <w:t>minimizing potential conflicts in availability of the non-impacted company to support the impacted company.  The overall response time from request to arrival on-site is typically more rapid than from other mutual-aid agreements due to the close working relationships and knowledge of each respective system.</w:t>
      </w:r>
    </w:p>
    <w:p w:rsidR="00AC40FC" w:rsidRPr="004E114A" w:rsidRDefault="00AC40FC" w:rsidP="004E114A">
      <w:r w:rsidRPr="004E114A">
        <w:rPr>
          <w:rFonts w:cs="Arial"/>
          <w:szCs w:val="24"/>
        </w:rPr>
        <w:t xml:space="preserve">Additional informal information sharing has occurred with smart grid technologies, LED street lighting, and Distribution Control Center functions and processes.  Further, PPL EU regularly shares </w:t>
      </w:r>
      <w:r w:rsidRPr="004E114A">
        <w:t>distribution standards with LKE SC and there are regular discussions on various topics such as asset management programs, business tools, and operational practices.  Examples include best practice sharing on contingency strategy, LTN maintenance, and spare parts.</w:t>
      </w:r>
      <w:r w:rsidRPr="004E114A">
        <w:rPr>
          <w:rFonts w:ascii="Times New Roman" w:hAnsi="Times New Roman"/>
          <w:szCs w:val="24"/>
        </w:rPr>
        <w:t xml:space="preserve"> </w:t>
      </w:r>
      <w:r w:rsidRPr="004E114A">
        <w:rPr>
          <w:rFonts w:ascii="Times New Roman" w:hAnsi="Times New Roman"/>
        </w:rPr>
        <w:t xml:space="preserve"> </w:t>
      </w:r>
      <w:r w:rsidRPr="004E114A">
        <w:rPr>
          <w:rFonts w:cs="Arial"/>
          <w:szCs w:val="24"/>
        </w:rPr>
        <w:t>Moving forward, PPL EU and LKE SC plan to use common technologies and platforms where feasible.</w:t>
      </w:r>
    </w:p>
    <w:p w:rsidR="00AC40FC" w:rsidRPr="00935281" w:rsidRDefault="00AC40FC" w:rsidP="00935281">
      <w:pPr>
        <w:pStyle w:val="Heading30"/>
      </w:pPr>
      <w:r w:rsidRPr="00935281">
        <w:t>customer services and energy efficiency</w:t>
      </w:r>
    </w:p>
    <w:p w:rsidR="00AC40FC" w:rsidRPr="004E114A" w:rsidRDefault="00AC40FC" w:rsidP="00935281">
      <w:pPr>
        <w:rPr>
          <w:rFonts w:cs="Arial"/>
          <w:szCs w:val="24"/>
        </w:rPr>
      </w:pPr>
      <w:r w:rsidRPr="004E114A">
        <w:rPr>
          <w:rFonts w:eastAsiaTheme="minorHAnsi"/>
        </w:rPr>
        <w:t xml:space="preserve">No tangible </w:t>
      </w:r>
      <w:r w:rsidRPr="00935281">
        <w:rPr>
          <w:rFonts w:eastAsiaTheme="minorHAnsi"/>
        </w:rPr>
        <w:t>initiatives, benefits, or cost savings for LKE SC and PPL EU Customer Services or Energy Efficiency were reported in the annual merger reports to the KPSC.  However, ongoing discussions</w:t>
      </w:r>
      <w:r w:rsidRPr="004E114A">
        <w:rPr>
          <w:rFonts w:eastAsiaTheme="minorHAnsi"/>
        </w:rPr>
        <w:t xml:space="preserve"> of best practices between Pennsylvania and Kentucky Customer Services personnel were reported from 2011 through 2015.</w:t>
      </w:r>
      <w:r w:rsidRPr="004E114A">
        <w:rPr>
          <w:rFonts w:eastAsiaTheme="minorHAnsi"/>
          <w:vertAlign w:val="superscript"/>
        </w:rPr>
        <w:t xml:space="preserve"> </w:t>
      </w:r>
    </w:p>
    <w:p w:rsidR="00AC40FC" w:rsidRPr="004E114A" w:rsidRDefault="00AC40FC" w:rsidP="004E114A">
      <w:pPr>
        <w:rPr>
          <w:rFonts w:cs="Arial"/>
          <w:szCs w:val="24"/>
        </w:rPr>
      </w:pPr>
      <w:r w:rsidRPr="004E114A">
        <w:rPr>
          <w:rFonts w:cs="Arial"/>
          <w:szCs w:val="24"/>
        </w:rPr>
        <w:t xml:space="preserve">The senior staff of PPL EU Customer Services met with their counterparts from LKE SC in March 2016 to discuss best practices, consolidation, and shared services opportunities.  Each of PPL EU's Customer Services' five organizational groups reporting to the Vice President of Customer Services participated in these discussions:  Customer Experience, Revenue Operations, Regulatory Programs, Customer Services Operations, and Advanced Metering and Data Operations.  The discussions included:  </w:t>
      </w:r>
    </w:p>
    <w:p w:rsidR="00AC40FC" w:rsidRPr="004E114A" w:rsidRDefault="00AC40FC" w:rsidP="00935281">
      <w:pPr>
        <w:pStyle w:val="Quotation-Sage"/>
      </w:pPr>
      <w:r w:rsidRPr="004E114A">
        <w:t xml:space="preserve">Leverage reporting &amp; analytics best practices, understand analytical tools utilized, </w:t>
      </w:r>
      <w:r w:rsidRPr="00935281">
        <w:t>review</w:t>
      </w:r>
      <w:r w:rsidRPr="004E114A">
        <w:t xml:space="preserve"> bill redesign benchmarking, utilize customer survey vendor, review </w:t>
      </w:r>
      <w:r w:rsidRPr="00935281">
        <w:t>payment</w:t>
      </w:r>
      <w:r w:rsidRPr="004E114A">
        <w:t xml:space="preserve"> processing vendors, compare energy efficiency vendors, review Kentucky collections strategies, consider workforce management staffing, review staffing model and workforce processes, compare customer experience initiatives, review customer persona &amp; segmentation efforts, benchmark alternate care channels (IVR, chat, web, social), and understand low income program nuances.</w:t>
      </w:r>
    </w:p>
    <w:p w:rsidR="00AC40FC" w:rsidRPr="004E114A" w:rsidRDefault="00AC40FC" w:rsidP="004E114A">
      <w:r w:rsidRPr="004E114A">
        <w:rPr>
          <w:rFonts w:cs="Arial"/>
          <w:szCs w:val="24"/>
        </w:rPr>
        <w:t>The cooperation for each of the five PPL EU Customer Services groups with their LKE SC counterparts is discussed below.</w:t>
      </w:r>
    </w:p>
    <w:p w:rsidR="00AC40FC" w:rsidRPr="004E114A" w:rsidRDefault="00AC40FC" w:rsidP="00935281">
      <w:pPr>
        <w:pStyle w:val="Heading40"/>
      </w:pPr>
      <w:r w:rsidRPr="004E114A">
        <w:t>Customer Experience</w:t>
      </w:r>
    </w:p>
    <w:p w:rsidR="00AC40FC" w:rsidRPr="004E114A" w:rsidRDefault="00AC40FC" w:rsidP="004E114A">
      <w:pPr>
        <w:rPr>
          <w:rFonts w:cs="Arial"/>
          <w:szCs w:val="24"/>
        </w:rPr>
      </w:pPr>
      <w:r w:rsidRPr="004E114A">
        <w:rPr>
          <w:rFonts w:cs="Arial"/>
          <w:szCs w:val="24"/>
        </w:rPr>
        <w:t>The PPL EU Customer Experience group includes the PPL EU's two call centers, oversight of the PPLSolutions call center, and a third-party contractor call center.</w:t>
      </w:r>
    </w:p>
    <w:p w:rsidR="00AC40FC" w:rsidRPr="004E114A" w:rsidRDefault="00AC40FC" w:rsidP="004E114A">
      <w:r w:rsidRPr="004E114A">
        <w:rPr>
          <w:b/>
        </w:rPr>
        <w:t xml:space="preserve">Telephone Language Interpretation.  </w:t>
      </w:r>
      <w:r w:rsidRPr="004E114A">
        <w:t xml:space="preserve">PPL EU Customer Services is considering a shared services agreement for telephone language interpreting for its call centers with Kentucky call centers.  PPL EU pays 50 cents per call for that service while Kentucky was able to negotiate lower contract pricing.  With a new combined contract, the cost would be reduced with a combined estimated savings of $8,000 per month.  </w:t>
      </w:r>
    </w:p>
    <w:p w:rsidR="00AC40FC" w:rsidRPr="004E114A" w:rsidRDefault="00AC40FC" w:rsidP="004E114A">
      <w:pPr>
        <w:rPr>
          <w:rFonts w:cs="Arial"/>
          <w:szCs w:val="24"/>
        </w:rPr>
      </w:pPr>
      <w:r w:rsidRPr="004E114A">
        <w:rPr>
          <w:b/>
        </w:rPr>
        <w:t xml:space="preserve">Customer Interaction Center.  </w:t>
      </w:r>
      <w:r w:rsidRPr="004E114A">
        <w:t xml:space="preserve">PPL EU uses a phone switch that provides interactive intelligence for the call centers via the Customer Interaction Center (CIC) telephony </w:t>
      </w:r>
      <w:r w:rsidRPr="004E114A">
        <w:lastRenderedPageBreak/>
        <w:t>platform.  The package includes a scheduling Optimizer that Customer Services concluded is not adequate.  Kentucky uses a different phone switch and uses a different call scheduling tool.  The Kentucky tool provides workforce management, quality and performance management, back office optimization, and analytics.  Kentucky recently signed a three-year contract for this tool, and PPL EU Customer Services is working with IT to evaluate if there is sufficient infrastructure bandwidth for PPL EU to share the costs of the scheduling system tool with Kentucky.</w:t>
      </w:r>
    </w:p>
    <w:p w:rsidR="00AC40FC" w:rsidRPr="004E114A" w:rsidRDefault="00AC40FC" w:rsidP="00935281">
      <w:pPr>
        <w:pStyle w:val="Heading40"/>
      </w:pPr>
      <w:r w:rsidRPr="004E114A">
        <w:t>Revenue Operations</w:t>
      </w:r>
    </w:p>
    <w:p w:rsidR="00AC40FC" w:rsidRPr="004E114A" w:rsidRDefault="00AC40FC" w:rsidP="004E114A">
      <w:r w:rsidRPr="004E114A">
        <w:rPr>
          <w:b/>
        </w:rPr>
        <w:t>Third Party Collection Agencies.</w:t>
      </w:r>
      <w:r w:rsidRPr="004E114A">
        <w:t xml:space="preserve">  PPL EU and LKE SC began discussions about shared services for third party collection agencies.  A joint Pennsylvania/Kentucky request for information (RFI) was sent to a list of 28 agencies, including PPL EU’s existing agencies in March 2016.    The RFI is seeking two primary agencies and two secondary agencies.  The combined account volumes are expected to generate synergy cost savings.  PPL EU and LKE SC will evaluate the responses and invite selected participants via a request for proposal (RFP) to submit a formal bid. </w:t>
      </w:r>
    </w:p>
    <w:p w:rsidR="00AC40FC" w:rsidRPr="004E114A" w:rsidRDefault="00AC40FC" w:rsidP="004E114A">
      <w:r w:rsidRPr="004E114A">
        <w:rPr>
          <w:b/>
        </w:rPr>
        <w:t xml:space="preserve">Other Initiatives.  </w:t>
      </w:r>
      <w:r w:rsidRPr="004E114A">
        <w:t>PPL EU Revenue Operations is considering other joint discussions and efforts with its LKE SC counterpart:</w:t>
      </w:r>
    </w:p>
    <w:p w:rsidR="00AC40FC" w:rsidRPr="004E114A" w:rsidRDefault="00AC40FC" w:rsidP="00935281">
      <w:pPr>
        <w:pStyle w:val="Bullet"/>
      </w:pPr>
      <w:r w:rsidRPr="004E114A">
        <w:t>Developing a uniform web design and appearance</w:t>
      </w:r>
    </w:p>
    <w:p w:rsidR="00AC40FC" w:rsidRPr="004E114A" w:rsidRDefault="00AC40FC" w:rsidP="00935281">
      <w:pPr>
        <w:pStyle w:val="Bullet"/>
      </w:pPr>
      <w:r w:rsidRPr="004E114A">
        <w:t>Exploring the changes that may need to (or in any case should) be implemented at electric utilities as a result of actions by the federal Consumer Financial Protection Bureau (CFPB) on predatory practices in the banking industry.</w:t>
      </w:r>
    </w:p>
    <w:p w:rsidR="00AC40FC" w:rsidRPr="004E114A" w:rsidRDefault="00AC40FC" w:rsidP="00935281">
      <w:pPr>
        <w:pStyle w:val="Bullet"/>
      </w:pPr>
      <w:r w:rsidRPr="004E114A">
        <w:t>Sharing services for a joint vendor that will provide lower credit card fees associated with on-line bill payments.  The current vendor charges $3.95 per month or transaction which is higher than fees of $2.25 paid by Kentucky customers.  Revenue Operations will seek a two-year contract that would terminate in 2018, at the same time that the LKE SC contract will end, so that a new joint RFP can be issued with LKE SC.</w:t>
      </w:r>
    </w:p>
    <w:p w:rsidR="00AC40FC" w:rsidRPr="004E114A" w:rsidRDefault="00AC40FC" w:rsidP="00935281">
      <w:pPr>
        <w:pStyle w:val="Bullet"/>
      </w:pPr>
      <w:r w:rsidRPr="004E114A">
        <w:t>Using a common alert system in the case of a customer threat to a PPL EU employee or asset.  The plan to develop a system for threat communication is a result of joint discussions with Kentucky counterparts.  Revenue Operations discussed how the Kentucky utilities maintained a data base that tracked threats made by customers against utility employees in the field.  There were occasions when the same customer made threats against employees from different organizations, such as T&amp;D and metering operations, but that information was not readily shareable.  Revenue Operations therefore is considering developing such a system and data base for PPL EU.</w:t>
      </w:r>
    </w:p>
    <w:p w:rsidR="00AC40FC" w:rsidRPr="004E114A" w:rsidRDefault="00AC40FC" w:rsidP="00935281">
      <w:pPr>
        <w:pStyle w:val="Heading40"/>
      </w:pPr>
      <w:r w:rsidRPr="004E114A">
        <w:t>Regulatory Programs</w:t>
      </w:r>
    </w:p>
    <w:p w:rsidR="00AC40FC" w:rsidRPr="004E114A" w:rsidRDefault="00AC40FC" w:rsidP="004E114A">
      <w:r w:rsidRPr="004E114A">
        <w:t>The PPL EU Manager of Regulatory Programs met with this function's Kentucky counterpart in March 2016 and discussed commission complaint and compliance handling.  PPL EU learned that the Kentucky utilities have an Operation Help check-off on bills to make it easier for customers to donate.  No plans or decisions were made as a result of the discussions.</w:t>
      </w:r>
    </w:p>
    <w:p w:rsidR="00AC40FC" w:rsidRPr="004E114A" w:rsidRDefault="00AC40FC" w:rsidP="00935281">
      <w:pPr>
        <w:pStyle w:val="Heading40"/>
      </w:pPr>
      <w:r w:rsidRPr="004E114A">
        <w:lastRenderedPageBreak/>
        <w:t>Customer Services Operations</w:t>
      </w:r>
    </w:p>
    <w:p w:rsidR="00AC40FC" w:rsidRPr="004E114A" w:rsidRDefault="00AC40FC" w:rsidP="00935281">
      <w:r w:rsidRPr="004E114A">
        <w:t>There are no synergy efforts underway for Customer Services Operations.</w:t>
      </w:r>
    </w:p>
    <w:p w:rsidR="00AC40FC" w:rsidRPr="004E114A" w:rsidRDefault="00AC40FC" w:rsidP="00935281">
      <w:pPr>
        <w:pStyle w:val="Heading40"/>
      </w:pPr>
      <w:r w:rsidRPr="004E114A">
        <w:t>Advanced Metering and Data Operations</w:t>
      </w:r>
    </w:p>
    <w:p w:rsidR="00AC40FC" w:rsidRPr="004E114A" w:rsidRDefault="00AC40FC" w:rsidP="00935281">
      <w:r w:rsidRPr="004E114A">
        <w:t>The PPL EU Director of Advanced Metering and Data Operations met with the function's LKE SC counterpart in March 2016.  The Kentucky utilities offer automated meters (AMI) through a demand side management program and are interested in discussing the PPL EU existing and planned meter data management systems.  No best practices or consolidation synergies associated with Advanced Metering and Data operations were identified that would benefit PPL EU.</w:t>
      </w:r>
    </w:p>
    <w:p w:rsidR="00AC40FC" w:rsidRPr="004E114A" w:rsidRDefault="00AC40FC" w:rsidP="00935281">
      <w:pPr>
        <w:pStyle w:val="Heading30"/>
      </w:pPr>
      <w:r w:rsidRPr="004E114A">
        <w:t>finance, accounting, and audit</w:t>
      </w:r>
    </w:p>
    <w:p w:rsidR="00AC40FC" w:rsidRPr="004E114A" w:rsidRDefault="00AC40FC" w:rsidP="004E114A">
      <w:r w:rsidRPr="004E114A">
        <w:t xml:space="preserve">Financial and accounting services are provided to PPL EU by both PPL Services Corporation (PPL SC) and PPL EU Services Corporation (PPL EUS).  </w:t>
      </w:r>
      <w:r w:rsidRPr="004E114A">
        <w:rPr>
          <w:rFonts w:cs="Arial"/>
          <w:szCs w:val="24"/>
        </w:rPr>
        <w:t>PPL SC provides certain finance and accounting services and auditing services to the entire PPL Corporation family of companies, including PPL EU.  The PPL EUS Regulatory Affairs organization and the Accounting, Planning, and Reporting organization provide finance and accounting services only to PPL EU.</w:t>
      </w:r>
    </w:p>
    <w:p w:rsidR="00AC40FC" w:rsidRPr="004E114A" w:rsidRDefault="00AC40FC" w:rsidP="004E114A">
      <w:r w:rsidRPr="004E114A">
        <w:t xml:space="preserve">Potential for synergies in the areas of finance, accounting, and auditing services among PPL EUS, PPL SC, and LKE SC, LG&amp;E, and KU, as well as synergy initiatives reported in the Kentucky merger report are discussed in this section.  </w:t>
      </w:r>
    </w:p>
    <w:p w:rsidR="00AC40FC" w:rsidRPr="004E114A" w:rsidRDefault="00AC40FC" w:rsidP="00935281">
      <w:pPr>
        <w:pStyle w:val="Heading30"/>
      </w:pPr>
      <w:r w:rsidRPr="004E114A">
        <w:t>PPL SC</w:t>
      </w:r>
    </w:p>
    <w:p w:rsidR="00AC40FC" w:rsidRPr="004E114A" w:rsidRDefault="00AC40FC" w:rsidP="004E114A">
      <w:r w:rsidRPr="004E114A">
        <w:t>Possible synergies between PPL SC and LKE SC have not been studied to a great extent with the exception of the Information Technology (IT) function.  In the IT area, there were duplicate organizations and applications at PPL SC and LKE SC.  The organizations have since been combined at the CIO level, and the potential for combining IT applications is being studied.  If the financial IT applications used by PPL SC and LKE SC were to be actively considered for consolidation, PPL Corporation, PPL SC, and LKE SC would need to perform a cost-benefit analysis to determine if such a move would be cost effective for the companies.  Currently, there are no plans to merge any Pennsylvania and Kentucky financial work groups.</w:t>
      </w:r>
      <w:r w:rsidRPr="004E114A">
        <w:rPr>
          <w:rFonts w:cs="Arial"/>
          <w:szCs w:val="24"/>
          <w:vertAlign w:val="superscript"/>
        </w:rPr>
        <w:t xml:space="preserve"> </w:t>
      </w:r>
      <w:r w:rsidRPr="004E114A">
        <w:t xml:space="preserve">  </w:t>
      </w:r>
    </w:p>
    <w:p w:rsidR="00AC40FC" w:rsidRPr="004E114A" w:rsidRDefault="00AC40FC" w:rsidP="00935281">
      <w:pPr>
        <w:pStyle w:val="Heading40"/>
      </w:pPr>
      <w:r w:rsidRPr="004E114A">
        <w:t xml:space="preserve">Investor Relations and Financial Planning  </w:t>
      </w:r>
    </w:p>
    <w:p w:rsidR="00AC40FC" w:rsidRPr="004E114A" w:rsidRDefault="00AC40FC" w:rsidP="004E114A">
      <w:r w:rsidRPr="004E114A">
        <w:t>This work group is responsible for the functions of Investor Relations, Corporate Budgeting, and Financial Planning.</w:t>
      </w:r>
      <w:r w:rsidRPr="004E114A">
        <w:rPr>
          <w:rFonts w:cs="Arial"/>
          <w:szCs w:val="24"/>
          <w:vertAlign w:val="superscript"/>
        </w:rPr>
        <w:t xml:space="preserve">  </w:t>
      </w:r>
      <w:r w:rsidRPr="004E114A">
        <w:t xml:space="preserve">  </w:t>
      </w:r>
    </w:p>
    <w:p w:rsidR="00AC40FC" w:rsidRPr="004E114A" w:rsidRDefault="00AC40FC" w:rsidP="004E114A">
      <w:r w:rsidRPr="004E114A">
        <w:t>The Investor Relations’ function is</w:t>
      </w:r>
      <w:r w:rsidRPr="004E114A">
        <w:rPr>
          <w:b/>
        </w:rPr>
        <w:t xml:space="preserve"> </w:t>
      </w:r>
      <w:r w:rsidRPr="004E114A">
        <w:t>maintaining relationships with, and making presentations to, PPL Corporation’s investor groups.  This</w:t>
      </w:r>
      <w:r w:rsidRPr="004E114A">
        <w:rPr>
          <w:b/>
        </w:rPr>
        <w:t xml:space="preserve"> </w:t>
      </w:r>
      <w:r w:rsidRPr="004E114A">
        <w:t>is a corporate-level function that is not duplicated or performed by any other financial group within the PPL family of companies, including LKE SC.</w:t>
      </w:r>
    </w:p>
    <w:p w:rsidR="00AC40FC" w:rsidRPr="004E114A" w:rsidRDefault="00AC40FC" w:rsidP="004E114A">
      <w:r w:rsidRPr="004E114A">
        <w:t>There have been no synergy initiatives for Corporate Budgeting or Financial Planning.</w:t>
      </w:r>
    </w:p>
    <w:p w:rsidR="00AC40FC" w:rsidRPr="004E114A" w:rsidRDefault="00AC40FC" w:rsidP="00935281">
      <w:pPr>
        <w:pStyle w:val="Heading40"/>
      </w:pPr>
      <w:r w:rsidRPr="004E114A">
        <w:t xml:space="preserve">Controller  </w:t>
      </w:r>
    </w:p>
    <w:p w:rsidR="00AC40FC" w:rsidRPr="004E114A" w:rsidRDefault="00AC40FC" w:rsidP="004E114A">
      <w:r w:rsidRPr="004E114A">
        <w:t xml:space="preserve">Synergies concerning the combination of accounting staff between PPL SC and LKE SC have not been addressed.  </w:t>
      </w:r>
    </w:p>
    <w:p w:rsidR="00AC40FC" w:rsidRPr="004E114A" w:rsidRDefault="00AC40FC" w:rsidP="004E114A">
      <w:r w:rsidRPr="004E114A">
        <w:lastRenderedPageBreak/>
        <w:t>A consultant’s report, which evolved from PPL Corporation’s four information technology initiatives, has resulted in the formation of a steering committee to determine what joint or replacement financial systems could be utilized to generate synergies between the Pennsylvania and Kentucky utility companies.  This committee is headed by the PPL SC Controller and includes representatives from PPL EU, PPL EUS, and LKE SC.   This committee will explore the possibility of joint financial systems, either with current or upgraded current systems or entirely new systems.  The consultant’s report estimated that a new, joint financial system could cost approximately $25 million.  It has not been determined yet that this would be a cost effective solution for PPL Corporation.</w:t>
      </w:r>
    </w:p>
    <w:p w:rsidR="00AC40FC" w:rsidRPr="004E114A" w:rsidRDefault="00AC40FC" w:rsidP="00935281">
      <w:pPr>
        <w:pStyle w:val="Heading40"/>
      </w:pPr>
      <w:r w:rsidRPr="004E114A">
        <w:t xml:space="preserve">Tax </w:t>
      </w:r>
    </w:p>
    <w:p w:rsidR="00AC40FC" w:rsidRPr="004E114A" w:rsidRDefault="00AC40FC" w:rsidP="004E114A">
      <w:r w:rsidRPr="004E114A">
        <w:t>Since the time of the merger with LKE, the Tax Departments of PPL SC and LKE SC have begun reviewing tax accounting practices and tax positions to determine where best practices for tax planning and compliance may exist.  No significant tax accounting changes have been made, nor have any significant tax positions been changed.  In 2011, the LKE SC Tax Department provided limited assistance to the PPL SC Tax Department in implementing new features of the tax provision software.  Because the LKE SC group had completed its implementation in a prior year, it was able to assist PPL SC in its implementation, including support for the initial setup, loading of historic data, conversion of accounting processes, providing certain trouble shooting assistance, and providing limited training where needed.  PPL SC</w:t>
      </w:r>
      <w:r w:rsidRPr="004E114A">
        <w:rPr>
          <w:color w:val="2C2829"/>
        </w:rPr>
        <w:t xml:space="preserve"> </w:t>
      </w:r>
      <w:r w:rsidRPr="004E114A">
        <w:t>and LKE SC are now operating consistent tax accounting and tax compliance systems.</w:t>
      </w:r>
      <w:r w:rsidR="00E32117">
        <w:t xml:space="preserve">  </w:t>
      </w:r>
      <w:r w:rsidRPr="004E114A">
        <w:rPr>
          <w:rFonts w:cs="Arial"/>
          <w:szCs w:val="24"/>
        </w:rPr>
        <w:t xml:space="preserve">In 2016, the Tax Department, with assistance from an outside consultant, </w:t>
      </w:r>
      <w:r w:rsidRPr="004E114A">
        <w:t>has been conducting an evaluation of the tax processes at PPL SC and LKE SC.  This evaluation is being made to determine what tax processes and skills are required, how the tax work should be accomplished, the technical support required to conduct tax work in an efficient and effective manner, and what processes should be used.  This evaluation is expected to be completed in 2016</w:t>
      </w:r>
      <w:r w:rsidRPr="004E114A">
        <w:rPr>
          <w:rFonts w:cs="Arial"/>
          <w:szCs w:val="24"/>
        </w:rPr>
        <w:t>.</w:t>
      </w:r>
    </w:p>
    <w:p w:rsidR="00AC40FC" w:rsidRPr="004E114A" w:rsidRDefault="00AC40FC" w:rsidP="00935281">
      <w:pPr>
        <w:pStyle w:val="Heading40"/>
      </w:pPr>
      <w:r w:rsidRPr="004E114A" w:rsidDel="00D012EB">
        <w:t>Treasury and Risk</w:t>
      </w:r>
      <w:r w:rsidRPr="004E114A">
        <w:t xml:space="preserve"> Management  </w:t>
      </w:r>
    </w:p>
    <w:p w:rsidR="00AC40FC" w:rsidRPr="004E114A" w:rsidRDefault="00AC40FC" w:rsidP="004E114A">
      <w:pPr>
        <w:rPr>
          <w:b/>
        </w:rPr>
      </w:pPr>
      <w:r w:rsidRPr="004E114A">
        <w:t>There were no plans for consolidating any of the Treasury functions, cash management, corporate finance, or risk management, at the time of this report.  However, these are functions which are often consolidated at the highest corporate level.</w:t>
      </w:r>
    </w:p>
    <w:p w:rsidR="00AC40FC" w:rsidRPr="004E114A" w:rsidRDefault="00AC40FC" w:rsidP="004E114A">
      <w:r w:rsidRPr="004E114A">
        <w:t xml:space="preserve">In early 2016, LKE SC negotiated a contract extension with its remittance vendor until February 1, 2018.  This extension was reached in order to allow LKE SC to complete its ongoing Customer Service System upgrade.  Mid 2017 or earlier, LKE SC will begin the RFP process to competitively bid the contract.  At that time, PPL EU and LKE SC will likely discuss whether it is prudent for both to jointly bid the contract.  Currently, PPL EU and LKE SC are both operating under separate contracts with the vendor.  Fifty percent of the remittances being processed at the PPL SC Remittance Processing Center in Allentown, Pennsylvania are PPL EU transactions, with the other fifty percent of the transactions representing work for </w:t>
      </w:r>
      <w:r>
        <w:t>PPLSolutions</w:t>
      </w:r>
      <w:r w:rsidRPr="004E114A">
        <w:t>.</w:t>
      </w:r>
    </w:p>
    <w:p w:rsidR="00AC40FC" w:rsidRPr="004E114A" w:rsidRDefault="00AC40FC" w:rsidP="004E114A">
      <w:r w:rsidRPr="004E114A">
        <w:t xml:space="preserve">In 2011, at the time of the PPL Corporation acquisition of LKE, PPL SC had considered having the PPL SC Remittance Processing Center handle all of the Kentucky companies’ payments, but there was a concern that the Kentucky customers would not want to mail their payments to Pennsylvania.  Additionally, it was thought that the </w:t>
      </w:r>
      <w:r w:rsidRPr="004E114A">
        <w:lastRenderedPageBreak/>
        <w:t>Remittance Processing Center was probably not large enough to handle its current workload plus the additional Kentucky payments.</w:t>
      </w:r>
    </w:p>
    <w:p w:rsidR="00AC40FC" w:rsidRPr="004E114A" w:rsidRDefault="00AC40FC" w:rsidP="004E114A">
      <w:r w:rsidRPr="004E114A">
        <w:t>Both PPL EU and LKE SC use the same cash management system.  PPL EU has its own commercial paper program and does not borrow from other PPL Corporation entities for short term cash requirements.</w:t>
      </w:r>
    </w:p>
    <w:p w:rsidR="00AC40FC" w:rsidRPr="004E114A" w:rsidRDefault="00AC40FC" w:rsidP="004E114A">
      <w:r w:rsidRPr="004E114A">
        <w:t>LKE SC has its own Treasury operations which report through the LKE SC CFO to the LKE SC President, and not through the PPL SC Treasury organization.  However, the PPL SC and LKE SC Treasury groups coordinate financial market interfaces.</w:t>
      </w:r>
    </w:p>
    <w:p w:rsidR="00AC40FC" w:rsidRPr="004E114A" w:rsidRDefault="00AC40FC" w:rsidP="004E114A">
      <w:r w:rsidRPr="004E114A">
        <w:t>The PPL SC Risk Management department coordinates placement of all corporate-wide policies including Directors and Officers, excess liability, fiduciary, crime, property, and cyber.  However, they do no perform contract reviews for LKE SC.</w:t>
      </w:r>
    </w:p>
    <w:p w:rsidR="00AC40FC" w:rsidRPr="004E114A" w:rsidRDefault="00AC40FC" w:rsidP="00935281">
      <w:pPr>
        <w:pStyle w:val="Heading40"/>
      </w:pPr>
      <w:r w:rsidRPr="004E114A">
        <w:t xml:space="preserve">Corporate Audit and Business Ethics  </w:t>
      </w:r>
    </w:p>
    <w:p w:rsidR="00AC40FC" w:rsidRPr="004E114A" w:rsidRDefault="00AC40FC" w:rsidP="004E114A">
      <w:pPr>
        <w:rPr>
          <w:rFonts w:cs="Arial"/>
          <w:szCs w:val="24"/>
        </w:rPr>
      </w:pPr>
      <w:r w:rsidRPr="004E114A">
        <w:rPr>
          <w:rFonts w:cs="Arial"/>
          <w:szCs w:val="24"/>
        </w:rPr>
        <w:t xml:space="preserve">The Corporate Audit and Business Ethics VP is responsible for the internal audit function and ethics program for PPL Corporation.  The VP Corporate Audit reports directly to the Chairman, President and CEO of PPL Corporation, as well as to the PPL Audit Committee.  The head of the LKE SC internal audit work group is responsible for the internal audit function of PPL Corporation’s Kentucky companies, with dual-reporting to the LKE Chairman, President and CEO, as well as to the Corporate Audit and Business Ethics VP.. </w:t>
      </w:r>
    </w:p>
    <w:p w:rsidR="00AC40FC" w:rsidRPr="004E114A" w:rsidRDefault="00AC40FC" w:rsidP="004E114A">
      <w:pPr>
        <w:rPr>
          <w:rFonts w:cs="Arial"/>
          <w:szCs w:val="24"/>
        </w:rPr>
      </w:pPr>
      <w:r w:rsidRPr="004E114A">
        <w:rPr>
          <w:rFonts w:cs="Arial"/>
          <w:szCs w:val="24"/>
        </w:rPr>
        <w:t xml:space="preserve">Similarly, the head of the internal audit group in the United Kingdom has a dual-reporting relationship to the </w:t>
      </w:r>
      <w:r>
        <w:rPr>
          <w:rFonts w:cs="Arial"/>
          <w:szCs w:val="24"/>
        </w:rPr>
        <w:t>WPD Midlands</w:t>
      </w:r>
      <w:r w:rsidRPr="004E114A">
        <w:rPr>
          <w:rFonts w:cs="Arial"/>
          <w:szCs w:val="24"/>
        </w:rPr>
        <w:t xml:space="preserve"> CEO, as well as to the Corporate Audit and Business Ethics VP.  The Pennsylvania, Kentucky, and UK internal audit groups do not use the same audit programs but there is coordination between the groups.  Pennsylvania and Kentucky audit groups are jointly performing audits in certain areas, including IT audits.  These two work groups are also starting to share resources based on experience and skills and to transfer knowledge between the two audit groups on an informal basis.  The Corporate Audit and Ethics VP reports combined audit results from the three teams (Pennsylvania, Kentucky, and U.K.) to the PPL Corporation Audit Committee.</w:t>
      </w:r>
    </w:p>
    <w:p w:rsidR="00AC40FC" w:rsidRPr="004E114A" w:rsidRDefault="00AC40FC" w:rsidP="00935281">
      <w:pPr>
        <w:pStyle w:val="Heading40"/>
      </w:pPr>
      <w:r w:rsidRPr="004E114A">
        <w:t>Corporate Memberships</w:t>
      </w:r>
    </w:p>
    <w:p w:rsidR="00AC40FC" w:rsidRPr="004E114A" w:rsidRDefault="00AC40FC" w:rsidP="004E114A">
      <w:r w:rsidRPr="004E114A">
        <w:rPr>
          <w:color w:val="2C2829"/>
        </w:rPr>
        <w:t xml:space="preserve">Prior </w:t>
      </w:r>
      <w:r w:rsidRPr="004E114A">
        <w:t>to PPL Corporation's acquisition of LKE and its two Kentucky utilities in 2011, LG&amp;E and KU had been members of the Edison Electric Institute (EEI) for many years.  EEI membership dues are contingent upon the member's size, with rates being discounted for higher total volumes of customers, revenues, and generation capacity.  LG&amp;E and KU have achieved reduced membership costs by being included within the PPL Corporation’s EEI membership rather than filing on an independent basis for LG&amp;E and KU alone.  In 2010, LG&amp;E and KU's EEI dues totaled approximately $737,000.  In 2011, as part of PPL Corporation, LG&amp;E and KU's EEI dues were reduced to approximately $607,000, a difference of $130,000.  PPL EU also realized reduced membership costs as a result of including LG&amp;E and KU with PPL Corporation’s EEI membership.</w:t>
      </w:r>
    </w:p>
    <w:p w:rsidR="00AC40FC" w:rsidRPr="004E114A" w:rsidRDefault="00AC40FC" w:rsidP="00935281">
      <w:pPr>
        <w:pStyle w:val="Heading30"/>
      </w:pPr>
      <w:r w:rsidRPr="004E114A">
        <w:lastRenderedPageBreak/>
        <w:t>PPL EUS</w:t>
      </w:r>
    </w:p>
    <w:p w:rsidR="00AC40FC" w:rsidRPr="004E114A" w:rsidRDefault="00AC40FC" w:rsidP="004E114A">
      <w:r w:rsidRPr="004E114A">
        <w:t>There are two work groups relevant to finance and accounting functions in PPL EUS, Regulatory Affairs and Accounting and Financial Reporting.</w:t>
      </w:r>
    </w:p>
    <w:p w:rsidR="00AC40FC" w:rsidRPr="004E114A" w:rsidRDefault="00AC40FC" w:rsidP="00935281">
      <w:pPr>
        <w:pStyle w:val="Heading40"/>
      </w:pPr>
      <w:r w:rsidRPr="004E114A">
        <w:t xml:space="preserve">Regulatory Affairs  </w:t>
      </w:r>
    </w:p>
    <w:p w:rsidR="00AC40FC" w:rsidRPr="004E114A" w:rsidRDefault="00AC40FC" w:rsidP="004E114A">
      <w:r w:rsidRPr="004E114A">
        <w:t>The Regulatory Affairs work group for the Kentucky utility companies is part of the LKE SC organization and there is only informal communication between it and the PPL EUS Regulatory Affairs unit.  PPL EUS did evaluate the information technology packaged system used by LKE SC for regulatory affairs.  However, it was decided that it was not appropriate for PPL EUS at that time.</w:t>
      </w:r>
    </w:p>
    <w:p w:rsidR="00AC40FC" w:rsidRPr="004E114A" w:rsidRDefault="00AC40FC" w:rsidP="00935281">
      <w:pPr>
        <w:pStyle w:val="Heading40"/>
      </w:pPr>
      <w:r w:rsidRPr="004E114A">
        <w:t xml:space="preserve">Accounting and Financial Reporting  </w:t>
      </w:r>
    </w:p>
    <w:p w:rsidR="00AC40FC" w:rsidRPr="004E114A" w:rsidRDefault="00AC40FC" w:rsidP="004E114A">
      <w:r w:rsidRPr="004E114A">
        <w:t xml:space="preserve">There are different accounting and financial systems, reporting requirements, and rate mechanisms among the PPL Corporation utility companies, PPL EU, LG&amp;E, KU, and the </w:t>
      </w:r>
      <w:r>
        <w:t>WPD Midlands</w:t>
      </w:r>
      <w:r w:rsidRPr="004E114A">
        <w:t xml:space="preserve"> companies.  Although the reporting requirements and rate mechanisms for each utility are beyond the control of the utilities, steps are being taken by the Finance organizations to evaluate accounting and financial systems to determine the efficiency and cost effectiveness of putting the Pennsylvania and Kentucky utilities on the same systems.  Both PPL SC and LKE SC use the same planning modules, but different versions of the modules are in use.</w:t>
      </w:r>
      <w:r w:rsidRPr="004E114A">
        <w:rPr>
          <w:rFonts w:cs="Arial"/>
          <w:szCs w:val="24"/>
          <w:vertAlign w:val="superscript"/>
        </w:rPr>
        <w:t xml:space="preserve"> </w:t>
      </w:r>
    </w:p>
    <w:p w:rsidR="00AC40FC" w:rsidRPr="004E114A" w:rsidRDefault="00AC40FC" w:rsidP="00935281">
      <w:pPr>
        <w:pStyle w:val="Heading30"/>
      </w:pPr>
      <w:r w:rsidRPr="004E114A">
        <w:t xml:space="preserve">support services </w:t>
      </w:r>
    </w:p>
    <w:p w:rsidR="00AC40FC" w:rsidRPr="004E114A" w:rsidRDefault="00AC40FC" w:rsidP="004E114A">
      <w:r w:rsidRPr="004E114A">
        <w:t>Support services are provided to PPL EU by PPL SC, PPL EUS, and departments within PPL EU.  Possible synergies between PPL Corporation’s Pennsylvania companies, including PPL EU, PPL EUS, and PPL SC and PPL Corporation’s Kentucky companies, LKE SC, LG&amp;E, and KU have not been studied to a great extent with the exception of the Information Technology (IT) function.  The support services covered in this section are:</w:t>
      </w:r>
    </w:p>
    <w:p w:rsidR="00AC40FC" w:rsidRPr="004E114A" w:rsidRDefault="00AC40FC" w:rsidP="00935281">
      <w:pPr>
        <w:pStyle w:val="Bullet"/>
      </w:pPr>
      <w:r w:rsidRPr="004E114A">
        <w:t>Information Technology</w:t>
      </w:r>
    </w:p>
    <w:p w:rsidR="00AC40FC" w:rsidRPr="004E114A" w:rsidRDefault="00AC40FC" w:rsidP="00935281">
      <w:pPr>
        <w:pStyle w:val="Bullet"/>
      </w:pPr>
      <w:r w:rsidRPr="004E114A">
        <w:t>Human Resources</w:t>
      </w:r>
    </w:p>
    <w:p w:rsidR="00AC40FC" w:rsidRPr="004E114A" w:rsidRDefault="00AC40FC" w:rsidP="00935281">
      <w:pPr>
        <w:pStyle w:val="Bullet"/>
      </w:pPr>
      <w:r w:rsidRPr="004E114A">
        <w:t>Corporate Communications</w:t>
      </w:r>
    </w:p>
    <w:p w:rsidR="00AC40FC" w:rsidRPr="004E114A" w:rsidRDefault="00AC40FC" w:rsidP="00935281">
      <w:pPr>
        <w:pStyle w:val="Bullet"/>
      </w:pPr>
      <w:r w:rsidRPr="004E114A">
        <w:t>Legal</w:t>
      </w:r>
    </w:p>
    <w:p w:rsidR="00AC40FC" w:rsidRPr="004E114A" w:rsidRDefault="00AC40FC" w:rsidP="00935281">
      <w:pPr>
        <w:pStyle w:val="Bullet"/>
      </w:pPr>
      <w:r w:rsidRPr="004E114A">
        <w:t>Public Affairs</w:t>
      </w:r>
    </w:p>
    <w:p w:rsidR="00AC40FC" w:rsidRPr="004E114A" w:rsidRDefault="00AC40FC" w:rsidP="00935281">
      <w:pPr>
        <w:pStyle w:val="Bullet"/>
      </w:pPr>
      <w:r w:rsidRPr="004E114A">
        <w:t>Supply Chain</w:t>
      </w:r>
    </w:p>
    <w:p w:rsidR="00AC40FC" w:rsidRPr="004E114A" w:rsidRDefault="00AC40FC" w:rsidP="00935281">
      <w:pPr>
        <w:pStyle w:val="Bullet"/>
      </w:pPr>
      <w:r w:rsidRPr="004E114A">
        <w:t>Facilities Management</w:t>
      </w:r>
    </w:p>
    <w:p w:rsidR="00AC40FC" w:rsidRPr="004E114A" w:rsidRDefault="00AC40FC" w:rsidP="00935281">
      <w:pPr>
        <w:pStyle w:val="Bullet"/>
      </w:pPr>
      <w:r w:rsidRPr="004E114A">
        <w:t xml:space="preserve">Protective Services </w:t>
      </w:r>
    </w:p>
    <w:p w:rsidR="00AC40FC" w:rsidRPr="004E114A" w:rsidRDefault="00AC40FC" w:rsidP="00935281">
      <w:pPr>
        <w:pStyle w:val="Heading40"/>
      </w:pPr>
      <w:r w:rsidRPr="004E114A">
        <w:t xml:space="preserve">Information Technology </w:t>
      </w:r>
    </w:p>
    <w:p w:rsidR="00AC40FC" w:rsidRPr="004E114A" w:rsidRDefault="00AC40FC" w:rsidP="004E114A">
      <w:r w:rsidRPr="004E114A">
        <w:t>In July 2014, the Chief Information Officer (CIO) at LKE SC was named the CIO for all PPL Corporation domestic information technology (IT) operations.  Under the direction of the CIO, the IT organization began to identify and analyze its processes and systems to ensure that IT was providing the best value for customers and shareholders.</w:t>
      </w:r>
    </w:p>
    <w:p w:rsidR="00AC40FC" w:rsidRPr="004E114A" w:rsidRDefault="00AC40FC" w:rsidP="004E114A">
      <w:r w:rsidRPr="004E114A">
        <w:t xml:space="preserve">In mid-2015, the CIO developed four project charters for impending change initiatives focused on IT, Human Resources, Finance, and Operations.  Teams representing each </w:t>
      </w:r>
      <w:r w:rsidRPr="004E114A">
        <w:lastRenderedPageBreak/>
        <w:t>of these areas were assembled.  Each team was comprised of managers from the respective Kentucky and Pennsylvania organizations.  Teams were charged with identifying potential synergies.</w:t>
      </w:r>
    </w:p>
    <w:p w:rsidR="00AC40FC" w:rsidRPr="004E114A" w:rsidRDefault="00AC40FC" w:rsidP="004E114A">
      <w:r w:rsidRPr="004E114A">
        <w:t>The IT change initiative was first to get underway with IT team kick-off meetings, analysis of resources, and identifying synergies and opportunities.  The HR, Finance, and Operations initiatives followed suit.  It was anticipated that the entire analysis and implementation plan for the four groups would be completed by the end of 2015.</w:t>
      </w:r>
    </w:p>
    <w:p w:rsidR="00AC40FC" w:rsidRPr="004E114A" w:rsidRDefault="00AC40FC" w:rsidP="004E114A">
      <w:pPr>
        <w:rPr>
          <w:rFonts w:cs="Arial"/>
          <w:szCs w:val="24"/>
        </w:rPr>
      </w:pPr>
      <w:r w:rsidRPr="004E114A">
        <w:rPr>
          <w:rFonts w:cs="Arial"/>
          <w:szCs w:val="24"/>
        </w:rPr>
        <w:t>However, once the internal reviews were initiated, an outside consultant was retained by the CIO to assist with identifying, quantifying, and prioritizing likely synergy opportunities between PPL SC and LKE SC.  This review superseded the four internal teams’ review.  The outside consultant study focused mainly on technology platforms in the services functions such as IT, finance, supply chain, and human resources.  Potential savings and implementation costs were considered for the opportunities identified.  Organizational layers and spans of control were also reviewed as well as organizational centralization/decentralization considerations.</w:t>
      </w:r>
    </w:p>
    <w:p w:rsidR="00AC40FC" w:rsidRPr="004E114A" w:rsidRDefault="00AC40FC" w:rsidP="004E114A">
      <w:pPr>
        <w:rPr>
          <w:rFonts w:cs="Arial"/>
          <w:szCs w:val="24"/>
        </w:rPr>
      </w:pPr>
      <w:r w:rsidRPr="004E114A">
        <w:rPr>
          <w:rFonts w:cs="Arial"/>
          <w:szCs w:val="24"/>
        </w:rPr>
        <w:t xml:space="preserve">The outside consultant review identified 26 initiatives for improvement.  The initiatives were broadly categorized in four groups:  organizational, process, technology, and application.  Generally, the initiatives focus on reducing redundancies, organization and system consolidation, single processes, and project management. </w:t>
      </w:r>
    </w:p>
    <w:p w:rsidR="00AC40FC" w:rsidRPr="004E114A" w:rsidRDefault="00AC40FC" w:rsidP="004E114A">
      <w:r>
        <w:rPr>
          <w:rFonts w:cs="Arial"/>
          <w:szCs w:val="24"/>
        </w:rPr>
        <w:t>Following the completion of our review of PPL EU Information Technology and Systems as presented in Chapter XI, i</w:t>
      </w:r>
      <w:r w:rsidRPr="004E114A">
        <w:rPr>
          <w:rFonts w:cs="Arial"/>
          <w:szCs w:val="24"/>
        </w:rPr>
        <w:t xml:space="preserve">n November 2015, the CIO took steps to reorganize the domestic IT functions by merging the Pennsylvania and Kentucky IT organizations.  Under the reorganization, similar IT functions being performed in the two locations are now led by a single director.  Within Enterprise Infrastructure, functions are organized under a shared manager, or supervisor, as appropriate.  </w:t>
      </w:r>
      <w:r w:rsidRPr="004E114A">
        <w:t>The new IT organization has five units reporting to the CIO:</w:t>
      </w:r>
    </w:p>
    <w:p w:rsidR="00AC40FC" w:rsidRPr="004E114A" w:rsidRDefault="00AC40FC" w:rsidP="00935281">
      <w:pPr>
        <w:pStyle w:val="Bullet"/>
      </w:pPr>
      <w:r w:rsidRPr="004E114A">
        <w:t>Enterprise Infrastructure</w:t>
      </w:r>
    </w:p>
    <w:p w:rsidR="00AC40FC" w:rsidRPr="004E114A" w:rsidRDefault="00AC40FC" w:rsidP="00935281">
      <w:pPr>
        <w:pStyle w:val="Bullet"/>
      </w:pPr>
      <w:r w:rsidRPr="004E114A">
        <w:t>Enterprise Business Services and Project Portfolio for IT and Large-Scale System Application Projects</w:t>
      </w:r>
    </w:p>
    <w:p w:rsidR="00AC40FC" w:rsidRPr="004E114A" w:rsidRDefault="00AC40FC" w:rsidP="00935281">
      <w:pPr>
        <w:pStyle w:val="Bullet"/>
      </w:pPr>
      <w:r w:rsidRPr="004E114A">
        <w:t>Development and Support for Operations Systems</w:t>
      </w:r>
    </w:p>
    <w:p w:rsidR="00AC40FC" w:rsidRPr="004E114A" w:rsidRDefault="00AC40FC" w:rsidP="00935281">
      <w:pPr>
        <w:pStyle w:val="Bullet"/>
      </w:pPr>
      <w:r w:rsidRPr="004E114A">
        <w:t>Development and Support for Business Systems</w:t>
      </w:r>
    </w:p>
    <w:p w:rsidR="00AC40FC" w:rsidRPr="004E114A" w:rsidRDefault="00AC40FC" w:rsidP="00935281">
      <w:pPr>
        <w:pStyle w:val="Bullet"/>
      </w:pPr>
      <w:r w:rsidRPr="004E114A">
        <w:t>Corporate Information Security Officer</w:t>
      </w:r>
    </w:p>
    <w:p w:rsidR="00AC40FC" w:rsidRPr="004E114A" w:rsidRDefault="00AC40FC" w:rsidP="004E114A">
      <w:pPr>
        <w:spacing w:before="120"/>
        <w:rPr>
          <w:rFonts w:cs="Arial"/>
          <w:szCs w:val="24"/>
        </w:rPr>
      </w:pPr>
      <w:r w:rsidRPr="004E114A">
        <w:t xml:space="preserve">Each of these central units is responsible for both Pennsylvania and Kentucky.  All of the remaining PPL SC and LKE SC IT units are assigned to one of these five units. </w:t>
      </w:r>
      <w:r w:rsidRPr="004E114A">
        <w:rPr>
          <w:rFonts w:cs="Arial"/>
          <w:szCs w:val="24"/>
        </w:rPr>
        <w:t>Work continues on developing an organizational design for IT that effectively supports both the Pennsylvania and Kentucky utilities.</w:t>
      </w:r>
    </w:p>
    <w:p w:rsidR="00AC40FC" w:rsidRPr="004E114A" w:rsidRDefault="00AC40FC" w:rsidP="004E114A">
      <w:r w:rsidRPr="004E114A">
        <w:t xml:space="preserve">Some of the shared IT initiatives already completed or underway include:  access to the PPL Corporation Hosted Disclosure Management and Financial Management applications now used by LKE SC's Financial Reporting department; defined user provisioning between PPL SC and the LKE SC companies for shared applications using service-oriented architecture technology; pursuit of a joint Unified Communications Strategy development project with the outside consultant; use of a joint information security awareness annual training module; security threat information sharing; shared </w:t>
      </w:r>
      <w:r w:rsidRPr="004E114A">
        <w:lastRenderedPageBreak/>
        <w:t>information security vision, mission, and strategic principles; and LKE SC hosting of the PPL SC Alternate Data Center.  PPL SC and LKE SC also strive to optimize combined spend for IT vendors and have participated in joint IT vendor workshops.</w:t>
      </w:r>
    </w:p>
    <w:p w:rsidR="00AC40FC" w:rsidRPr="004E114A" w:rsidRDefault="00AC40FC" w:rsidP="004E114A">
      <w:r w:rsidRPr="004E114A">
        <w:t>The main focus for improvement thus far has been on IT systems because systems are the common thread between various organizations and IT systems consolidation and standardization can have broad organizational benefits.  Pursuit of the improvement initiatives identified by the outside consultant are in progress and entails prioritization of the opportunities, development of business cases, detailed planning, funding approval, and initial execution.</w:t>
      </w:r>
    </w:p>
    <w:p w:rsidR="00AC40FC" w:rsidRPr="004E114A" w:rsidRDefault="00AC40FC" w:rsidP="004E114A">
      <w:r w:rsidRPr="004E114A">
        <w:t>Information technology for PPL EU goes through a Pennsylvania Technology Portfolio Management Committee (TPMC) for technology related spend.  Kentucky has a separate TPMC.  There is an IT Council which consists of executives from PPL SC, PPL EU, and LKE SC.  This council has been in existence several years.  Evaluation of common platforms and technologies is strongly encouraged and has been pursued where supported by a positive business case.</w:t>
      </w:r>
    </w:p>
    <w:p w:rsidR="00AC40FC" w:rsidRPr="004E114A" w:rsidRDefault="00AC40FC" w:rsidP="00CF1890">
      <w:pPr>
        <w:pStyle w:val="Heading40"/>
      </w:pPr>
      <w:r w:rsidRPr="004E114A">
        <w:t>Human Resources</w:t>
      </w:r>
    </w:p>
    <w:p w:rsidR="00AC40FC" w:rsidRPr="004E114A" w:rsidRDefault="00AC40FC" w:rsidP="004E114A">
      <w:r w:rsidRPr="004E114A">
        <w:t xml:space="preserve">Human Resources services are provided to PPL EU by both PPL SC and PPL EUS. </w:t>
      </w:r>
    </w:p>
    <w:p w:rsidR="00AC40FC" w:rsidRPr="004E114A" w:rsidRDefault="00AC40FC" w:rsidP="004E114A">
      <w:pPr>
        <w:rPr>
          <w:rFonts w:cs="Arial"/>
          <w:szCs w:val="24"/>
        </w:rPr>
      </w:pPr>
      <w:r w:rsidRPr="004E114A">
        <w:rPr>
          <w:rFonts w:cs="Arial"/>
          <w:b/>
          <w:szCs w:val="24"/>
        </w:rPr>
        <w:t>PPL SC Human Resources.</w:t>
      </w:r>
      <w:r w:rsidRPr="004E114A">
        <w:rPr>
          <w:rFonts w:cs="Arial"/>
          <w:szCs w:val="24"/>
        </w:rPr>
        <w:t xml:space="preserve">  Subsequent to the LKE acquisition by PPL Corporation, several synergies were identified and achieved between PPL SC and LKE SC in the human resources area.  Both the PPL Corporation and LKE trusts were combined under a single vendor so that all pension assets are under one trust.  Weekly calls occur with enterprise-wide HR leadership.  Also, an enterprise-wide HR Leadership conference was recently held to discuss best practices.  Recently, administration of the LKE retirement plans (qualified and non-qualified pension and savings plans) was brought under PPL Corporation’s existing vendor.  All 401k retirement plans are now under a single vendor.  The vendor also manages the executive compensation stock plan services for both PPL SC and LKE SC.  Actuarial services, provided by another vendor to PPL SC, are shared with LKE SC.  </w:t>
      </w:r>
      <w:r>
        <w:rPr>
          <w:rFonts w:cs="Arial"/>
          <w:szCs w:val="24"/>
        </w:rPr>
        <w:t>WPD Midlands</w:t>
      </w:r>
      <w:r w:rsidRPr="004E114A">
        <w:rPr>
          <w:rFonts w:cs="Arial"/>
          <w:szCs w:val="24"/>
        </w:rPr>
        <w:t xml:space="preserve"> has no involvement in this sharing except the stock plan services provided by the common vendor.</w:t>
      </w:r>
    </w:p>
    <w:p w:rsidR="00AC40FC" w:rsidRPr="004E114A" w:rsidRDefault="00AC40FC" w:rsidP="004E114A">
      <w:pPr>
        <w:rPr>
          <w:rFonts w:cs="Arial"/>
          <w:szCs w:val="24"/>
        </w:rPr>
      </w:pPr>
      <w:r w:rsidRPr="004E114A">
        <w:rPr>
          <w:rFonts w:cs="Arial"/>
          <w:szCs w:val="24"/>
        </w:rPr>
        <w:t xml:space="preserve">The membership of the Employee Benefits Pension Board has been expanded to include LKE SC.  </w:t>
      </w:r>
      <w:r>
        <w:rPr>
          <w:rFonts w:cs="Arial"/>
          <w:szCs w:val="24"/>
        </w:rPr>
        <w:t>WPD Midlands</w:t>
      </w:r>
      <w:r w:rsidRPr="004E114A">
        <w:rPr>
          <w:rFonts w:cs="Arial"/>
          <w:szCs w:val="24"/>
        </w:rPr>
        <w:t xml:space="preserve"> was not included, as it operates under British rules.  The PPL Corporation Employee Benefits Pension Board has been seeking ways to de-risk the benefits plans administered by PPL SC, LKE SC, and </w:t>
      </w:r>
      <w:r>
        <w:rPr>
          <w:rFonts w:cs="Arial"/>
          <w:szCs w:val="24"/>
        </w:rPr>
        <w:t>WPD Midlands</w:t>
      </w:r>
      <w:r w:rsidRPr="004E114A">
        <w:rPr>
          <w:rFonts w:cs="Arial"/>
          <w:szCs w:val="24"/>
        </w:rPr>
        <w:t xml:space="preserve"> as well as improving the design of medical insurance plans to make them more cost effective.</w:t>
      </w:r>
    </w:p>
    <w:p w:rsidR="00AC40FC" w:rsidRPr="004E114A" w:rsidRDefault="00AC40FC" w:rsidP="004E114A">
      <w:pPr>
        <w:rPr>
          <w:rFonts w:cs="Arial"/>
          <w:szCs w:val="24"/>
        </w:rPr>
      </w:pPr>
      <w:r w:rsidRPr="004E114A">
        <w:rPr>
          <w:rFonts w:cs="Arial"/>
          <w:szCs w:val="24"/>
        </w:rPr>
        <w:t>Since the divestiture of PPL Energy Supply,</w:t>
      </w:r>
      <w:r>
        <w:rPr>
          <w:rFonts w:cs="Arial"/>
          <w:szCs w:val="24"/>
        </w:rPr>
        <w:t xml:space="preserve"> LLC</w:t>
      </w:r>
      <w:r w:rsidRPr="004E114A">
        <w:rPr>
          <w:rFonts w:cs="Arial"/>
          <w:szCs w:val="24"/>
        </w:rPr>
        <w:t xml:space="preserve"> the number of development and training program participants has dwindled.  To take advantage of this situation, LKE SC has begun to participate in the management and leadership development programs offered by PPL SC HR with participation funded by the participating trainee’s parent organization.  LKE SC employees also participate in the PPL SC executive development program and options for a common management assessment program are being discussed with LKE SC, PPL EU, and </w:t>
      </w:r>
      <w:r>
        <w:rPr>
          <w:rFonts w:cs="Arial"/>
          <w:szCs w:val="24"/>
        </w:rPr>
        <w:t>WPD Midlands</w:t>
      </w:r>
      <w:r w:rsidRPr="004E114A">
        <w:rPr>
          <w:rFonts w:cs="Arial"/>
          <w:szCs w:val="24"/>
        </w:rPr>
        <w:t>.</w:t>
      </w:r>
    </w:p>
    <w:p w:rsidR="00AC40FC" w:rsidRPr="004E114A" w:rsidRDefault="00AC40FC" w:rsidP="004E114A">
      <w:pPr>
        <w:rPr>
          <w:rFonts w:cs="Arial"/>
          <w:szCs w:val="24"/>
        </w:rPr>
      </w:pPr>
      <w:r w:rsidRPr="004E114A">
        <w:rPr>
          <w:rFonts w:cs="Arial"/>
          <w:szCs w:val="24"/>
        </w:rPr>
        <w:lastRenderedPageBreak/>
        <w:t>In 2013, PPL SC and LKE SC began working jointly with a common recruiting software package.  The software resides on a single network with one license and one maintenance and upgrade arrangement.</w:t>
      </w:r>
    </w:p>
    <w:p w:rsidR="00AC40FC" w:rsidRPr="004E114A" w:rsidRDefault="00AC40FC" w:rsidP="004E114A">
      <w:pPr>
        <w:rPr>
          <w:rFonts w:cs="Arial"/>
          <w:szCs w:val="24"/>
        </w:rPr>
      </w:pPr>
      <w:r w:rsidRPr="004E114A">
        <w:rPr>
          <w:rFonts w:cs="Arial"/>
          <w:szCs w:val="24"/>
        </w:rPr>
        <w:t>In 2014, LKE SC began using the same diversity software package that PPL SC was using.  LKE SC had previously performed this function manually.  In 2015, PPL SC and LKE SC developed a joint business case for the use of a common succession planning system.  Combined use of this system saved approximately $100,000 in license fees.</w:t>
      </w:r>
    </w:p>
    <w:p w:rsidR="00AC40FC" w:rsidRPr="004E114A" w:rsidRDefault="00AC40FC" w:rsidP="004E114A">
      <w:pPr>
        <w:rPr>
          <w:rFonts w:cs="Arial"/>
          <w:szCs w:val="24"/>
        </w:rPr>
      </w:pPr>
      <w:r w:rsidRPr="004E114A">
        <w:rPr>
          <w:rFonts w:cs="Arial"/>
          <w:szCs w:val="24"/>
        </w:rPr>
        <w:t xml:space="preserve">The PPL SC HR and LKE SC HR groups frequently have informal conversations regarding the pursuit of joint opportunities in human resources.  However, no directed PPL SC HR synergy initiatives are presently being pursued with LKE SC HR.  </w:t>
      </w:r>
    </w:p>
    <w:p w:rsidR="00AC40FC" w:rsidRPr="004E114A" w:rsidRDefault="00AC40FC" w:rsidP="004E114A">
      <w:pPr>
        <w:rPr>
          <w:rFonts w:cs="Arial"/>
          <w:szCs w:val="24"/>
        </w:rPr>
      </w:pPr>
      <w:r w:rsidRPr="004E114A">
        <w:rPr>
          <w:b/>
        </w:rPr>
        <w:t>PPL EUS Human Resources.</w:t>
      </w:r>
      <w:r w:rsidRPr="004E114A">
        <w:t xml:space="preserve">  </w:t>
      </w:r>
      <w:r w:rsidRPr="004E114A">
        <w:rPr>
          <w:rFonts w:cs="Arial"/>
          <w:szCs w:val="24"/>
        </w:rPr>
        <w:t xml:space="preserve">Although there are no directed synergy initiatives between PPL EUS HR and LKE SC HR, two joint activities have been undertaken: succession planning for executives and executive compensation.  </w:t>
      </w:r>
    </w:p>
    <w:p w:rsidR="00AC40FC" w:rsidRPr="004E114A" w:rsidRDefault="00AC40FC" w:rsidP="004E114A">
      <w:pPr>
        <w:rPr>
          <w:rFonts w:cs="Arial"/>
          <w:szCs w:val="24"/>
        </w:rPr>
      </w:pPr>
      <w:r w:rsidRPr="004E114A">
        <w:rPr>
          <w:rFonts w:cs="Arial"/>
          <w:szCs w:val="24"/>
        </w:rPr>
        <w:t>PPL EUS HR management interfaces directly with LKE SC HR once per year.  Otherwise, PPL EUS HR management has worked to form an HR subcommittee of the Association of Edison Companies to collaborate on HR matters.  Up to 20 companies have been involved in this, including LKE SC HR.</w:t>
      </w:r>
    </w:p>
    <w:p w:rsidR="00AC40FC" w:rsidRPr="004E114A" w:rsidRDefault="00AC40FC" w:rsidP="004E114A">
      <w:pPr>
        <w:rPr>
          <w:rFonts w:cs="Arial"/>
          <w:szCs w:val="24"/>
        </w:rPr>
      </w:pPr>
      <w:r w:rsidRPr="004E114A">
        <w:rPr>
          <w:rFonts w:cs="Arial"/>
          <w:szCs w:val="24"/>
        </w:rPr>
        <w:t xml:space="preserve">The PPL EUS HR Director is working with the combined LKE SC and PPL SC HR systems team on the IT synergy initiative, specifically how to do talent management and employee relations.  The goal is to align supervision between the different locations.  Process synergy is more of an objective than cost savings.  </w:t>
      </w:r>
    </w:p>
    <w:p w:rsidR="00AC40FC" w:rsidRPr="004E114A" w:rsidRDefault="00AC40FC" w:rsidP="00CF1890">
      <w:pPr>
        <w:pStyle w:val="Heading40"/>
      </w:pPr>
      <w:r w:rsidRPr="004E114A">
        <w:t xml:space="preserve">Corporate Communications  </w:t>
      </w:r>
    </w:p>
    <w:p w:rsidR="00AC40FC" w:rsidRPr="004E114A" w:rsidRDefault="00AC40FC" w:rsidP="004E114A">
      <w:r w:rsidRPr="004E114A">
        <w:t>Communications services are provided to PPL EU by groups in both PPL SC and PPL EUS.</w:t>
      </w:r>
    </w:p>
    <w:p w:rsidR="00AC40FC" w:rsidRPr="004E114A" w:rsidRDefault="00AC40FC" w:rsidP="004E114A">
      <w:pPr>
        <w:rPr>
          <w:rFonts w:cs="Arial"/>
          <w:szCs w:val="24"/>
        </w:rPr>
      </w:pPr>
      <w:r w:rsidRPr="004E114A">
        <w:rPr>
          <w:rFonts w:cs="Arial"/>
          <w:b/>
          <w:szCs w:val="24"/>
        </w:rPr>
        <w:t>PPL SC Corporate Communications.</w:t>
      </w:r>
      <w:r w:rsidRPr="004E114A">
        <w:rPr>
          <w:rFonts w:cs="Arial"/>
          <w:szCs w:val="24"/>
        </w:rPr>
        <w:t xml:space="preserve">  No synergies with LKE SC’s communications organization have been identified and there are presently no directed synergy initiatives underway with LKE SC in the communications area.  The teams collaborate on articles for the employee communications channels and there is some informal collaboration among the groups to assure consistency in messaging.  Additionally, there has been shared use of social media listening tools.  Some synergy opportunities that might exist would be common use of contracts, platforms, and social media listening tools.</w:t>
      </w:r>
    </w:p>
    <w:p w:rsidR="00AC40FC" w:rsidRPr="004E114A" w:rsidRDefault="00AC40FC" w:rsidP="004E114A">
      <w:pPr>
        <w:rPr>
          <w:rFonts w:cs="Arial"/>
          <w:szCs w:val="24"/>
        </w:rPr>
      </w:pPr>
      <w:r w:rsidRPr="004E114A">
        <w:rPr>
          <w:b/>
        </w:rPr>
        <w:t>PPL EUS Corporate Communications</w:t>
      </w:r>
      <w:r w:rsidRPr="004E114A">
        <w:t>.  There are presently no management-directed initiatives underway to pursue synergies between the PPL EUS Corporate Communications group and its LKE SC counterpart</w:t>
      </w:r>
      <w:r w:rsidRPr="004E114A">
        <w:rPr>
          <w:rFonts w:cs="Arial"/>
          <w:szCs w:val="24"/>
        </w:rPr>
        <w:t>.  Information is shared between the groups on an ad hoc basis when appropriate.  Otherwise, there is no pursuit of corporate communication synergies with LKE SC.</w:t>
      </w:r>
    </w:p>
    <w:p w:rsidR="00AC40FC" w:rsidRPr="004E114A" w:rsidRDefault="00AC40FC" w:rsidP="004E114A">
      <w:pPr>
        <w:rPr>
          <w:b/>
        </w:rPr>
      </w:pPr>
      <w:r w:rsidRPr="004E114A">
        <w:rPr>
          <w:b/>
        </w:rPr>
        <w:t>Compliance.</w:t>
      </w:r>
      <w:r w:rsidRPr="004E114A">
        <w:t xml:space="preserve">  Shortly after the completion of the acquisition of E. ON U.S., LKE SC personnel began to participate in several pre-existing PPL SC corporate-level compliance oversight groups.  These included a Corporate Compliance Committee, which consists largely of senior officers from both PPL SC and LKE SC.  The Corporate Compliance Committee’s general mission, as currently stated, is to promote an organizational culture that ensures ethical conduct and a commitment to compliance </w:t>
      </w:r>
      <w:r w:rsidRPr="004E114A">
        <w:lastRenderedPageBreak/>
        <w:t>with law for PPL Corporation and all of its subsidiaries.  Another existing PPL SC corporate-level group which was joined by LKE SC personnel was the Compliance Working Group.  The mission of the Compliance Working Group is to support the Corporate Compliance Committee in assessing the effectiveness of the entire organization’s compliance and ethics program.  The Compliance Working Group is staffed by senior management personnel representing the compliance, audit, and legal requirements of PPL SC and LKE SC.  The group meets monthly.  During the first quarter of 2016 a new position, Global Chief Compliance Officer (GCCO), was created and filled by an executive with a central leadership role for the entire organization.  The GCCO has overall responsibility to ensure that the organization has an effective ethics and compliance program enterprise-wide, which meets requirements in the U.S. Department of Justice Sentencing Guidelines (and similar requirements of other domestic agencies including FERC), as well as any requirements for such programs in the U.K.)  Among the stated functions of the GCCO is to provide a forum for sharing best practices among business risk owners and endeavor to drive consistency where appropriate.</w:t>
      </w:r>
      <w:r w:rsidRPr="004E114A">
        <w:rPr>
          <w:b/>
        </w:rPr>
        <w:t xml:space="preserve"> </w:t>
      </w:r>
    </w:p>
    <w:p w:rsidR="00AC40FC" w:rsidRPr="004E114A" w:rsidRDefault="00AC40FC" w:rsidP="00CF1890">
      <w:pPr>
        <w:pStyle w:val="Heading40"/>
      </w:pPr>
      <w:r w:rsidRPr="004E114A">
        <w:t xml:space="preserve">Legal </w:t>
      </w:r>
    </w:p>
    <w:p w:rsidR="00AC40FC" w:rsidRPr="004E114A" w:rsidRDefault="00AC40FC" w:rsidP="00CF1890">
      <w:r w:rsidRPr="004E114A">
        <w:t>There are presently no directed synergy initiatives underway between the PPL SC and LKE SC legal staffs although some common systems are used, and joint meetings are held between the organizations.  The LKE SC legal staff does not report through the PPL SC legal organization and operates in support of the Kentucky utilities just as the PPL SC Office of General Counsel (OGC) operates in support of PPL EU and PPL Corporation.</w:t>
      </w:r>
    </w:p>
    <w:p w:rsidR="00AC40FC" w:rsidRPr="004E114A" w:rsidRDefault="00AC40FC" w:rsidP="00CF1890">
      <w:r w:rsidRPr="004E114A">
        <w:t>The PPL SC General Counsel holds a bi-weekly staff meeting that the LKE SC Deputy General Counsel attends telephonically.  Also, weekly teleconferences are held between LKE SC and PPL SC OGC attorneys to discuss finance and governance matters as well as FERC issues.  The PPL SC compliance attorney serves as a point of contact with the PPL Corporation Global Chief Compliance Officer and works with LKE SC on compliance matters.</w:t>
      </w:r>
    </w:p>
    <w:p w:rsidR="00AC40FC" w:rsidRPr="004E114A" w:rsidRDefault="00AC40FC" w:rsidP="00CF1890">
      <w:r w:rsidRPr="004E114A">
        <w:t>Both the PPL SC and LKE SC legal departments utilize the same billing system for tracking the time and fees associated with external law firms engaged in supporting the legal staffs.</w:t>
      </w:r>
    </w:p>
    <w:p w:rsidR="00AC40FC" w:rsidRPr="004E114A" w:rsidRDefault="00AC40FC" w:rsidP="00CF1890">
      <w:r w:rsidRPr="004E114A">
        <w:t xml:space="preserve">Additionally, both utilize the services of the same disclosure attorney for SEC and financial report development.  These services are utilized for all of the PPL Corporation SEC registrants (PPL Corporation, PPL EU, LKE, KU, and LG&amp;E). PPL SC and LKE SC also collaborate on annual corporate sustainability reporting using a core team made up of representatives from across services and domestic and international business units.  The Global Reporting Initiative (GRI) is an independent, nongovernmental, nonprofit organization organized in 1997 in Amsterdam, The Netherlands, to assist businesses and governments to communicate their sustainability record to stockholders, consumers, and other stakeholder groups.  GRI publishes a list of indicators (or data points) companies should use when reporting their sustainability profile to the general public.  GRI’s indicators are regarded as the “gold standard” for sustainability reporting.  GRI’s indicators, including those developed for use by the electric utility industry, were </w:t>
      </w:r>
      <w:r w:rsidRPr="004E114A">
        <w:lastRenderedPageBreak/>
        <w:t>drafted by industry representatives and various stakeholder groups.  PPL Corporation just completed its 2015 sustainability report which is based on GRI’s G4 guidelines and the electric utility sector supplement guidelines.  This is the first time that PPL Corporation has used the GRI guidelines in its sustainability report.  The report can be found online at: https://pplsustainability.com/.</w:t>
      </w:r>
    </w:p>
    <w:p w:rsidR="00AC40FC" w:rsidRPr="004E114A" w:rsidRDefault="00AC40FC" w:rsidP="004E114A">
      <w:pPr>
        <w:rPr>
          <w:rFonts w:cs="Arial"/>
          <w:szCs w:val="24"/>
        </w:rPr>
      </w:pPr>
      <w:r w:rsidRPr="004E114A">
        <w:rPr>
          <w:rFonts w:cs="Arial"/>
          <w:szCs w:val="24"/>
        </w:rPr>
        <w:t xml:space="preserve">There is also an annual legal retreat that is attended by the LKE SC, </w:t>
      </w:r>
      <w:r>
        <w:rPr>
          <w:rFonts w:cs="Arial"/>
          <w:szCs w:val="24"/>
        </w:rPr>
        <w:t>WPD Midlands</w:t>
      </w:r>
      <w:r w:rsidRPr="004E114A">
        <w:rPr>
          <w:rFonts w:cs="Arial"/>
          <w:szCs w:val="24"/>
        </w:rPr>
        <w:t xml:space="preserve">, and PPL SC legal staffs.  The event consists of panel discussions on legal topics of mutual interest.  Data privacy is one of the recent topics of focus.  The retreat is held for two days.  In 2015, it was held in Pennsylvania; in 2016, it will be held in Kentucky. </w:t>
      </w:r>
    </w:p>
    <w:p w:rsidR="00AC40FC" w:rsidRPr="004E114A" w:rsidRDefault="00AC40FC" w:rsidP="00CF1890">
      <w:pPr>
        <w:pStyle w:val="Heading40"/>
      </w:pPr>
      <w:r w:rsidRPr="004E114A">
        <w:t xml:space="preserve">Public Affairs  </w:t>
      </w:r>
    </w:p>
    <w:p w:rsidR="00AC40FC" w:rsidRPr="004E114A" w:rsidRDefault="00AC40FC" w:rsidP="004E114A">
      <w:pPr>
        <w:rPr>
          <w:rFonts w:cs="Arial"/>
          <w:szCs w:val="24"/>
        </w:rPr>
      </w:pPr>
      <w:r w:rsidRPr="004E114A">
        <w:rPr>
          <w:rFonts w:cs="Arial"/>
          <w:szCs w:val="24"/>
        </w:rPr>
        <w:t>LKE SC has its own governmental affairs group which is structured differently from the PPL SC Public Affairs group. From a federal perspective, however, LKE SC is responsible for contact with Kentucky Federal elected officials and works with the PPL SC Federal office which provides representation for the three US utility operating companies (PPL EU, LG&amp;E, and KU).  The Federal office follows FERC policy and legislation activities for PPL EU, LG&amp;E, and KU.</w:t>
      </w:r>
    </w:p>
    <w:p w:rsidR="00AC40FC" w:rsidRPr="004E114A" w:rsidRDefault="00AC40FC" w:rsidP="004E114A">
      <w:pPr>
        <w:rPr>
          <w:rFonts w:cs="Arial"/>
          <w:szCs w:val="24"/>
        </w:rPr>
      </w:pPr>
      <w:r w:rsidRPr="004E114A">
        <w:rPr>
          <w:rFonts w:cs="Arial"/>
          <w:szCs w:val="24"/>
        </w:rPr>
        <w:t>PPL SC’s political action committee coordination is managed for both federal and Pennsylvania state activities by PPL SC Public Affairs.  LKE SC manages and administers its own Kentucky state political action committee.  Additionally, Edison Electric Institute (EEI) membership costs are managed collectively and allocated to the three domestic electric utilities.</w:t>
      </w:r>
    </w:p>
    <w:p w:rsidR="00AC40FC" w:rsidRPr="004E114A" w:rsidRDefault="00AC40FC" w:rsidP="004E114A">
      <w:r w:rsidRPr="004E114A">
        <w:rPr>
          <w:rFonts w:cs="Arial"/>
          <w:szCs w:val="24"/>
        </w:rPr>
        <w:t>In the interest of collaboration and coordination, quarterly conference calls are held among PPL SC Public Affairs personnel, the PPL SC FERC attorney, the PPL EU Transmission Vice President and staff, and their LKE SC counterparts.</w:t>
      </w:r>
    </w:p>
    <w:p w:rsidR="00AC40FC" w:rsidRPr="004E114A" w:rsidRDefault="00AC40FC" w:rsidP="00CF1890">
      <w:pPr>
        <w:pStyle w:val="Heading40"/>
      </w:pPr>
      <w:r w:rsidRPr="004E114A">
        <w:t>Supply Chain/Procurement</w:t>
      </w:r>
    </w:p>
    <w:p w:rsidR="00AC40FC" w:rsidRPr="004E114A" w:rsidRDefault="00AC40FC" w:rsidP="004E114A">
      <w:r w:rsidRPr="004E114A">
        <w:rPr>
          <w:rFonts w:cs="Arial"/>
          <w:szCs w:val="24"/>
        </w:rPr>
        <w:t xml:space="preserve">In March 2011, PPLSC and LKE SC began a Sourcing Collaboration Program, initially utilizing an independent, professional external supply chain consultant.  During that time, the Supply Chain departments analyzed over 80 categories of spending, and identified opportunities resulting from harmonized pricing and joint sourcing.  As a result of these efforts, PPL EU has saved in excess of $40 million and LKE SC has saved approximately $7 million.  However, it should be noted that there are very limited business specific items that are commonly utilized by PPL EU and LKE SC.  Although the Companies discontinued use of the outside consultant in April 2013, the respective Supply Chain Directors talk and share information informally and </w:t>
      </w:r>
      <w:r w:rsidRPr="004E114A">
        <w:t>PPL EUS Supply Chain personnel talk with their LKE SC counterparts every two or three months.  There are also ongoing and routine conversations with the sourcing professionals in each organization’s Supply Chain area.</w:t>
      </w:r>
      <w:r w:rsidRPr="004E114A">
        <w:rPr>
          <w:rFonts w:cs="Arial"/>
          <w:szCs w:val="24"/>
        </w:rPr>
        <w:t xml:space="preserve">  </w:t>
      </w:r>
      <w:r w:rsidRPr="004E114A">
        <w:t>PPL EUS Supply Chain staff members have visited their LKE SC counterparts and LKE SC has visited PPL EUS to share information and experience with using the asset, materials, and purchasing application.  LKE SC is currently using a different supply chain management IT system.</w:t>
      </w:r>
    </w:p>
    <w:p w:rsidR="00AC40FC" w:rsidRPr="004E114A" w:rsidRDefault="00AC40FC" w:rsidP="004E114A">
      <w:r w:rsidRPr="004E114A">
        <w:t>PPL EUS Supply Chain has worked informally with LKE SC Supply Chain when opportunities for joint purchasing arise.  Some anecdotal examples follow.</w:t>
      </w:r>
    </w:p>
    <w:p w:rsidR="00AC40FC" w:rsidRPr="004E114A" w:rsidRDefault="00AC40FC" w:rsidP="004E114A">
      <w:r w:rsidRPr="004E114A">
        <w:rPr>
          <w:b/>
        </w:rPr>
        <w:lastRenderedPageBreak/>
        <w:t xml:space="preserve">LED Lighting.  </w:t>
      </w:r>
      <w:r w:rsidRPr="004E114A">
        <w:t>Some coordinated purchasing is occurring with the LED lighting contracts that were negotiated by PPL EUS in late 2015.  LKE SC plans to use the same vendors for its LED lighting needs.  Due to the relatively small volume expected from LKE SC, PPL EUS does not anticipate any direct savings; however, LKE SC should see a better pricing discount due to PPL EUS’s volume if LKE SC selects the same fixtures for its use.</w:t>
      </w:r>
    </w:p>
    <w:p w:rsidR="00AC40FC" w:rsidRPr="004E114A" w:rsidRDefault="00AC40FC" w:rsidP="004E114A">
      <w:pPr>
        <w:rPr>
          <w:rFonts w:cs="Arial"/>
          <w:szCs w:val="24"/>
        </w:rPr>
      </w:pPr>
      <w:r w:rsidRPr="004E114A">
        <w:rPr>
          <w:rFonts w:cs="Arial"/>
          <w:b/>
          <w:szCs w:val="24"/>
        </w:rPr>
        <w:t xml:space="preserve">General Liability Insurance.  </w:t>
      </w:r>
      <w:r w:rsidRPr="004E114A">
        <w:rPr>
          <w:rFonts w:cs="Arial"/>
          <w:szCs w:val="24"/>
        </w:rPr>
        <w:t xml:space="preserve">Larger scale typically results in lower general liability insurance premiums.  For example, the Kentucky properties general liability premium went down when it was bundled with the PPL Corporation policy in 2012.  </w:t>
      </w:r>
    </w:p>
    <w:p w:rsidR="00AC40FC" w:rsidRPr="004E114A" w:rsidRDefault="00AC40FC" w:rsidP="004E114A">
      <w:pPr>
        <w:rPr>
          <w:rFonts w:cs="Arial"/>
          <w:szCs w:val="24"/>
        </w:rPr>
      </w:pPr>
      <w:r w:rsidRPr="004E114A">
        <w:rPr>
          <w:b/>
        </w:rPr>
        <w:t xml:space="preserve">Common Category Structure.  </w:t>
      </w:r>
      <w:r w:rsidRPr="004E114A">
        <w:t>PPL EUS Supply Chain is planning to work with the LKE SC Supply Chain to develop a common category structure to facilitate additional joint sourcing opportunities for materials used by both organizations.</w:t>
      </w:r>
    </w:p>
    <w:p w:rsidR="00AC40FC" w:rsidRPr="004E114A" w:rsidRDefault="00AC40FC" w:rsidP="004E114A">
      <w:r w:rsidRPr="004E114A">
        <w:rPr>
          <w:b/>
        </w:rPr>
        <w:t xml:space="preserve">Information Technology.  </w:t>
      </w:r>
      <w:r w:rsidRPr="004E114A">
        <w:t xml:space="preserve">LKE SC Supply Chain handles the sourcing of software and some hardware for PPL EU because it has more expertise in that category than PPL EUS Supply Chain.  </w:t>
      </w:r>
    </w:p>
    <w:p w:rsidR="00AC40FC" w:rsidRPr="004E114A" w:rsidRDefault="00AC40FC" w:rsidP="005E42AC">
      <w:pPr>
        <w:pStyle w:val="Heading40"/>
      </w:pPr>
      <w:r w:rsidRPr="004E114A">
        <w:t>Facilities Management</w:t>
      </w:r>
    </w:p>
    <w:p w:rsidR="00AC40FC" w:rsidRPr="004E114A" w:rsidRDefault="00AC40FC" w:rsidP="004E114A">
      <w:pPr>
        <w:rPr>
          <w:rFonts w:cs="Arial"/>
          <w:szCs w:val="24"/>
        </w:rPr>
      </w:pPr>
      <w:r w:rsidRPr="004E114A">
        <w:t xml:space="preserve">The Facilities Management function was relocated from PPL EUS to PPL EU in January 2015.  </w:t>
      </w:r>
      <w:r w:rsidRPr="004E114A">
        <w:rPr>
          <w:rFonts w:cs="Arial"/>
          <w:szCs w:val="24"/>
        </w:rPr>
        <w:t>The Director of Facility Operations has been in the position since mid-January 2016 but has not had any communications with counterparts in LKE SC regarding facilities operations.  The director plans to talk with LKE SC about their approach to facilities management and also plans to include LKE SC in a planned benchmarking effort to develop ideas for organizational options.</w:t>
      </w:r>
    </w:p>
    <w:p w:rsidR="00AC40FC" w:rsidRPr="004E114A" w:rsidRDefault="00AC40FC" w:rsidP="005E42AC">
      <w:pPr>
        <w:pStyle w:val="Heading40"/>
      </w:pPr>
      <w:r w:rsidRPr="004E114A">
        <w:t xml:space="preserve">Protective Services </w:t>
      </w:r>
    </w:p>
    <w:p w:rsidR="00AC40FC" w:rsidRPr="004E114A" w:rsidRDefault="00AC40FC" w:rsidP="004E114A">
      <w:pPr>
        <w:rPr>
          <w:rFonts w:cs="Arial"/>
          <w:szCs w:val="24"/>
        </w:rPr>
      </w:pPr>
      <w:r w:rsidRPr="004E114A">
        <w:rPr>
          <w:rFonts w:cs="Arial"/>
          <w:szCs w:val="24"/>
        </w:rPr>
        <w:t>Protective Services is a PPL SC function.  The Director of Protective Services reports that there is frequent interaction with his LKE SC counterpart including a formal communication that occurs every two weeks to share information and discuss security issues, intelligence received, and any events that have occurred.  The LKE SC operation will be visiting PPL SC in 2016 to discuss common issues and share information.</w:t>
      </w:r>
    </w:p>
    <w:p w:rsidR="00AC40FC" w:rsidRPr="004E114A" w:rsidRDefault="00AC40FC" w:rsidP="004E114A">
      <w:pPr>
        <w:rPr>
          <w:rFonts w:cs="Arial"/>
          <w:szCs w:val="24"/>
        </w:rPr>
      </w:pPr>
      <w:r w:rsidRPr="004E114A">
        <w:rPr>
          <w:rFonts w:cs="Arial"/>
          <w:szCs w:val="24"/>
        </w:rPr>
        <w:t>Both PPL SC and LKE SC entities have shared policies and best practices and work together to develop a consistent approach to implementing new requirements as they emerge.  The two entities are now using common metrics and are currently working towards making joint presentations of security-related information to the PPL Corporation Board of Directors.</w:t>
      </w:r>
    </w:p>
    <w:p w:rsidR="00AC40FC" w:rsidRPr="004E114A" w:rsidRDefault="00AC40FC" w:rsidP="004E114A">
      <w:pPr>
        <w:rPr>
          <w:rFonts w:cs="Arial"/>
          <w:szCs w:val="24"/>
        </w:rPr>
      </w:pPr>
      <w:r w:rsidRPr="004E114A">
        <w:rPr>
          <w:rFonts w:cs="Arial"/>
          <w:szCs w:val="24"/>
        </w:rPr>
        <w:t>PPL SC and LKE SC are moving towards shared protective services IT applications as well.  LKE SC has adopted the business continuity management software that PPL SC has been using and PPL SC has implemented the mass notification software that LKE SC had previously deployed.  Coordinated services contracts are in place for both applications.</w:t>
      </w:r>
    </w:p>
    <w:p w:rsidR="00AC40FC" w:rsidRDefault="00AC40FC">
      <w:pPr>
        <w:spacing w:after="0"/>
        <w:jc w:val="left"/>
        <w:rPr>
          <w:rFonts w:ascii="Arial Bold" w:hAnsi="Arial Bold"/>
          <w:b/>
          <w:caps/>
          <w:sz w:val="28"/>
          <w:szCs w:val="28"/>
        </w:rPr>
      </w:pPr>
      <w:r>
        <w:br w:type="page"/>
      </w:r>
    </w:p>
    <w:p w:rsidR="00AC40FC" w:rsidRPr="004E114A" w:rsidRDefault="00AC40FC" w:rsidP="004F00E5">
      <w:pPr>
        <w:pStyle w:val="Heading2"/>
        <w:numPr>
          <w:ilvl w:val="0"/>
          <w:numId w:val="115"/>
        </w:numPr>
      </w:pPr>
      <w:bookmarkStart w:id="457" w:name="_Toc462647929"/>
      <w:bookmarkStart w:id="458" w:name="_Toc464552168"/>
      <w:r w:rsidRPr="004E114A">
        <w:lastRenderedPageBreak/>
        <w:t>findings</w:t>
      </w:r>
      <w:bookmarkEnd w:id="457"/>
      <w:bookmarkEnd w:id="458"/>
      <w:r w:rsidRPr="004E114A">
        <w:t xml:space="preserve"> </w:t>
      </w:r>
    </w:p>
    <w:p w:rsidR="00AC40FC" w:rsidRPr="004E114A" w:rsidRDefault="00AC40FC" w:rsidP="005E42AC">
      <w:pPr>
        <w:pStyle w:val="Heading40"/>
      </w:pPr>
      <w:r w:rsidRPr="004E114A">
        <w:t>Merger Synergy Research</w:t>
      </w:r>
    </w:p>
    <w:p w:rsidR="00AC40FC" w:rsidRPr="004E114A" w:rsidRDefault="00AC40FC" w:rsidP="004F00E5">
      <w:pPr>
        <w:pStyle w:val="Findings"/>
        <w:numPr>
          <w:ilvl w:val="0"/>
          <w:numId w:val="147"/>
        </w:numPr>
      </w:pPr>
      <w:r w:rsidRPr="004E114A">
        <w:t>Non-fuel O&amp;M cost reductions are often achieved through utility merger synergies.</w:t>
      </w:r>
    </w:p>
    <w:p w:rsidR="00AC40FC" w:rsidRPr="004E114A" w:rsidRDefault="00AC40FC" w:rsidP="004E114A">
      <w:r w:rsidRPr="004E114A">
        <w:t>The studies show that merger synergy non-fuel O&amp;M cost savings are often achieved and can range from 1% to 30% with a normal range of 8% to 12%. Generally, the size of the merger and the proximity of the merging entities had little influence on the percentage of savings achieved through the merger.</w:t>
      </w:r>
      <w:r>
        <w:t xml:space="preserve">  </w:t>
      </w:r>
    </w:p>
    <w:p w:rsidR="00AC40FC" w:rsidRPr="004E114A" w:rsidRDefault="00AC40FC" w:rsidP="005E42AC">
      <w:pPr>
        <w:pStyle w:val="Findings"/>
      </w:pPr>
      <w:r w:rsidRPr="004E114A">
        <w:t>Merger synergy non-fuel O&amp;M cost reductions vary by function.</w:t>
      </w:r>
    </w:p>
    <w:p w:rsidR="00AC40FC" w:rsidRDefault="00AC40FC" w:rsidP="004E114A">
      <w:r w:rsidRPr="004E114A">
        <w:t>The studies show that the magnitude of potential non-fuel O&amp;M merger synergy cost savings vary by function, as shown in the following table.</w:t>
      </w:r>
    </w:p>
    <w:p w:rsidR="00AC40FC" w:rsidRPr="004E114A" w:rsidRDefault="00AC40FC" w:rsidP="005E42AC">
      <w:pPr>
        <w:pStyle w:val="Caption"/>
        <w:rPr>
          <w:b w:val="0"/>
        </w:rPr>
      </w:pPr>
      <w:bookmarkStart w:id="459" w:name="_Toc462648516"/>
      <w:bookmarkStart w:id="460" w:name="_Toc464553138"/>
      <w:r w:rsidRPr="005E42AC">
        <w:t xml:space="preserve">Exhibit </w:t>
      </w:r>
      <w:fldSimple w:instr=" STYLEREF 1 \s ">
        <w:r w:rsidR="00A24205">
          <w:rPr>
            <w:noProof/>
          </w:rPr>
          <w:t>XVI</w:t>
        </w:r>
      </w:fldSimple>
      <w:r w:rsidR="00264A1B">
        <w:noBreakHyphen/>
      </w:r>
      <w:fldSimple w:instr=" SEQ Exhibit \* ARABIC \s 1 ">
        <w:r w:rsidR="00A24205">
          <w:rPr>
            <w:noProof/>
          </w:rPr>
          <w:t>3</w:t>
        </w:r>
      </w:fldSimple>
      <w:r>
        <w:br/>
      </w:r>
      <w:r w:rsidRPr="005E42AC">
        <w:t>Potential Merger Synergy Savings by Function</w:t>
      </w:r>
      <w:bookmarkEnd w:id="459"/>
      <w:bookmarkEnd w:id="460"/>
    </w:p>
    <w:tbl>
      <w:tblPr>
        <w:tblStyle w:val="TableGrid1"/>
        <w:tblW w:w="0" w:type="auto"/>
        <w:jc w:val="center"/>
        <w:tblLook w:val="04A0"/>
      </w:tblPr>
      <w:tblGrid>
        <w:gridCol w:w="3912"/>
        <w:gridCol w:w="2230"/>
      </w:tblGrid>
      <w:tr w:rsidR="00AC40FC" w:rsidRPr="004E114A" w:rsidTr="004E114A">
        <w:trPr>
          <w:cantSplit/>
          <w:tblHeader/>
          <w:jc w:val="center"/>
        </w:trPr>
        <w:tc>
          <w:tcPr>
            <w:tcW w:w="0" w:type="auto"/>
            <w:shd w:val="clear" w:color="auto" w:fill="A5CD7E"/>
            <w:vAlign w:val="center"/>
          </w:tcPr>
          <w:p w:rsidR="00AC40FC" w:rsidRPr="004E114A" w:rsidRDefault="00AC40FC" w:rsidP="00D6083E">
            <w:pPr>
              <w:spacing w:before="120"/>
              <w:contextualSpacing/>
              <w:jc w:val="center"/>
              <w:rPr>
                <w:b/>
              </w:rPr>
            </w:pPr>
            <w:r w:rsidRPr="004E114A">
              <w:rPr>
                <w:b/>
              </w:rPr>
              <w:t>Function</w:t>
            </w:r>
          </w:p>
        </w:tc>
        <w:tc>
          <w:tcPr>
            <w:tcW w:w="0" w:type="auto"/>
            <w:shd w:val="clear" w:color="auto" w:fill="A5CD7E"/>
            <w:vAlign w:val="center"/>
          </w:tcPr>
          <w:p w:rsidR="00AC40FC" w:rsidRPr="004E114A" w:rsidRDefault="00AC40FC" w:rsidP="00D6083E">
            <w:pPr>
              <w:spacing w:before="120"/>
              <w:contextualSpacing/>
              <w:jc w:val="center"/>
              <w:rPr>
                <w:b/>
              </w:rPr>
            </w:pPr>
            <w:r w:rsidRPr="004E114A">
              <w:rPr>
                <w:b/>
              </w:rPr>
              <w:t>Range of Savings</w:t>
            </w:r>
          </w:p>
        </w:tc>
      </w:tr>
      <w:tr w:rsidR="00AC40FC" w:rsidRPr="004E114A" w:rsidTr="004E114A">
        <w:trPr>
          <w:jc w:val="center"/>
        </w:trPr>
        <w:tc>
          <w:tcPr>
            <w:tcW w:w="0" w:type="auto"/>
            <w:vAlign w:val="center"/>
          </w:tcPr>
          <w:p w:rsidR="00AC40FC" w:rsidRPr="004E114A" w:rsidRDefault="00AC40FC" w:rsidP="004E114A">
            <w:pPr>
              <w:spacing w:after="0"/>
              <w:contextualSpacing/>
              <w:jc w:val="center"/>
            </w:pPr>
            <w:r w:rsidRPr="004E114A">
              <w:t>Transmission and Distribution</w:t>
            </w:r>
          </w:p>
        </w:tc>
        <w:tc>
          <w:tcPr>
            <w:tcW w:w="0" w:type="auto"/>
            <w:vAlign w:val="center"/>
          </w:tcPr>
          <w:p w:rsidR="00AC40FC" w:rsidRPr="004E114A" w:rsidRDefault="00AC40FC" w:rsidP="004E114A">
            <w:pPr>
              <w:spacing w:after="0"/>
              <w:contextualSpacing/>
              <w:jc w:val="center"/>
            </w:pPr>
            <w:r w:rsidRPr="004E114A">
              <w:t>-5% to -10%</w:t>
            </w:r>
          </w:p>
        </w:tc>
      </w:tr>
      <w:tr w:rsidR="00AC40FC" w:rsidRPr="004E114A" w:rsidTr="004E114A">
        <w:trPr>
          <w:jc w:val="center"/>
        </w:trPr>
        <w:tc>
          <w:tcPr>
            <w:tcW w:w="0" w:type="auto"/>
            <w:vAlign w:val="center"/>
          </w:tcPr>
          <w:p w:rsidR="00AC40FC" w:rsidRPr="004E114A" w:rsidRDefault="00AC40FC" w:rsidP="004E114A">
            <w:pPr>
              <w:spacing w:after="0"/>
              <w:contextualSpacing/>
              <w:jc w:val="center"/>
            </w:pPr>
            <w:r w:rsidRPr="004E114A">
              <w:t>Customer Service</w:t>
            </w:r>
          </w:p>
        </w:tc>
        <w:tc>
          <w:tcPr>
            <w:tcW w:w="0" w:type="auto"/>
            <w:vAlign w:val="center"/>
          </w:tcPr>
          <w:p w:rsidR="00AC40FC" w:rsidRPr="004E114A" w:rsidRDefault="00AC40FC" w:rsidP="004E114A">
            <w:pPr>
              <w:spacing w:after="0"/>
              <w:contextualSpacing/>
              <w:jc w:val="center"/>
            </w:pPr>
            <w:r w:rsidRPr="004E114A">
              <w:t>0% to -40%</w:t>
            </w:r>
          </w:p>
        </w:tc>
      </w:tr>
      <w:tr w:rsidR="00AC40FC" w:rsidRPr="004E114A" w:rsidTr="004E114A">
        <w:trPr>
          <w:jc w:val="center"/>
        </w:trPr>
        <w:tc>
          <w:tcPr>
            <w:tcW w:w="0" w:type="auto"/>
            <w:vAlign w:val="center"/>
          </w:tcPr>
          <w:p w:rsidR="00AC40FC" w:rsidRPr="004E114A" w:rsidRDefault="00AC40FC" w:rsidP="004E114A">
            <w:pPr>
              <w:spacing w:after="0"/>
              <w:contextualSpacing/>
              <w:jc w:val="center"/>
            </w:pPr>
            <w:r w:rsidRPr="004E114A">
              <w:t>Sales, General, and Administrative</w:t>
            </w:r>
          </w:p>
        </w:tc>
        <w:tc>
          <w:tcPr>
            <w:tcW w:w="0" w:type="auto"/>
            <w:vAlign w:val="center"/>
          </w:tcPr>
          <w:p w:rsidR="00AC40FC" w:rsidRPr="004E114A" w:rsidRDefault="00AC40FC" w:rsidP="004E114A">
            <w:pPr>
              <w:spacing w:after="0"/>
              <w:contextualSpacing/>
              <w:jc w:val="center"/>
            </w:pPr>
            <w:r w:rsidRPr="004E114A">
              <w:t>-10% to -30%</w:t>
            </w:r>
          </w:p>
        </w:tc>
      </w:tr>
      <w:tr w:rsidR="00AC40FC" w:rsidRPr="004E114A" w:rsidTr="004E114A">
        <w:trPr>
          <w:jc w:val="center"/>
        </w:trPr>
        <w:tc>
          <w:tcPr>
            <w:tcW w:w="0" w:type="auto"/>
            <w:gridSpan w:val="2"/>
            <w:vAlign w:val="center"/>
          </w:tcPr>
          <w:p w:rsidR="00AC40FC" w:rsidRPr="004E114A" w:rsidRDefault="00AC40FC" w:rsidP="004E114A">
            <w:pPr>
              <w:spacing w:after="0"/>
              <w:contextualSpacing/>
              <w:jc w:val="left"/>
            </w:pPr>
            <w:r w:rsidRPr="004E114A">
              <w:t>Source:  Summary of Merger Synergy Research</w:t>
            </w:r>
          </w:p>
        </w:tc>
      </w:tr>
    </w:tbl>
    <w:p w:rsidR="00AC40FC" w:rsidRPr="004E114A" w:rsidRDefault="00AC40FC" w:rsidP="004E114A">
      <w:pPr>
        <w:spacing w:before="120"/>
      </w:pPr>
      <w:r w:rsidRPr="004E114A">
        <w:t>While savings are usually achieved in all of the non-fuel functional categories, the greatest percentages of savings are gained in the Customer Service and the Sales, General, and Administrative areas.</w:t>
      </w:r>
    </w:p>
    <w:p w:rsidR="00AC40FC" w:rsidRPr="004E114A" w:rsidRDefault="00AC40FC" w:rsidP="005E42AC">
      <w:pPr>
        <w:pStyle w:val="Findings"/>
      </w:pPr>
      <w:r w:rsidRPr="004E114A">
        <w:t>The typical sources of most merger synergy cost savings are labor, facilities, supply chain, and information technology.</w:t>
      </w:r>
    </w:p>
    <w:p w:rsidR="00AC40FC" w:rsidRPr="004E114A" w:rsidRDefault="00AC40FC" w:rsidP="004E114A">
      <w:r w:rsidRPr="004E114A">
        <w:t>The Marsh &amp; McLennan Oliver Wyman study has the following estimates of the sources of synergy savings in mergers:</w:t>
      </w:r>
    </w:p>
    <w:p w:rsidR="00AC40FC" w:rsidRPr="004E114A" w:rsidRDefault="00AC40FC" w:rsidP="005E42AC">
      <w:pPr>
        <w:pStyle w:val="Bullet"/>
      </w:pPr>
      <w:r w:rsidRPr="004E114A">
        <w:t>Labor: 50–65%</w:t>
      </w:r>
    </w:p>
    <w:p w:rsidR="00AC40FC" w:rsidRPr="004E114A" w:rsidRDefault="00AC40FC" w:rsidP="005E42AC">
      <w:pPr>
        <w:pStyle w:val="Bullet"/>
      </w:pPr>
      <w:r w:rsidRPr="004E114A">
        <w:t>Facilities: 5–10%</w:t>
      </w:r>
    </w:p>
    <w:p w:rsidR="00AC40FC" w:rsidRPr="004E114A" w:rsidRDefault="00AC40FC" w:rsidP="005E42AC">
      <w:pPr>
        <w:pStyle w:val="Bullet"/>
      </w:pPr>
      <w:r w:rsidRPr="004E114A">
        <w:t>Supply Chain: 5–15%</w:t>
      </w:r>
    </w:p>
    <w:p w:rsidR="00AC40FC" w:rsidRPr="004E114A" w:rsidRDefault="00AC40FC" w:rsidP="005E42AC">
      <w:pPr>
        <w:pStyle w:val="Bullet"/>
      </w:pPr>
      <w:r w:rsidRPr="004E114A">
        <w:t>Information Services: 5–15%</w:t>
      </w:r>
    </w:p>
    <w:p w:rsidR="00AC40FC" w:rsidRPr="004E114A" w:rsidRDefault="00AC40FC" w:rsidP="004E114A">
      <w:pPr>
        <w:spacing w:before="120"/>
      </w:pPr>
      <w:r w:rsidRPr="004E114A">
        <w:t xml:space="preserve">This is generally consistent with the Black &amp; Veatch study which first identified reduction in positions (labor cost savings) followed by reduction in corporate programs, nonfuel purchasing economies (supply chain), avoided or deferred capital expenditures, reductions in financing costs, and best practices implementation and process redesigns (enabling other cost savings). </w:t>
      </w:r>
    </w:p>
    <w:p w:rsidR="00AC40FC" w:rsidRPr="004E114A" w:rsidRDefault="00AC40FC" w:rsidP="005E42AC">
      <w:pPr>
        <w:pStyle w:val="Findings"/>
      </w:pPr>
      <w:r w:rsidRPr="004E114A">
        <w:t>There is a well-established process for identifying and realizing merger synergies.</w:t>
      </w:r>
    </w:p>
    <w:p w:rsidR="00AC40FC" w:rsidRPr="004E114A" w:rsidRDefault="00AC40FC" w:rsidP="004E114A">
      <w:r w:rsidRPr="004E114A">
        <w:t xml:space="preserve">The Boston Consulting Group Utility Mergers &amp; Acquisitions: Beating the Odds paper listed a well-established process for achieving merger synergy cost savings.  The </w:t>
      </w:r>
      <w:r w:rsidRPr="004E114A">
        <w:lastRenderedPageBreak/>
        <w:t xml:space="preserve">Northeast Utilities merger with NSTAR to form Eversource followed a process similar to that process and achieved $1 billion in merger synergy savings.  </w:t>
      </w:r>
    </w:p>
    <w:p w:rsidR="00AC40FC" w:rsidRPr="004E114A" w:rsidRDefault="00AC40FC" w:rsidP="005E42AC">
      <w:pPr>
        <w:pStyle w:val="Findings"/>
      </w:pPr>
      <w:r w:rsidRPr="004E114A">
        <w:t>Electricity rates decline an average of 0.5% after mergers.</w:t>
      </w:r>
    </w:p>
    <w:p w:rsidR="00AC40FC" w:rsidRPr="004E114A" w:rsidRDefault="00AC40FC" w:rsidP="004E114A">
      <w:r w:rsidRPr="004E114A">
        <w:t xml:space="preserve">The Sources of Gains in Corporate Mergers: Refined Tests from a Neglected Industry study found an average reduction in utility rates after mergers of 0.5%. This analysis of electric rates following 56 completed mergers found that there were cost/price reductions after mergers due to economies of scale.  </w:t>
      </w:r>
    </w:p>
    <w:p w:rsidR="00AC40FC" w:rsidRPr="004E114A" w:rsidRDefault="00AC40FC" w:rsidP="005E42AC">
      <w:pPr>
        <w:pStyle w:val="Heading40"/>
      </w:pPr>
      <w:r w:rsidRPr="004E114A">
        <w:t>Merger Case Studies</w:t>
      </w:r>
    </w:p>
    <w:p w:rsidR="00AC40FC" w:rsidRPr="004E114A" w:rsidRDefault="00AC40FC" w:rsidP="005E42AC">
      <w:pPr>
        <w:pStyle w:val="Findings"/>
      </w:pPr>
      <w:r w:rsidRPr="004E114A">
        <w:t>Studies of several mergers reveal that guaranteed customer benefits are common in merger regulatory agreements.</w:t>
      </w:r>
    </w:p>
    <w:p w:rsidR="00AC40FC" w:rsidRPr="004E114A" w:rsidRDefault="00AC40FC" w:rsidP="004E114A">
      <w:r w:rsidRPr="004E114A">
        <w:t>The following are the types of customer benefits identified in the merger case studies:</w:t>
      </w:r>
    </w:p>
    <w:p w:rsidR="00AC40FC" w:rsidRPr="004E114A" w:rsidRDefault="00AC40FC" w:rsidP="005E42AC">
      <w:pPr>
        <w:pStyle w:val="Bullet"/>
      </w:pPr>
      <w:r w:rsidRPr="004E114A">
        <w:t>Rate reductions, credits, and/or freezes</w:t>
      </w:r>
    </w:p>
    <w:p w:rsidR="00AC40FC" w:rsidRPr="004E114A" w:rsidRDefault="00AC40FC" w:rsidP="005E42AC">
      <w:pPr>
        <w:pStyle w:val="Bullet"/>
      </w:pPr>
      <w:r w:rsidRPr="004E114A">
        <w:t>Reliability improvements</w:t>
      </w:r>
    </w:p>
    <w:p w:rsidR="00AC40FC" w:rsidRPr="004E114A" w:rsidRDefault="00AC40FC" w:rsidP="005E42AC">
      <w:pPr>
        <w:pStyle w:val="Bullet"/>
      </w:pPr>
      <w:r w:rsidRPr="004E114A">
        <w:t>Customer service improvements</w:t>
      </w:r>
    </w:p>
    <w:p w:rsidR="00AC40FC" w:rsidRPr="004E114A" w:rsidRDefault="00AC40FC" w:rsidP="005E42AC">
      <w:pPr>
        <w:pStyle w:val="Bullet"/>
      </w:pPr>
      <w:r w:rsidRPr="004E114A">
        <w:t>Safety improvements</w:t>
      </w:r>
    </w:p>
    <w:p w:rsidR="00AC40FC" w:rsidRPr="004E114A" w:rsidRDefault="00AC40FC" w:rsidP="005E42AC">
      <w:pPr>
        <w:pStyle w:val="Bullet"/>
      </w:pPr>
      <w:r w:rsidRPr="004E114A">
        <w:t>Specific capital expenditures excluded from recovery (e.g., storm cost recovery and transmission lines)</w:t>
      </w:r>
    </w:p>
    <w:p w:rsidR="00AC40FC" w:rsidRPr="004E114A" w:rsidRDefault="00AC40FC" w:rsidP="005E42AC">
      <w:pPr>
        <w:pStyle w:val="Bullet"/>
      </w:pPr>
      <w:r w:rsidRPr="004E114A">
        <w:t>Funding for programs:</w:t>
      </w:r>
    </w:p>
    <w:p w:rsidR="00AC40FC" w:rsidRPr="004E114A" w:rsidRDefault="00AC40FC" w:rsidP="005E42AC">
      <w:pPr>
        <w:pStyle w:val="Bullet-indent1"/>
      </w:pPr>
      <w:r w:rsidRPr="004E114A">
        <w:t>Low income customer assistance</w:t>
      </w:r>
    </w:p>
    <w:p w:rsidR="00AC40FC" w:rsidRPr="004E114A" w:rsidRDefault="00AC40FC" w:rsidP="005E42AC">
      <w:pPr>
        <w:pStyle w:val="Bullet-indent1"/>
      </w:pPr>
      <w:r w:rsidRPr="004E114A">
        <w:t>Energy efficiency</w:t>
      </w:r>
    </w:p>
    <w:p w:rsidR="00AC40FC" w:rsidRPr="004E114A" w:rsidRDefault="00AC40FC" w:rsidP="005E42AC">
      <w:pPr>
        <w:pStyle w:val="Bullet-indent1"/>
      </w:pPr>
      <w:r w:rsidRPr="004E114A">
        <w:t>Electric vehicles</w:t>
      </w:r>
    </w:p>
    <w:p w:rsidR="00AC40FC" w:rsidRPr="004E114A" w:rsidRDefault="00AC40FC" w:rsidP="005E42AC">
      <w:pPr>
        <w:pStyle w:val="Bullet-indent1"/>
      </w:pPr>
      <w:r w:rsidRPr="004E114A">
        <w:t>Microgrids</w:t>
      </w:r>
    </w:p>
    <w:p w:rsidR="00AC40FC" w:rsidRPr="004E114A" w:rsidRDefault="00AC40FC" w:rsidP="005E42AC">
      <w:pPr>
        <w:pStyle w:val="Bullet-indent1"/>
      </w:pPr>
      <w:r w:rsidRPr="004E114A">
        <w:t>Renewable energy</w:t>
      </w:r>
    </w:p>
    <w:p w:rsidR="00AC40FC" w:rsidRPr="004E114A" w:rsidRDefault="00AC40FC" w:rsidP="005E42AC">
      <w:pPr>
        <w:pStyle w:val="Bullet-indent1"/>
      </w:pPr>
      <w:r w:rsidRPr="004E114A">
        <w:t>Community support and charitable contributions</w:t>
      </w:r>
    </w:p>
    <w:p w:rsidR="00AC40FC" w:rsidRPr="004E114A" w:rsidRDefault="00AC40FC" w:rsidP="005E42AC">
      <w:pPr>
        <w:pStyle w:val="Bullet-indent1"/>
      </w:pPr>
      <w:r w:rsidRPr="004E114A">
        <w:t>Workforce development</w:t>
      </w:r>
    </w:p>
    <w:p w:rsidR="00AC40FC" w:rsidRPr="004E114A" w:rsidRDefault="00AC40FC" w:rsidP="005E42AC">
      <w:pPr>
        <w:pStyle w:val="Bullet-indent1"/>
      </w:pPr>
      <w:r w:rsidRPr="004E114A">
        <w:t>Customer disaster relief</w:t>
      </w:r>
    </w:p>
    <w:p w:rsidR="00AC40FC" w:rsidRPr="004E114A" w:rsidRDefault="00AC40FC" w:rsidP="005E42AC">
      <w:pPr>
        <w:pStyle w:val="Bullet"/>
      </w:pPr>
      <w:r w:rsidRPr="004E114A">
        <w:t>Maintaining facility presence and employment in the acquired company’s service territory</w:t>
      </w:r>
    </w:p>
    <w:p w:rsidR="00AC40FC" w:rsidRPr="004E114A" w:rsidRDefault="00AC40FC" w:rsidP="005E42AC">
      <w:pPr>
        <w:pStyle w:val="Findings"/>
        <w:spacing w:before="120"/>
      </w:pPr>
      <w:r w:rsidRPr="004E114A">
        <w:t>Significant non-fuel merger synergy cost savings are often identified in utility mergers.</w:t>
      </w:r>
    </w:p>
    <w:p w:rsidR="00AC40FC" w:rsidRPr="004E114A" w:rsidRDefault="00AC40FC" w:rsidP="004E114A">
      <w:pPr>
        <w:spacing w:after="0"/>
      </w:pPr>
      <w:r w:rsidRPr="004E114A">
        <w:t xml:space="preserve">Case studies identified large scale merger cost savings of hundreds of millions of dollars and five to seven percent of non-fuel expenses.  For instance, in the Northeast Utilities and NSTAR merger, net savings of $783.8 million in the first ten years after the merger were projected. The Exelon-Pepco merger is expected to provide net synergies of $250 million over the first five years, with most of the savings derived through a reduction of PHI’s operational and maintenance expenses. In the Duke Energy-Progress Energy merger, substantial non-fuel O&amp;M cost savings are expected to result from the integration of Duke and Progress over the long term. Additional known and potential benefits include economies of scale and scope and the leveraging of best practices, both of which are expected to result in operating efficiencies and </w:t>
      </w:r>
      <w:r w:rsidRPr="004E114A">
        <w:lastRenderedPageBreak/>
        <w:t xml:space="preserve">improvements over time. Similarly, the acquisition of UIL Holdings by Iberdrola USA has resulted in $40 million in ratepayer credits to the existing customers of the UIL Utilities ($20 million to UI, SCG, and CNG) in the first 12 months after the merger closes, plus numerous other customer credits, avoided costs and public benefits. </w:t>
      </w:r>
    </w:p>
    <w:p w:rsidR="00AC40FC" w:rsidRPr="004E114A" w:rsidRDefault="00AC40FC" w:rsidP="005E42AC">
      <w:pPr>
        <w:pStyle w:val="Heading40"/>
      </w:pPr>
      <w:r w:rsidRPr="004E114A">
        <w:t>PPL Corporation Merger with E.ON U.S. LLC</w:t>
      </w:r>
    </w:p>
    <w:p w:rsidR="00AC40FC" w:rsidRPr="004E114A" w:rsidRDefault="00AC40FC" w:rsidP="005E42AC">
      <w:pPr>
        <w:pStyle w:val="Findings"/>
      </w:pPr>
      <w:r w:rsidRPr="004E114A">
        <w:t>The PPL Corporation acquisition of E.ON U.S. LLC did not identify any specific merger savings or customer benefits for PPL EU ratepayers, few merger synergies have been identified, and any savings to PPL EU from the merger have not been tracked.</w:t>
      </w:r>
    </w:p>
    <w:p w:rsidR="00AC40FC" w:rsidRPr="004E114A" w:rsidRDefault="00AC40FC" w:rsidP="004E114A">
      <w:r w:rsidRPr="004E114A">
        <w:t xml:space="preserve">Only the Kentucky ratepayers received customer benefit commitments as a result of the merger.  Pennsylvania, Virginia, and Tennessee ratepayers did not receive customer benefit commitments.  Approval for the merger was not required from Pennsylvania, and, therefore, no Pennsylvania customer benefits were promised.  And, none have been formally tracked by PPL Corporation since acquisition.  </w:t>
      </w:r>
    </w:p>
    <w:p w:rsidR="00AC40FC" w:rsidRPr="004E114A" w:rsidRDefault="00AC40FC" w:rsidP="005E42AC">
      <w:pPr>
        <w:pStyle w:val="Findings"/>
      </w:pPr>
      <w:r w:rsidRPr="004E114A">
        <w:t>The LKE Best Practices reports to the Kentucky Public Service Commission have identified few tangible merger benefits or cost savings.</w:t>
      </w:r>
    </w:p>
    <w:p w:rsidR="00AC40FC" w:rsidRPr="004E114A" w:rsidRDefault="00AC40FC" w:rsidP="004E114A">
      <w:r w:rsidRPr="004E114A">
        <w:t>The following cost savings were reported in the KPSC Best Practices Reports:</w:t>
      </w:r>
    </w:p>
    <w:p w:rsidR="00AC40FC" w:rsidRPr="005E42AC" w:rsidRDefault="00AC40FC" w:rsidP="005E42AC">
      <w:pPr>
        <w:pStyle w:val="Bullet"/>
      </w:pPr>
      <w:r w:rsidRPr="004E114A">
        <w:t>$</w:t>
      </w:r>
      <w:r w:rsidRPr="005E42AC">
        <w:t>130,000 annual savings to LG&amp;E and KU by consolidating their EEI membership with PPL EU.</w:t>
      </w:r>
    </w:p>
    <w:p w:rsidR="00AC40FC" w:rsidRPr="005E42AC" w:rsidRDefault="00AC40FC" w:rsidP="005E42AC">
      <w:pPr>
        <w:pStyle w:val="Bullet"/>
      </w:pPr>
      <w:r w:rsidRPr="005E42AC">
        <w:t>In 2011, the Sourcing Collaboration Program anticipated $3.7 million annual savings to LKE, but there was no report of savings actually achieved.</w:t>
      </w:r>
    </w:p>
    <w:p w:rsidR="00AC40FC" w:rsidRPr="005E42AC" w:rsidRDefault="00AC40FC" w:rsidP="005E42AC">
      <w:pPr>
        <w:pStyle w:val="Bullet"/>
      </w:pPr>
      <w:r w:rsidRPr="005E42AC">
        <w:t>In 2012, the Sourcing Collaboration Program anticipated annual savings were increased to $6 million, but there was no report on savings actually achieved.</w:t>
      </w:r>
    </w:p>
    <w:p w:rsidR="00AC40FC" w:rsidRPr="004E114A" w:rsidRDefault="00AC40FC" w:rsidP="005E42AC">
      <w:pPr>
        <w:pStyle w:val="Bullet"/>
      </w:pPr>
      <w:r w:rsidRPr="005E42AC">
        <w:t>In 2013, annual</w:t>
      </w:r>
      <w:r w:rsidRPr="004E114A">
        <w:t xml:space="preserve"> savings of $1 million for LKE was reported from the Sourcing Collaboration Program.</w:t>
      </w:r>
    </w:p>
    <w:p w:rsidR="00AC40FC" w:rsidRPr="004E114A" w:rsidRDefault="00AC40FC" w:rsidP="004E114A">
      <w:pPr>
        <w:spacing w:before="120"/>
      </w:pPr>
      <w:r w:rsidRPr="004E114A">
        <w:t>No other significant benefits or savings were identified in the reports attributable to LKE.   Although the merger reports created for the KPSC are understandably focused on LKE, and no benefits or savings impacting PPL EU are identified, based on the lack of significant benefits identified which impacted LKE it is reasonable to conclude that few tangible merger benefits or cost savings has been identified which are attributable to PPL EU.</w:t>
      </w:r>
    </w:p>
    <w:p w:rsidR="00AC40FC" w:rsidRPr="004E114A" w:rsidRDefault="00AC40FC" w:rsidP="005E42AC">
      <w:pPr>
        <w:pStyle w:val="Findings"/>
      </w:pPr>
      <w:r w:rsidRPr="004E114A">
        <w:t>Most synergy work between the Pennsylvania and Kentucky operations has been informal and there have been no tangible merger synergies realized from the PPL EU perspective.</w:t>
      </w:r>
    </w:p>
    <w:p w:rsidR="00AC40FC" w:rsidRPr="004E114A" w:rsidRDefault="00AC40FC" w:rsidP="004E114A">
      <w:r w:rsidRPr="004E114A">
        <w:t>With the exception of a recent formal synergy initiative in IT, all of the merger synergy work to date has been informal and largely relies on personal relationships between counterpart executives in Pennsylvania and Kentucky.  This has not resulted in significant synergy savings but has produced some positive results.  As listed above, there are a number of anecdotal merger synergy opportunities that have been identified by the informal cooperation and communication between PPL Corporation Pennsylvania and Kentucky subsidiaries.  These anecdotes indicate the potential for achieving merger synergies.  However, there have been no PPL EU cost savings identified.</w:t>
      </w:r>
    </w:p>
    <w:p w:rsidR="00AC40FC" w:rsidRPr="004E114A" w:rsidRDefault="00AC40FC" w:rsidP="005E42AC">
      <w:pPr>
        <w:pStyle w:val="Findings"/>
      </w:pPr>
      <w:r w:rsidRPr="004E114A">
        <w:lastRenderedPageBreak/>
        <w:t>The current synergy initiative being led by the CIO illustrates the greater potential for achieving synergy savings with consolidated functional leadership.</w:t>
      </w:r>
    </w:p>
    <w:p w:rsidR="00AC40FC" w:rsidRPr="004E114A" w:rsidRDefault="00AC40FC" w:rsidP="004E114A">
      <w:r w:rsidRPr="004E114A">
        <w:t>The IT function is unique in that</w:t>
      </w:r>
      <w:r>
        <w:t>, since November 2015,</w:t>
      </w:r>
      <w:r w:rsidRPr="004E114A">
        <w:t xml:space="preserve"> it has a single leader for both Pennsylvania and Kentucky IT operations.  This facilitates the standardization of IT functions, processes, systems, and hardware.  Some of the synergy improvements identified include establishing a common IT help desk with a common IT ticketing system, a project management office, a common project management process, and a common electric facilities database.  Other improvements include spend reduction by consolidating contracts, consolidating telephony, common SharePoint system utilization, a common records repository, and wider use of mobile platforms.  Synergies that can be achieved within the consolidated IT organization can be approved by the CIO and implemented aggressively.</w:t>
      </w:r>
      <w:r w:rsidRPr="004E114A">
        <w:rPr>
          <w:rFonts w:cs="Arial"/>
          <w:szCs w:val="24"/>
          <w:vertAlign w:val="superscript"/>
        </w:rPr>
        <w:t xml:space="preserve"> </w:t>
      </w:r>
    </w:p>
    <w:p w:rsidR="00AC40FC" w:rsidRPr="004E114A" w:rsidRDefault="00AC40FC" w:rsidP="004E114A">
      <w:r w:rsidRPr="004E114A">
        <w:t xml:space="preserve">However, consolidated leadership does not extend to any other utility or shared services function other than Compliance.  The CIO has two or more (if PPL EUS is involved) clients for every utility or shared services function, including transmission, distribution, and customer services.  To achieve IT applications synergies in these other areas, the IT department must forge a consensus between the Pennsylvania and Kentucky heads of those functions.  This impedes or prevents synergy initiatives on common IT applications for each utility and shared service function.  </w:t>
      </w:r>
    </w:p>
    <w:p w:rsidR="00AC40FC" w:rsidRPr="004E114A" w:rsidRDefault="00AC40FC" w:rsidP="004E114A">
      <w:r w:rsidRPr="004E114A">
        <w:t>IT has a consolidated leadership team, but it does not have consolidated governance.  The CIO reports directly to the LKE SC CFO and indirectly to the PPL EU President.  There is no unity of governance of IT.  There is no way to drive action if consensus cannot be reached.</w:t>
      </w:r>
    </w:p>
    <w:p w:rsidR="00AC40FC" w:rsidRPr="004E114A" w:rsidRDefault="00AC40FC" w:rsidP="005E42AC">
      <w:pPr>
        <w:pStyle w:val="Findings"/>
      </w:pPr>
      <w:r w:rsidRPr="004E114A">
        <w:t>Not having consolidated functional management impedes the realization of synergies between Pennsylvania and Kentucky utility and shared services functions.</w:t>
      </w:r>
    </w:p>
    <w:p w:rsidR="00AC40FC" w:rsidRPr="004E114A" w:rsidRDefault="00AC40FC" w:rsidP="004E114A">
      <w:r w:rsidRPr="004E114A">
        <w:t xml:space="preserve">LKE SC has a common head for each LG&amp;E and KU function, including transmission, distribution, customer services, and each support service.  This common management facilitated the identification and capture of synergies between LG&amp;E and KU prior to their acquisition by PPL Corporation. </w:t>
      </w:r>
    </w:p>
    <w:p w:rsidR="00AC40FC" w:rsidRPr="004E114A" w:rsidRDefault="00AC40FC" w:rsidP="004E114A">
      <w:r w:rsidRPr="004E114A">
        <w:t xml:space="preserve">However, the new Global Compliance Officer position is the only example of PPL Corporation level functional responsibility and authority.  The new Global Compliance Officer has no staff but reports to the PPL Corporation CEO and clearly has responsibility and authority for all compliance functions enterprise-wide.  The individuals responsible for compliance in each of the PPL Corporation entities understand that they must follow the PPL Corporation compliance policies, protocols, processes, and systems promulgated by the Global Compliance Officer.  If there are synergies available in the compliance function, the Global Compliance Officer can see that they are identified and achieved.  </w:t>
      </w:r>
    </w:p>
    <w:p w:rsidR="00AC40FC" w:rsidRPr="004E114A" w:rsidRDefault="00AC40FC" w:rsidP="004E114A">
      <w:r w:rsidRPr="004E114A">
        <w:t xml:space="preserve">No other utility or shared services functions have the PPL Corporation level of consolidated management.  The CIO has consolidated management for the IT function but it is governed by both LKE SC and PPL EU.  </w:t>
      </w:r>
    </w:p>
    <w:p w:rsidR="00AC40FC" w:rsidRPr="004E114A" w:rsidRDefault="00AC40FC" w:rsidP="004E114A">
      <w:r w:rsidRPr="004E114A">
        <w:lastRenderedPageBreak/>
        <w:t xml:space="preserve">Consolidated functional leadership provides concentration of expertise and enables the achievement of economies of scale.  Consolidated functional leadership would also facilitate the identification and realization of synergies in each utility and shared services function as well.  After proper analysis, a consolidated functional executive could standardize on best practice organization structure, workforce practices, IT systems, materials, policies, and procedures resulting in synergy cost savings and other benefits.   </w:t>
      </w:r>
    </w:p>
    <w:p w:rsidR="00AC40FC" w:rsidRPr="004E114A" w:rsidRDefault="00AC40FC" w:rsidP="005E42AC">
      <w:pPr>
        <w:pStyle w:val="Findings"/>
      </w:pPr>
      <w:r w:rsidRPr="004E114A">
        <w:t>There are likely significant synergies available between the PPL Corporation Pennsylvania and Kentucky operations that could benefit PPL EU.</w:t>
      </w:r>
    </w:p>
    <w:p w:rsidR="00AC40FC" w:rsidRPr="004E114A" w:rsidRDefault="00AC40FC" w:rsidP="005E42AC">
      <w:r w:rsidRPr="004E114A">
        <w:t>The only current formal program focusing on merger synergies is in Information Technology.  It is likely that most other areas could identify and achieve significant merger synergies as well, including Transmission and Substations; Distribution Operations; Customer Services; Finance, Accounting, and Audit; and Support Services.</w:t>
      </w:r>
    </w:p>
    <w:p w:rsidR="00AC40FC" w:rsidRPr="004E114A" w:rsidRDefault="00AC40FC" w:rsidP="005E42AC">
      <w:r w:rsidRPr="004E114A">
        <w:t>The merger synergy research and merger case studies suggest that significant merger cost savings are available in: labor, facilities, supply chain, and information technology.</w:t>
      </w:r>
    </w:p>
    <w:p w:rsidR="00AC40FC" w:rsidRPr="004E114A" w:rsidRDefault="00AC40FC" w:rsidP="005E42AC">
      <w:r w:rsidRPr="004E114A">
        <w:t xml:space="preserve">Considering the merger synergy research and case studies, synergy savings in the range of 8% to 12% of nonfuel O&amp;M should be reasonably achievable.  </w:t>
      </w:r>
      <w:r>
        <w:t xml:space="preserve">PPL EU has already realized some of these possible savings as a result of various initiatives since the 2010 merger with LKE.  For example, the 2011 Supply Chain Sourcing Collaboration Program, mentioned previously in this chapter, has resulted in over $40 million in savings for PPL EU.  However, V&amp;A team believes, based on the various opportunities identified in this chapter, that substantial merger cost savings are still achievable through a focused merger synergy initiative. </w:t>
      </w:r>
    </w:p>
    <w:p w:rsidR="00AC40FC" w:rsidRPr="004E114A" w:rsidRDefault="00AC40FC" w:rsidP="005E42AC">
      <w:pPr>
        <w:pStyle w:val="Findings"/>
      </w:pPr>
      <w:r w:rsidRPr="004E114A">
        <w:t>Regulatory merger conditions constrain but do not prevent merger synergy initiatives to achieve cost savings or other benefits.</w:t>
      </w:r>
    </w:p>
    <w:p w:rsidR="00AC40FC" w:rsidRPr="004E114A" w:rsidRDefault="00AC40FC" w:rsidP="004E114A">
      <w:r w:rsidRPr="004E114A">
        <w:t>The V&amp;A team reviewed the merger conditions imposed on PPL Corporation by state regulatory commissions to determine if the conditions prevent merger synergy initiatives to achieve cost savings or other benefits.</w:t>
      </w:r>
    </w:p>
    <w:p w:rsidR="00AC40FC" w:rsidRPr="004E114A" w:rsidRDefault="00AC40FC" w:rsidP="004E114A">
      <w:r w:rsidRPr="004E114A">
        <w:t>The PPL Corporation acquisition of LKE was reviewed and approved by three state regulatory agencies: the Kentucky Public Service Commission (KPSC), the Virginia State Corporation Commission (VSCC), and the Tennessee Regulatory Authority (TRA).  (Approval for the merger was not required from Pennsylvania).  There were merger conditions imposed by the KPSC and VSCC but the TRA did not impose any conditions on the acquisition.  Also, there were no merger conditions imposed for PPL Corporation’s acquisition of the United Kingdom companies.  The merger conditions imposed by Kentucky and Virginia are discussed below.</w:t>
      </w:r>
    </w:p>
    <w:p w:rsidR="00AC40FC" w:rsidRPr="004E114A" w:rsidRDefault="00AC40FC" w:rsidP="004E114A">
      <w:r w:rsidRPr="004E114A">
        <w:rPr>
          <w:b/>
        </w:rPr>
        <w:t xml:space="preserve">Kentucky Public Service Commission Conditions.  </w:t>
      </w:r>
      <w:r w:rsidRPr="004E114A">
        <w:t>The KPSC merger conditions relevant to synergies and staffing are found in Appendices A and C of the September 30, 2010 Order in Case No. 2010-00204.  Some example conditions relevant to achieving merger synergies include:</w:t>
      </w:r>
    </w:p>
    <w:p w:rsidR="00AC40FC" w:rsidRPr="004E114A" w:rsidRDefault="00AC40FC" w:rsidP="005E42AC">
      <w:pPr>
        <w:pStyle w:val="Bullet"/>
      </w:pPr>
      <w:r w:rsidRPr="004E114A">
        <w:t>PPL, PPL Kentucky, and LG&amp;E committed that there will be no reductions to the unionized workforce of LG&amp;E as a result of the change of control transaction.</w:t>
      </w:r>
    </w:p>
    <w:p w:rsidR="00AC40FC" w:rsidRPr="004E114A" w:rsidRDefault="00AC40FC" w:rsidP="005E42AC">
      <w:pPr>
        <w:pStyle w:val="Bullet"/>
        <w:rPr>
          <w:rFonts w:eastAsia="Calibri"/>
        </w:rPr>
      </w:pPr>
      <w:r w:rsidRPr="004E114A">
        <w:rPr>
          <w:rFonts w:eastAsia="Calibri"/>
        </w:rPr>
        <w:lastRenderedPageBreak/>
        <w:t>PPL, E.ON US, LG&amp;E and KU committed that the corporate officers of E.ON US, LG&amp;E, and KU will maintain their current titles and responsibilities as officers unless and until otherwise determined by either of their respective Boards of Directors.  PPL, E.ON US, LG&amp;E and KU will maintain the highest level of management experience within E.ON US, LG&amp;E, and KU, and will provide an opportunity to broaden that experience by exchanging positions with other managers in PPL's organization.</w:t>
      </w:r>
    </w:p>
    <w:p w:rsidR="00AC40FC" w:rsidRPr="004E114A" w:rsidRDefault="00AC40FC" w:rsidP="005E42AC">
      <w:pPr>
        <w:pStyle w:val="Bullet"/>
        <w:rPr>
          <w:rFonts w:eastAsia="Calibri"/>
        </w:rPr>
      </w:pPr>
      <w:r w:rsidRPr="004E114A">
        <w:rPr>
          <w:rFonts w:eastAsia="Calibri"/>
        </w:rPr>
        <w:t>PPL committed to taking an active and ongoing role in managing and operating LG&amp;E and KU in the interests of customers, employees, and the Commonwealth of Kentucky, and to take the lead in enhancing LG&amp;E's and KU's relationship with the Commission, with state and local government, and with other community interests, including, but not limited to, meetings between PPL's chief executive and the Commission at least twice a year.</w:t>
      </w:r>
    </w:p>
    <w:p w:rsidR="00AC40FC" w:rsidRPr="004E114A" w:rsidRDefault="00AC40FC" w:rsidP="005E42AC">
      <w:pPr>
        <w:pStyle w:val="Bullet"/>
        <w:rPr>
          <w:rFonts w:eastAsia="Calibri"/>
        </w:rPr>
      </w:pPr>
      <w:r w:rsidRPr="004E114A">
        <w:rPr>
          <w:rFonts w:eastAsia="Calibri"/>
        </w:rPr>
        <w:t>PPL committed that no planned workforce reductions in E.ON US's, LG&amp;E's, or KU's employees will be made as a result of the acquisition.</w:t>
      </w:r>
    </w:p>
    <w:p w:rsidR="00AC40FC" w:rsidRPr="004E114A" w:rsidRDefault="00AC40FC" w:rsidP="005E42AC">
      <w:pPr>
        <w:pStyle w:val="Bullet"/>
        <w:rPr>
          <w:rFonts w:eastAsia="Calibri"/>
        </w:rPr>
      </w:pPr>
      <w:r w:rsidRPr="004E114A">
        <w:rPr>
          <w:rFonts w:eastAsia="Calibri"/>
        </w:rPr>
        <w:t>When implementing best practices, PPL, E.ON US, LG&amp;E, and KU committed to taking into full consideration the related impacts on the levels of customer service and customer satisfaction, including any negative impacts resulting from workforce reductions.</w:t>
      </w:r>
    </w:p>
    <w:p w:rsidR="00AC40FC" w:rsidRPr="004E114A" w:rsidRDefault="00AC40FC" w:rsidP="005E42AC">
      <w:pPr>
        <w:pStyle w:val="Bullet"/>
        <w:rPr>
          <w:rFonts w:eastAsia="Calibri"/>
        </w:rPr>
      </w:pPr>
      <w:r w:rsidRPr="004E114A">
        <w:rPr>
          <w:rFonts w:eastAsia="Calibri"/>
        </w:rPr>
        <w:t xml:space="preserve">PPL, E.ON US, LG&amp;E, and KU committed that LG&amp;E and KU shall continue to operate through regional offices with local service personnel and field crews. </w:t>
      </w:r>
    </w:p>
    <w:p w:rsidR="00AC40FC" w:rsidRPr="004E114A" w:rsidRDefault="00AC40FC" w:rsidP="005E42AC">
      <w:pPr>
        <w:pStyle w:val="Bullet"/>
        <w:rPr>
          <w:rFonts w:eastAsia="Calibri"/>
        </w:rPr>
      </w:pPr>
      <w:r w:rsidRPr="004E114A">
        <w:rPr>
          <w:rFonts w:eastAsia="Calibri"/>
        </w:rPr>
        <w:t>PPL, E.ON US, LG&amp;E and KU committed to maintaining the respective headquarters of each of E.ON US, LG&amp;E and KU in Kentucky for a period of 15 years following the closing of the acquisition.  KU's headquarters will be maintained in downtown Lexington, Kentucky; and E.ON US's and LG&amp;E's headquarters will be maintained in downtown Louisville, Kentucky.</w:t>
      </w:r>
    </w:p>
    <w:p w:rsidR="00AC40FC" w:rsidRPr="004E114A" w:rsidRDefault="00AC40FC" w:rsidP="005E42AC">
      <w:pPr>
        <w:pStyle w:val="Bullet"/>
        <w:rPr>
          <w:rFonts w:eastAsia="Calibri"/>
        </w:rPr>
      </w:pPr>
      <w:r w:rsidRPr="004E114A">
        <w:rPr>
          <w:rFonts w:eastAsia="Calibri"/>
        </w:rPr>
        <w:t>As part of their commitment to maintaining the corporate headquarters of E.ON US in downtown Louisville, Kentucky, PPL and E.ON US committed that this corporate headquarters will include the corporate management personnel of E.ON US.  Further, PPL and E.ON US committed that the CEO and subordinate officers of E.ON US reside in Kentucky, including the Louisville metropolitan area. This commitment will remain in effect for a period of 15 years following the closing of the acquisition.</w:t>
      </w:r>
    </w:p>
    <w:p w:rsidR="00AC40FC" w:rsidRPr="004E114A" w:rsidRDefault="00AC40FC" w:rsidP="005E42AC">
      <w:pPr>
        <w:pStyle w:val="Bullet"/>
      </w:pPr>
      <w:r w:rsidRPr="004E114A">
        <w:rPr>
          <w:rFonts w:eastAsia="Calibri"/>
        </w:rPr>
        <w:t>PPL, E.ON US, LG&amp;E, and KU committed that the level of staff at KU's headquarters in downtown Lexington, Kentucky will not be reduced greater than five percent from the current level without prior notice to the Commission and an opportunity for the Commission to investigate the impact of that the proposed staff reduction on KU's provision of service.</w:t>
      </w:r>
    </w:p>
    <w:p w:rsidR="00AC40FC" w:rsidRPr="004E114A" w:rsidRDefault="00AC40FC" w:rsidP="004E114A">
      <w:r w:rsidRPr="004E114A">
        <w:rPr>
          <w:b/>
        </w:rPr>
        <w:t xml:space="preserve">Virginia State Corporation Commission Conditions.  </w:t>
      </w:r>
      <w:r w:rsidRPr="004E114A">
        <w:t xml:space="preserve">The October 19, 2010 Final Order of the VSCC in Case No. PUE-2010-00060 contained 21 orders.  However, none of them are directly relevant to synergies or staffing.  The orders required that the distribution system be operated at or above the current levels of service quality and that the company continues to provide customers with an acceptable level of service quality and reliability consistent with nationally recognized standards acceptable to the </w:t>
      </w:r>
      <w:r w:rsidRPr="004E114A">
        <w:lastRenderedPageBreak/>
        <w:t>Commission.  However, the Final Order has no requirements on staffing, headquarters locations, service centers, or local customer service office locations.</w:t>
      </w:r>
    </w:p>
    <w:p w:rsidR="00AC40FC" w:rsidRPr="004E114A" w:rsidRDefault="00AC40FC" w:rsidP="004E114A">
      <w:r w:rsidRPr="004E114A">
        <w:t>While the regulatory merger approval conditions place restrictions on the merger synergy initiatives, they do not prevent them.  PPL Corporation must only assure that it complies with all if its commitments as synergies are identified and realized.</w:t>
      </w:r>
    </w:p>
    <w:p w:rsidR="00AC40FC" w:rsidRPr="004E114A" w:rsidRDefault="00AC40FC" w:rsidP="004F00E5">
      <w:pPr>
        <w:pStyle w:val="Heading2"/>
        <w:numPr>
          <w:ilvl w:val="0"/>
          <w:numId w:val="115"/>
        </w:numPr>
      </w:pPr>
      <w:bookmarkStart w:id="461" w:name="_Toc462647930"/>
      <w:bookmarkStart w:id="462" w:name="_Toc464552169"/>
      <w:r w:rsidRPr="004E114A">
        <w:t>Recommendations</w:t>
      </w:r>
      <w:bookmarkEnd w:id="461"/>
      <w:bookmarkEnd w:id="462"/>
    </w:p>
    <w:p w:rsidR="00AC40FC" w:rsidRPr="004E114A" w:rsidRDefault="00AC40FC" w:rsidP="004F00E5">
      <w:pPr>
        <w:pStyle w:val="Findings"/>
        <w:numPr>
          <w:ilvl w:val="0"/>
          <w:numId w:val="148"/>
        </w:numPr>
      </w:pPr>
      <w:r w:rsidRPr="004E114A">
        <w:t>Appoint PPL Corporation level executives responsible enterprise-wide for each utility and support service, including transmission, distribution, and customer services. (See Finding 11)</w:t>
      </w:r>
    </w:p>
    <w:p w:rsidR="00AC40FC" w:rsidRPr="004E114A" w:rsidRDefault="00AC40FC" w:rsidP="004E114A">
      <w:r w:rsidRPr="004E114A">
        <w:t xml:space="preserve">Consistent with the recommendation in Chapter IV, Affiliate Relationships, make the PPL SC functional executives responsible for their functions in all of PPL Corporation.  Further, PPL Corporation level executives should be appointed for Transmission, Distribution, and Customer Services to oversee the identification and capture of synergies among PPL Corporation’s utility operating companies. </w:t>
      </w:r>
    </w:p>
    <w:p w:rsidR="00AC40FC" w:rsidRPr="004E114A" w:rsidRDefault="00AC40FC" w:rsidP="004E114A">
      <w:r w:rsidRPr="004E114A">
        <w:t>Having a single executive responsible for each utility and support service function will facilitate the identification and capture of synergies available within each function.  These executives should report to the PPL Corporation CEO or a Chief Operating Officer or a Chief Administrative Officer who reports to the PPL Corporation CEO.  The bulk of the employees in each function can remain deployed to serve individual utility operating companies as they are now.</w:t>
      </w:r>
    </w:p>
    <w:p w:rsidR="00AC40FC" w:rsidRPr="004E114A" w:rsidRDefault="00AC40FC" w:rsidP="004E114A">
      <w:r w:rsidRPr="004E114A">
        <w:t>The PPL Corporation level functional executives may be a single position like the Global Compliance Officer or they may have consolidated staffs like the CIO.</w:t>
      </w:r>
    </w:p>
    <w:p w:rsidR="00AC40FC" w:rsidRPr="004E114A" w:rsidRDefault="00AC40FC" w:rsidP="005E42AC">
      <w:pPr>
        <w:pStyle w:val="Findings"/>
      </w:pPr>
      <w:r w:rsidRPr="004E114A">
        <w:t>Charter a robust merger synergy initiative as constrained by the regulatory merger conditions and follow a well-established process to achieve merger synergies.  (See Findings 1–10 and 12–14)</w:t>
      </w:r>
    </w:p>
    <w:p w:rsidR="00AC40FC" w:rsidRPr="004E114A" w:rsidRDefault="00AC40FC" w:rsidP="004E114A">
      <w:pPr>
        <w:spacing w:before="120"/>
      </w:pPr>
      <w:r w:rsidRPr="004E114A">
        <w:t>The PPL Corporation CEO should charter a merger synergy initiative with a steering committee of his senior leadership team.  There should be a senior executive assigned to lead the overall merger integration process and each PPL Corporation functional executive should be made responsible for identifying and achieving merger synergies in their respective utility or shared services function while complying with all regulatory and legal constraints.</w:t>
      </w:r>
    </w:p>
    <w:p w:rsidR="00AC40FC" w:rsidRPr="004E114A" w:rsidRDefault="00AC40FC" w:rsidP="004E114A">
      <w:pPr>
        <w:spacing w:before="120"/>
      </w:pPr>
      <w:r w:rsidRPr="004E114A">
        <w:t xml:space="preserve">The Boston Consulting Group Utility Mergers &amp; Acquisitions: Beating the Odds process to achieve merger synergies can be modified to fit the PPL Corporation. Although PPL Corporation did not initiate an aggressive merger synergy initiative at the point of the Kentucky merger this process will still be relevant to such an initiative: </w:t>
      </w:r>
    </w:p>
    <w:p w:rsidR="00AC40FC" w:rsidRPr="005E42AC" w:rsidRDefault="00AC40FC" w:rsidP="004F00E5">
      <w:pPr>
        <w:pStyle w:val="Numbering"/>
        <w:numPr>
          <w:ilvl w:val="0"/>
          <w:numId w:val="149"/>
        </w:numPr>
        <w:ind w:left="720"/>
      </w:pPr>
      <w:r w:rsidRPr="005E42AC">
        <w:t>Establish a compelling strategic logic and rationale for achieving merger synergies by integrating the Pennsylvania and Kentucky utility and shared services functions.</w:t>
      </w:r>
    </w:p>
    <w:p w:rsidR="00AC40FC" w:rsidRPr="004E114A" w:rsidRDefault="00AC40FC" w:rsidP="004966B1">
      <w:pPr>
        <w:pStyle w:val="Numbering"/>
        <w:ind w:left="720"/>
      </w:pPr>
      <w:r w:rsidRPr="005E42AC">
        <w:t>Integrate</w:t>
      </w:r>
      <w:r w:rsidRPr="004E114A">
        <w:t xml:space="preserve"> aggressively, including:</w:t>
      </w:r>
    </w:p>
    <w:p w:rsidR="00AC40FC" w:rsidRPr="004E114A" w:rsidRDefault="00AC40FC" w:rsidP="005E42AC">
      <w:pPr>
        <w:pStyle w:val="Bullet"/>
        <w:ind w:left="1080"/>
      </w:pPr>
      <w:r w:rsidRPr="004E114A">
        <w:t>Announce the executive team’s organization early on</w:t>
      </w:r>
      <w:r>
        <w:t xml:space="preserve"> in the integration process</w:t>
      </w:r>
      <w:r w:rsidRPr="004E114A">
        <w:t>.</w:t>
      </w:r>
    </w:p>
    <w:p w:rsidR="00AC40FC" w:rsidRPr="004E114A" w:rsidRDefault="00AC40FC" w:rsidP="005E42AC">
      <w:pPr>
        <w:pStyle w:val="Bullet"/>
        <w:ind w:left="1080"/>
      </w:pPr>
      <w:r w:rsidRPr="004E114A">
        <w:lastRenderedPageBreak/>
        <w:t>Make top-down decisions on the approach to integration by business and function.</w:t>
      </w:r>
    </w:p>
    <w:p w:rsidR="00AC40FC" w:rsidRPr="004E114A" w:rsidRDefault="00AC40FC" w:rsidP="005E42AC">
      <w:pPr>
        <w:pStyle w:val="Bullet"/>
        <w:ind w:left="1080"/>
      </w:pPr>
      <w:r w:rsidRPr="004E114A">
        <w:t>Set clear guidelines and expectations for the integration.</w:t>
      </w:r>
    </w:p>
    <w:p w:rsidR="00AC40FC" w:rsidRPr="004E114A" w:rsidRDefault="00AC40FC" w:rsidP="005E42AC">
      <w:pPr>
        <w:pStyle w:val="Bullet"/>
        <w:ind w:left="1080"/>
      </w:pPr>
      <w:r w:rsidRPr="004E114A">
        <w:t>Systematically address legal and organizational bottlenecks to progress.</w:t>
      </w:r>
    </w:p>
    <w:p w:rsidR="00AC40FC" w:rsidRPr="004E114A" w:rsidRDefault="00AC40FC" w:rsidP="004966B1">
      <w:pPr>
        <w:pStyle w:val="Numbering"/>
        <w:ind w:left="720"/>
      </w:pPr>
      <w:r w:rsidRPr="004E114A">
        <w:t>Utilize a top-down approach to design realistic but ambitious economic targets, including:</w:t>
      </w:r>
    </w:p>
    <w:p w:rsidR="00AC40FC" w:rsidRPr="004E114A" w:rsidRDefault="00AC40FC" w:rsidP="005E42AC">
      <w:pPr>
        <w:pStyle w:val="Bullet"/>
        <w:ind w:left="1080"/>
      </w:pPr>
      <w:r w:rsidRPr="004E114A">
        <w:t>Construct the top five to ten synergy initiatives to capture value and translate them into specific road maps with milestones and accountabilities.</w:t>
      </w:r>
    </w:p>
    <w:p w:rsidR="00AC40FC" w:rsidRPr="004E114A" w:rsidRDefault="00AC40FC" w:rsidP="005E42AC">
      <w:pPr>
        <w:pStyle w:val="Bullet"/>
        <w:ind w:left="1080"/>
      </w:pPr>
      <w:r w:rsidRPr="004E114A">
        <w:t>Identify the links between synergy outcomes and organizational decisions early on, and manage those decisions from the top.</w:t>
      </w:r>
    </w:p>
    <w:p w:rsidR="00AC40FC" w:rsidRPr="004E114A" w:rsidRDefault="00AC40FC" w:rsidP="005E42AC">
      <w:pPr>
        <w:pStyle w:val="Bullet"/>
        <w:ind w:left="1080"/>
      </w:pPr>
      <w:r w:rsidRPr="004E114A">
        <w:t>Control the human resources policies related to the merger.</w:t>
      </w:r>
    </w:p>
    <w:p w:rsidR="00AC40FC" w:rsidRPr="004E114A" w:rsidRDefault="00AC40FC" w:rsidP="005E42AC">
      <w:pPr>
        <w:pStyle w:val="Bullet"/>
        <w:ind w:left="1080"/>
      </w:pPr>
      <w:r w:rsidRPr="004E114A">
        <w:t>Exploit the merger to create opportunities for significant reductions in the acquirer’s cost base, in addition to the acquiree’s cost base.</w:t>
      </w:r>
    </w:p>
    <w:p w:rsidR="00AC40FC" w:rsidRPr="004E114A" w:rsidRDefault="00AC40FC" w:rsidP="005E42AC">
      <w:pPr>
        <w:pStyle w:val="Bullet"/>
        <w:ind w:left="1080"/>
      </w:pPr>
      <w:r w:rsidRPr="004E114A">
        <w:t>Avoid the tendency to declare victory too soon.</w:t>
      </w:r>
    </w:p>
    <w:p w:rsidR="00AC40FC" w:rsidRDefault="00AC40FC" w:rsidP="004E114A"/>
    <w:p w:rsidR="00AC40FC" w:rsidRDefault="00AC40FC" w:rsidP="004E114A">
      <w:pPr>
        <w:sectPr w:rsidR="00AC40FC" w:rsidSect="00A51C66">
          <w:footerReference w:type="default" r:id="rId91"/>
          <w:pgSz w:w="12240" w:h="15840"/>
          <w:pgMar w:top="1440" w:right="1440" w:bottom="1440" w:left="1440" w:header="720" w:footer="576" w:gutter="0"/>
          <w:cols w:space="720"/>
          <w:docGrid w:linePitch="360"/>
        </w:sectPr>
      </w:pPr>
    </w:p>
    <w:p w:rsidR="00AC40FC" w:rsidRPr="00332771" w:rsidRDefault="00AC40FC" w:rsidP="000E2E67">
      <w:pPr>
        <w:pStyle w:val="Heading7"/>
      </w:pPr>
      <w:bookmarkStart w:id="463" w:name="_Toc461088611"/>
      <w:bookmarkStart w:id="464" w:name="_Toc464486122"/>
      <w:r w:rsidRPr="000E2E67">
        <w:lastRenderedPageBreak/>
        <w:t>appendices</w:t>
      </w:r>
      <w:bookmarkEnd w:id="463"/>
      <w:bookmarkEnd w:id="464"/>
    </w:p>
    <w:p w:rsidR="00AC40FC" w:rsidRPr="00A51C66" w:rsidRDefault="00AC40FC" w:rsidP="004F0E41">
      <w:pPr>
        <w:pStyle w:val="Heading6"/>
      </w:pPr>
      <w:r>
        <w:t xml:space="preserve"> </w:t>
      </w:r>
      <w:bookmarkStart w:id="465" w:name="_Toc461088612"/>
      <w:bookmarkStart w:id="466" w:name="_Toc464486123"/>
      <w:r w:rsidRPr="00A51C66">
        <w:t xml:space="preserve">ppl electric </w:t>
      </w:r>
      <w:r>
        <w:t>UTILITIES CORPORATION</w:t>
      </w:r>
      <w:r w:rsidRPr="00A51C66">
        <w:t xml:space="preserve"> operating revenues and expenses</w:t>
      </w:r>
      <w:bookmarkEnd w:id="465"/>
      <w:bookmarkEnd w:id="466"/>
    </w:p>
    <w:p w:rsidR="00AC40FC" w:rsidRDefault="00AC40FC" w:rsidP="00B052DB">
      <w:pPr>
        <w:pStyle w:val="Heading30"/>
        <w:jc w:val="center"/>
      </w:pPr>
      <w:r>
        <w:t>2010–2014 Annual Data and Compound Growth Rate</w:t>
      </w:r>
    </w:p>
    <w:p w:rsidR="00AC40FC" w:rsidRPr="00332771" w:rsidRDefault="00AC40FC" w:rsidP="005E47C4">
      <w:pPr>
        <w:pStyle w:val="Caption"/>
        <w:rPr>
          <w:rFonts w:cs="Arial"/>
          <w:b w:val="0"/>
        </w:rPr>
      </w:pPr>
      <w:bookmarkStart w:id="467" w:name="_Toc462648517"/>
      <w:bookmarkStart w:id="468" w:name="_Toc464553139"/>
      <w:r>
        <w:t xml:space="preserve">Exhibit </w:t>
      </w:r>
      <w:fldSimple w:instr=" STYLEREF 6 \s ">
        <w:r w:rsidR="00A24205">
          <w:rPr>
            <w:noProof/>
          </w:rPr>
          <w:t>A</w:t>
        </w:r>
      </w:fldSimple>
      <w:r>
        <w:noBreakHyphen/>
      </w:r>
      <w:fldSimple w:instr=" SEQ Exhibit_Apx \* ARABIC \s 6 ">
        <w:r w:rsidR="00A24205">
          <w:rPr>
            <w:noProof/>
          </w:rPr>
          <w:t>1</w:t>
        </w:r>
      </w:fldSimple>
      <w:r>
        <w:br/>
        <w:t>Operating Revenues</w:t>
      </w:r>
      <w:bookmarkEnd w:id="467"/>
      <w:bookmarkEnd w:id="468"/>
    </w:p>
    <w:tbl>
      <w:tblPr>
        <w:tblW w:w="1457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4966"/>
        <w:gridCol w:w="1627"/>
        <w:gridCol w:w="1886"/>
        <w:gridCol w:w="1579"/>
        <w:gridCol w:w="1579"/>
        <w:gridCol w:w="1627"/>
        <w:gridCol w:w="1309"/>
      </w:tblGrid>
      <w:tr w:rsidR="00AC40FC" w:rsidRPr="00332771" w:rsidTr="00A51C66">
        <w:trPr>
          <w:trHeight w:hRule="exact" w:val="497"/>
          <w:jc w:val="center"/>
        </w:trPr>
        <w:tc>
          <w:tcPr>
            <w:tcW w:w="4966" w:type="dxa"/>
            <w:shd w:val="clear" w:color="auto" w:fill="A5CD7E"/>
          </w:tcPr>
          <w:p w:rsidR="00AC40FC" w:rsidRPr="00332771" w:rsidRDefault="00AC40FC" w:rsidP="00A51C66">
            <w:pPr>
              <w:widowControl w:val="0"/>
              <w:spacing w:before="122" w:after="0"/>
              <w:ind w:left="28"/>
              <w:rPr>
                <w:rFonts w:eastAsia="Arial" w:cs="Arial"/>
                <w:b/>
                <w:sz w:val="20"/>
              </w:rPr>
            </w:pPr>
            <w:r w:rsidRPr="00332771">
              <w:rPr>
                <w:rFonts w:eastAsia="Arial" w:cs="Arial"/>
                <w:b/>
                <w:sz w:val="20"/>
              </w:rPr>
              <w:t>Operating Revenues</w:t>
            </w:r>
          </w:p>
        </w:tc>
        <w:tc>
          <w:tcPr>
            <w:tcW w:w="1627" w:type="dxa"/>
            <w:shd w:val="clear" w:color="auto" w:fill="A5CD7E"/>
          </w:tcPr>
          <w:p w:rsidR="00AC40FC" w:rsidRPr="00332771" w:rsidRDefault="00AC40FC" w:rsidP="00A51C66">
            <w:pPr>
              <w:widowControl w:val="0"/>
              <w:spacing w:before="122" w:after="0"/>
              <w:ind w:left="571" w:right="552"/>
              <w:jc w:val="center"/>
              <w:rPr>
                <w:rFonts w:eastAsia="Arial" w:cs="Arial"/>
                <w:b/>
                <w:sz w:val="20"/>
              </w:rPr>
            </w:pPr>
            <w:r w:rsidRPr="00332771">
              <w:rPr>
                <w:rFonts w:eastAsia="Arial" w:cs="Arial"/>
                <w:b/>
                <w:sz w:val="20"/>
              </w:rPr>
              <w:t>2010</w:t>
            </w:r>
          </w:p>
        </w:tc>
        <w:tc>
          <w:tcPr>
            <w:tcW w:w="1886" w:type="dxa"/>
            <w:shd w:val="clear" w:color="auto" w:fill="A5CD7E"/>
          </w:tcPr>
          <w:p w:rsidR="00AC40FC" w:rsidRPr="00332771" w:rsidRDefault="00AC40FC" w:rsidP="00A51C66">
            <w:pPr>
              <w:widowControl w:val="0"/>
              <w:spacing w:before="122" w:after="0"/>
              <w:ind w:left="700" w:right="682"/>
              <w:jc w:val="center"/>
              <w:rPr>
                <w:rFonts w:eastAsia="Arial" w:cs="Arial"/>
                <w:b/>
                <w:sz w:val="20"/>
              </w:rPr>
            </w:pPr>
            <w:r w:rsidRPr="00332771">
              <w:rPr>
                <w:rFonts w:eastAsia="Arial" w:cs="Arial"/>
                <w:b/>
                <w:sz w:val="20"/>
              </w:rPr>
              <w:t>2011</w:t>
            </w:r>
          </w:p>
        </w:tc>
        <w:tc>
          <w:tcPr>
            <w:tcW w:w="1579" w:type="dxa"/>
            <w:shd w:val="clear" w:color="auto" w:fill="A5CD7E"/>
          </w:tcPr>
          <w:p w:rsidR="00AC40FC" w:rsidRPr="00332771" w:rsidRDefault="00AC40FC" w:rsidP="00A51C66">
            <w:pPr>
              <w:widowControl w:val="0"/>
              <w:spacing w:before="122" w:after="0"/>
              <w:ind w:left="547" w:right="528"/>
              <w:jc w:val="center"/>
              <w:rPr>
                <w:rFonts w:eastAsia="Arial" w:cs="Arial"/>
                <w:b/>
                <w:sz w:val="20"/>
              </w:rPr>
            </w:pPr>
            <w:r w:rsidRPr="00332771">
              <w:rPr>
                <w:rFonts w:eastAsia="Arial" w:cs="Arial"/>
                <w:b/>
                <w:sz w:val="20"/>
              </w:rPr>
              <w:t>2012</w:t>
            </w:r>
          </w:p>
        </w:tc>
        <w:tc>
          <w:tcPr>
            <w:tcW w:w="1579" w:type="dxa"/>
            <w:shd w:val="clear" w:color="auto" w:fill="A5CD7E"/>
          </w:tcPr>
          <w:p w:rsidR="00AC40FC" w:rsidRPr="00332771" w:rsidRDefault="00AC40FC" w:rsidP="00A51C66">
            <w:pPr>
              <w:widowControl w:val="0"/>
              <w:spacing w:before="122" w:after="0"/>
              <w:ind w:left="547" w:right="528"/>
              <w:jc w:val="center"/>
              <w:rPr>
                <w:rFonts w:eastAsia="Arial" w:cs="Arial"/>
                <w:b/>
                <w:sz w:val="20"/>
              </w:rPr>
            </w:pPr>
            <w:r w:rsidRPr="00332771">
              <w:rPr>
                <w:rFonts w:eastAsia="Arial" w:cs="Arial"/>
                <w:b/>
                <w:sz w:val="20"/>
              </w:rPr>
              <w:t>2013</w:t>
            </w:r>
          </w:p>
        </w:tc>
        <w:tc>
          <w:tcPr>
            <w:tcW w:w="1627" w:type="dxa"/>
            <w:shd w:val="clear" w:color="auto" w:fill="A5CD7E"/>
          </w:tcPr>
          <w:p w:rsidR="00AC40FC" w:rsidRPr="00332771" w:rsidRDefault="00AC40FC" w:rsidP="00A51C66">
            <w:pPr>
              <w:widowControl w:val="0"/>
              <w:spacing w:before="122" w:after="0"/>
              <w:ind w:left="571" w:right="552"/>
              <w:jc w:val="center"/>
              <w:rPr>
                <w:rFonts w:eastAsia="Arial" w:cs="Arial"/>
                <w:b/>
                <w:sz w:val="20"/>
              </w:rPr>
            </w:pPr>
            <w:r w:rsidRPr="00332771">
              <w:rPr>
                <w:rFonts w:eastAsia="Arial" w:cs="Arial"/>
                <w:b/>
                <w:sz w:val="20"/>
              </w:rPr>
              <w:t>2014</w:t>
            </w:r>
          </w:p>
        </w:tc>
        <w:tc>
          <w:tcPr>
            <w:tcW w:w="1309" w:type="dxa"/>
            <w:shd w:val="clear" w:color="auto" w:fill="A5CD7E"/>
          </w:tcPr>
          <w:p w:rsidR="00AC40FC" w:rsidRPr="00332771" w:rsidRDefault="00AC40FC" w:rsidP="00A51C66">
            <w:pPr>
              <w:widowControl w:val="0"/>
              <w:spacing w:after="0" w:line="268" w:lineRule="auto"/>
              <w:ind w:left="295" w:right="96" w:hanging="178"/>
              <w:rPr>
                <w:rFonts w:eastAsia="Arial" w:cs="Arial"/>
                <w:b/>
                <w:sz w:val="20"/>
              </w:rPr>
            </w:pPr>
            <w:r w:rsidRPr="00332771">
              <w:rPr>
                <w:rFonts w:eastAsia="Arial" w:cs="Arial"/>
                <w:b/>
                <w:sz w:val="20"/>
              </w:rPr>
              <w:t>Compound Growth</w:t>
            </w:r>
          </w:p>
        </w:tc>
      </w:tr>
      <w:tr w:rsidR="00AC40FC" w:rsidRPr="00332771" w:rsidTr="00A51C66">
        <w:trPr>
          <w:trHeight w:hRule="exact" w:val="245"/>
          <w:jc w:val="center"/>
        </w:trPr>
        <w:tc>
          <w:tcPr>
            <w:tcW w:w="4966" w:type="dxa"/>
          </w:tcPr>
          <w:p w:rsidR="00AC40FC" w:rsidRPr="00332771" w:rsidRDefault="00AC40FC" w:rsidP="00A51C66">
            <w:pPr>
              <w:widowControl w:val="0"/>
              <w:spacing w:after="0" w:line="220" w:lineRule="exact"/>
              <w:ind w:left="28"/>
              <w:rPr>
                <w:rFonts w:eastAsia="Arial" w:cs="Arial"/>
                <w:b/>
                <w:sz w:val="20"/>
              </w:rPr>
            </w:pPr>
            <w:r w:rsidRPr="00332771">
              <w:rPr>
                <w:rFonts w:eastAsia="Arial" w:cs="Arial"/>
                <w:b/>
                <w:sz w:val="20"/>
              </w:rPr>
              <w:t>COMBINED REVENUE: Sales of Electricity</w:t>
            </w:r>
          </w:p>
        </w:tc>
        <w:tc>
          <w:tcPr>
            <w:tcW w:w="1627" w:type="dxa"/>
          </w:tcPr>
          <w:p w:rsidR="00AC40FC" w:rsidRPr="00332771" w:rsidRDefault="00AC40FC" w:rsidP="00A51C66">
            <w:pPr>
              <w:widowControl w:val="0"/>
              <w:spacing w:after="0"/>
              <w:rPr>
                <w:rFonts w:eastAsia="Arial" w:cs="Arial"/>
              </w:rPr>
            </w:pPr>
          </w:p>
        </w:tc>
        <w:tc>
          <w:tcPr>
            <w:tcW w:w="1886" w:type="dxa"/>
          </w:tcPr>
          <w:p w:rsidR="00AC40FC" w:rsidRPr="00332771" w:rsidRDefault="00AC40FC" w:rsidP="00A51C66">
            <w:pPr>
              <w:widowControl w:val="0"/>
              <w:spacing w:after="0"/>
              <w:rPr>
                <w:rFonts w:eastAsia="Arial" w:cs="Arial"/>
              </w:rPr>
            </w:pPr>
          </w:p>
        </w:tc>
        <w:tc>
          <w:tcPr>
            <w:tcW w:w="1579" w:type="dxa"/>
          </w:tcPr>
          <w:p w:rsidR="00AC40FC" w:rsidRPr="00332771" w:rsidRDefault="00AC40FC" w:rsidP="00A51C66">
            <w:pPr>
              <w:widowControl w:val="0"/>
              <w:spacing w:after="0"/>
              <w:rPr>
                <w:rFonts w:eastAsia="Arial" w:cs="Arial"/>
              </w:rPr>
            </w:pPr>
          </w:p>
        </w:tc>
        <w:tc>
          <w:tcPr>
            <w:tcW w:w="1579" w:type="dxa"/>
          </w:tcPr>
          <w:p w:rsidR="00AC40FC" w:rsidRPr="00332771" w:rsidRDefault="00AC40FC" w:rsidP="00A51C66">
            <w:pPr>
              <w:widowControl w:val="0"/>
              <w:spacing w:after="0"/>
              <w:rPr>
                <w:rFonts w:eastAsia="Arial" w:cs="Arial"/>
              </w:rPr>
            </w:pPr>
          </w:p>
        </w:tc>
        <w:tc>
          <w:tcPr>
            <w:tcW w:w="1627" w:type="dxa"/>
          </w:tcPr>
          <w:p w:rsidR="00AC40FC" w:rsidRPr="00332771" w:rsidRDefault="00AC40FC" w:rsidP="00A51C66">
            <w:pPr>
              <w:widowControl w:val="0"/>
              <w:spacing w:after="0"/>
              <w:rPr>
                <w:rFonts w:eastAsia="Arial" w:cs="Arial"/>
              </w:rPr>
            </w:pPr>
          </w:p>
        </w:tc>
        <w:tc>
          <w:tcPr>
            <w:tcW w:w="1309" w:type="dxa"/>
          </w:tcPr>
          <w:p w:rsidR="00AC40FC" w:rsidRPr="00332771" w:rsidRDefault="00AC40FC" w:rsidP="00A51C66">
            <w:pPr>
              <w:widowControl w:val="0"/>
              <w:spacing w:after="0"/>
              <w:rPr>
                <w:rFonts w:eastAsia="Arial" w:cs="Arial"/>
              </w:rPr>
            </w:pPr>
          </w:p>
        </w:tc>
      </w:tr>
      <w:tr w:rsidR="00AC40FC" w:rsidRPr="00332771" w:rsidTr="00A51C66">
        <w:trPr>
          <w:trHeight w:hRule="exact" w:val="245"/>
          <w:jc w:val="center"/>
        </w:trPr>
        <w:tc>
          <w:tcPr>
            <w:tcW w:w="4966" w:type="dxa"/>
          </w:tcPr>
          <w:p w:rsidR="00AC40FC" w:rsidRPr="00332771" w:rsidRDefault="00AC40FC" w:rsidP="00A51C66">
            <w:pPr>
              <w:widowControl w:val="0"/>
              <w:spacing w:after="0" w:line="220" w:lineRule="exact"/>
              <w:ind w:left="179"/>
              <w:rPr>
                <w:rFonts w:eastAsia="Arial" w:cs="Arial"/>
                <w:sz w:val="20"/>
              </w:rPr>
            </w:pPr>
            <w:r w:rsidRPr="00332771">
              <w:rPr>
                <w:rFonts w:eastAsia="Arial" w:cs="Arial"/>
                <w:sz w:val="20"/>
              </w:rPr>
              <w:t>440 Residential Sales</w:t>
            </w:r>
          </w:p>
        </w:tc>
        <w:tc>
          <w:tcPr>
            <w:tcW w:w="1627" w:type="dxa"/>
          </w:tcPr>
          <w:p w:rsidR="00AC40FC" w:rsidRPr="00332771" w:rsidRDefault="00AC40FC" w:rsidP="00A51C66">
            <w:pPr>
              <w:widowControl w:val="0"/>
              <w:spacing w:after="0" w:line="220" w:lineRule="exact"/>
              <w:ind w:left="132"/>
              <w:rPr>
                <w:rFonts w:eastAsia="Arial" w:cs="Arial"/>
                <w:sz w:val="20"/>
              </w:rPr>
            </w:pPr>
            <w:r w:rsidRPr="00332771">
              <w:rPr>
                <w:rFonts w:eastAsia="Arial" w:cs="Arial"/>
                <w:sz w:val="20"/>
              </w:rPr>
              <w:t>$1,466,225,536</w:t>
            </w:r>
          </w:p>
        </w:tc>
        <w:tc>
          <w:tcPr>
            <w:tcW w:w="1886" w:type="dxa"/>
          </w:tcPr>
          <w:p w:rsidR="00AC40FC" w:rsidRPr="00332771" w:rsidRDefault="00AC40FC" w:rsidP="00A51C66">
            <w:pPr>
              <w:widowControl w:val="0"/>
              <w:spacing w:after="0" w:line="220" w:lineRule="exact"/>
              <w:ind w:right="94"/>
              <w:jc w:val="right"/>
              <w:rPr>
                <w:rFonts w:eastAsia="Arial" w:cs="Arial"/>
                <w:sz w:val="20"/>
              </w:rPr>
            </w:pPr>
            <w:r w:rsidRPr="00332771">
              <w:rPr>
                <w:rFonts w:eastAsia="Arial" w:cs="Arial"/>
                <w:w w:val="95"/>
                <w:sz w:val="20"/>
              </w:rPr>
              <w:t>$1,276,582,258</w:t>
            </w:r>
          </w:p>
        </w:tc>
        <w:tc>
          <w:tcPr>
            <w:tcW w:w="1579" w:type="dxa"/>
          </w:tcPr>
          <w:p w:rsidR="00AC40FC" w:rsidRPr="00332771" w:rsidRDefault="00AC40FC" w:rsidP="00A51C66">
            <w:pPr>
              <w:widowControl w:val="0"/>
              <w:spacing w:after="0" w:line="220" w:lineRule="exact"/>
              <w:ind w:right="94"/>
              <w:jc w:val="right"/>
              <w:rPr>
                <w:rFonts w:eastAsia="Arial" w:cs="Arial"/>
                <w:sz w:val="20"/>
              </w:rPr>
            </w:pPr>
            <w:r w:rsidRPr="00332771">
              <w:rPr>
                <w:rFonts w:eastAsia="Arial" w:cs="Arial"/>
                <w:w w:val="95"/>
                <w:sz w:val="20"/>
              </w:rPr>
              <w:t>$1,123,785,727</w:t>
            </w:r>
          </w:p>
        </w:tc>
        <w:tc>
          <w:tcPr>
            <w:tcW w:w="1579" w:type="dxa"/>
          </w:tcPr>
          <w:p w:rsidR="00AC40FC" w:rsidRPr="00332771" w:rsidRDefault="00AC40FC" w:rsidP="00A51C66">
            <w:pPr>
              <w:widowControl w:val="0"/>
              <w:spacing w:after="0" w:line="220" w:lineRule="exact"/>
              <w:ind w:left="84" w:right="-2"/>
              <w:rPr>
                <w:rFonts w:eastAsia="Arial" w:cs="Arial"/>
                <w:sz w:val="20"/>
              </w:rPr>
            </w:pPr>
            <w:r w:rsidRPr="00332771">
              <w:rPr>
                <w:rFonts w:eastAsia="Arial" w:cs="Arial"/>
                <w:sz w:val="20"/>
              </w:rPr>
              <w:t>$1,207,187,064</w:t>
            </w:r>
          </w:p>
        </w:tc>
        <w:tc>
          <w:tcPr>
            <w:tcW w:w="1627" w:type="dxa"/>
          </w:tcPr>
          <w:p w:rsidR="00AC40FC" w:rsidRPr="00332771" w:rsidRDefault="00AC40FC" w:rsidP="00A51C66">
            <w:pPr>
              <w:widowControl w:val="0"/>
              <w:spacing w:after="0" w:line="220" w:lineRule="exact"/>
              <w:ind w:left="132"/>
              <w:rPr>
                <w:rFonts w:eastAsia="Arial" w:cs="Arial"/>
                <w:sz w:val="20"/>
              </w:rPr>
            </w:pPr>
            <w:r w:rsidRPr="00332771">
              <w:rPr>
                <w:rFonts w:eastAsia="Arial" w:cs="Arial"/>
                <w:sz w:val="20"/>
              </w:rPr>
              <w:t>$1,271,476,898</w:t>
            </w:r>
          </w:p>
        </w:tc>
        <w:tc>
          <w:tcPr>
            <w:tcW w:w="1309" w:type="dxa"/>
          </w:tcPr>
          <w:p w:rsidR="00AC40FC" w:rsidRPr="00332771" w:rsidRDefault="00AC40FC" w:rsidP="00A51C66">
            <w:pPr>
              <w:widowControl w:val="0"/>
              <w:spacing w:after="0" w:line="220" w:lineRule="exact"/>
              <w:ind w:left="256" w:right="243"/>
              <w:jc w:val="center"/>
              <w:rPr>
                <w:rFonts w:eastAsia="Arial" w:cs="Arial"/>
                <w:sz w:val="20"/>
              </w:rPr>
            </w:pPr>
            <w:r w:rsidRPr="00332771">
              <w:rPr>
                <w:rFonts w:eastAsia="Arial" w:cs="Arial"/>
                <w:sz w:val="20"/>
              </w:rPr>
              <w:t>-3.50%</w:t>
            </w:r>
          </w:p>
        </w:tc>
      </w:tr>
      <w:tr w:rsidR="00AC40FC" w:rsidRPr="00332771" w:rsidTr="00A51C66">
        <w:trPr>
          <w:trHeight w:hRule="exact" w:val="245"/>
          <w:jc w:val="center"/>
        </w:trPr>
        <w:tc>
          <w:tcPr>
            <w:tcW w:w="4966" w:type="dxa"/>
          </w:tcPr>
          <w:p w:rsidR="00AC40FC" w:rsidRPr="00332771" w:rsidRDefault="00AC40FC" w:rsidP="00A51C66">
            <w:pPr>
              <w:widowControl w:val="0"/>
              <w:spacing w:after="0" w:line="220" w:lineRule="exact"/>
              <w:ind w:left="180"/>
              <w:rPr>
                <w:rFonts w:eastAsia="Arial" w:cs="Arial"/>
                <w:sz w:val="20"/>
              </w:rPr>
            </w:pPr>
            <w:r w:rsidRPr="00332771">
              <w:rPr>
                <w:rFonts w:eastAsia="Arial" w:cs="Arial"/>
                <w:sz w:val="20"/>
              </w:rPr>
              <w:t>442 Commercial Sales</w:t>
            </w:r>
          </w:p>
        </w:tc>
        <w:tc>
          <w:tcPr>
            <w:tcW w:w="1627" w:type="dxa"/>
          </w:tcPr>
          <w:p w:rsidR="00AC40FC" w:rsidRPr="00332771" w:rsidRDefault="00AC40FC" w:rsidP="00A51C66">
            <w:pPr>
              <w:widowControl w:val="0"/>
              <w:spacing w:after="0" w:line="220" w:lineRule="exact"/>
              <w:ind w:right="26"/>
              <w:jc w:val="right"/>
              <w:rPr>
                <w:rFonts w:eastAsia="Arial" w:cs="Arial"/>
                <w:sz w:val="20"/>
              </w:rPr>
            </w:pPr>
            <w:r w:rsidRPr="00332771">
              <w:rPr>
                <w:rFonts w:eastAsia="Arial" w:cs="Arial"/>
                <w:w w:val="95"/>
                <w:sz w:val="20"/>
              </w:rPr>
              <w:t>591,126,025</w:t>
            </w:r>
          </w:p>
        </w:tc>
        <w:tc>
          <w:tcPr>
            <w:tcW w:w="1886" w:type="dxa"/>
          </w:tcPr>
          <w:p w:rsidR="00AC40FC" w:rsidRPr="00332771" w:rsidRDefault="00AC40FC" w:rsidP="00A51C66">
            <w:pPr>
              <w:widowControl w:val="0"/>
              <w:spacing w:after="0" w:line="220" w:lineRule="exact"/>
              <w:ind w:right="26"/>
              <w:jc w:val="right"/>
              <w:rPr>
                <w:rFonts w:eastAsia="Arial" w:cs="Arial"/>
                <w:sz w:val="20"/>
              </w:rPr>
            </w:pPr>
            <w:r w:rsidRPr="00332771">
              <w:rPr>
                <w:rFonts w:eastAsia="Arial" w:cs="Arial"/>
                <w:w w:val="95"/>
                <w:sz w:val="20"/>
              </w:rPr>
              <w:t>438,338,633</w:t>
            </w:r>
          </w:p>
        </w:tc>
        <w:tc>
          <w:tcPr>
            <w:tcW w:w="1579" w:type="dxa"/>
          </w:tcPr>
          <w:p w:rsidR="00AC40FC" w:rsidRPr="00332771" w:rsidRDefault="00AC40FC" w:rsidP="00A51C66">
            <w:pPr>
              <w:widowControl w:val="0"/>
              <w:spacing w:after="0" w:line="220" w:lineRule="exact"/>
              <w:ind w:right="26"/>
              <w:jc w:val="right"/>
              <w:rPr>
                <w:rFonts w:eastAsia="Arial" w:cs="Arial"/>
                <w:sz w:val="20"/>
              </w:rPr>
            </w:pPr>
            <w:r w:rsidRPr="00332771">
              <w:rPr>
                <w:rFonts w:eastAsia="Arial" w:cs="Arial"/>
                <w:w w:val="95"/>
                <w:sz w:val="20"/>
              </w:rPr>
              <w:t>366,423,454</w:t>
            </w:r>
          </w:p>
        </w:tc>
        <w:tc>
          <w:tcPr>
            <w:tcW w:w="1579" w:type="dxa"/>
          </w:tcPr>
          <w:p w:rsidR="00AC40FC" w:rsidRPr="00332771" w:rsidRDefault="00AC40FC" w:rsidP="00A51C66">
            <w:pPr>
              <w:widowControl w:val="0"/>
              <w:spacing w:after="0" w:line="220" w:lineRule="exact"/>
              <w:ind w:right="26"/>
              <w:jc w:val="right"/>
              <w:rPr>
                <w:rFonts w:eastAsia="Arial" w:cs="Arial"/>
                <w:sz w:val="20"/>
              </w:rPr>
            </w:pPr>
            <w:r w:rsidRPr="00332771">
              <w:rPr>
                <w:rFonts w:eastAsia="Arial" w:cs="Arial"/>
                <w:w w:val="95"/>
                <w:sz w:val="20"/>
              </w:rPr>
              <w:t>363,910,301</w:t>
            </w:r>
          </w:p>
        </w:tc>
        <w:tc>
          <w:tcPr>
            <w:tcW w:w="1627" w:type="dxa"/>
          </w:tcPr>
          <w:p w:rsidR="00AC40FC" w:rsidRPr="00332771" w:rsidRDefault="00AC40FC" w:rsidP="00A51C66">
            <w:pPr>
              <w:widowControl w:val="0"/>
              <w:spacing w:after="0" w:line="220" w:lineRule="exact"/>
              <w:ind w:right="26"/>
              <w:jc w:val="right"/>
              <w:rPr>
                <w:rFonts w:eastAsia="Arial" w:cs="Arial"/>
                <w:sz w:val="20"/>
              </w:rPr>
            </w:pPr>
            <w:r w:rsidRPr="00332771">
              <w:rPr>
                <w:rFonts w:eastAsia="Arial" w:cs="Arial"/>
                <w:w w:val="95"/>
                <w:sz w:val="20"/>
              </w:rPr>
              <w:t>367,846,397</w:t>
            </w:r>
          </w:p>
        </w:tc>
        <w:tc>
          <w:tcPr>
            <w:tcW w:w="1309" w:type="dxa"/>
          </w:tcPr>
          <w:p w:rsidR="00AC40FC" w:rsidRPr="00332771" w:rsidRDefault="00AC40FC" w:rsidP="00A51C66">
            <w:pPr>
              <w:widowControl w:val="0"/>
              <w:spacing w:after="0" w:line="220" w:lineRule="exact"/>
              <w:ind w:left="257" w:right="243"/>
              <w:jc w:val="center"/>
              <w:rPr>
                <w:rFonts w:eastAsia="Arial" w:cs="Arial"/>
                <w:sz w:val="20"/>
              </w:rPr>
            </w:pPr>
            <w:r w:rsidRPr="00332771">
              <w:rPr>
                <w:rFonts w:eastAsia="Arial" w:cs="Arial"/>
                <w:sz w:val="20"/>
              </w:rPr>
              <w:t>-11.18%</w:t>
            </w:r>
          </w:p>
        </w:tc>
      </w:tr>
      <w:tr w:rsidR="00AC40FC" w:rsidRPr="00332771" w:rsidTr="00A51C66">
        <w:trPr>
          <w:trHeight w:hRule="exact" w:val="245"/>
          <w:jc w:val="center"/>
        </w:trPr>
        <w:tc>
          <w:tcPr>
            <w:tcW w:w="4966" w:type="dxa"/>
          </w:tcPr>
          <w:p w:rsidR="00AC40FC" w:rsidRPr="00332771" w:rsidRDefault="00AC40FC" w:rsidP="00A51C66">
            <w:pPr>
              <w:widowControl w:val="0"/>
              <w:spacing w:after="0" w:line="220" w:lineRule="exact"/>
              <w:ind w:left="180"/>
              <w:rPr>
                <w:rFonts w:eastAsia="Arial" w:cs="Arial"/>
                <w:sz w:val="20"/>
              </w:rPr>
            </w:pPr>
            <w:r w:rsidRPr="00332771">
              <w:rPr>
                <w:rFonts w:eastAsia="Arial" w:cs="Arial"/>
                <w:sz w:val="20"/>
              </w:rPr>
              <w:t>442 Industrial Sales</w:t>
            </w:r>
          </w:p>
        </w:tc>
        <w:tc>
          <w:tcPr>
            <w:tcW w:w="1627" w:type="dxa"/>
          </w:tcPr>
          <w:p w:rsidR="00AC40FC" w:rsidRPr="00332771" w:rsidRDefault="00AC40FC" w:rsidP="00A51C66">
            <w:pPr>
              <w:widowControl w:val="0"/>
              <w:spacing w:after="0" w:line="220" w:lineRule="exact"/>
              <w:ind w:right="26"/>
              <w:jc w:val="right"/>
              <w:rPr>
                <w:rFonts w:eastAsia="Arial" w:cs="Arial"/>
                <w:sz w:val="20"/>
              </w:rPr>
            </w:pPr>
            <w:r w:rsidRPr="00332771">
              <w:rPr>
                <w:rFonts w:eastAsia="Arial" w:cs="Arial"/>
                <w:w w:val="95"/>
                <w:sz w:val="20"/>
              </w:rPr>
              <w:t>123,496,523</w:t>
            </w:r>
          </w:p>
        </w:tc>
        <w:tc>
          <w:tcPr>
            <w:tcW w:w="1886" w:type="dxa"/>
          </w:tcPr>
          <w:p w:rsidR="00AC40FC" w:rsidRPr="00332771" w:rsidRDefault="00AC40FC" w:rsidP="00A51C66">
            <w:pPr>
              <w:widowControl w:val="0"/>
              <w:spacing w:after="0" w:line="220" w:lineRule="exact"/>
              <w:ind w:right="26"/>
              <w:jc w:val="right"/>
              <w:rPr>
                <w:rFonts w:eastAsia="Arial" w:cs="Arial"/>
                <w:sz w:val="20"/>
              </w:rPr>
            </w:pPr>
            <w:r w:rsidRPr="00332771">
              <w:rPr>
                <w:rFonts w:eastAsia="Arial" w:cs="Arial"/>
                <w:w w:val="95"/>
                <w:sz w:val="20"/>
              </w:rPr>
              <w:t>62,341,583</w:t>
            </w:r>
          </w:p>
        </w:tc>
        <w:tc>
          <w:tcPr>
            <w:tcW w:w="1579" w:type="dxa"/>
          </w:tcPr>
          <w:p w:rsidR="00AC40FC" w:rsidRPr="00332771" w:rsidRDefault="00AC40FC" w:rsidP="00A51C66">
            <w:pPr>
              <w:widowControl w:val="0"/>
              <w:spacing w:after="0" w:line="220" w:lineRule="exact"/>
              <w:ind w:right="26"/>
              <w:jc w:val="right"/>
              <w:rPr>
                <w:rFonts w:eastAsia="Arial" w:cs="Arial"/>
                <w:sz w:val="20"/>
              </w:rPr>
            </w:pPr>
            <w:r w:rsidRPr="00332771">
              <w:rPr>
                <w:rFonts w:eastAsia="Arial" w:cs="Arial"/>
                <w:w w:val="95"/>
                <w:sz w:val="20"/>
              </w:rPr>
              <w:t>52,890,845</w:t>
            </w:r>
          </w:p>
        </w:tc>
        <w:tc>
          <w:tcPr>
            <w:tcW w:w="1579" w:type="dxa"/>
          </w:tcPr>
          <w:p w:rsidR="00AC40FC" w:rsidRPr="00332771" w:rsidRDefault="00AC40FC" w:rsidP="00A51C66">
            <w:pPr>
              <w:widowControl w:val="0"/>
              <w:spacing w:after="0" w:line="220" w:lineRule="exact"/>
              <w:ind w:right="26"/>
              <w:jc w:val="right"/>
              <w:rPr>
                <w:rFonts w:eastAsia="Arial" w:cs="Arial"/>
                <w:sz w:val="20"/>
              </w:rPr>
            </w:pPr>
            <w:r w:rsidRPr="00332771">
              <w:rPr>
                <w:rFonts w:eastAsia="Arial" w:cs="Arial"/>
                <w:w w:val="95"/>
                <w:sz w:val="20"/>
              </w:rPr>
              <w:t>52,231,584</w:t>
            </w:r>
          </w:p>
        </w:tc>
        <w:tc>
          <w:tcPr>
            <w:tcW w:w="1627" w:type="dxa"/>
          </w:tcPr>
          <w:p w:rsidR="00AC40FC" w:rsidRPr="00332771" w:rsidRDefault="00AC40FC" w:rsidP="00A51C66">
            <w:pPr>
              <w:widowControl w:val="0"/>
              <w:spacing w:after="0" w:line="220" w:lineRule="exact"/>
              <w:ind w:right="26"/>
              <w:jc w:val="right"/>
              <w:rPr>
                <w:rFonts w:eastAsia="Arial" w:cs="Arial"/>
                <w:sz w:val="20"/>
              </w:rPr>
            </w:pPr>
            <w:r w:rsidRPr="00332771">
              <w:rPr>
                <w:rFonts w:eastAsia="Arial" w:cs="Arial"/>
                <w:w w:val="95"/>
                <w:sz w:val="20"/>
              </w:rPr>
              <w:t>52,574,389</w:t>
            </w:r>
          </w:p>
        </w:tc>
        <w:tc>
          <w:tcPr>
            <w:tcW w:w="1309" w:type="dxa"/>
          </w:tcPr>
          <w:p w:rsidR="00AC40FC" w:rsidRPr="00332771" w:rsidRDefault="00AC40FC" w:rsidP="00A51C66">
            <w:pPr>
              <w:widowControl w:val="0"/>
              <w:spacing w:after="0" w:line="220" w:lineRule="exact"/>
              <w:ind w:left="258" w:right="243"/>
              <w:jc w:val="center"/>
              <w:rPr>
                <w:rFonts w:eastAsia="Arial" w:cs="Arial"/>
                <w:sz w:val="20"/>
              </w:rPr>
            </w:pPr>
            <w:r w:rsidRPr="00332771">
              <w:rPr>
                <w:rFonts w:eastAsia="Arial" w:cs="Arial"/>
                <w:sz w:val="20"/>
              </w:rPr>
              <w:t>-19.22%</w:t>
            </w:r>
          </w:p>
        </w:tc>
      </w:tr>
      <w:tr w:rsidR="00AC40FC" w:rsidRPr="00332771" w:rsidTr="00A51C66">
        <w:trPr>
          <w:trHeight w:hRule="exact" w:val="245"/>
          <w:jc w:val="center"/>
        </w:trPr>
        <w:tc>
          <w:tcPr>
            <w:tcW w:w="4966" w:type="dxa"/>
          </w:tcPr>
          <w:p w:rsidR="00AC40FC" w:rsidRPr="00332771" w:rsidRDefault="00AC40FC" w:rsidP="00A51C66">
            <w:pPr>
              <w:widowControl w:val="0"/>
              <w:spacing w:after="0" w:line="220" w:lineRule="exact"/>
              <w:ind w:left="181"/>
              <w:rPr>
                <w:rFonts w:eastAsia="Arial" w:cs="Arial"/>
                <w:sz w:val="20"/>
              </w:rPr>
            </w:pPr>
            <w:r w:rsidRPr="00332771">
              <w:rPr>
                <w:rFonts w:eastAsia="Arial" w:cs="Arial"/>
                <w:sz w:val="20"/>
              </w:rPr>
              <w:t>444 Public Street and Highway Lighting Sales</w:t>
            </w:r>
          </w:p>
        </w:tc>
        <w:tc>
          <w:tcPr>
            <w:tcW w:w="1627" w:type="dxa"/>
          </w:tcPr>
          <w:p w:rsidR="00AC40FC" w:rsidRPr="00332771" w:rsidRDefault="00AC40FC" w:rsidP="00A51C66">
            <w:pPr>
              <w:widowControl w:val="0"/>
              <w:spacing w:after="0" w:line="220" w:lineRule="exact"/>
              <w:ind w:right="25"/>
              <w:jc w:val="right"/>
              <w:rPr>
                <w:rFonts w:eastAsia="Arial" w:cs="Arial"/>
                <w:sz w:val="20"/>
              </w:rPr>
            </w:pPr>
            <w:r w:rsidRPr="00332771">
              <w:rPr>
                <w:rFonts w:eastAsia="Arial" w:cs="Arial"/>
                <w:w w:val="95"/>
                <w:sz w:val="20"/>
              </w:rPr>
              <w:t>22,291,011</w:t>
            </w:r>
          </w:p>
        </w:tc>
        <w:tc>
          <w:tcPr>
            <w:tcW w:w="1886" w:type="dxa"/>
          </w:tcPr>
          <w:p w:rsidR="00AC40FC" w:rsidRPr="00332771" w:rsidRDefault="00AC40FC" w:rsidP="00A51C66">
            <w:pPr>
              <w:widowControl w:val="0"/>
              <w:spacing w:after="0" w:line="220" w:lineRule="exact"/>
              <w:ind w:right="25"/>
              <w:jc w:val="right"/>
              <w:rPr>
                <w:rFonts w:eastAsia="Arial" w:cs="Arial"/>
                <w:sz w:val="20"/>
              </w:rPr>
            </w:pPr>
            <w:r w:rsidRPr="00332771">
              <w:rPr>
                <w:rFonts w:eastAsia="Arial" w:cs="Arial"/>
                <w:w w:val="95"/>
                <w:sz w:val="20"/>
              </w:rPr>
              <w:t>19,723,078</w:t>
            </w:r>
          </w:p>
        </w:tc>
        <w:tc>
          <w:tcPr>
            <w:tcW w:w="1579" w:type="dxa"/>
          </w:tcPr>
          <w:p w:rsidR="00AC40FC" w:rsidRPr="00332771" w:rsidRDefault="00AC40FC" w:rsidP="00A51C66">
            <w:pPr>
              <w:widowControl w:val="0"/>
              <w:spacing w:after="0" w:line="220" w:lineRule="exact"/>
              <w:ind w:right="25"/>
              <w:jc w:val="right"/>
              <w:rPr>
                <w:rFonts w:eastAsia="Arial" w:cs="Arial"/>
                <w:sz w:val="20"/>
              </w:rPr>
            </w:pPr>
            <w:r w:rsidRPr="00332771">
              <w:rPr>
                <w:rFonts w:eastAsia="Arial" w:cs="Arial"/>
                <w:w w:val="95"/>
                <w:sz w:val="20"/>
              </w:rPr>
              <w:t>19,490,300</w:t>
            </w:r>
          </w:p>
        </w:tc>
        <w:tc>
          <w:tcPr>
            <w:tcW w:w="1579" w:type="dxa"/>
          </w:tcPr>
          <w:p w:rsidR="00AC40FC" w:rsidRPr="00332771" w:rsidRDefault="00AC40FC" w:rsidP="00A51C66">
            <w:pPr>
              <w:widowControl w:val="0"/>
              <w:spacing w:after="0" w:line="220" w:lineRule="exact"/>
              <w:ind w:right="25"/>
              <w:jc w:val="right"/>
              <w:rPr>
                <w:rFonts w:eastAsia="Arial" w:cs="Arial"/>
                <w:sz w:val="20"/>
              </w:rPr>
            </w:pPr>
            <w:r w:rsidRPr="00332771">
              <w:rPr>
                <w:rFonts w:eastAsia="Arial" w:cs="Arial"/>
                <w:w w:val="95"/>
                <w:sz w:val="20"/>
              </w:rPr>
              <w:t>20,440,577</w:t>
            </w:r>
          </w:p>
        </w:tc>
        <w:tc>
          <w:tcPr>
            <w:tcW w:w="1627" w:type="dxa"/>
          </w:tcPr>
          <w:p w:rsidR="00AC40FC" w:rsidRPr="00332771" w:rsidRDefault="00AC40FC" w:rsidP="00A51C66">
            <w:pPr>
              <w:widowControl w:val="0"/>
              <w:spacing w:after="0" w:line="220" w:lineRule="exact"/>
              <w:ind w:right="25"/>
              <w:jc w:val="right"/>
              <w:rPr>
                <w:rFonts w:eastAsia="Arial" w:cs="Arial"/>
                <w:sz w:val="20"/>
              </w:rPr>
            </w:pPr>
            <w:r w:rsidRPr="00332771">
              <w:rPr>
                <w:rFonts w:eastAsia="Arial" w:cs="Arial"/>
                <w:w w:val="95"/>
                <w:sz w:val="20"/>
              </w:rPr>
              <w:t>20,553,309</w:t>
            </w:r>
          </w:p>
        </w:tc>
        <w:tc>
          <w:tcPr>
            <w:tcW w:w="1309" w:type="dxa"/>
          </w:tcPr>
          <w:p w:rsidR="00AC40FC" w:rsidRPr="00332771" w:rsidRDefault="00AC40FC" w:rsidP="00A51C66">
            <w:pPr>
              <w:widowControl w:val="0"/>
              <w:spacing w:after="0" w:line="220" w:lineRule="exact"/>
              <w:ind w:left="258" w:right="242"/>
              <w:jc w:val="center"/>
              <w:rPr>
                <w:rFonts w:eastAsia="Arial" w:cs="Arial"/>
                <w:sz w:val="20"/>
              </w:rPr>
            </w:pPr>
            <w:r w:rsidRPr="00332771">
              <w:rPr>
                <w:rFonts w:eastAsia="Arial" w:cs="Arial"/>
                <w:sz w:val="20"/>
              </w:rPr>
              <w:t>-2.01%</w:t>
            </w:r>
          </w:p>
        </w:tc>
      </w:tr>
      <w:tr w:rsidR="00AC40FC" w:rsidRPr="00332771" w:rsidTr="00A51C66">
        <w:trPr>
          <w:trHeight w:hRule="exact" w:val="245"/>
          <w:jc w:val="center"/>
        </w:trPr>
        <w:tc>
          <w:tcPr>
            <w:tcW w:w="4966" w:type="dxa"/>
          </w:tcPr>
          <w:p w:rsidR="00AC40FC" w:rsidRPr="00332771" w:rsidRDefault="00AC40FC" w:rsidP="00A51C66">
            <w:pPr>
              <w:widowControl w:val="0"/>
              <w:spacing w:after="0" w:line="220" w:lineRule="exact"/>
              <w:ind w:left="181"/>
              <w:rPr>
                <w:rFonts w:eastAsia="Arial" w:cs="Arial"/>
                <w:sz w:val="20"/>
              </w:rPr>
            </w:pPr>
            <w:r w:rsidRPr="00332771">
              <w:rPr>
                <w:rFonts w:eastAsia="Arial" w:cs="Arial"/>
                <w:sz w:val="20"/>
              </w:rPr>
              <w:t>445 Other Sales to Public Authorities</w:t>
            </w:r>
          </w:p>
        </w:tc>
        <w:tc>
          <w:tcPr>
            <w:tcW w:w="1627" w:type="dxa"/>
          </w:tcPr>
          <w:p w:rsidR="00AC40FC" w:rsidRPr="00332771" w:rsidRDefault="00AC40FC" w:rsidP="00A51C66">
            <w:pPr>
              <w:widowControl w:val="0"/>
              <w:spacing w:after="0" w:line="220" w:lineRule="exact"/>
              <w:ind w:right="25"/>
              <w:jc w:val="right"/>
              <w:rPr>
                <w:rFonts w:eastAsia="Arial" w:cs="Arial"/>
                <w:sz w:val="20"/>
              </w:rPr>
            </w:pPr>
            <w:r w:rsidRPr="00332771">
              <w:rPr>
                <w:rFonts w:eastAsia="Arial" w:cs="Arial"/>
                <w:sz w:val="20"/>
              </w:rPr>
              <w:t>39,655</w:t>
            </w:r>
          </w:p>
        </w:tc>
        <w:tc>
          <w:tcPr>
            <w:tcW w:w="1886" w:type="dxa"/>
          </w:tcPr>
          <w:p w:rsidR="00AC40FC" w:rsidRPr="00332771" w:rsidRDefault="00AC40FC" w:rsidP="00A51C66">
            <w:pPr>
              <w:widowControl w:val="0"/>
              <w:spacing w:after="0" w:line="220" w:lineRule="exact"/>
              <w:ind w:right="25"/>
              <w:jc w:val="right"/>
              <w:rPr>
                <w:rFonts w:eastAsia="Arial" w:cs="Arial"/>
                <w:sz w:val="20"/>
              </w:rPr>
            </w:pPr>
            <w:r w:rsidRPr="00332771">
              <w:rPr>
                <w:rFonts w:eastAsia="Arial" w:cs="Arial"/>
                <w:sz w:val="20"/>
              </w:rPr>
              <w:t>8,114</w:t>
            </w:r>
          </w:p>
        </w:tc>
        <w:tc>
          <w:tcPr>
            <w:tcW w:w="1579" w:type="dxa"/>
          </w:tcPr>
          <w:p w:rsidR="00AC40FC" w:rsidRPr="00332771" w:rsidRDefault="00AC40FC" w:rsidP="00A51C66">
            <w:pPr>
              <w:widowControl w:val="0"/>
              <w:spacing w:after="0" w:line="220" w:lineRule="exact"/>
              <w:ind w:right="25"/>
              <w:jc w:val="right"/>
              <w:rPr>
                <w:rFonts w:eastAsia="Arial" w:cs="Arial"/>
                <w:sz w:val="20"/>
              </w:rPr>
            </w:pPr>
            <w:r w:rsidRPr="00332771">
              <w:rPr>
                <w:rFonts w:eastAsia="Arial" w:cs="Arial"/>
                <w:sz w:val="20"/>
              </w:rPr>
              <w:t>46,600</w:t>
            </w:r>
          </w:p>
        </w:tc>
        <w:tc>
          <w:tcPr>
            <w:tcW w:w="1579" w:type="dxa"/>
          </w:tcPr>
          <w:p w:rsidR="00AC40FC" w:rsidRPr="00332771" w:rsidRDefault="00AC40FC" w:rsidP="00A51C66">
            <w:pPr>
              <w:widowControl w:val="0"/>
              <w:spacing w:after="0" w:line="220" w:lineRule="exact"/>
              <w:ind w:right="25"/>
              <w:jc w:val="right"/>
              <w:rPr>
                <w:rFonts w:eastAsia="Arial" w:cs="Arial"/>
                <w:sz w:val="20"/>
              </w:rPr>
            </w:pPr>
            <w:r w:rsidRPr="00332771">
              <w:rPr>
                <w:rFonts w:eastAsia="Arial" w:cs="Arial"/>
                <w:sz w:val="20"/>
              </w:rPr>
              <w:t>54,841</w:t>
            </w:r>
          </w:p>
        </w:tc>
        <w:tc>
          <w:tcPr>
            <w:tcW w:w="1627" w:type="dxa"/>
          </w:tcPr>
          <w:p w:rsidR="00AC40FC" w:rsidRPr="00332771" w:rsidRDefault="00AC40FC" w:rsidP="00A51C66">
            <w:pPr>
              <w:widowControl w:val="0"/>
              <w:spacing w:after="0" w:line="220" w:lineRule="exact"/>
              <w:ind w:right="25"/>
              <w:jc w:val="right"/>
              <w:rPr>
                <w:rFonts w:eastAsia="Arial" w:cs="Arial"/>
                <w:sz w:val="20"/>
              </w:rPr>
            </w:pPr>
            <w:r w:rsidRPr="00332771">
              <w:rPr>
                <w:rFonts w:eastAsia="Arial" w:cs="Arial"/>
                <w:sz w:val="20"/>
              </w:rPr>
              <w:t>56,339</w:t>
            </w:r>
          </w:p>
        </w:tc>
        <w:tc>
          <w:tcPr>
            <w:tcW w:w="1309" w:type="dxa"/>
          </w:tcPr>
          <w:p w:rsidR="00AC40FC" w:rsidRPr="00332771" w:rsidRDefault="00AC40FC" w:rsidP="00A51C66">
            <w:pPr>
              <w:widowControl w:val="0"/>
              <w:spacing w:after="0" w:line="220" w:lineRule="exact"/>
              <w:ind w:left="258" w:right="242"/>
              <w:jc w:val="center"/>
              <w:rPr>
                <w:rFonts w:eastAsia="Arial" w:cs="Arial"/>
                <w:sz w:val="20"/>
              </w:rPr>
            </w:pPr>
            <w:r w:rsidRPr="00332771">
              <w:rPr>
                <w:rFonts w:eastAsia="Arial" w:cs="Arial"/>
                <w:sz w:val="20"/>
              </w:rPr>
              <w:t>9.18%</w:t>
            </w:r>
          </w:p>
        </w:tc>
      </w:tr>
      <w:tr w:rsidR="00AC40FC" w:rsidRPr="00332771" w:rsidTr="00A51C66">
        <w:trPr>
          <w:trHeight w:hRule="exact" w:val="245"/>
          <w:jc w:val="center"/>
        </w:trPr>
        <w:tc>
          <w:tcPr>
            <w:tcW w:w="4966" w:type="dxa"/>
          </w:tcPr>
          <w:p w:rsidR="00AC40FC" w:rsidRPr="00332771" w:rsidRDefault="00AC40FC" w:rsidP="00A51C66">
            <w:pPr>
              <w:widowControl w:val="0"/>
              <w:spacing w:after="0" w:line="220" w:lineRule="exact"/>
              <w:ind w:left="181"/>
              <w:rPr>
                <w:rFonts w:eastAsia="Arial" w:cs="Arial"/>
                <w:sz w:val="20"/>
              </w:rPr>
            </w:pPr>
            <w:r w:rsidRPr="00332771">
              <w:rPr>
                <w:rFonts w:eastAsia="Arial" w:cs="Arial"/>
                <w:sz w:val="20"/>
              </w:rPr>
              <w:t>446 Sales to Railroads and Railway</w:t>
            </w:r>
          </w:p>
        </w:tc>
        <w:tc>
          <w:tcPr>
            <w:tcW w:w="1627" w:type="dxa"/>
          </w:tcPr>
          <w:p w:rsidR="00AC40FC" w:rsidRPr="00332771" w:rsidRDefault="00AC40FC" w:rsidP="00A51C66">
            <w:pPr>
              <w:widowControl w:val="0"/>
              <w:spacing w:after="0" w:line="220" w:lineRule="exact"/>
              <w:ind w:right="25"/>
              <w:jc w:val="right"/>
              <w:rPr>
                <w:rFonts w:eastAsia="Arial" w:cs="Arial"/>
                <w:sz w:val="20"/>
              </w:rPr>
            </w:pPr>
            <w:r w:rsidRPr="00332771">
              <w:rPr>
                <w:rFonts w:eastAsia="Arial" w:cs="Arial"/>
                <w:w w:val="95"/>
                <w:sz w:val="20"/>
              </w:rPr>
              <w:t>415,308</w:t>
            </w:r>
          </w:p>
        </w:tc>
        <w:tc>
          <w:tcPr>
            <w:tcW w:w="1886" w:type="dxa"/>
          </w:tcPr>
          <w:p w:rsidR="00AC40FC" w:rsidRPr="00332771" w:rsidRDefault="00AC40FC" w:rsidP="00A51C66">
            <w:pPr>
              <w:widowControl w:val="0"/>
              <w:spacing w:after="0" w:line="220" w:lineRule="exact"/>
              <w:ind w:right="25"/>
              <w:jc w:val="right"/>
              <w:rPr>
                <w:rFonts w:eastAsia="Arial" w:cs="Arial"/>
                <w:sz w:val="20"/>
              </w:rPr>
            </w:pPr>
            <w:r w:rsidRPr="00332771">
              <w:rPr>
                <w:rFonts w:eastAsia="Arial" w:cs="Arial"/>
                <w:w w:val="95"/>
                <w:sz w:val="20"/>
              </w:rPr>
              <w:t>570,392</w:t>
            </w:r>
          </w:p>
        </w:tc>
        <w:tc>
          <w:tcPr>
            <w:tcW w:w="1579" w:type="dxa"/>
          </w:tcPr>
          <w:p w:rsidR="00AC40FC" w:rsidRPr="00332771" w:rsidRDefault="00AC40FC" w:rsidP="00A51C66">
            <w:pPr>
              <w:widowControl w:val="0"/>
              <w:spacing w:after="0" w:line="220" w:lineRule="exact"/>
              <w:ind w:right="25"/>
              <w:jc w:val="right"/>
              <w:rPr>
                <w:rFonts w:eastAsia="Arial" w:cs="Arial"/>
                <w:sz w:val="20"/>
              </w:rPr>
            </w:pPr>
            <w:r w:rsidRPr="00332771">
              <w:rPr>
                <w:rFonts w:eastAsia="Arial" w:cs="Arial"/>
                <w:w w:val="95"/>
                <w:sz w:val="20"/>
              </w:rPr>
              <w:t>557,186</w:t>
            </w:r>
          </w:p>
        </w:tc>
        <w:tc>
          <w:tcPr>
            <w:tcW w:w="1579" w:type="dxa"/>
          </w:tcPr>
          <w:p w:rsidR="00AC40FC" w:rsidRPr="00332771" w:rsidRDefault="00AC40FC" w:rsidP="00A51C66">
            <w:pPr>
              <w:widowControl w:val="0"/>
              <w:spacing w:after="0" w:line="220" w:lineRule="exact"/>
              <w:ind w:right="25"/>
              <w:jc w:val="right"/>
              <w:rPr>
                <w:rFonts w:eastAsia="Arial" w:cs="Arial"/>
                <w:sz w:val="20"/>
              </w:rPr>
            </w:pPr>
            <w:r w:rsidRPr="00332771">
              <w:rPr>
                <w:rFonts w:eastAsia="Arial" w:cs="Arial"/>
                <w:w w:val="95"/>
                <w:sz w:val="20"/>
              </w:rPr>
              <w:t>575,885</w:t>
            </w:r>
          </w:p>
        </w:tc>
        <w:tc>
          <w:tcPr>
            <w:tcW w:w="1627" w:type="dxa"/>
          </w:tcPr>
          <w:p w:rsidR="00AC40FC" w:rsidRPr="00332771" w:rsidRDefault="00AC40FC" w:rsidP="00A51C66">
            <w:pPr>
              <w:widowControl w:val="0"/>
              <w:spacing w:after="0" w:line="220" w:lineRule="exact"/>
              <w:ind w:right="25"/>
              <w:jc w:val="right"/>
              <w:rPr>
                <w:rFonts w:eastAsia="Arial" w:cs="Arial"/>
                <w:sz w:val="20"/>
              </w:rPr>
            </w:pPr>
            <w:r w:rsidRPr="00332771">
              <w:rPr>
                <w:rFonts w:eastAsia="Arial" w:cs="Arial"/>
                <w:w w:val="95"/>
                <w:sz w:val="20"/>
              </w:rPr>
              <w:t>532,566</w:t>
            </w:r>
          </w:p>
        </w:tc>
        <w:tc>
          <w:tcPr>
            <w:tcW w:w="1309" w:type="dxa"/>
          </w:tcPr>
          <w:p w:rsidR="00AC40FC" w:rsidRPr="00332771" w:rsidRDefault="00AC40FC" w:rsidP="00A51C66">
            <w:pPr>
              <w:widowControl w:val="0"/>
              <w:spacing w:after="0" w:line="220" w:lineRule="exact"/>
              <w:ind w:left="258" w:right="241"/>
              <w:jc w:val="center"/>
              <w:rPr>
                <w:rFonts w:eastAsia="Arial" w:cs="Arial"/>
                <w:sz w:val="20"/>
              </w:rPr>
            </w:pPr>
            <w:r w:rsidRPr="00332771">
              <w:rPr>
                <w:rFonts w:eastAsia="Arial" w:cs="Arial"/>
                <w:sz w:val="20"/>
              </w:rPr>
              <w:t>6.41%</w:t>
            </w:r>
          </w:p>
        </w:tc>
      </w:tr>
      <w:tr w:rsidR="00AC40FC" w:rsidRPr="00332771" w:rsidTr="00A51C66">
        <w:trPr>
          <w:trHeight w:hRule="exact" w:val="245"/>
          <w:jc w:val="center"/>
        </w:trPr>
        <w:tc>
          <w:tcPr>
            <w:tcW w:w="4966" w:type="dxa"/>
          </w:tcPr>
          <w:p w:rsidR="00AC40FC" w:rsidRPr="00332771" w:rsidRDefault="00AC40FC" w:rsidP="00A51C66">
            <w:pPr>
              <w:widowControl w:val="0"/>
              <w:spacing w:after="0" w:line="220" w:lineRule="exact"/>
              <w:ind w:left="181"/>
              <w:rPr>
                <w:rFonts w:eastAsia="Arial" w:cs="Arial"/>
                <w:sz w:val="20"/>
              </w:rPr>
            </w:pPr>
            <w:r w:rsidRPr="00332771">
              <w:rPr>
                <w:rFonts w:eastAsia="Arial" w:cs="Arial"/>
                <w:sz w:val="20"/>
              </w:rPr>
              <w:t>448 Interdepartmental Sales</w:t>
            </w:r>
          </w:p>
        </w:tc>
        <w:tc>
          <w:tcPr>
            <w:tcW w:w="1627" w:type="dxa"/>
          </w:tcPr>
          <w:p w:rsidR="00AC40FC" w:rsidRPr="00332771" w:rsidRDefault="00AC40FC" w:rsidP="00A51C66">
            <w:pPr>
              <w:widowControl w:val="0"/>
              <w:spacing w:after="0" w:line="220" w:lineRule="exact"/>
              <w:ind w:right="24"/>
              <w:jc w:val="right"/>
              <w:rPr>
                <w:rFonts w:eastAsia="Arial" w:cs="Arial"/>
                <w:sz w:val="20"/>
              </w:rPr>
            </w:pPr>
            <w:r w:rsidRPr="00332771">
              <w:rPr>
                <w:rFonts w:eastAsia="Arial" w:cs="Arial"/>
                <w:w w:val="99"/>
                <w:sz w:val="20"/>
              </w:rPr>
              <w:t>0</w:t>
            </w:r>
          </w:p>
        </w:tc>
        <w:tc>
          <w:tcPr>
            <w:tcW w:w="1886" w:type="dxa"/>
          </w:tcPr>
          <w:p w:rsidR="00AC40FC" w:rsidRPr="00332771" w:rsidRDefault="00AC40FC" w:rsidP="00A51C66">
            <w:pPr>
              <w:widowControl w:val="0"/>
              <w:spacing w:after="0" w:line="220" w:lineRule="exact"/>
              <w:ind w:right="24"/>
              <w:jc w:val="right"/>
              <w:rPr>
                <w:rFonts w:eastAsia="Arial" w:cs="Arial"/>
                <w:sz w:val="20"/>
              </w:rPr>
            </w:pPr>
            <w:r w:rsidRPr="00332771">
              <w:rPr>
                <w:rFonts w:eastAsia="Arial" w:cs="Arial"/>
                <w:w w:val="99"/>
                <w:sz w:val="20"/>
              </w:rPr>
              <w:t>0</w:t>
            </w:r>
          </w:p>
        </w:tc>
        <w:tc>
          <w:tcPr>
            <w:tcW w:w="1579" w:type="dxa"/>
          </w:tcPr>
          <w:p w:rsidR="00AC40FC" w:rsidRPr="00332771" w:rsidRDefault="00AC40FC" w:rsidP="00A51C66">
            <w:pPr>
              <w:widowControl w:val="0"/>
              <w:spacing w:after="0" w:line="220" w:lineRule="exact"/>
              <w:ind w:right="24"/>
              <w:jc w:val="right"/>
              <w:rPr>
                <w:rFonts w:eastAsia="Arial" w:cs="Arial"/>
                <w:sz w:val="20"/>
              </w:rPr>
            </w:pPr>
            <w:r w:rsidRPr="00332771">
              <w:rPr>
                <w:rFonts w:eastAsia="Arial" w:cs="Arial"/>
                <w:w w:val="99"/>
                <w:sz w:val="20"/>
              </w:rPr>
              <w:t>0</w:t>
            </w:r>
          </w:p>
        </w:tc>
        <w:tc>
          <w:tcPr>
            <w:tcW w:w="1579" w:type="dxa"/>
          </w:tcPr>
          <w:p w:rsidR="00AC40FC" w:rsidRPr="00332771" w:rsidRDefault="00AC40FC" w:rsidP="00A51C66">
            <w:pPr>
              <w:widowControl w:val="0"/>
              <w:spacing w:after="0" w:line="220" w:lineRule="exact"/>
              <w:ind w:right="24"/>
              <w:jc w:val="right"/>
              <w:rPr>
                <w:rFonts w:eastAsia="Arial" w:cs="Arial"/>
                <w:sz w:val="20"/>
              </w:rPr>
            </w:pPr>
            <w:r w:rsidRPr="00332771">
              <w:rPr>
                <w:rFonts w:eastAsia="Arial" w:cs="Arial"/>
                <w:w w:val="99"/>
                <w:sz w:val="20"/>
              </w:rPr>
              <w:t>0</w:t>
            </w:r>
          </w:p>
        </w:tc>
        <w:tc>
          <w:tcPr>
            <w:tcW w:w="1627" w:type="dxa"/>
          </w:tcPr>
          <w:p w:rsidR="00AC40FC" w:rsidRPr="00332771" w:rsidRDefault="00AC40FC" w:rsidP="00A51C66">
            <w:pPr>
              <w:widowControl w:val="0"/>
              <w:spacing w:after="0" w:line="220" w:lineRule="exact"/>
              <w:ind w:right="24"/>
              <w:jc w:val="right"/>
              <w:rPr>
                <w:rFonts w:eastAsia="Arial" w:cs="Arial"/>
                <w:sz w:val="20"/>
              </w:rPr>
            </w:pPr>
            <w:r w:rsidRPr="00332771">
              <w:rPr>
                <w:rFonts w:eastAsia="Arial" w:cs="Arial"/>
                <w:w w:val="99"/>
                <w:sz w:val="20"/>
              </w:rPr>
              <w:t>0</w:t>
            </w:r>
          </w:p>
        </w:tc>
        <w:tc>
          <w:tcPr>
            <w:tcW w:w="1309" w:type="dxa"/>
          </w:tcPr>
          <w:p w:rsidR="00AC40FC" w:rsidRPr="00332771" w:rsidRDefault="00AC40FC" w:rsidP="00A51C66">
            <w:pPr>
              <w:widowControl w:val="0"/>
              <w:spacing w:after="0" w:line="220" w:lineRule="exact"/>
              <w:ind w:left="258" w:right="239"/>
              <w:jc w:val="center"/>
              <w:rPr>
                <w:rFonts w:eastAsia="Arial" w:cs="Arial"/>
                <w:sz w:val="20"/>
              </w:rPr>
            </w:pPr>
            <w:r w:rsidRPr="00332771">
              <w:rPr>
                <w:rFonts w:eastAsia="Arial" w:cs="Arial"/>
                <w:sz w:val="20"/>
              </w:rPr>
              <w:t>NM</w:t>
            </w:r>
          </w:p>
        </w:tc>
      </w:tr>
      <w:tr w:rsidR="00AC40FC" w:rsidRPr="00332771" w:rsidTr="00A51C66">
        <w:trPr>
          <w:trHeight w:hRule="exact" w:val="276"/>
          <w:jc w:val="center"/>
        </w:trPr>
        <w:tc>
          <w:tcPr>
            <w:tcW w:w="4966" w:type="dxa"/>
          </w:tcPr>
          <w:p w:rsidR="00AC40FC" w:rsidRPr="00332771" w:rsidRDefault="00AC40FC" w:rsidP="00A51C66">
            <w:pPr>
              <w:widowControl w:val="0"/>
              <w:spacing w:before="21" w:after="0"/>
              <w:ind w:right="27"/>
              <w:jc w:val="right"/>
              <w:rPr>
                <w:rFonts w:eastAsia="Arial" w:cs="Arial"/>
                <w:b/>
                <w:sz w:val="20"/>
              </w:rPr>
            </w:pPr>
            <w:r w:rsidRPr="00332771">
              <w:rPr>
                <w:rFonts w:eastAsia="Arial" w:cs="Arial"/>
                <w:b/>
                <w:sz w:val="20"/>
              </w:rPr>
              <w:t>Total Sales to Ultimate Customers</w:t>
            </w:r>
          </w:p>
        </w:tc>
        <w:tc>
          <w:tcPr>
            <w:tcW w:w="1627" w:type="dxa"/>
          </w:tcPr>
          <w:p w:rsidR="00AC40FC" w:rsidRPr="00332771" w:rsidRDefault="00AC40FC" w:rsidP="00A51C66">
            <w:pPr>
              <w:widowControl w:val="0"/>
              <w:spacing w:before="21" w:after="0"/>
              <w:ind w:left="134"/>
              <w:rPr>
                <w:rFonts w:eastAsia="Arial" w:cs="Arial"/>
                <w:b/>
                <w:sz w:val="20"/>
              </w:rPr>
            </w:pPr>
            <w:r w:rsidRPr="00332771">
              <w:rPr>
                <w:rFonts w:eastAsia="Arial" w:cs="Arial"/>
                <w:b/>
                <w:sz w:val="20"/>
              </w:rPr>
              <w:t>$2,203,594,058</w:t>
            </w:r>
          </w:p>
        </w:tc>
        <w:tc>
          <w:tcPr>
            <w:tcW w:w="1886" w:type="dxa"/>
          </w:tcPr>
          <w:p w:rsidR="00AC40FC" w:rsidRPr="00332771" w:rsidRDefault="00AC40FC" w:rsidP="00A51C66">
            <w:pPr>
              <w:widowControl w:val="0"/>
              <w:spacing w:before="21" w:after="0"/>
              <w:ind w:right="92"/>
              <w:jc w:val="right"/>
              <w:rPr>
                <w:rFonts w:eastAsia="Arial" w:cs="Arial"/>
                <w:b/>
                <w:sz w:val="20"/>
              </w:rPr>
            </w:pPr>
            <w:r w:rsidRPr="00332771">
              <w:rPr>
                <w:rFonts w:eastAsia="Arial" w:cs="Arial"/>
                <w:b/>
                <w:w w:val="95"/>
                <w:sz w:val="20"/>
              </w:rPr>
              <w:t>$1,797,564,058</w:t>
            </w:r>
          </w:p>
        </w:tc>
        <w:tc>
          <w:tcPr>
            <w:tcW w:w="1579" w:type="dxa"/>
          </w:tcPr>
          <w:p w:rsidR="00AC40FC" w:rsidRPr="00332771" w:rsidRDefault="00AC40FC" w:rsidP="00A51C66">
            <w:pPr>
              <w:widowControl w:val="0"/>
              <w:spacing w:before="21" w:after="0"/>
              <w:ind w:right="92"/>
              <w:jc w:val="right"/>
              <w:rPr>
                <w:rFonts w:eastAsia="Arial" w:cs="Arial"/>
                <w:b/>
                <w:sz w:val="20"/>
              </w:rPr>
            </w:pPr>
            <w:r w:rsidRPr="00332771">
              <w:rPr>
                <w:rFonts w:eastAsia="Arial" w:cs="Arial"/>
                <w:b/>
                <w:w w:val="95"/>
                <w:sz w:val="20"/>
              </w:rPr>
              <w:t>$1,563,194,112</w:t>
            </w:r>
          </w:p>
        </w:tc>
        <w:tc>
          <w:tcPr>
            <w:tcW w:w="1579" w:type="dxa"/>
          </w:tcPr>
          <w:p w:rsidR="00AC40FC" w:rsidRPr="00332771" w:rsidRDefault="00AC40FC" w:rsidP="00A51C66">
            <w:pPr>
              <w:widowControl w:val="0"/>
              <w:spacing w:before="21" w:after="0"/>
              <w:ind w:left="86" w:right="-2"/>
              <w:rPr>
                <w:rFonts w:eastAsia="Arial" w:cs="Arial"/>
                <w:b/>
                <w:sz w:val="20"/>
              </w:rPr>
            </w:pPr>
            <w:r w:rsidRPr="00332771">
              <w:rPr>
                <w:rFonts w:eastAsia="Arial" w:cs="Arial"/>
                <w:b/>
                <w:sz w:val="20"/>
              </w:rPr>
              <w:t>$1,644,400,252</w:t>
            </w:r>
          </w:p>
        </w:tc>
        <w:tc>
          <w:tcPr>
            <w:tcW w:w="1627" w:type="dxa"/>
          </w:tcPr>
          <w:p w:rsidR="00AC40FC" w:rsidRPr="00332771" w:rsidRDefault="00AC40FC" w:rsidP="00A51C66">
            <w:pPr>
              <w:widowControl w:val="0"/>
              <w:spacing w:before="21" w:after="0"/>
              <w:ind w:left="134"/>
              <w:rPr>
                <w:rFonts w:eastAsia="Arial" w:cs="Arial"/>
                <w:b/>
                <w:sz w:val="20"/>
              </w:rPr>
            </w:pPr>
            <w:r w:rsidRPr="00332771">
              <w:rPr>
                <w:rFonts w:eastAsia="Arial" w:cs="Arial"/>
                <w:b/>
                <w:sz w:val="20"/>
              </w:rPr>
              <w:t>$1,713,039,898</w:t>
            </w:r>
          </w:p>
        </w:tc>
        <w:tc>
          <w:tcPr>
            <w:tcW w:w="1309" w:type="dxa"/>
          </w:tcPr>
          <w:p w:rsidR="00AC40FC" w:rsidRPr="00332771" w:rsidRDefault="00AC40FC" w:rsidP="00A51C66">
            <w:pPr>
              <w:widowControl w:val="0"/>
              <w:spacing w:before="21" w:after="0"/>
              <w:ind w:left="258" w:right="235"/>
              <w:jc w:val="center"/>
              <w:rPr>
                <w:rFonts w:eastAsia="Arial" w:cs="Arial"/>
                <w:b/>
                <w:sz w:val="20"/>
              </w:rPr>
            </w:pPr>
            <w:r w:rsidRPr="00332771">
              <w:rPr>
                <w:rFonts w:eastAsia="Arial" w:cs="Arial"/>
                <w:b/>
                <w:sz w:val="20"/>
              </w:rPr>
              <w:t>-6.10%</w:t>
            </w:r>
          </w:p>
        </w:tc>
      </w:tr>
      <w:tr w:rsidR="00AC40FC" w:rsidRPr="00332771" w:rsidTr="00A51C66">
        <w:trPr>
          <w:trHeight w:hRule="exact" w:val="276"/>
          <w:jc w:val="center"/>
        </w:trPr>
        <w:tc>
          <w:tcPr>
            <w:tcW w:w="4966" w:type="dxa"/>
          </w:tcPr>
          <w:p w:rsidR="00AC40FC" w:rsidRPr="00332771" w:rsidRDefault="00AC40FC" w:rsidP="00A51C66">
            <w:pPr>
              <w:widowControl w:val="0"/>
              <w:spacing w:before="21" w:after="0"/>
              <w:ind w:left="182"/>
              <w:rPr>
                <w:rFonts w:eastAsia="Arial" w:cs="Arial"/>
                <w:sz w:val="20"/>
              </w:rPr>
            </w:pPr>
            <w:r w:rsidRPr="00332771">
              <w:rPr>
                <w:rFonts w:eastAsia="Arial" w:cs="Arial"/>
                <w:sz w:val="20"/>
              </w:rPr>
              <w:t>447 Sales for Resale</w:t>
            </w:r>
          </w:p>
        </w:tc>
        <w:tc>
          <w:tcPr>
            <w:tcW w:w="1627" w:type="dxa"/>
          </w:tcPr>
          <w:p w:rsidR="00AC40FC" w:rsidRPr="00332771" w:rsidRDefault="00AC40FC" w:rsidP="00A51C66">
            <w:pPr>
              <w:widowControl w:val="0"/>
              <w:spacing w:before="21" w:after="0"/>
              <w:ind w:right="24"/>
              <w:jc w:val="right"/>
              <w:rPr>
                <w:rFonts w:eastAsia="Arial" w:cs="Arial"/>
                <w:sz w:val="20"/>
              </w:rPr>
            </w:pPr>
            <w:r w:rsidRPr="00332771">
              <w:rPr>
                <w:rFonts w:eastAsia="Arial" w:cs="Arial"/>
                <w:w w:val="95"/>
                <w:sz w:val="20"/>
              </w:rPr>
              <w:t>3,646,861</w:t>
            </w:r>
          </w:p>
        </w:tc>
        <w:tc>
          <w:tcPr>
            <w:tcW w:w="1886" w:type="dxa"/>
          </w:tcPr>
          <w:p w:rsidR="00AC40FC" w:rsidRPr="00332771" w:rsidRDefault="00AC40FC" w:rsidP="00A51C66">
            <w:pPr>
              <w:widowControl w:val="0"/>
              <w:spacing w:before="21" w:after="0"/>
              <w:ind w:right="24"/>
              <w:jc w:val="right"/>
              <w:rPr>
                <w:rFonts w:eastAsia="Arial" w:cs="Arial"/>
                <w:sz w:val="20"/>
              </w:rPr>
            </w:pPr>
            <w:r w:rsidRPr="00332771">
              <w:rPr>
                <w:rFonts w:eastAsia="Arial" w:cs="Arial"/>
                <w:w w:val="95"/>
                <w:sz w:val="20"/>
              </w:rPr>
              <w:t>6,294,924</w:t>
            </w:r>
          </w:p>
        </w:tc>
        <w:tc>
          <w:tcPr>
            <w:tcW w:w="1579" w:type="dxa"/>
          </w:tcPr>
          <w:p w:rsidR="00AC40FC" w:rsidRPr="00332771" w:rsidRDefault="00AC40FC" w:rsidP="00A51C66">
            <w:pPr>
              <w:widowControl w:val="0"/>
              <w:spacing w:before="21" w:after="0"/>
              <w:ind w:right="24"/>
              <w:jc w:val="right"/>
              <w:rPr>
                <w:rFonts w:eastAsia="Arial" w:cs="Arial"/>
                <w:sz w:val="20"/>
              </w:rPr>
            </w:pPr>
            <w:r w:rsidRPr="00332771">
              <w:rPr>
                <w:rFonts w:eastAsia="Arial" w:cs="Arial"/>
                <w:w w:val="95"/>
                <w:sz w:val="20"/>
              </w:rPr>
              <w:t>4,184,419</w:t>
            </w:r>
          </w:p>
        </w:tc>
        <w:tc>
          <w:tcPr>
            <w:tcW w:w="1579" w:type="dxa"/>
          </w:tcPr>
          <w:p w:rsidR="00AC40FC" w:rsidRPr="00332771" w:rsidRDefault="00AC40FC" w:rsidP="00A51C66">
            <w:pPr>
              <w:widowControl w:val="0"/>
              <w:spacing w:before="21" w:after="0"/>
              <w:ind w:right="24"/>
              <w:jc w:val="right"/>
              <w:rPr>
                <w:rFonts w:eastAsia="Arial" w:cs="Arial"/>
                <w:sz w:val="20"/>
              </w:rPr>
            </w:pPr>
            <w:r w:rsidRPr="00332771">
              <w:rPr>
                <w:rFonts w:eastAsia="Arial" w:cs="Arial"/>
                <w:w w:val="95"/>
                <w:sz w:val="20"/>
              </w:rPr>
              <w:t>4,165,285</w:t>
            </w:r>
          </w:p>
        </w:tc>
        <w:tc>
          <w:tcPr>
            <w:tcW w:w="1627" w:type="dxa"/>
          </w:tcPr>
          <w:p w:rsidR="00AC40FC" w:rsidRPr="00332771" w:rsidRDefault="00AC40FC" w:rsidP="00A51C66">
            <w:pPr>
              <w:widowControl w:val="0"/>
              <w:spacing w:before="21" w:after="0"/>
              <w:ind w:right="24"/>
              <w:jc w:val="right"/>
              <w:rPr>
                <w:rFonts w:eastAsia="Arial" w:cs="Arial"/>
                <w:sz w:val="20"/>
              </w:rPr>
            </w:pPr>
            <w:r w:rsidRPr="00332771">
              <w:rPr>
                <w:rFonts w:eastAsia="Arial" w:cs="Arial"/>
                <w:w w:val="95"/>
                <w:sz w:val="20"/>
              </w:rPr>
              <w:t>3,962,787</w:t>
            </w:r>
          </w:p>
        </w:tc>
        <w:tc>
          <w:tcPr>
            <w:tcW w:w="1309" w:type="dxa"/>
          </w:tcPr>
          <w:p w:rsidR="00AC40FC" w:rsidRPr="00332771" w:rsidRDefault="00AC40FC" w:rsidP="00A51C66">
            <w:pPr>
              <w:widowControl w:val="0"/>
              <w:spacing w:before="21" w:after="0"/>
              <w:ind w:left="258" w:right="240"/>
              <w:jc w:val="center"/>
              <w:rPr>
                <w:rFonts w:eastAsia="Arial" w:cs="Arial"/>
                <w:sz w:val="20"/>
              </w:rPr>
            </w:pPr>
            <w:r w:rsidRPr="00332771">
              <w:rPr>
                <w:rFonts w:eastAsia="Arial" w:cs="Arial"/>
                <w:sz w:val="20"/>
              </w:rPr>
              <w:t>2.10%</w:t>
            </w:r>
          </w:p>
        </w:tc>
      </w:tr>
      <w:tr w:rsidR="00AC40FC" w:rsidRPr="00332771" w:rsidTr="00A51C66">
        <w:trPr>
          <w:trHeight w:hRule="exact" w:val="276"/>
          <w:jc w:val="center"/>
        </w:trPr>
        <w:tc>
          <w:tcPr>
            <w:tcW w:w="4966" w:type="dxa"/>
          </w:tcPr>
          <w:p w:rsidR="00AC40FC" w:rsidRPr="00332771" w:rsidRDefault="00AC40FC" w:rsidP="00A51C66">
            <w:pPr>
              <w:widowControl w:val="0"/>
              <w:spacing w:before="21" w:after="0"/>
              <w:ind w:right="24"/>
              <w:jc w:val="right"/>
              <w:rPr>
                <w:rFonts w:eastAsia="Arial" w:cs="Arial"/>
                <w:b/>
                <w:sz w:val="20"/>
              </w:rPr>
            </w:pPr>
            <w:r w:rsidRPr="00332771">
              <w:rPr>
                <w:rFonts w:eastAsia="Arial" w:cs="Arial"/>
                <w:b/>
                <w:sz w:val="20"/>
              </w:rPr>
              <w:t>Total Sales of Electricity</w:t>
            </w:r>
          </w:p>
        </w:tc>
        <w:tc>
          <w:tcPr>
            <w:tcW w:w="1627" w:type="dxa"/>
          </w:tcPr>
          <w:p w:rsidR="00AC40FC" w:rsidRPr="00332771" w:rsidRDefault="00AC40FC" w:rsidP="00A51C66">
            <w:pPr>
              <w:widowControl w:val="0"/>
              <w:spacing w:before="21" w:after="0"/>
              <w:ind w:left="134"/>
              <w:rPr>
                <w:rFonts w:eastAsia="Arial" w:cs="Arial"/>
                <w:b/>
                <w:sz w:val="20"/>
              </w:rPr>
            </w:pPr>
            <w:r w:rsidRPr="00332771">
              <w:rPr>
                <w:rFonts w:eastAsia="Arial" w:cs="Arial"/>
                <w:b/>
                <w:sz w:val="20"/>
              </w:rPr>
              <w:t>$2,207,240,919</w:t>
            </w:r>
          </w:p>
        </w:tc>
        <w:tc>
          <w:tcPr>
            <w:tcW w:w="1886" w:type="dxa"/>
          </w:tcPr>
          <w:p w:rsidR="00AC40FC" w:rsidRPr="00332771" w:rsidRDefault="00AC40FC" w:rsidP="00A51C66">
            <w:pPr>
              <w:widowControl w:val="0"/>
              <w:spacing w:before="21" w:after="0"/>
              <w:ind w:right="91"/>
              <w:jc w:val="right"/>
              <w:rPr>
                <w:rFonts w:eastAsia="Arial" w:cs="Arial"/>
                <w:b/>
                <w:sz w:val="20"/>
              </w:rPr>
            </w:pPr>
            <w:r w:rsidRPr="00332771">
              <w:rPr>
                <w:rFonts w:eastAsia="Arial" w:cs="Arial"/>
                <w:b/>
                <w:w w:val="95"/>
                <w:sz w:val="20"/>
              </w:rPr>
              <w:t>$1,803,858,982</w:t>
            </w:r>
          </w:p>
        </w:tc>
        <w:tc>
          <w:tcPr>
            <w:tcW w:w="1579" w:type="dxa"/>
          </w:tcPr>
          <w:p w:rsidR="00AC40FC" w:rsidRPr="00332771" w:rsidRDefault="00AC40FC" w:rsidP="00A51C66">
            <w:pPr>
              <w:widowControl w:val="0"/>
              <w:spacing w:before="21" w:after="0"/>
              <w:ind w:right="91"/>
              <w:jc w:val="right"/>
              <w:rPr>
                <w:rFonts w:eastAsia="Arial" w:cs="Arial"/>
                <w:b/>
                <w:sz w:val="20"/>
              </w:rPr>
            </w:pPr>
            <w:r w:rsidRPr="00332771">
              <w:rPr>
                <w:rFonts w:eastAsia="Arial" w:cs="Arial"/>
                <w:b/>
                <w:w w:val="95"/>
                <w:sz w:val="20"/>
              </w:rPr>
              <w:t>$1,567,378,531</w:t>
            </w:r>
          </w:p>
        </w:tc>
        <w:tc>
          <w:tcPr>
            <w:tcW w:w="1579" w:type="dxa"/>
          </w:tcPr>
          <w:p w:rsidR="00AC40FC" w:rsidRPr="00332771" w:rsidRDefault="00AC40FC" w:rsidP="00A51C66">
            <w:pPr>
              <w:widowControl w:val="0"/>
              <w:spacing w:before="21" w:after="0"/>
              <w:ind w:left="86" w:right="-2"/>
              <w:rPr>
                <w:rFonts w:eastAsia="Arial" w:cs="Arial"/>
                <w:b/>
                <w:sz w:val="20"/>
              </w:rPr>
            </w:pPr>
            <w:r w:rsidRPr="00332771">
              <w:rPr>
                <w:rFonts w:eastAsia="Arial" w:cs="Arial"/>
                <w:b/>
                <w:sz w:val="20"/>
              </w:rPr>
              <w:t>$1,648,565,537</w:t>
            </w:r>
          </w:p>
        </w:tc>
        <w:tc>
          <w:tcPr>
            <w:tcW w:w="1627" w:type="dxa"/>
          </w:tcPr>
          <w:p w:rsidR="00AC40FC" w:rsidRPr="00332771" w:rsidRDefault="00AC40FC" w:rsidP="00A51C66">
            <w:pPr>
              <w:widowControl w:val="0"/>
              <w:spacing w:before="21" w:after="0"/>
              <w:ind w:left="134"/>
              <w:rPr>
                <w:rFonts w:eastAsia="Arial" w:cs="Arial"/>
                <w:b/>
                <w:sz w:val="20"/>
              </w:rPr>
            </w:pPr>
            <w:r w:rsidRPr="00332771">
              <w:rPr>
                <w:rFonts w:eastAsia="Arial" w:cs="Arial"/>
                <w:b/>
                <w:sz w:val="20"/>
              </w:rPr>
              <w:t>$1,717,002,685</w:t>
            </w:r>
          </w:p>
        </w:tc>
        <w:tc>
          <w:tcPr>
            <w:tcW w:w="1309" w:type="dxa"/>
          </w:tcPr>
          <w:p w:rsidR="00AC40FC" w:rsidRPr="00332771" w:rsidRDefault="00AC40FC" w:rsidP="00A51C66">
            <w:pPr>
              <w:widowControl w:val="0"/>
              <w:spacing w:before="21" w:after="0"/>
              <w:ind w:left="258" w:right="235"/>
              <w:jc w:val="center"/>
              <w:rPr>
                <w:rFonts w:eastAsia="Arial" w:cs="Arial"/>
                <w:b/>
                <w:sz w:val="20"/>
              </w:rPr>
            </w:pPr>
            <w:r w:rsidRPr="00332771">
              <w:rPr>
                <w:rFonts w:eastAsia="Arial" w:cs="Arial"/>
                <w:b/>
                <w:sz w:val="20"/>
              </w:rPr>
              <w:t>-6.09%</w:t>
            </w:r>
          </w:p>
        </w:tc>
      </w:tr>
      <w:tr w:rsidR="00AC40FC" w:rsidRPr="00332771" w:rsidTr="00A51C66">
        <w:trPr>
          <w:trHeight w:hRule="exact" w:val="276"/>
          <w:jc w:val="center"/>
        </w:trPr>
        <w:tc>
          <w:tcPr>
            <w:tcW w:w="4966" w:type="dxa"/>
          </w:tcPr>
          <w:p w:rsidR="00AC40FC" w:rsidRPr="00332771" w:rsidRDefault="00AC40FC" w:rsidP="00A51C66">
            <w:pPr>
              <w:widowControl w:val="0"/>
              <w:spacing w:before="21" w:after="0"/>
              <w:ind w:left="182"/>
              <w:rPr>
                <w:rFonts w:eastAsia="Arial" w:cs="Arial"/>
                <w:sz w:val="20"/>
              </w:rPr>
            </w:pPr>
            <w:r w:rsidRPr="00332771">
              <w:rPr>
                <w:rFonts w:eastAsia="Arial" w:cs="Arial"/>
                <w:sz w:val="20"/>
              </w:rPr>
              <w:t>Less 449.1 Provision for Rate Refunds</w:t>
            </w:r>
          </w:p>
        </w:tc>
        <w:tc>
          <w:tcPr>
            <w:tcW w:w="1627" w:type="dxa"/>
          </w:tcPr>
          <w:p w:rsidR="00AC40FC" w:rsidRPr="00332771" w:rsidRDefault="00AC40FC" w:rsidP="00A51C66">
            <w:pPr>
              <w:widowControl w:val="0"/>
              <w:spacing w:before="21" w:after="0"/>
              <w:ind w:right="23"/>
              <w:jc w:val="right"/>
              <w:rPr>
                <w:rFonts w:eastAsia="Arial" w:cs="Arial"/>
                <w:sz w:val="20"/>
              </w:rPr>
            </w:pPr>
            <w:r w:rsidRPr="00332771">
              <w:rPr>
                <w:rFonts w:eastAsia="Arial" w:cs="Arial"/>
                <w:w w:val="99"/>
                <w:sz w:val="20"/>
              </w:rPr>
              <w:t>0</w:t>
            </w:r>
          </w:p>
        </w:tc>
        <w:tc>
          <w:tcPr>
            <w:tcW w:w="1886" w:type="dxa"/>
          </w:tcPr>
          <w:p w:rsidR="00AC40FC" w:rsidRPr="00332771" w:rsidRDefault="00AC40FC" w:rsidP="00A51C66">
            <w:pPr>
              <w:widowControl w:val="0"/>
              <w:spacing w:before="21" w:after="0"/>
              <w:ind w:right="23"/>
              <w:jc w:val="right"/>
              <w:rPr>
                <w:rFonts w:eastAsia="Arial" w:cs="Arial"/>
                <w:sz w:val="20"/>
              </w:rPr>
            </w:pPr>
            <w:r w:rsidRPr="00332771">
              <w:rPr>
                <w:rFonts w:eastAsia="Arial" w:cs="Arial"/>
                <w:w w:val="99"/>
                <w:sz w:val="20"/>
              </w:rPr>
              <w:t>0</w:t>
            </w:r>
          </w:p>
        </w:tc>
        <w:tc>
          <w:tcPr>
            <w:tcW w:w="1579" w:type="dxa"/>
          </w:tcPr>
          <w:p w:rsidR="00AC40FC" w:rsidRPr="00332771" w:rsidRDefault="00AC40FC" w:rsidP="00A51C66">
            <w:pPr>
              <w:widowControl w:val="0"/>
              <w:spacing w:before="21" w:after="0"/>
              <w:ind w:right="23"/>
              <w:jc w:val="right"/>
              <w:rPr>
                <w:rFonts w:eastAsia="Arial" w:cs="Arial"/>
                <w:sz w:val="20"/>
              </w:rPr>
            </w:pPr>
            <w:r w:rsidRPr="00332771">
              <w:rPr>
                <w:rFonts w:eastAsia="Arial" w:cs="Arial"/>
                <w:w w:val="99"/>
                <w:sz w:val="20"/>
              </w:rPr>
              <w:t>0</w:t>
            </w:r>
          </w:p>
        </w:tc>
        <w:tc>
          <w:tcPr>
            <w:tcW w:w="1579" w:type="dxa"/>
          </w:tcPr>
          <w:p w:rsidR="00AC40FC" w:rsidRPr="00332771" w:rsidRDefault="00AC40FC" w:rsidP="00A51C66">
            <w:pPr>
              <w:widowControl w:val="0"/>
              <w:spacing w:before="21" w:after="0"/>
              <w:ind w:right="23"/>
              <w:jc w:val="right"/>
              <w:rPr>
                <w:rFonts w:eastAsia="Arial" w:cs="Arial"/>
                <w:sz w:val="20"/>
              </w:rPr>
            </w:pPr>
            <w:r w:rsidRPr="00332771">
              <w:rPr>
                <w:rFonts w:eastAsia="Arial" w:cs="Arial"/>
                <w:w w:val="99"/>
                <w:sz w:val="20"/>
              </w:rPr>
              <w:t>0</w:t>
            </w:r>
          </w:p>
        </w:tc>
        <w:tc>
          <w:tcPr>
            <w:tcW w:w="1627" w:type="dxa"/>
          </w:tcPr>
          <w:p w:rsidR="00AC40FC" w:rsidRPr="00332771" w:rsidRDefault="00AC40FC" w:rsidP="00A51C66">
            <w:pPr>
              <w:widowControl w:val="0"/>
              <w:spacing w:before="21" w:after="0"/>
              <w:ind w:right="23"/>
              <w:jc w:val="right"/>
              <w:rPr>
                <w:rFonts w:eastAsia="Arial" w:cs="Arial"/>
                <w:sz w:val="20"/>
              </w:rPr>
            </w:pPr>
            <w:r w:rsidRPr="00332771">
              <w:rPr>
                <w:rFonts w:eastAsia="Arial" w:cs="Arial"/>
                <w:w w:val="99"/>
                <w:sz w:val="20"/>
              </w:rPr>
              <w:t>0</w:t>
            </w:r>
          </w:p>
        </w:tc>
        <w:tc>
          <w:tcPr>
            <w:tcW w:w="1309" w:type="dxa"/>
          </w:tcPr>
          <w:p w:rsidR="00AC40FC" w:rsidRPr="00332771" w:rsidRDefault="00AC40FC" w:rsidP="00A51C66">
            <w:pPr>
              <w:widowControl w:val="0"/>
              <w:spacing w:before="21" w:after="0"/>
              <w:ind w:left="258" w:right="237"/>
              <w:jc w:val="center"/>
              <w:rPr>
                <w:rFonts w:eastAsia="Arial" w:cs="Arial"/>
                <w:sz w:val="20"/>
              </w:rPr>
            </w:pPr>
            <w:r w:rsidRPr="00332771">
              <w:rPr>
                <w:rFonts w:eastAsia="Arial" w:cs="Arial"/>
                <w:sz w:val="20"/>
              </w:rPr>
              <w:t>NM</w:t>
            </w:r>
          </w:p>
        </w:tc>
      </w:tr>
      <w:tr w:rsidR="00AC40FC" w:rsidRPr="00332771" w:rsidTr="00A51C66">
        <w:trPr>
          <w:trHeight w:hRule="exact" w:val="276"/>
          <w:jc w:val="center"/>
        </w:trPr>
        <w:tc>
          <w:tcPr>
            <w:tcW w:w="4966" w:type="dxa"/>
          </w:tcPr>
          <w:p w:rsidR="00AC40FC" w:rsidRPr="00332771" w:rsidRDefault="00AC40FC" w:rsidP="00A51C66">
            <w:pPr>
              <w:widowControl w:val="0"/>
              <w:spacing w:before="21" w:after="0"/>
              <w:ind w:left="183"/>
              <w:rPr>
                <w:rFonts w:eastAsia="Arial" w:cs="Arial"/>
                <w:sz w:val="20"/>
              </w:rPr>
            </w:pPr>
            <w:r w:rsidRPr="00332771">
              <w:rPr>
                <w:rFonts w:eastAsia="Arial" w:cs="Arial"/>
                <w:sz w:val="20"/>
              </w:rPr>
              <w:t>Other Operating Revenues</w:t>
            </w:r>
          </w:p>
        </w:tc>
        <w:tc>
          <w:tcPr>
            <w:tcW w:w="1627" w:type="dxa"/>
          </w:tcPr>
          <w:p w:rsidR="00AC40FC" w:rsidRPr="00332771" w:rsidRDefault="00AC40FC" w:rsidP="00A51C66">
            <w:pPr>
              <w:widowControl w:val="0"/>
              <w:spacing w:before="21" w:after="0"/>
              <w:ind w:right="23"/>
              <w:jc w:val="right"/>
              <w:rPr>
                <w:rFonts w:eastAsia="Arial" w:cs="Arial"/>
                <w:sz w:val="20"/>
              </w:rPr>
            </w:pPr>
            <w:r w:rsidRPr="00332771">
              <w:rPr>
                <w:rFonts w:eastAsia="Arial" w:cs="Arial"/>
                <w:w w:val="95"/>
                <w:sz w:val="20"/>
              </w:rPr>
              <w:t>295,025,277</w:t>
            </w:r>
          </w:p>
        </w:tc>
        <w:tc>
          <w:tcPr>
            <w:tcW w:w="1886" w:type="dxa"/>
          </w:tcPr>
          <w:p w:rsidR="00AC40FC" w:rsidRPr="00332771" w:rsidRDefault="00AC40FC" w:rsidP="00A51C66">
            <w:pPr>
              <w:widowControl w:val="0"/>
              <w:spacing w:before="21" w:after="0"/>
              <w:ind w:right="23"/>
              <w:jc w:val="right"/>
              <w:rPr>
                <w:rFonts w:eastAsia="Arial" w:cs="Arial"/>
                <w:sz w:val="20"/>
              </w:rPr>
            </w:pPr>
            <w:r w:rsidRPr="00332771">
              <w:rPr>
                <w:rFonts w:eastAsia="Arial" w:cs="Arial"/>
                <w:w w:val="95"/>
                <w:sz w:val="20"/>
              </w:rPr>
              <w:t>154,114,954</w:t>
            </w:r>
          </w:p>
        </w:tc>
        <w:tc>
          <w:tcPr>
            <w:tcW w:w="1579" w:type="dxa"/>
          </w:tcPr>
          <w:p w:rsidR="00AC40FC" w:rsidRPr="00332771" w:rsidRDefault="00AC40FC" w:rsidP="00A51C66">
            <w:pPr>
              <w:widowControl w:val="0"/>
              <w:spacing w:before="21" w:after="0"/>
              <w:ind w:right="23"/>
              <w:jc w:val="right"/>
              <w:rPr>
                <w:rFonts w:eastAsia="Arial" w:cs="Arial"/>
                <w:sz w:val="20"/>
              </w:rPr>
            </w:pPr>
            <w:r w:rsidRPr="00332771">
              <w:rPr>
                <w:rFonts w:eastAsia="Arial" w:cs="Arial"/>
                <w:w w:val="95"/>
                <w:sz w:val="20"/>
              </w:rPr>
              <w:t>257,343,667</w:t>
            </w:r>
          </w:p>
        </w:tc>
        <w:tc>
          <w:tcPr>
            <w:tcW w:w="1579" w:type="dxa"/>
          </w:tcPr>
          <w:p w:rsidR="00AC40FC" w:rsidRPr="00332771" w:rsidRDefault="00AC40FC" w:rsidP="00A51C66">
            <w:pPr>
              <w:widowControl w:val="0"/>
              <w:spacing w:before="21" w:after="0"/>
              <w:ind w:right="23"/>
              <w:jc w:val="right"/>
              <w:rPr>
                <w:rFonts w:eastAsia="Arial" w:cs="Arial"/>
                <w:sz w:val="20"/>
              </w:rPr>
            </w:pPr>
            <w:r w:rsidRPr="00332771">
              <w:rPr>
                <w:rFonts w:eastAsia="Arial" w:cs="Arial"/>
                <w:w w:val="95"/>
                <w:sz w:val="20"/>
              </w:rPr>
              <w:t>307,696,941</w:t>
            </w:r>
          </w:p>
        </w:tc>
        <w:tc>
          <w:tcPr>
            <w:tcW w:w="1627" w:type="dxa"/>
          </w:tcPr>
          <w:p w:rsidR="00AC40FC" w:rsidRPr="00332771" w:rsidRDefault="00AC40FC" w:rsidP="00A51C66">
            <w:pPr>
              <w:widowControl w:val="0"/>
              <w:spacing w:before="21" w:after="0"/>
              <w:ind w:right="23"/>
              <w:jc w:val="right"/>
              <w:rPr>
                <w:rFonts w:eastAsia="Arial" w:cs="Arial"/>
                <w:sz w:val="20"/>
              </w:rPr>
            </w:pPr>
            <w:r w:rsidRPr="00332771">
              <w:rPr>
                <w:rFonts w:eastAsia="Arial" w:cs="Arial"/>
                <w:w w:val="95"/>
                <w:sz w:val="20"/>
              </w:rPr>
              <w:t>401,540,098</w:t>
            </w:r>
          </w:p>
        </w:tc>
        <w:tc>
          <w:tcPr>
            <w:tcW w:w="1309" w:type="dxa"/>
          </w:tcPr>
          <w:p w:rsidR="00AC40FC" w:rsidRPr="00332771" w:rsidRDefault="00AC40FC" w:rsidP="00A51C66">
            <w:pPr>
              <w:widowControl w:val="0"/>
              <w:spacing w:before="21" w:after="0"/>
              <w:ind w:left="258" w:right="238"/>
              <w:jc w:val="center"/>
              <w:rPr>
                <w:rFonts w:eastAsia="Arial" w:cs="Arial"/>
                <w:sz w:val="20"/>
              </w:rPr>
            </w:pPr>
            <w:r w:rsidRPr="00332771">
              <w:rPr>
                <w:rFonts w:eastAsia="Arial" w:cs="Arial"/>
                <w:sz w:val="20"/>
              </w:rPr>
              <w:t>8.01%</w:t>
            </w:r>
          </w:p>
        </w:tc>
      </w:tr>
      <w:tr w:rsidR="00AC40FC" w:rsidRPr="00332771" w:rsidTr="00A51C66">
        <w:trPr>
          <w:trHeight w:hRule="exact" w:val="245"/>
          <w:jc w:val="center"/>
        </w:trPr>
        <w:tc>
          <w:tcPr>
            <w:tcW w:w="4966" w:type="dxa"/>
          </w:tcPr>
          <w:p w:rsidR="00AC40FC" w:rsidRPr="00332771" w:rsidRDefault="00AC40FC" w:rsidP="00A51C66">
            <w:pPr>
              <w:widowControl w:val="0"/>
              <w:spacing w:after="0" w:line="220" w:lineRule="exact"/>
              <w:ind w:right="29"/>
              <w:jc w:val="right"/>
              <w:rPr>
                <w:rFonts w:eastAsia="Arial" w:cs="Arial"/>
                <w:b/>
                <w:sz w:val="20"/>
              </w:rPr>
            </w:pPr>
            <w:r w:rsidRPr="00332771">
              <w:rPr>
                <w:rFonts w:eastAsia="Arial" w:cs="Arial"/>
                <w:b/>
                <w:sz w:val="20"/>
              </w:rPr>
              <w:t>Total Electric Operating Revenues</w:t>
            </w:r>
          </w:p>
        </w:tc>
        <w:tc>
          <w:tcPr>
            <w:tcW w:w="1627" w:type="dxa"/>
          </w:tcPr>
          <w:p w:rsidR="00AC40FC" w:rsidRPr="00332771" w:rsidRDefault="00AC40FC" w:rsidP="00A51C66">
            <w:pPr>
              <w:widowControl w:val="0"/>
              <w:spacing w:after="0" w:line="220" w:lineRule="exact"/>
              <w:ind w:left="131"/>
              <w:rPr>
                <w:rFonts w:eastAsia="Arial" w:cs="Arial"/>
                <w:b/>
                <w:sz w:val="20"/>
              </w:rPr>
            </w:pPr>
            <w:r w:rsidRPr="00332771">
              <w:rPr>
                <w:rFonts w:eastAsia="Arial" w:cs="Arial"/>
                <w:b/>
                <w:sz w:val="20"/>
              </w:rPr>
              <w:t>$2,502,266,196</w:t>
            </w:r>
          </w:p>
        </w:tc>
        <w:tc>
          <w:tcPr>
            <w:tcW w:w="1886" w:type="dxa"/>
          </w:tcPr>
          <w:p w:rsidR="00AC40FC" w:rsidRPr="00332771" w:rsidRDefault="00AC40FC" w:rsidP="00A51C66">
            <w:pPr>
              <w:widowControl w:val="0"/>
              <w:spacing w:after="0" w:line="220" w:lineRule="exact"/>
              <w:ind w:right="94"/>
              <w:jc w:val="right"/>
              <w:rPr>
                <w:rFonts w:eastAsia="Arial" w:cs="Arial"/>
                <w:b/>
                <w:sz w:val="20"/>
              </w:rPr>
            </w:pPr>
            <w:r w:rsidRPr="00332771">
              <w:rPr>
                <w:rFonts w:eastAsia="Arial" w:cs="Arial"/>
                <w:b/>
                <w:w w:val="95"/>
                <w:sz w:val="20"/>
              </w:rPr>
              <w:t>$1,957,973,936</w:t>
            </w:r>
          </w:p>
        </w:tc>
        <w:tc>
          <w:tcPr>
            <w:tcW w:w="1579" w:type="dxa"/>
          </w:tcPr>
          <w:p w:rsidR="00AC40FC" w:rsidRPr="00332771" w:rsidRDefault="00AC40FC" w:rsidP="00A51C66">
            <w:pPr>
              <w:widowControl w:val="0"/>
              <w:spacing w:after="0" w:line="220" w:lineRule="exact"/>
              <w:ind w:right="94"/>
              <w:jc w:val="right"/>
              <w:rPr>
                <w:rFonts w:eastAsia="Arial" w:cs="Arial"/>
                <w:b/>
                <w:sz w:val="20"/>
              </w:rPr>
            </w:pPr>
            <w:r w:rsidRPr="00332771">
              <w:rPr>
                <w:rFonts w:eastAsia="Arial" w:cs="Arial"/>
                <w:b/>
                <w:w w:val="95"/>
                <w:sz w:val="20"/>
              </w:rPr>
              <w:t>$1,824,722,198</w:t>
            </w:r>
          </w:p>
        </w:tc>
        <w:tc>
          <w:tcPr>
            <w:tcW w:w="1579" w:type="dxa"/>
          </w:tcPr>
          <w:p w:rsidR="00AC40FC" w:rsidRPr="00332771" w:rsidRDefault="00AC40FC" w:rsidP="00A51C66">
            <w:pPr>
              <w:widowControl w:val="0"/>
              <w:spacing w:after="0" w:line="220" w:lineRule="exact"/>
              <w:ind w:left="84" w:right="-2"/>
              <w:rPr>
                <w:rFonts w:eastAsia="Arial" w:cs="Arial"/>
                <w:b/>
                <w:sz w:val="20"/>
              </w:rPr>
            </w:pPr>
            <w:r w:rsidRPr="00332771">
              <w:rPr>
                <w:rFonts w:eastAsia="Arial" w:cs="Arial"/>
                <w:b/>
                <w:sz w:val="20"/>
              </w:rPr>
              <w:t>$1,956,262,478</w:t>
            </w:r>
          </w:p>
        </w:tc>
        <w:tc>
          <w:tcPr>
            <w:tcW w:w="1627" w:type="dxa"/>
          </w:tcPr>
          <w:p w:rsidR="00AC40FC" w:rsidRPr="00332771" w:rsidRDefault="00AC40FC" w:rsidP="00A51C66">
            <w:pPr>
              <w:widowControl w:val="0"/>
              <w:spacing w:after="0" w:line="220" w:lineRule="exact"/>
              <w:ind w:left="131"/>
              <w:rPr>
                <w:rFonts w:eastAsia="Arial" w:cs="Arial"/>
                <w:b/>
                <w:sz w:val="20"/>
              </w:rPr>
            </w:pPr>
            <w:r w:rsidRPr="00332771">
              <w:rPr>
                <w:rFonts w:eastAsia="Arial" w:cs="Arial"/>
                <w:b/>
                <w:sz w:val="20"/>
              </w:rPr>
              <w:t>$2,118,542,783</w:t>
            </w:r>
          </w:p>
        </w:tc>
        <w:tc>
          <w:tcPr>
            <w:tcW w:w="1309" w:type="dxa"/>
          </w:tcPr>
          <w:p w:rsidR="00AC40FC" w:rsidRPr="00332771" w:rsidRDefault="00AC40FC" w:rsidP="00A51C66">
            <w:pPr>
              <w:widowControl w:val="0"/>
              <w:spacing w:after="0" w:line="220" w:lineRule="exact"/>
              <w:ind w:left="258" w:right="240"/>
              <w:jc w:val="center"/>
              <w:rPr>
                <w:rFonts w:eastAsia="Arial" w:cs="Arial"/>
                <w:b/>
                <w:sz w:val="20"/>
              </w:rPr>
            </w:pPr>
            <w:r w:rsidRPr="00332771">
              <w:rPr>
                <w:rFonts w:eastAsia="Arial" w:cs="Arial"/>
                <w:b/>
                <w:sz w:val="20"/>
              </w:rPr>
              <w:t>-4.08%</w:t>
            </w:r>
          </w:p>
        </w:tc>
      </w:tr>
    </w:tbl>
    <w:p w:rsidR="00AC40FC" w:rsidRDefault="00AC40FC"/>
    <w:p w:rsidR="00AC40FC" w:rsidRDefault="00AC40FC">
      <w:r>
        <w:br w:type="page"/>
      </w:r>
    </w:p>
    <w:p w:rsidR="00AC40FC" w:rsidRDefault="00AC40FC" w:rsidP="005E47C4">
      <w:pPr>
        <w:pStyle w:val="Caption"/>
      </w:pPr>
      <w:bookmarkStart w:id="469" w:name="_Toc462648518"/>
      <w:bookmarkStart w:id="470" w:name="_Toc464553140"/>
      <w:r>
        <w:lastRenderedPageBreak/>
        <w:t xml:space="preserve">Exhibit </w:t>
      </w:r>
      <w:fldSimple w:instr=" STYLEREF 6 \s ">
        <w:r w:rsidR="00A24205">
          <w:rPr>
            <w:noProof/>
          </w:rPr>
          <w:t>A</w:t>
        </w:r>
      </w:fldSimple>
      <w:r>
        <w:noBreakHyphen/>
      </w:r>
      <w:fldSimple w:instr=" SEQ Exhibit_Apx \* ARABIC \s 6 ">
        <w:r w:rsidR="00A24205">
          <w:rPr>
            <w:noProof/>
          </w:rPr>
          <w:t>2</w:t>
        </w:r>
      </w:fldSimple>
      <w:r>
        <w:br/>
        <w:t>Kilowatt Hours Sold (kWh)</w:t>
      </w:r>
      <w:bookmarkEnd w:id="469"/>
      <w:bookmarkEnd w:id="470"/>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4966"/>
        <w:gridCol w:w="1627"/>
        <w:gridCol w:w="1886"/>
        <w:gridCol w:w="1579"/>
        <w:gridCol w:w="1579"/>
        <w:gridCol w:w="1627"/>
        <w:gridCol w:w="1308"/>
      </w:tblGrid>
      <w:tr w:rsidR="00AC40FC" w:rsidRPr="00332771" w:rsidTr="00A51C66">
        <w:trPr>
          <w:trHeight w:hRule="exact" w:val="492"/>
          <w:jc w:val="center"/>
        </w:trPr>
        <w:tc>
          <w:tcPr>
            <w:tcW w:w="4966" w:type="dxa"/>
            <w:shd w:val="clear" w:color="auto" w:fill="A5CD7E"/>
          </w:tcPr>
          <w:p w:rsidR="00AC40FC" w:rsidRPr="00332771" w:rsidRDefault="00AC40FC" w:rsidP="00A51C66">
            <w:pPr>
              <w:widowControl w:val="0"/>
              <w:spacing w:before="122" w:after="0"/>
              <w:ind w:left="28"/>
              <w:rPr>
                <w:rFonts w:eastAsia="Arial" w:cs="Arial"/>
                <w:b/>
                <w:sz w:val="20"/>
              </w:rPr>
            </w:pPr>
            <w:r w:rsidRPr="00332771">
              <w:rPr>
                <w:rFonts w:eastAsia="Arial" w:cs="Arial"/>
                <w:b/>
                <w:sz w:val="20"/>
              </w:rPr>
              <w:t>Kilowatt Hours Sold (kWh)</w:t>
            </w:r>
          </w:p>
        </w:tc>
        <w:tc>
          <w:tcPr>
            <w:tcW w:w="1627" w:type="dxa"/>
            <w:shd w:val="clear" w:color="auto" w:fill="A5CD7E"/>
          </w:tcPr>
          <w:p w:rsidR="00AC40FC" w:rsidRPr="00332771" w:rsidRDefault="00AC40FC" w:rsidP="00A51C66">
            <w:pPr>
              <w:widowControl w:val="0"/>
              <w:spacing w:before="122" w:after="0"/>
              <w:ind w:left="571" w:right="552"/>
              <w:jc w:val="center"/>
              <w:rPr>
                <w:rFonts w:eastAsia="Arial" w:cs="Arial"/>
                <w:b/>
                <w:sz w:val="20"/>
              </w:rPr>
            </w:pPr>
            <w:r w:rsidRPr="00332771">
              <w:rPr>
                <w:rFonts w:eastAsia="Arial" w:cs="Arial"/>
                <w:b/>
                <w:sz w:val="20"/>
              </w:rPr>
              <w:t>2010</w:t>
            </w:r>
          </w:p>
        </w:tc>
        <w:tc>
          <w:tcPr>
            <w:tcW w:w="1886" w:type="dxa"/>
            <w:shd w:val="clear" w:color="auto" w:fill="A5CD7E"/>
          </w:tcPr>
          <w:p w:rsidR="00AC40FC" w:rsidRPr="00332771" w:rsidRDefault="00AC40FC" w:rsidP="00A51C66">
            <w:pPr>
              <w:widowControl w:val="0"/>
              <w:spacing w:before="122" w:after="0"/>
              <w:ind w:left="700" w:right="682"/>
              <w:jc w:val="center"/>
              <w:rPr>
                <w:rFonts w:eastAsia="Arial" w:cs="Arial"/>
                <w:b/>
                <w:sz w:val="20"/>
              </w:rPr>
            </w:pPr>
            <w:r w:rsidRPr="00332771">
              <w:rPr>
                <w:rFonts w:eastAsia="Arial" w:cs="Arial"/>
                <w:b/>
                <w:sz w:val="20"/>
              </w:rPr>
              <w:t>2011</w:t>
            </w:r>
          </w:p>
        </w:tc>
        <w:tc>
          <w:tcPr>
            <w:tcW w:w="1579" w:type="dxa"/>
            <w:shd w:val="clear" w:color="auto" w:fill="A5CD7E"/>
          </w:tcPr>
          <w:p w:rsidR="00AC40FC" w:rsidRPr="00332771" w:rsidRDefault="00AC40FC" w:rsidP="00A51C66">
            <w:pPr>
              <w:widowControl w:val="0"/>
              <w:spacing w:before="122" w:after="0"/>
              <w:ind w:left="547" w:right="528"/>
              <w:jc w:val="center"/>
              <w:rPr>
                <w:rFonts w:eastAsia="Arial" w:cs="Arial"/>
                <w:b/>
                <w:sz w:val="20"/>
              </w:rPr>
            </w:pPr>
            <w:r w:rsidRPr="00332771">
              <w:rPr>
                <w:rFonts w:eastAsia="Arial" w:cs="Arial"/>
                <w:b/>
                <w:sz w:val="20"/>
              </w:rPr>
              <w:t>2012</w:t>
            </w:r>
          </w:p>
        </w:tc>
        <w:tc>
          <w:tcPr>
            <w:tcW w:w="1579" w:type="dxa"/>
            <w:shd w:val="clear" w:color="auto" w:fill="A5CD7E"/>
          </w:tcPr>
          <w:p w:rsidR="00AC40FC" w:rsidRPr="00332771" w:rsidRDefault="00AC40FC" w:rsidP="00A51C66">
            <w:pPr>
              <w:widowControl w:val="0"/>
              <w:spacing w:before="122" w:after="0"/>
              <w:ind w:left="547" w:right="528"/>
              <w:jc w:val="center"/>
              <w:rPr>
                <w:rFonts w:eastAsia="Arial" w:cs="Arial"/>
                <w:b/>
                <w:sz w:val="20"/>
              </w:rPr>
            </w:pPr>
            <w:r w:rsidRPr="00332771">
              <w:rPr>
                <w:rFonts w:eastAsia="Arial" w:cs="Arial"/>
                <w:b/>
                <w:sz w:val="20"/>
              </w:rPr>
              <w:t>2013</w:t>
            </w:r>
          </w:p>
        </w:tc>
        <w:tc>
          <w:tcPr>
            <w:tcW w:w="1627" w:type="dxa"/>
            <w:shd w:val="clear" w:color="auto" w:fill="A5CD7E"/>
          </w:tcPr>
          <w:p w:rsidR="00AC40FC" w:rsidRPr="00332771" w:rsidRDefault="00AC40FC" w:rsidP="00A51C66">
            <w:pPr>
              <w:widowControl w:val="0"/>
              <w:spacing w:before="122" w:after="0"/>
              <w:ind w:left="571" w:right="552"/>
              <w:jc w:val="center"/>
              <w:rPr>
                <w:rFonts w:eastAsia="Arial" w:cs="Arial"/>
                <w:b/>
                <w:sz w:val="20"/>
              </w:rPr>
            </w:pPr>
            <w:r w:rsidRPr="00332771">
              <w:rPr>
                <w:rFonts w:eastAsia="Arial" w:cs="Arial"/>
                <w:b/>
                <w:sz w:val="20"/>
              </w:rPr>
              <w:t>2014</w:t>
            </w:r>
          </w:p>
        </w:tc>
        <w:tc>
          <w:tcPr>
            <w:tcW w:w="1308" w:type="dxa"/>
            <w:shd w:val="clear" w:color="auto" w:fill="A5CD7E"/>
          </w:tcPr>
          <w:p w:rsidR="00AC40FC" w:rsidRPr="00332771" w:rsidRDefault="00AC40FC" w:rsidP="00A51C66">
            <w:pPr>
              <w:widowControl w:val="0"/>
              <w:spacing w:after="0" w:line="268" w:lineRule="auto"/>
              <w:ind w:left="295" w:right="96" w:hanging="178"/>
              <w:rPr>
                <w:rFonts w:eastAsia="Arial" w:cs="Arial"/>
                <w:b/>
                <w:sz w:val="20"/>
              </w:rPr>
            </w:pPr>
            <w:r w:rsidRPr="00332771">
              <w:rPr>
                <w:rFonts w:eastAsia="Arial" w:cs="Arial"/>
                <w:b/>
                <w:sz w:val="20"/>
              </w:rPr>
              <w:t>Compound Growth</w:t>
            </w:r>
          </w:p>
        </w:tc>
      </w:tr>
      <w:tr w:rsidR="00AC40FC" w:rsidRPr="00332771" w:rsidTr="00A51C66">
        <w:trPr>
          <w:trHeight w:hRule="exact" w:val="245"/>
          <w:jc w:val="center"/>
        </w:trPr>
        <w:tc>
          <w:tcPr>
            <w:tcW w:w="4966" w:type="dxa"/>
          </w:tcPr>
          <w:p w:rsidR="00AC40FC" w:rsidRPr="00332771" w:rsidRDefault="00AC40FC" w:rsidP="00A51C66">
            <w:pPr>
              <w:widowControl w:val="0"/>
              <w:spacing w:after="0" w:line="218" w:lineRule="exact"/>
              <w:ind w:left="28"/>
              <w:rPr>
                <w:rFonts w:eastAsia="Arial" w:cs="Arial"/>
                <w:b/>
                <w:sz w:val="20"/>
              </w:rPr>
            </w:pPr>
            <w:r w:rsidRPr="00332771">
              <w:rPr>
                <w:rFonts w:eastAsia="Arial" w:cs="Arial"/>
                <w:b/>
                <w:sz w:val="20"/>
              </w:rPr>
              <w:t>ELECTRIC DISTRIBUTION SALES</w:t>
            </w:r>
          </w:p>
        </w:tc>
        <w:tc>
          <w:tcPr>
            <w:tcW w:w="1627" w:type="dxa"/>
          </w:tcPr>
          <w:p w:rsidR="00AC40FC" w:rsidRPr="00332771" w:rsidRDefault="00AC40FC" w:rsidP="00A51C66">
            <w:pPr>
              <w:widowControl w:val="0"/>
              <w:spacing w:after="0"/>
              <w:rPr>
                <w:rFonts w:eastAsia="Arial" w:cs="Arial"/>
              </w:rPr>
            </w:pPr>
          </w:p>
        </w:tc>
        <w:tc>
          <w:tcPr>
            <w:tcW w:w="1886" w:type="dxa"/>
          </w:tcPr>
          <w:p w:rsidR="00AC40FC" w:rsidRPr="00332771" w:rsidRDefault="00AC40FC" w:rsidP="00A51C66">
            <w:pPr>
              <w:widowControl w:val="0"/>
              <w:spacing w:after="0"/>
              <w:rPr>
                <w:rFonts w:eastAsia="Arial" w:cs="Arial"/>
              </w:rPr>
            </w:pPr>
          </w:p>
        </w:tc>
        <w:tc>
          <w:tcPr>
            <w:tcW w:w="1579" w:type="dxa"/>
          </w:tcPr>
          <w:p w:rsidR="00AC40FC" w:rsidRPr="00332771" w:rsidRDefault="00AC40FC" w:rsidP="00A51C66">
            <w:pPr>
              <w:widowControl w:val="0"/>
              <w:spacing w:after="0"/>
              <w:rPr>
                <w:rFonts w:eastAsia="Arial" w:cs="Arial"/>
              </w:rPr>
            </w:pPr>
          </w:p>
        </w:tc>
        <w:tc>
          <w:tcPr>
            <w:tcW w:w="1579" w:type="dxa"/>
          </w:tcPr>
          <w:p w:rsidR="00AC40FC" w:rsidRPr="00332771" w:rsidRDefault="00AC40FC" w:rsidP="00A51C66">
            <w:pPr>
              <w:widowControl w:val="0"/>
              <w:spacing w:after="0"/>
              <w:rPr>
                <w:rFonts w:eastAsia="Arial" w:cs="Arial"/>
              </w:rPr>
            </w:pPr>
          </w:p>
        </w:tc>
        <w:tc>
          <w:tcPr>
            <w:tcW w:w="1627" w:type="dxa"/>
          </w:tcPr>
          <w:p w:rsidR="00AC40FC" w:rsidRPr="00332771" w:rsidRDefault="00AC40FC" w:rsidP="00A51C66">
            <w:pPr>
              <w:widowControl w:val="0"/>
              <w:spacing w:after="0"/>
              <w:rPr>
                <w:rFonts w:eastAsia="Arial" w:cs="Arial"/>
              </w:rPr>
            </w:pPr>
          </w:p>
        </w:tc>
        <w:tc>
          <w:tcPr>
            <w:tcW w:w="1308" w:type="dxa"/>
          </w:tcPr>
          <w:p w:rsidR="00AC40FC" w:rsidRPr="00332771" w:rsidRDefault="00AC40FC" w:rsidP="00A51C66">
            <w:pPr>
              <w:widowControl w:val="0"/>
              <w:spacing w:after="0"/>
              <w:rPr>
                <w:rFonts w:eastAsia="Arial" w:cs="Arial"/>
              </w:rPr>
            </w:pPr>
          </w:p>
        </w:tc>
      </w:tr>
      <w:tr w:rsidR="00AC40FC" w:rsidRPr="00332771" w:rsidTr="00A51C66">
        <w:trPr>
          <w:trHeight w:hRule="exact" w:val="245"/>
          <w:jc w:val="center"/>
        </w:trPr>
        <w:tc>
          <w:tcPr>
            <w:tcW w:w="4966" w:type="dxa"/>
          </w:tcPr>
          <w:p w:rsidR="00AC40FC" w:rsidRPr="00332771" w:rsidRDefault="00AC40FC" w:rsidP="00A51C66">
            <w:pPr>
              <w:widowControl w:val="0"/>
              <w:spacing w:after="0" w:line="220" w:lineRule="exact"/>
              <w:ind w:left="179"/>
              <w:rPr>
                <w:rFonts w:eastAsia="Arial" w:cs="Arial"/>
                <w:sz w:val="20"/>
              </w:rPr>
            </w:pPr>
            <w:r w:rsidRPr="00332771">
              <w:rPr>
                <w:rFonts w:eastAsia="Arial" w:cs="Arial"/>
                <w:sz w:val="20"/>
              </w:rPr>
              <w:t>440 Residential Sales</w:t>
            </w:r>
          </w:p>
        </w:tc>
        <w:tc>
          <w:tcPr>
            <w:tcW w:w="1627" w:type="dxa"/>
          </w:tcPr>
          <w:p w:rsidR="00AC40FC" w:rsidRPr="00332771" w:rsidRDefault="00AC40FC" w:rsidP="00A51C66">
            <w:pPr>
              <w:widowControl w:val="0"/>
              <w:spacing w:after="0" w:line="220" w:lineRule="exact"/>
              <w:ind w:right="27"/>
              <w:jc w:val="right"/>
              <w:rPr>
                <w:rFonts w:eastAsia="Arial" w:cs="Arial"/>
                <w:sz w:val="20"/>
              </w:rPr>
            </w:pPr>
            <w:r w:rsidRPr="00332771">
              <w:rPr>
                <w:rFonts w:eastAsia="Arial" w:cs="Arial"/>
                <w:w w:val="95"/>
                <w:sz w:val="20"/>
              </w:rPr>
              <w:t>14,273,914,000</w:t>
            </w:r>
          </w:p>
        </w:tc>
        <w:tc>
          <w:tcPr>
            <w:tcW w:w="1886" w:type="dxa"/>
          </w:tcPr>
          <w:p w:rsidR="00AC40FC" w:rsidRPr="00332771" w:rsidRDefault="00AC40FC" w:rsidP="00A51C66">
            <w:pPr>
              <w:widowControl w:val="0"/>
              <w:spacing w:after="0" w:line="220" w:lineRule="exact"/>
              <w:ind w:right="27"/>
              <w:jc w:val="right"/>
              <w:rPr>
                <w:rFonts w:eastAsia="Arial" w:cs="Arial"/>
                <w:sz w:val="20"/>
              </w:rPr>
            </w:pPr>
            <w:r w:rsidRPr="00332771">
              <w:rPr>
                <w:rFonts w:eastAsia="Arial" w:cs="Arial"/>
                <w:w w:val="95"/>
                <w:sz w:val="20"/>
              </w:rPr>
              <w:t>14,281,322,000</w:t>
            </w:r>
          </w:p>
        </w:tc>
        <w:tc>
          <w:tcPr>
            <w:tcW w:w="1579" w:type="dxa"/>
          </w:tcPr>
          <w:p w:rsidR="00AC40FC" w:rsidRPr="00332771" w:rsidRDefault="00AC40FC" w:rsidP="00A51C66">
            <w:pPr>
              <w:widowControl w:val="0"/>
              <w:spacing w:after="0" w:line="220" w:lineRule="exact"/>
              <w:ind w:right="27"/>
              <w:jc w:val="right"/>
              <w:rPr>
                <w:rFonts w:eastAsia="Arial" w:cs="Arial"/>
                <w:sz w:val="20"/>
              </w:rPr>
            </w:pPr>
            <w:r w:rsidRPr="00332771">
              <w:rPr>
                <w:rFonts w:eastAsia="Arial" w:cs="Arial"/>
                <w:w w:val="95"/>
                <w:sz w:val="20"/>
              </w:rPr>
              <w:t>13,697,500,000</w:t>
            </w:r>
          </w:p>
        </w:tc>
        <w:tc>
          <w:tcPr>
            <w:tcW w:w="1579" w:type="dxa"/>
          </w:tcPr>
          <w:p w:rsidR="00AC40FC" w:rsidRPr="00332771" w:rsidRDefault="00AC40FC" w:rsidP="00A51C66">
            <w:pPr>
              <w:widowControl w:val="0"/>
              <w:spacing w:after="0" w:line="220" w:lineRule="exact"/>
              <w:ind w:left="151" w:right="-2"/>
              <w:rPr>
                <w:rFonts w:eastAsia="Arial" w:cs="Arial"/>
                <w:sz w:val="20"/>
              </w:rPr>
            </w:pPr>
            <w:r w:rsidRPr="00332771">
              <w:rPr>
                <w:rFonts w:eastAsia="Arial" w:cs="Arial"/>
                <w:sz w:val="20"/>
              </w:rPr>
              <w:t>14,352,819,000</w:t>
            </w:r>
          </w:p>
        </w:tc>
        <w:tc>
          <w:tcPr>
            <w:tcW w:w="1627" w:type="dxa"/>
          </w:tcPr>
          <w:p w:rsidR="00AC40FC" w:rsidRPr="00332771" w:rsidRDefault="00AC40FC" w:rsidP="00A51C66">
            <w:pPr>
              <w:widowControl w:val="0"/>
              <w:spacing w:after="0" w:line="220" w:lineRule="exact"/>
              <w:ind w:right="27"/>
              <w:jc w:val="right"/>
              <w:rPr>
                <w:rFonts w:eastAsia="Arial" w:cs="Arial"/>
                <w:sz w:val="20"/>
              </w:rPr>
            </w:pPr>
            <w:r w:rsidRPr="00332771">
              <w:rPr>
                <w:rFonts w:eastAsia="Arial" w:cs="Arial"/>
                <w:w w:val="95"/>
                <w:sz w:val="20"/>
              </w:rPr>
              <w:t>14,441,488,000</w:t>
            </w:r>
          </w:p>
        </w:tc>
        <w:tc>
          <w:tcPr>
            <w:tcW w:w="1308" w:type="dxa"/>
          </w:tcPr>
          <w:p w:rsidR="00AC40FC" w:rsidRPr="00332771" w:rsidRDefault="00AC40FC" w:rsidP="00A51C66">
            <w:pPr>
              <w:widowControl w:val="0"/>
              <w:spacing w:after="0" w:line="220" w:lineRule="exact"/>
              <w:ind w:left="256" w:right="243"/>
              <w:jc w:val="center"/>
              <w:rPr>
                <w:rFonts w:eastAsia="Arial" w:cs="Arial"/>
                <w:sz w:val="20"/>
              </w:rPr>
            </w:pPr>
            <w:r w:rsidRPr="00332771">
              <w:rPr>
                <w:rFonts w:eastAsia="Arial" w:cs="Arial"/>
                <w:sz w:val="20"/>
              </w:rPr>
              <w:t>0.29%</w:t>
            </w:r>
          </w:p>
        </w:tc>
      </w:tr>
      <w:tr w:rsidR="00AC40FC" w:rsidRPr="00332771" w:rsidTr="00A51C66">
        <w:trPr>
          <w:trHeight w:hRule="exact" w:val="245"/>
          <w:jc w:val="center"/>
        </w:trPr>
        <w:tc>
          <w:tcPr>
            <w:tcW w:w="4966" w:type="dxa"/>
          </w:tcPr>
          <w:p w:rsidR="00AC40FC" w:rsidRPr="00332771" w:rsidRDefault="00AC40FC" w:rsidP="00A51C66">
            <w:pPr>
              <w:widowControl w:val="0"/>
              <w:spacing w:after="0" w:line="220" w:lineRule="exact"/>
              <w:ind w:left="180"/>
              <w:rPr>
                <w:rFonts w:eastAsia="Arial" w:cs="Arial"/>
                <w:sz w:val="20"/>
              </w:rPr>
            </w:pPr>
            <w:r w:rsidRPr="00332771">
              <w:rPr>
                <w:rFonts w:eastAsia="Arial" w:cs="Arial"/>
                <w:sz w:val="20"/>
              </w:rPr>
              <w:t>442 Commercial Sales</w:t>
            </w:r>
          </w:p>
        </w:tc>
        <w:tc>
          <w:tcPr>
            <w:tcW w:w="1627" w:type="dxa"/>
          </w:tcPr>
          <w:p w:rsidR="00AC40FC" w:rsidRPr="00332771" w:rsidRDefault="00AC40FC" w:rsidP="00A51C66">
            <w:pPr>
              <w:widowControl w:val="0"/>
              <w:spacing w:after="0" w:line="220" w:lineRule="exact"/>
              <w:ind w:right="27"/>
              <w:jc w:val="right"/>
              <w:rPr>
                <w:rFonts w:eastAsia="Arial" w:cs="Arial"/>
                <w:sz w:val="20"/>
              </w:rPr>
            </w:pPr>
            <w:r w:rsidRPr="00332771">
              <w:rPr>
                <w:rFonts w:eastAsia="Arial" w:cs="Arial"/>
                <w:w w:val="95"/>
                <w:sz w:val="20"/>
              </w:rPr>
              <w:t>14,107,201,000</w:t>
            </w:r>
          </w:p>
        </w:tc>
        <w:tc>
          <w:tcPr>
            <w:tcW w:w="1886" w:type="dxa"/>
          </w:tcPr>
          <w:p w:rsidR="00AC40FC" w:rsidRPr="00332771" w:rsidRDefault="00AC40FC" w:rsidP="00A51C66">
            <w:pPr>
              <w:widowControl w:val="0"/>
              <w:spacing w:after="0" w:line="220" w:lineRule="exact"/>
              <w:ind w:right="27"/>
              <w:jc w:val="right"/>
              <w:rPr>
                <w:rFonts w:eastAsia="Arial" w:cs="Arial"/>
                <w:sz w:val="20"/>
              </w:rPr>
            </w:pPr>
            <w:r w:rsidRPr="00332771">
              <w:rPr>
                <w:rFonts w:eastAsia="Arial" w:cs="Arial"/>
                <w:w w:val="95"/>
                <w:sz w:val="20"/>
              </w:rPr>
              <w:t>14,132,339,000</w:t>
            </w:r>
          </w:p>
        </w:tc>
        <w:tc>
          <w:tcPr>
            <w:tcW w:w="1579" w:type="dxa"/>
          </w:tcPr>
          <w:p w:rsidR="00AC40FC" w:rsidRPr="00332771" w:rsidRDefault="00AC40FC" w:rsidP="00A51C66">
            <w:pPr>
              <w:widowControl w:val="0"/>
              <w:spacing w:after="0" w:line="220" w:lineRule="exact"/>
              <w:ind w:right="27"/>
              <w:jc w:val="right"/>
              <w:rPr>
                <w:rFonts w:eastAsia="Arial" w:cs="Arial"/>
                <w:sz w:val="20"/>
              </w:rPr>
            </w:pPr>
            <w:r w:rsidRPr="00332771">
              <w:rPr>
                <w:rFonts w:eastAsia="Arial" w:cs="Arial"/>
                <w:w w:val="95"/>
                <w:sz w:val="20"/>
              </w:rPr>
              <w:t>13,917,493,000</w:t>
            </w:r>
          </w:p>
        </w:tc>
        <w:tc>
          <w:tcPr>
            <w:tcW w:w="1579" w:type="dxa"/>
          </w:tcPr>
          <w:p w:rsidR="00AC40FC" w:rsidRPr="00332771" w:rsidRDefault="00AC40FC" w:rsidP="00A51C66">
            <w:pPr>
              <w:widowControl w:val="0"/>
              <w:spacing w:after="0" w:line="220" w:lineRule="exact"/>
              <w:ind w:left="151" w:right="-2"/>
              <w:rPr>
                <w:rFonts w:eastAsia="Arial" w:cs="Arial"/>
                <w:sz w:val="20"/>
              </w:rPr>
            </w:pPr>
            <w:r w:rsidRPr="00332771">
              <w:rPr>
                <w:rFonts w:eastAsia="Arial" w:cs="Arial"/>
                <w:sz w:val="20"/>
              </w:rPr>
              <w:t>14,015,398,000</w:t>
            </w:r>
          </w:p>
        </w:tc>
        <w:tc>
          <w:tcPr>
            <w:tcW w:w="1627" w:type="dxa"/>
          </w:tcPr>
          <w:p w:rsidR="00AC40FC" w:rsidRPr="00332771" w:rsidRDefault="00AC40FC" w:rsidP="00A51C66">
            <w:pPr>
              <w:widowControl w:val="0"/>
              <w:spacing w:after="0" w:line="220" w:lineRule="exact"/>
              <w:ind w:right="26"/>
              <w:jc w:val="right"/>
              <w:rPr>
                <w:rFonts w:eastAsia="Arial" w:cs="Arial"/>
                <w:sz w:val="20"/>
              </w:rPr>
            </w:pPr>
            <w:r w:rsidRPr="00332771">
              <w:rPr>
                <w:rFonts w:eastAsia="Arial" w:cs="Arial"/>
                <w:w w:val="95"/>
                <w:sz w:val="20"/>
              </w:rPr>
              <w:t>14,109,469,000</w:t>
            </w:r>
          </w:p>
        </w:tc>
        <w:tc>
          <w:tcPr>
            <w:tcW w:w="1308" w:type="dxa"/>
          </w:tcPr>
          <w:p w:rsidR="00AC40FC" w:rsidRPr="00332771" w:rsidRDefault="00AC40FC" w:rsidP="00A51C66">
            <w:pPr>
              <w:widowControl w:val="0"/>
              <w:spacing w:after="0" w:line="220" w:lineRule="exact"/>
              <w:ind w:left="257" w:right="243"/>
              <w:jc w:val="center"/>
              <w:rPr>
                <w:rFonts w:eastAsia="Arial" w:cs="Arial"/>
                <w:sz w:val="20"/>
              </w:rPr>
            </w:pPr>
            <w:r w:rsidRPr="00332771">
              <w:rPr>
                <w:rFonts w:eastAsia="Arial" w:cs="Arial"/>
                <w:sz w:val="20"/>
              </w:rPr>
              <w:t>0.00%</w:t>
            </w:r>
          </w:p>
        </w:tc>
      </w:tr>
      <w:tr w:rsidR="00AC40FC" w:rsidRPr="00332771" w:rsidTr="00A51C66">
        <w:trPr>
          <w:trHeight w:hRule="exact" w:val="245"/>
          <w:jc w:val="center"/>
        </w:trPr>
        <w:tc>
          <w:tcPr>
            <w:tcW w:w="4966" w:type="dxa"/>
          </w:tcPr>
          <w:p w:rsidR="00AC40FC" w:rsidRPr="00332771" w:rsidRDefault="00AC40FC" w:rsidP="00A51C66">
            <w:pPr>
              <w:widowControl w:val="0"/>
              <w:spacing w:after="0" w:line="220" w:lineRule="exact"/>
              <w:ind w:left="180"/>
              <w:rPr>
                <w:rFonts w:eastAsia="Arial" w:cs="Arial"/>
                <w:sz w:val="20"/>
              </w:rPr>
            </w:pPr>
            <w:r w:rsidRPr="00332771">
              <w:rPr>
                <w:rFonts w:eastAsia="Arial" w:cs="Arial"/>
                <w:sz w:val="20"/>
              </w:rPr>
              <w:t>442 Industrial Sales</w:t>
            </w:r>
          </w:p>
        </w:tc>
        <w:tc>
          <w:tcPr>
            <w:tcW w:w="1627" w:type="dxa"/>
          </w:tcPr>
          <w:p w:rsidR="00AC40FC" w:rsidRPr="00332771" w:rsidRDefault="00AC40FC" w:rsidP="00A51C66">
            <w:pPr>
              <w:widowControl w:val="0"/>
              <w:spacing w:after="0" w:line="220" w:lineRule="exact"/>
              <w:ind w:right="26"/>
              <w:jc w:val="right"/>
              <w:rPr>
                <w:rFonts w:eastAsia="Arial" w:cs="Arial"/>
                <w:sz w:val="20"/>
              </w:rPr>
            </w:pPr>
            <w:r w:rsidRPr="00332771">
              <w:rPr>
                <w:rFonts w:eastAsia="Arial" w:cs="Arial"/>
                <w:w w:val="95"/>
                <w:sz w:val="20"/>
              </w:rPr>
              <w:t>8,425,105,000</w:t>
            </w:r>
          </w:p>
        </w:tc>
        <w:tc>
          <w:tcPr>
            <w:tcW w:w="1886" w:type="dxa"/>
          </w:tcPr>
          <w:p w:rsidR="00AC40FC" w:rsidRPr="00332771" w:rsidRDefault="00AC40FC" w:rsidP="00A51C66">
            <w:pPr>
              <w:widowControl w:val="0"/>
              <w:spacing w:after="0" w:line="220" w:lineRule="exact"/>
              <w:ind w:right="26"/>
              <w:jc w:val="right"/>
              <w:rPr>
                <w:rFonts w:eastAsia="Arial" w:cs="Arial"/>
                <w:sz w:val="20"/>
              </w:rPr>
            </w:pPr>
            <w:r w:rsidRPr="00332771">
              <w:rPr>
                <w:rFonts w:eastAsia="Arial" w:cs="Arial"/>
                <w:w w:val="95"/>
                <w:sz w:val="20"/>
              </w:rPr>
              <w:t>8,350,954,000</w:t>
            </w:r>
          </w:p>
        </w:tc>
        <w:tc>
          <w:tcPr>
            <w:tcW w:w="1579" w:type="dxa"/>
          </w:tcPr>
          <w:p w:rsidR="00AC40FC" w:rsidRPr="00332771" w:rsidRDefault="00AC40FC" w:rsidP="00A51C66">
            <w:pPr>
              <w:widowControl w:val="0"/>
              <w:spacing w:after="0" w:line="220" w:lineRule="exact"/>
              <w:ind w:right="26"/>
              <w:jc w:val="right"/>
              <w:rPr>
                <w:rFonts w:eastAsia="Arial" w:cs="Arial"/>
                <w:sz w:val="20"/>
              </w:rPr>
            </w:pPr>
            <w:r w:rsidRPr="00332771">
              <w:rPr>
                <w:rFonts w:eastAsia="Arial" w:cs="Arial"/>
                <w:w w:val="95"/>
                <w:sz w:val="20"/>
              </w:rPr>
              <w:t>8,219,068,000</w:t>
            </w:r>
          </w:p>
        </w:tc>
        <w:tc>
          <w:tcPr>
            <w:tcW w:w="1579" w:type="dxa"/>
          </w:tcPr>
          <w:p w:rsidR="00AC40FC" w:rsidRPr="00332771" w:rsidRDefault="00AC40FC" w:rsidP="00A51C66">
            <w:pPr>
              <w:widowControl w:val="0"/>
              <w:spacing w:after="0" w:line="220" w:lineRule="exact"/>
              <w:ind w:right="26"/>
              <w:jc w:val="right"/>
              <w:rPr>
                <w:rFonts w:eastAsia="Arial" w:cs="Arial"/>
                <w:sz w:val="20"/>
              </w:rPr>
            </w:pPr>
            <w:r w:rsidRPr="00332771">
              <w:rPr>
                <w:rFonts w:eastAsia="Arial" w:cs="Arial"/>
                <w:w w:val="95"/>
                <w:sz w:val="20"/>
              </w:rPr>
              <w:t>8,213,631,000</w:t>
            </w:r>
          </w:p>
        </w:tc>
        <w:tc>
          <w:tcPr>
            <w:tcW w:w="1627" w:type="dxa"/>
          </w:tcPr>
          <w:p w:rsidR="00AC40FC" w:rsidRPr="00332771" w:rsidRDefault="00AC40FC" w:rsidP="00A51C66">
            <w:pPr>
              <w:widowControl w:val="0"/>
              <w:spacing w:after="0" w:line="220" w:lineRule="exact"/>
              <w:ind w:right="26"/>
              <w:jc w:val="right"/>
              <w:rPr>
                <w:rFonts w:eastAsia="Arial" w:cs="Arial"/>
                <w:sz w:val="20"/>
              </w:rPr>
            </w:pPr>
            <w:r w:rsidRPr="00332771">
              <w:rPr>
                <w:rFonts w:eastAsia="Arial" w:cs="Arial"/>
                <w:w w:val="95"/>
                <w:sz w:val="20"/>
              </w:rPr>
              <w:t>8,320,265,000</w:t>
            </w:r>
          </w:p>
        </w:tc>
        <w:tc>
          <w:tcPr>
            <w:tcW w:w="1308" w:type="dxa"/>
          </w:tcPr>
          <w:p w:rsidR="00AC40FC" w:rsidRPr="00332771" w:rsidRDefault="00AC40FC" w:rsidP="00A51C66">
            <w:pPr>
              <w:widowControl w:val="0"/>
              <w:spacing w:after="0" w:line="220" w:lineRule="exact"/>
              <w:ind w:left="257" w:right="243"/>
              <w:jc w:val="center"/>
              <w:rPr>
                <w:rFonts w:eastAsia="Arial" w:cs="Arial"/>
                <w:sz w:val="20"/>
              </w:rPr>
            </w:pPr>
            <w:r w:rsidRPr="00332771">
              <w:rPr>
                <w:rFonts w:eastAsia="Arial" w:cs="Arial"/>
                <w:sz w:val="20"/>
              </w:rPr>
              <w:t>-0.31%</w:t>
            </w:r>
          </w:p>
        </w:tc>
      </w:tr>
      <w:tr w:rsidR="00AC40FC" w:rsidRPr="00332771" w:rsidTr="00A51C66">
        <w:trPr>
          <w:trHeight w:hRule="exact" w:val="245"/>
          <w:jc w:val="center"/>
        </w:trPr>
        <w:tc>
          <w:tcPr>
            <w:tcW w:w="4966" w:type="dxa"/>
          </w:tcPr>
          <w:p w:rsidR="00AC40FC" w:rsidRPr="00332771" w:rsidRDefault="00AC40FC" w:rsidP="00A51C66">
            <w:pPr>
              <w:widowControl w:val="0"/>
              <w:spacing w:after="0" w:line="220" w:lineRule="exact"/>
              <w:ind w:left="180"/>
              <w:rPr>
                <w:rFonts w:eastAsia="Arial" w:cs="Arial"/>
                <w:sz w:val="20"/>
              </w:rPr>
            </w:pPr>
            <w:r w:rsidRPr="00332771">
              <w:rPr>
                <w:rFonts w:eastAsia="Arial" w:cs="Arial"/>
                <w:sz w:val="20"/>
              </w:rPr>
              <w:t>444 Public Street and Highway Lighting Sales</w:t>
            </w:r>
          </w:p>
        </w:tc>
        <w:tc>
          <w:tcPr>
            <w:tcW w:w="1627" w:type="dxa"/>
          </w:tcPr>
          <w:p w:rsidR="00AC40FC" w:rsidRPr="00332771" w:rsidRDefault="00AC40FC" w:rsidP="00A51C66">
            <w:pPr>
              <w:widowControl w:val="0"/>
              <w:spacing w:after="0" w:line="220" w:lineRule="exact"/>
              <w:ind w:right="26"/>
              <w:jc w:val="right"/>
              <w:rPr>
                <w:rFonts w:eastAsia="Arial" w:cs="Arial"/>
                <w:sz w:val="20"/>
              </w:rPr>
            </w:pPr>
            <w:r w:rsidRPr="00332771">
              <w:rPr>
                <w:rFonts w:eastAsia="Arial" w:cs="Arial"/>
                <w:w w:val="95"/>
                <w:sz w:val="20"/>
              </w:rPr>
              <w:t>90,641,000</w:t>
            </w:r>
          </w:p>
        </w:tc>
        <w:tc>
          <w:tcPr>
            <w:tcW w:w="1886" w:type="dxa"/>
          </w:tcPr>
          <w:p w:rsidR="00AC40FC" w:rsidRPr="00332771" w:rsidRDefault="00AC40FC" w:rsidP="00A51C66">
            <w:pPr>
              <w:widowControl w:val="0"/>
              <w:spacing w:after="0" w:line="220" w:lineRule="exact"/>
              <w:ind w:right="26"/>
              <w:jc w:val="right"/>
              <w:rPr>
                <w:rFonts w:eastAsia="Arial" w:cs="Arial"/>
                <w:sz w:val="20"/>
              </w:rPr>
            </w:pPr>
            <w:r w:rsidRPr="00332771">
              <w:rPr>
                <w:rFonts w:eastAsia="Arial" w:cs="Arial"/>
                <w:w w:val="95"/>
                <w:sz w:val="20"/>
              </w:rPr>
              <w:t>80,655,000</w:t>
            </w:r>
          </w:p>
        </w:tc>
        <w:tc>
          <w:tcPr>
            <w:tcW w:w="1579" w:type="dxa"/>
          </w:tcPr>
          <w:p w:rsidR="00AC40FC" w:rsidRPr="00332771" w:rsidRDefault="00AC40FC" w:rsidP="00A51C66">
            <w:pPr>
              <w:widowControl w:val="0"/>
              <w:spacing w:after="0" w:line="220" w:lineRule="exact"/>
              <w:ind w:right="26"/>
              <w:jc w:val="right"/>
              <w:rPr>
                <w:rFonts w:eastAsia="Arial" w:cs="Arial"/>
                <w:sz w:val="20"/>
              </w:rPr>
            </w:pPr>
            <w:r w:rsidRPr="00332771">
              <w:rPr>
                <w:rFonts w:eastAsia="Arial" w:cs="Arial"/>
                <w:w w:val="95"/>
                <w:sz w:val="20"/>
              </w:rPr>
              <w:t>88,256,000</w:t>
            </w:r>
          </w:p>
        </w:tc>
        <w:tc>
          <w:tcPr>
            <w:tcW w:w="1579" w:type="dxa"/>
          </w:tcPr>
          <w:p w:rsidR="00AC40FC" w:rsidRPr="00332771" w:rsidRDefault="00AC40FC" w:rsidP="00A51C66">
            <w:pPr>
              <w:widowControl w:val="0"/>
              <w:spacing w:after="0" w:line="220" w:lineRule="exact"/>
              <w:ind w:right="26"/>
              <w:jc w:val="right"/>
              <w:rPr>
                <w:rFonts w:eastAsia="Arial" w:cs="Arial"/>
                <w:sz w:val="20"/>
              </w:rPr>
            </w:pPr>
            <w:r w:rsidRPr="00332771">
              <w:rPr>
                <w:rFonts w:eastAsia="Arial" w:cs="Arial"/>
                <w:w w:val="95"/>
                <w:sz w:val="20"/>
              </w:rPr>
              <w:t>90,956,000</w:t>
            </w:r>
          </w:p>
        </w:tc>
        <w:tc>
          <w:tcPr>
            <w:tcW w:w="1627" w:type="dxa"/>
          </w:tcPr>
          <w:p w:rsidR="00AC40FC" w:rsidRPr="00332771" w:rsidRDefault="00AC40FC" w:rsidP="00A51C66">
            <w:pPr>
              <w:widowControl w:val="0"/>
              <w:spacing w:after="0" w:line="220" w:lineRule="exact"/>
              <w:ind w:right="26"/>
              <w:jc w:val="right"/>
              <w:rPr>
                <w:rFonts w:eastAsia="Arial" w:cs="Arial"/>
                <w:sz w:val="20"/>
              </w:rPr>
            </w:pPr>
            <w:r w:rsidRPr="00332771">
              <w:rPr>
                <w:rFonts w:eastAsia="Arial" w:cs="Arial"/>
                <w:w w:val="95"/>
                <w:sz w:val="20"/>
              </w:rPr>
              <w:t>85,953,000</w:t>
            </w:r>
          </w:p>
        </w:tc>
        <w:tc>
          <w:tcPr>
            <w:tcW w:w="1308" w:type="dxa"/>
          </w:tcPr>
          <w:p w:rsidR="00AC40FC" w:rsidRPr="00332771" w:rsidRDefault="00AC40FC" w:rsidP="00A51C66">
            <w:pPr>
              <w:widowControl w:val="0"/>
              <w:spacing w:after="0" w:line="220" w:lineRule="exact"/>
              <w:ind w:left="258" w:right="243"/>
              <w:jc w:val="center"/>
              <w:rPr>
                <w:rFonts w:eastAsia="Arial" w:cs="Arial"/>
                <w:sz w:val="20"/>
              </w:rPr>
            </w:pPr>
            <w:r w:rsidRPr="00332771">
              <w:rPr>
                <w:rFonts w:eastAsia="Arial" w:cs="Arial"/>
                <w:sz w:val="20"/>
              </w:rPr>
              <w:t>-1.32%</w:t>
            </w:r>
          </w:p>
        </w:tc>
      </w:tr>
      <w:tr w:rsidR="00AC40FC" w:rsidRPr="00332771" w:rsidTr="00A51C66">
        <w:trPr>
          <w:trHeight w:hRule="exact" w:val="245"/>
          <w:jc w:val="center"/>
        </w:trPr>
        <w:tc>
          <w:tcPr>
            <w:tcW w:w="4966" w:type="dxa"/>
          </w:tcPr>
          <w:p w:rsidR="00AC40FC" w:rsidRPr="00332771" w:rsidRDefault="00AC40FC" w:rsidP="00A51C66">
            <w:pPr>
              <w:widowControl w:val="0"/>
              <w:spacing w:after="0" w:line="220" w:lineRule="exact"/>
              <w:ind w:left="180"/>
              <w:rPr>
                <w:rFonts w:eastAsia="Arial" w:cs="Arial"/>
                <w:sz w:val="20"/>
              </w:rPr>
            </w:pPr>
            <w:r w:rsidRPr="00332771">
              <w:rPr>
                <w:rFonts w:eastAsia="Arial" w:cs="Arial"/>
                <w:sz w:val="20"/>
              </w:rPr>
              <w:t>445 Other Sales to Public Authorities</w:t>
            </w:r>
          </w:p>
        </w:tc>
        <w:tc>
          <w:tcPr>
            <w:tcW w:w="1627" w:type="dxa"/>
          </w:tcPr>
          <w:p w:rsidR="00AC40FC" w:rsidRPr="00332771" w:rsidRDefault="00AC40FC" w:rsidP="00A51C66">
            <w:pPr>
              <w:widowControl w:val="0"/>
              <w:spacing w:after="0" w:line="220" w:lineRule="exact"/>
              <w:ind w:right="26"/>
              <w:jc w:val="right"/>
              <w:rPr>
                <w:rFonts w:eastAsia="Arial" w:cs="Arial"/>
                <w:sz w:val="20"/>
              </w:rPr>
            </w:pPr>
            <w:r w:rsidRPr="00332771">
              <w:rPr>
                <w:rFonts w:eastAsia="Arial" w:cs="Arial"/>
                <w:w w:val="95"/>
                <w:sz w:val="20"/>
              </w:rPr>
              <w:t>783,000</w:t>
            </w:r>
          </w:p>
        </w:tc>
        <w:tc>
          <w:tcPr>
            <w:tcW w:w="1886" w:type="dxa"/>
          </w:tcPr>
          <w:p w:rsidR="00AC40FC" w:rsidRPr="00332771" w:rsidRDefault="00AC40FC" w:rsidP="00A51C66">
            <w:pPr>
              <w:widowControl w:val="0"/>
              <w:spacing w:after="0" w:line="220" w:lineRule="exact"/>
              <w:ind w:right="26"/>
              <w:jc w:val="right"/>
              <w:rPr>
                <w:rFonts w:eastAsia="Arial" w:cs="Arial"/>
                <w:sz w:val="20"/>
              </w:rPr>
            </w:pPr>
            <w:r w:rsidRPr="00332771">
              <w:rPr>
                <w:rFonts w:eastAsia="Arial" w:cs="Arial"/>
                <w:w w:val="95"/>
                <w:sz w:val="20"/>
              </w:rPr>
              <w:t>1,096,000</w:t>
            </w:r>
          </w:p>
        </w:tc>
        <w:tc>
          <w:tcPr>
            <w:tcW w:w="1579" w:type="dxa"/>
          </w:tcPr>
          <w:p w:rsidR="00AC40FC" w:rsidRPr="00332771" w:rsidRDefault="00AC40FC" w:rsidP="00A51C66">
            <w:pPr>
              <w:widowControl w:val="0"/>
              <w:spacing w:after="0" w:line="220" w:lineRule="exact"/>
              <w:ind w:right="26"/>
              <w:jc w:val="right"/>
              <w:rPr>
                <w:rFonts w:eastAsia="Arial" w:cs="Arial"/>
                <w:sz w:val="20"/>
              </w:rPr>
            </w:pPr>
            <w:r w:rsidRPr="00332771">
              <w:rPr>
                <w:rFonts w:eastAsia="Arial" w:cs="Arial"/>
                <w:w w:val="95"/>
                <w:sz w:val="20"/>
              </w:rPr>
              <w:t>758,000</w:t>
            </w:r>
          </w:p>
        </w:tc>
        <w:tc>
          <w:tcPr>
            <w:tcW w:w="1579" w:type="dxa"/>
          </w:tcPr>
          <w:p w:rsidR="00AC40FC" w:rsidRPr="00332771" w:rsidRDefault="00AC40FC" w:rsidP="00A51C66">
            <w:pPr>
              <w:widowControl w:val="0"/>
              <w:spacing w:after="0" w:line="220" w:lineRule="exact"/>
              <w:ind w:right="25"/>
              <w:jc w:val="right"/>
              <w:rPr>
                <w:rFonts w:eastAsia="Arial" w:cs="Arial"/>
                <w:sz w:val="20"/>
              </w:rPr>
            </w:pPr>
            <w:r w:rsidRPr="00332771">
              <w:rPr>
                <w:rFonts w:eastAsia="Arial" w:cs="Arial"/>
                <w:w w:val="95"/>
                <w:sz w:val="20"/>
              </w:rPr>
              <w:t>785,000</w:t>
            </w:r>
          </w:p>
        </w:tc>
        <w:tc>
          <w:tcPr>
            <w:tcW w:w="1627" w:type="dxa"/>
          </w:tcPr>
          <w:p w:rsidR="00AC40FC" w:rsidRPr="00332771" w:rsidRDefault="00AC40FC" w:rsidP="00A51C66">
            <w:pPr>
              <w:widowControl w:val="0"/>
              <w:spacing w:after="0" w:line="220" w:lineRule="exact"/>
              <w:ind w:right="25"/>
              <w:jc w:val="right"/>
              <w:rPr>
                <w:rFonts w:eastAsia="Arial" w:cs="Arial"/>
                <w:sz w:val="20"/>
              </w:rPr>
            </w:pPr>
            <w:r w:rsidRPr="00332771">
              <w:rPr>
                <w:rFonts w:eastAsia="Arial" w:cs="Arial"/>
                <w:w w:val="95"/>
                <w:sz w:val="20"/>
              </w:rPr>
              <w:t>808,000</w:t>
            </w:r>
          </w:p>
        </w:tc>
        <w:tc>
          <w:tcPr>
            <w:tcW w:w="1308" w:type="dxa"/>
          </w:tcPr>
          <w:p w:rsidR="00AC40FC" w:rsidRPr="00332771" w:rsidRDefault="00AC40FC" w:rsidP="00A51C66">
            <w:pPr>
              <w:widowControl w:val="0"/>
              <w:spacing w:after="0" w:line="220" w:lineRule="exact"/>
              <w:ind w:left="258" w:right="243"/>
              <w:jc w:val="center"/>
              <w:rPr>
                <w:rFonts w:eastAsia="Arial" w:cs="Arial"/>
                <w:sz w:val="20"/>
              </w:rPr>
            </w:pPr>
            <w:r w:rsidRPr="00332771">
              <w:rPr>
                <w:rFonts w:eastAsia="Arial" w:cs="Arial"/>
                <w:sz w:val="20"/>
              </w:rPr>
              <w:t>0.79%</w:t>
            </w:r>
          </w:p>
        </w:tc>
      </w:tr>
      <w:tr w:rsidR="00AC40FC" w:rsidRPr="00332771" w:rsidTr="00A51C66">
        <w:trPr>
          <w:trHeight w:hRule="exact" w:val="245"/>
          <w:jc w:val="center"/>
        </w:trPr>
        <w:tc>
          <w:tcPr>
            <w:tcW w:w="4966" w:type="dxa"/>
          </w:tcPr>
          <w:p w:rsidR="00AC40FC" w:rsidRPr="00332771" w:rsidRDefault="00AC40FC" w:rsidP="00A51C66">
            <w:pPr>
              <w:widowControl w:val="0"/>
              <w:spacing w:after="0" w:line="220" w:lineRule="exact"/>
              <w:ind w:left="181"/>
              <w:rPr>
                <w:rFonts w:eastAsia="Arial" w:cs="Arial"/>
                <w:sz w:val="20"/>
              </w:rPr>
            </w:pPr>
            <w:r w:rsidRPr="00332771">
              <w:rPr>
                <w:rFonts w:eastAsia="Arial" w:cs="Arial"/>
                <w:sz w:val="20"/>
              </w:rPr>
              <w:t>446 Sales to Railroads and Railway</w:t>
            </w:r>
          </w:p>
        </w:tc>
        <w:tc>
          <w:tcPr>
            <w:tcW w:w="1627" w:type="dxa"/>
          </w:tcPr>
          <w:p w:rsidR="00AC40FC" w:rsidRPr="00332771" w:rsidRDefault="00AC40FC" w:rsidP="00A51C66">
            <w:pPr>
              <w:widowControl w:val="0"/>
              <w:spacing w:after="0" w:line="220" w:lineRule="exact"/>
              <w:ind w:right="25"/>
              <w:jc w:val="right"/>
              <w:rPr>
                <w:rFonts w:eastAsia="Arial" w:cs="Arial"/>
                <w:sz w:val="20"/>
              </w:rPr>
            </w:pPr>
            <w:r w:rsidRPr="00332771">
              <w:rPr>
                <w:rFonts w:eastAsia="Arial" w:cs="Arial"/>
                <w:w w:val="95"/>
                <w:sz w:val="20"/>
              </w:rPr>
              <w:t>100,371,000</w:t>
            </w:r>
          </w:p>
        </w:tc>
        <w:tc>
          <w:tcPr>
            <w:tcW w:w="1886" w:type="dxa"/>
          </w:tcPr>
          <w:p w:rsidR="00AC40FC" w:rsidRPr="00332771" w:rsidRDefault="00AC40FC" w:rsidP="00A51C66">
            <w:pPr>
              <w:widowControl w:val="0"/>
              <w:spacing w:after="0" w:line="220" w:lineRule="exact"/>
              <w:ind w:right="25"/>
              <w:jc w:val="right"/>
              <w:rPr>
                <w:rFonts w:eastAsia="Arial" w:cs="Arial"/>
                <w:sz w:val="20"/>
              </w:rPr>
            </w:pPr>
            <w:r w:rsidRPr="00332771">
              <w:rPr>
                <w:rFonts w:eastAsia="Arial" w:cs="Arial"/>
                <w:w w:val="95"/>
                <w:sz w:val="20"/>
              </w:rPr>
              <w:t>95,361,000</w:t>
            </w:r>
          </w:p>
        </w:tc>
        <w:tc>
          <w:tcPr>
            <w:tcW w:w="1579" w:type="dxa"/>
          </w:tcPr>
          <w:p w:rsidR="00AC40FC" w:rsidRPr="00332771" w:rsidRDefault="00AC40FC" w:rsidP="00A51C66">
            <w:pPr>
              <w:widowControl w:val="0"/>
              <w:spacing w:after="0" w:line="220" w:lineRule="exact"/>
              <w:ind w:right="25"/>
              <w:jc w:val="right"/>
              <w:rPr>
                <w:rFonts w:eastAsia="Arial" w:cs="Arial"/>
                <w:sz w:val="20"/>
              </w:rPr>
            </w:pPr>
            <w:r w:rsidRPr="00332771">
              <w:rPr>
                <w:rFonts w:eastAsia="Arial" w:cs="Arial"/>
                <w:w w:val="95"/>
                <w:sz w:val="20"/>
              </w:rPr>
              <w:t>92,568,000</w:t>
            </w:r>
          </w:p>
        </w:tc>
        <w:tc>
          <w:tcPr>
            <w:tcW w:w="1579" w:type="dxa"/>
          </w:tcPr>
          <w:p w:rsidR="00AC40FC" w:rsidRPr="00332771" w:rsidRDefault="00AC40FC" w:rsidP="00A51C66">
            <w:pPr>
              <w:widowControl w:val="0"/>
              <w:spacing w:after="0" w:line="220" w:lineRule="exact"/>
              <w:ind w:right="25"/>
              <w:jc w:val="right"/>
              <w:rPr>
                <w:rFonts w:eastAsia="Arial" w:cs="Arial"/>
                <w:sz w:val="20"/>
              </w:rPr>
            </w:pPr>
            <w:r w:rsidRPr="00332771">
              <w:rPr>
                <w:rFonts w:eastAsia="Arial" w:cs="Arial"/>
                <w:w w:val="95"/>
                <w:sz w:val="20"/>
              </w:rPr>
              <w:t>80,744,000</w:t>
            </w:r>
          </w:p>
        </w:tc>
        <w:tc>
          <w:tcPr>
            <w:tcW w:w="1627" w:type="dxa"/>
          </w:tcPr>
          <w:p w:rsidR="00AC40FC" w:rsidRPr="00332771" w:rsidRDefault="00AC40FC" w:rsidP="00A51C66">
            <w:pPr>
              <w:widowControl w:val="0"/>
              <w:spacing w:after="0" w:line="220" w:lineRule="exact"/>
              <w:ind w:right="25"/>
              <w:jc w:val="right"/>
              <w:rPr>
                <w:rFonts w:eastAsia="Arial" w:cs="Arial"/>
                <w:sz w:val="20"/>
              </w:rPr>
            </w:pPr>
            <w:r w:rsidRPr="00332771">
              <w:rPr>
                <w:rFonts w:eastAsia="Arial" w:cs="Arial"/>
                <w:w w:val="95"/>
                <w:sz w:val="20"/>
              </w:rPr>
              <w:t>60,649,000</w:t>
            </w:r>
          </w:p>
        </w:tc>
        <w:tc>
          <w:tcPr>
            <w:tcW w:w="1308" w:type="dxa"/>
          </w:tcPr>
          <w:p w:rsidR="00AC40FC" w:rsidRPr="00332771" w:rsidRDefault="00AC40FC" w:rsidP="00A51C66">
            <w:pPr>
              <w:widowControl w:val="0"/>
              <w:spacing w:after="0" w:line="220" w:lineRule="exact"/>
              <w:ind w:left="258" w:right="242"/>
              <w:jc w:val="center"/>
              <w:rPr>
                <w:rFonts w:eastAsia="Arial" w:cs="Arial"/>
                <w:sz w:val="20"/>
              </w:rPr>
            </w:pPr>
            <w:r w:rsidRPr="00332771">
              <w:rPr>
                <w:rFonts w:eastAsia="Arial" w:cs="Arial"/>
                <w:sz w:val="20"/>
              </w:rPr>
              <w:t>-11.83%</w:t>
            </w:r>
          </w:p>
        </w:tc>
      </w:tr>
      <w:tr w:rsidR="00AC40FC" w:rsidRPr="00332771" w:rsidTr="00A51C66">
        <w:trPr>
          <w:trHeight w:hRule="exact" w:val="276"/>
          <w:jc w:val="center"/>
        </w:trPr>
        <w:tc>
          <w:tcPr>
            <w:tcW w:w="4966" w:type="dxa"/>
          </w:tcPr>
          <w:p w:rsidR="00AC40FC" w:rsidRPr="00332771" w:rsidRDefault="00AC40FC" w:rsidP="00A51C66">
            <w:pPr>
              <w:widowControl w:val="0"/>
              <w:spacing w:before="21" w:after="0"/>
              <w:ind w:left="181"/>
              <w:rPr>
                <w:rFonts w:eastAsia="Arial" w:cs="Arial"/>
                <w:sz w:val="20"/>
              </w:rPr>
            </w:pPr>
            <w:r w:rsidRPr="00332771">
              <w:rPr>
                <w:rFonts w:eastAsia="Arial" w:cs="Arial"/>
                <w:sz w:val="20"/>
              </w:rPr>
              <w:t>448 Interdepartmental Sales</w:t>
            </w:r>
          </w:p>
        </w:tc>
        <w:tc>
          <w:tcPr>
            <w:tcW w:w="1627" w:type="dxa"/>
          </w:tcPr>
          <w:p w:rsidR="00AC40FC" w:rsidRPr="00332771" w:rsidRDefault="00AC40FC" w:rsidP="00A51C66">
            <w:pPr>
              <w:widowControl w:val="0"/>
              <w:spacing w:after="0"/>
              <w:rPr>
                <w:rFonts w:eastAsia="Arial" w:cs="Arial"/>
              </w:rPr>
            </w:pPr>
          </w:p>
        </w:tc>
        <w:tc>
          <w:tcPr>
            <w:tcW w:w="1886" w:type="dxa"/>
          </w:tcPr>
          <w:p w:rsidR="00AC40FC" w:rsidRPr="00332771" w:rsidRDefault="00AC40FC" w:rsidP="00A51C66">
            <w:pPr>
              <w:widowControl w:val="0"/>
              <w:spacing w:after="0"/>
              <w:rPr>
                <w:rFonts w:eastAsia="Arial" w:cs="Arial"/>
              </w:rPr>
            </w:pPr>
          </w:p>
        </w:tc>
        <w:tc>
          <w:tcPr>
            <w:tcW w:w="1579" w:type="dxa"/>
          </w:tcPr>
          <w:p w:rsidR="00AC40FC" w:rsidRPr="00332771" w:rsidRDefault="00AC40FC" w:rsidP="00A51C66">
            <w:pPr>
              <w:widowControl w:val="0"/>
              <w:spacing w:after="0"/>
              <w:rPr>
                <w:rFonts w:eastAsia="Arial" w:cs="Arial"/>
              </w:rPr>
            </w:pPr>
          </w:p>
        </w:tc>
        <w:tc>
          <w:tcPr>
            <w:tcW w:w="1579" w:type="dxa"/>
          </w:tcPr>
          <w:p w:rsidR="00AC40FC" w:rsidRPr="00332771" w:rsidRDefault="00AC40FC" w:rsidP="00A51C66">
            <w:pPr>
              <w:widowControl w:val="0"/>
              <w:spacing w:before="21" w:after="0"/>
              <w:ind w:right="24"/>
              <w:jc w:val="right"/>
              <w:rPr>
                <w:rFonts w:eastAsia="Arial" w:cs="Arial"/>
                <w:sz w:val="20"/>
              </w:rPr>
            </w:pPr>
            <w:r w:rsidRPr="00332771">
              <w:rPr>
                <w:rFonts w:eastAsia="Arial" w:cs="Arial"/>
                <w:w w:val="99"/>
                <w:sz w:val="20"/>
              </w:rPr>
              <w:t>0</w:t>
            </w:r>
          </w:p>
        </w:tc>
        <w:tc>
          <w:tcPr>
            <w:tcW w:w="1627" w:type="dxa"/>
          </w:tcPr>
          <w:p w:rsidR="00AC40FC" w:rsidRPr="00332771" w:rsidRDefault="00AC40FC" w:rsidP="00A51C66">
            <w:pPr>
              <w:widowControl w:val="0"/>
              <w:spacing w:before="21" w:after="0"/>
              <w:ind w:right="24"/>
              <w:jc w:val="right"/>
              <w:rPr>
                <w:rFonts w:eastAsia="Arial" w:cs="Arial"/>
                <w:sz w:val="20"/>
              </w:rPr>
            </w:pPr>
            <w:r w:rsidRPr="00332771">
              <w:rPr>
                <w:rFonts w:eastAsia="Arial" w:cs="Arial"/>
                <w:w w:val="99"/>
                <w:sz w:val="20"/>
              </w:rPr>
              <w:t>0</w:t>
            </w:r>
          </w:p>
        </w:tc>
        <w:tc>
          <w:tcPr>
            <w:tcW w:w="1308" w:type="dxa"/>
          </w:tcPr>
          <w:p w:rsidR="00AC40FC" w:rsidRPr="00332771" w:rsidRDefault="00AC40FC" w:rsidP="00A51C66">
            <w:pPr>
              <w:widowControl w:val="0"/>
              <w:spacing w:before="21" w:after="0"/>
              <w:ind w:left="258" w:right="240"/>
              <w:jc w:val="center"/>
              <w:rPr>
                <w:rFonts w:eastAsia="Arial" w:cs="Arial"/>
                <w:sz w:val="20"/>
              </w:rPr>
            </w:pPr>
            <w:r w:rsidRPr="00332771">
              <w:rPr>
                <w:rFonts w:eastAsia="Arial" w:cs="Arial"/>
                <w:sz w:val="20"/>
              </w:rPr>
              <w:t>NM</w:t>
            </w:r>
          </w:p>
        </w:tc>
      </w:tr>
      <w:tr w:rsidR="00AC40FC" w:rsidRPr="00332771" w:rsidTr="00A51C66">
        <w:trPr>
          <w:trHeight w:hRule="exact" w:val="276"/>
          <w:jc w:val="center"/>
        </w:trPr>
        <w:tc>
          <w:tcPr>
            <w:tcW w:w="4966" w:type="dxa"/>
          </w:tcPr>
          <w:p w:rsidR="00AC40FC" w:rsidRPr="00332771" w:rsidRDefault="00AC40FC" w:rsidP="00A51C66">
            <w:pPr>
              <w:widowControl w:val="0"/>
              <w:spacing w:before="21" w:after="0"/>
              <w:ind w:right="29"/>
              <w:jc w:val="right"/>
              <w:rPr>
                <w:rFonts w:eastAsia="Arial" w:cs="Arial"/>
                <w:b/>
                <w:sz w:val="20"/>
              </w:rPr>
            </w:pPr>
            <w:r w:rsidRPr="00332771">
              <w:rPr>
                <w:rFonts w:eastAsia="Arial" w:cs="Arial"/>
                <w:b/>
                <w:sz w:val="20"/>
              </w:rPr>
              <w:t>Total Sales to Ultimate Cust</w:t>
            </w:r>
            <w:r>
              <w:rPr>
                <w:rFonts w:eastAsia="Arial" w:cs="Arial"/>
                <w:b/>
                <w:sz w:val="20"/>
              </w:rPr>
              <w:t>omers</w:t>
            </w:r>
          </w:p>
        </w:tc>
        <w:tc>
          <w:tcPr>
            <w:tcW w:w="1627" w:type="dxa"/>
          </w:tcPr>
          <w:p w:rsidR="00AC40FC" w:rsidRPr="00332771" w:rsidRDefault="00AC40FC" w:rsidP="00A51C66">
            <w:pPr>
              <w:widowControl w:val="0"/>
              <w:spacing w:before="21" w:after="0"/>
              <w:ind w:right="25"/>
              <w:jc w:val="right"/>
              <w:rPr>
                <w:rFonts w:eastAsia="Arial" w:cs="Arial"/>
                <w:b/>
                <w:sz w:val="20"/>
              </w:rPr>
            </w:pPr>
            <w:r w:rsidRPr="00332771">
              <w:rPr>
                <w:rFonts w:eastAsia="Arial" w:cs="Arial"/>
                <w:b/>
                <w:w w:val="95"/>
                <w:sz w:val="20"/>
              </w:rPr>
              <w:t>36,998,015,000</w:t>
            </w:r>
          </w:p>
        </w:tc>
        <w:tc>
          <w:tcPr>
            <w:tcW w:w="1886" w:type="dxa"/>
          </w:tcPr>
          <w:p w:rsidR="00AC40FC" w:rsidRPr="00332771" w:rsidRDefault="00AC40FC" w:rsidP="00A51C66">
            <w:pPr>
              <w:widowControl w:val="0"/>
              <w:spacing w:before="21" w:after="0"/>
              <w:ind w:right="25"/>
              <w:jc w:val="right"/>
              <w:rPr>
                <w:rFonts w:eastAsia="Arial" w:cs="Arial"/>
                <w:b/>
                <w:sz w:val="20"/>
              </w:rPr>
            </w:pPr>
            <w:r w:rsidRPr="00332771">
              <w:rPr>
                <w:rFonts w:eastAsia="Arial" w:cs="Arial"/>
                <w:b/>
                <w:w w:val="95"/>
                <w:sz w:val="20"/>
              </w:rPr>
              <w:t>36,941,727,000</w:t>
            </w:r>
          </w:p>
        </w:tc>
        <w:tc>
          <w:tcPr>
            <w:tcW w:w="1579" w:type="dxa"/>
          </w:tcPr>
          <w:p w:rsidR="00AC40FC" w:rsidRPr="00332771" w:rsidRDefault="00AC40FC" w:rsidP="00A51C66">
            <w:pPr>
              <w:widowControl w:val="0"/>
              <w:spacing w:before="21" w:after="0"/>
              <w:ind w:right="25"/>
              <w:jc w:val="right"/>
              <w:rPr>
                <w:rFonts w:eastAsia="Arial" w:cs="Arial"/>
                <w:b/>
                <w:sz w:val="20"/>
              </w:rPr>
            </w:pPr>
            <w:r w:rsidRPr="00332771">
              <w:rPr>
                <w:rFonts w:eastAsia="Arial" w:cs="Arial"/>
                <w:b/>
                <w:w w:val="95"/>
                <w:sz w:val="20"/>
              </w:rPr>
              <w:t>36,015,643,000</w:t>
            </w:r>
          </w:p>
        </w:tc>
        <w:tc>
          <w:tcPr>
            <w:tcW w:w="1579" w:type="dxa"/>
          </w:tcPr>
          <w:p w:rsidR="00AC40FC" w:rsidRPr="00332771" w:rsidRDefault="00AC40FC" w:rsidP="00A51C66">
            <w:pPr>
              <w:widowControl w:val="0"/>
              <w:spacing w:before="21" w:after="0"/>
              <w:ind w:left="152" w:right="-3"/>
              <w:rPr>
                <w:rFonts w:eastAsia="Arial" w:cs="Arial"/>
                <w:b/>
                <w:sz w:val="20"/>
              </w:rPr>
            </w:pPr>
            <w:r w:rsidRPr="00332771">
              <w:rPr>
                <w:rFonts w:eastAsia="Arial" w:cs="Arial"/>
                <w:b/>
                <w:sz w:val="20"/>
              </w:rPr>
              <w:t>36,754,333,000</w:t>
            </w:r>
          </w:p>
        </w:tc>
        <w:tc>
          <w:tcPr>
            <w:tcW w:w="1627" w:type="dxa"/>
          </w:tcPr>
          <w:p w:rsidR="00AC40FC" w:rsidRPr="00332771" w:rsidRDefault="00AC40FC" w:rsidP="00A51C66">
            <w:pPr>
              <w:widowControl w:val="0"/>
              <w:spacing w:before="21" w:after="0"/>
              <w:ind w:right="25"/>
              <w:jc w:val="right"/>
              <w:rPr>
                <w:rFonts w:eastAsia="Arial" w:cs="Arial"/>
                <w:b/>
                <w:sz w:val="20"/>
              </w:rPr>
            </w:pPr>
            <w:r w:rsidRPr="00332771">
              <w:rPr>
                <w:rFonts w:eastAsia="Arial" w:cs="Arial"/>
                <w:b/>
                <w:w w:val="95"/>
                <w:sz w:val="20"/>
              </w:rPr>
              <w:t>37,018,632,000</w:t>
            </w:r>
          </w:p>
        </w:tc>
        <w:tc>
          <w:tcPr>
            <w:tcW w:w="1308" w:type="dxa"/>
          </w:tcPr>
          <w:p w:rsidR="00AC40FC" w:rsidRPr="00332771" w:rsidRDefault="00AC40FC" w:rsidP="00A51C66">
            <w:pPr>
              <w:widowControl w:val="0"/>
              <w:spacing w:before="21" w:after="0"/>
              <w:ind w:left="258" w:right="237"/>
              <w:jc w:val="center"/>
              <w:rPr>
                <w:rFonts w:eastAsia="Arial" w:cs="Arial"/>
                <w:b/>
                <w:sz w:val="20"/>
              </w:rPr>
            </w:pPr>
            <w:r w:rsidRPr="00332771">
              <w:rPr>
                <w:rFonts w:eastAsia="Arial" w:cs="Arial"/>
                <w:b/>
                <w:sz w:val="20"/>
              </w:rPr>
              <w:t>0.01%</w:t>
            </w:r>
          </w:p>
        </w:tc>
      </w:tr>
      <w:tr w:rsidR="00AC40FC" w:rsidRPr="00332771" w:rsidTr="00A51C66">
        <w:trPr>
          <w:trHeight w:hRule="exact" w:val="276"/>
          <w:jc w:val="center"/>
        </w:trPr>
        <w:tc>
          <w:tcPr>
            <w:tcW w:w="4966" w:type="dxa"/>
          </w:tcPr>
          <w:p w:rsidR="00AC40FC" w:rsidRPr="00332771" w:rsidRDefault="00AC40FC" w:rsidP="00A51C66">
            <w:pPr>
              <w:widowControl w:val="0"/>
              <w:spacing w:before="21" w:after="0"/>
              <w:ind w:left="181"/>
              <w:rPr>
                <w:rFonts w:eastAsia="Arial" w:cs="Arial"/>
                <w:sz w:val="20"/>
              </w:rPr>
            </w:pPr>
            <w:r w:rsidRPr="00332771">
              <w:rPr>
                <w:rFonts w:eastAsia="Arial" w:cs="Arial"/>
                <w:sz w:val="20"/>
              </w:rPr>
              <w:t>447 Sales for Resale</w:t>
            </w:r>
          </w:p>
        </w:tc>
        <w:tc>
          <w:tcPr>
            <w:tcW w:w="1627" w:type="dxa"/>
          </w:tcPr>
          <w:p w:rsidR="00AC40FC" w:rsidRPr="00332771" w:rsidRDefault="00AC40FC" w:rsidP="00A51C66">
            <w:pPr>
              <w:widowControl w:val="0"/>
              <w:spacing w:before="21" w:after="0"/>
              <w:ind w:right="25"/>
              <w:jc w:val="right"/>
              <w:rPr>
                <w:rFonts w:eastAsia="Arial" w:cs="Arial"/>
                <w:sz w:val="20"/>
              </w:rPr>
            </w:pPr>
            <w:r w:rsidRPr="00332771">
              <w:rPr>
                <w:rFonts w:eastAsia="Arial" w:cs="Arial"/>
                <w:w w:val="95"/>
                <w:sz w:val="20"/>
              </w:rPr>
              <w:t>958,610,000</w:t>
            </w:r>
          </w:p>
        </w:tc>
        <w:tc>
          <w:tcPr>
            <w:tcW w:w="1886" w:type="dxa"/>
          </w:tcPr>
          <w:p w:rsidR="00AC40FC" w:rsidRPr="00332771" w:rsidRDefault="00AC40FC" w:rsidP="00A51C66">
            <w:pPr>
              <w:widowControl w:val="0"/>
              <w:spacing w:before="21" w:after="0"/>
              <w:ind w:right="25"/>
              <w:jc w:val="right"/>
              <w:rPr>
                <w:rFonts w:eastAsia="Arial" w:cs="Arial"/>
                <w:sz w:val="20"/>
              </w:rPr>
            </w:pPr>
            <w:r w:rsidRPr="00332771">
              <w:rPr>
                <w:rFonts w:eastAsia="Arial" w:cs="Arial"/>
                <w:w w:val="95"/>
                <w:sz w:val="20"/>
              </w:rPr>
              <w:t>954,378,000</w:t>
            </w:r>
          </w:p>
        </w:tc>
        <w:tc>
          <w:tcPr>
            <w:tcW w:w="1579" w:type="dxa"/>
          </w:tcPr>
          <w:p w:rsidR="00AC40FC" w:rsidRPr="00332771" w:rsidRDefault="00AC40FC" w:rsidP="00A51C66">
            <w:pPr>
              <w:widowControl w:val="0"/>
              <w:spacing w:before="21" w:after="0"/>
              <w:ind w:right="25"/>
              <w:jc w:val="right"/>
              <w:rPr>
                <w:rFonts w:eastAsia="Arial" w:cs="Arial"/>
                <w:sz w:val="20"/>
              </w:rPr>
            </w:pPr>
            <w:r w:rsidRPr="00332771">
              <w:rPr>
                <w:rFonts w:eastAsia="Arial" w:cs="Arial"/>
                <w:w w:val="95"/>
                <w:sz w:val="20"/>
              </w:rPr>
              <w:t>931,925,000</w:t>
            </w:r>
          </w:p>
        </w:tc>
        <w:tc>
          <w:tcPr>
            <w:tcW w:w="1579" w:type="dxa"/>
          </w:tcPr>
          <w:p w:rsidR="00AC40FC" w:rsidRPr="00332771" w:rsidRDefault="00AC40FC" w:rsidP="00A51C66">
            <w:pPr>
              <w:widowControl w:val="0"/>
              <w:spacing w:before="21" w:after="0"/>
              <w:ind w:right="25"/>
              <w:jc w:val="right"/>
              <w:rPr>
                <w:rFonts w:eastAsia="Arial" w:cs="Arial"/>
                <w:sz w:val="20"/>
              </w:rPr>
            </w:pPr>
            <w:r w:rsidRPr="00332771">
              <w:rPr>
                <w:rFonts w:eastAsia="Arial" w:cs="Arial"/>
                <w:w w:val="95"/>
                <w:sz w:val="20"/>
              </w:rPr>
              <w:t>958,545,000</w:t>
            </w:r>
          </w:p>
        </w:tc>
        <w:tc>
          <w:tcPr>
            <w:tcW w:w="1627" w:type="dxa"/>
          </w:tcPr>
          <w:p w:rsidR="00AC40FC" w:rsidRPr="00332771" w:rsidRDefault="00AC40FC" w:rsidP="00A51C66">
            <w:pPr>
              <w:widowControl w:val="0"/>
              <w:spacing w:before="21" w:after="0"/>
              <w:ind w:right="25"/>
              <w:jc w:val="right"/>
              <w:rPr>
                <w:rFonts w:eastAsia="Arial" w:cs="Arial"/>
                <w:sz w:val="20"/>
              </w:rPr>
            </w:pPr>
            <w:r w:rsidRPr="00332771">
              <w:rPr>
                <w:rFonts w:eastAsia="Arial" w:cs="Arial"/>
                <w:w w:val="95"/>
                <w:sz w:val="20"/>
              </w:rPr>
              <w:t>987,035,000</w:t>
            </w:r>
          </w:p>
        </w:tc>
        <w:tc>
          <w:tcPr>
            <w:tcW w:w="1308" w:type="dxa"/>
          </w:tcPr>
          <w:p w:rsidR="00AC40FC" w:rsidRPr="00332771" w:rsidRDefault="00AC40FC" w:rsidP="00A51C66">
            <w:pPr>
              <w:widowControl w:val="0"/>
              <w:spacing w:before="21" w:after="0"/>
              <w:ind w:left="258" w:right="241"/>
              <w:jc w:val="center"/>
              <w:rPr>
                <w:rFonts w:eastAsia="Arial" w:cs="Arial"/>
                <w:sz w:val="20"/>
              </w:rPr>
            </w:pPr>
            <w:r w:rsidRPr="00332771">
              <w:rPr>
                <w:rFonts w:eastAsia="Arial" w:cs="Arial"/>
                <w:sz w:val="20"/>
              </w:rPr>
              <w:t>0.73%</w:t>
            </w:r>
          </w:p>
        </w:tc>
      </w:tr>
      <w:tr w:rsidR="00AC40FC" w:rsidRPr="00332771" w:rsidTr="00A51C66">
        <w:trPr>
          <w:trHeight w:hRule="exact" w:val="245"/>
          <w:jc w:val="center"/>
        </w:trPr>
        <w:tc>
          <w:tcPr>
            <w:tcW w:w="4966" w:type="dxa"/>
          </w:tcPr>
          <w:p w:rsidR="00AC40FC" w:rsidRPr="00332771" w:rsidRDefault="00AC40FC" w:rsidP="00A51C66">
            <w:pPr>
              <w:widowControl w:val="0"/>
              <w:spacing w:after="0" w:line="220" w:lineRule="exact"/>
              <w:ind w:right="26"/>
              <w:jc w:val="right"/>
              <w:rPr>
                <w:rFonts w:eastAsia="Arial" w:cs="Arial"/>
                <w:b/>
                <w:sz w:val="20"/>
              </w:rPr>
            </w:pPr>
            <w:r w:rsidRPr="00332771">
              <w:rPr>
                <w:rFonts w:eastAsia="Arial" w:cs="Arial"/>
                <w:b/>
                <w:sz w:val="20"/>
              </w:rPr>
              <w:t>Total Sales of Electricity</w:t>
            </w:r>
          </w:p>
        </w:tc>
        <w:tc>
          <w:tcPr>
            <w:tcW w:w="1627" w:type="dxa"/>
          </w:tcPr>
          <w:p w:rsidR="00AC40FC" w:rsidRPr="00332771" w:rsidRDefault="00AC40FC" w:rsidP="00A51C66">
            <w:pPr>
              <w:widowControl w:val="0"/>
              <w:spacing w:after="0" w:line="220" w:lineRule="exact"/>
              <w:ind w:right="27"/>
              <w:jc w:val="right"/>
              <w:rPr>
                <w:rFonts w:eastAsia="Arial" w:cs="Arial"/>
                <w:b/>
                <w:sz w:val="20"/>
              </w:rPr>
            </w:pPr>
            <w:r w:rsidRPr="00332771">
              <w:rPr>
                <w:rFonts w:eastAsia="Arial" w:cs="Arial"/>
                <w:b/>
                <w:w w:val="95"/>
                <w:sz w:val="20"/>
              </w:rPr>
              <w:t>37,956,625,000</w:t>
            </w:r>
          </w:p>
        </w:tc>
        <w:tc>
          <w:tcPr>
            <w:tcW w:w="1886" w:type="dxa"/>
          </w:tcPr>
          <w:p w:rsidR="00AC40FC" w:rsidRPr="00332771" w:rsidRDefault="00AC40FC" w:rsidP="00A51C66">
            <w:pPr>
              <w:widowControl w:val="0"/>
              <w:spacing w:after="0" w:line="220" w:lineRule="exact"/>
              <w:ind w:right="27"/>
              <w:jc w:val="right"/>
              <w:rPr>
                <w:rFonts w:eastAsia="Arial" w:cs="Arial"/>
                <w:b/>
                <w:sz w:val="20"/>
              </w:rPr>
            </w:pPr>
            <w:r w:rsidRPr="00332771">
              <w:rPr>
                <w:rFonts w:eastAsia="Arial" w:cs="Arial"/>
                <w:b/>
                <w:w w:val="95"/>
                <w:sz w:val="20"/>
              </w:rPr>
              <w:t>37,896,105,000</w:t>
            </w:r>
          </w:p>
        </w:tc>
        <w:tc>
          <w:tcPr>
            <w:tcW w:w="1579" w:type="dxa"/>
          </w:tcPr>
          <w:p w:rsidR="00AC40FC" w:rsidRPr="00332771" w:rsidRDefault="00AC40FC" w:rsidP="00A51C66">
            <w:pPr>
              <w:widowControl w:val="0"/>
              <w:spacing w:after="0" w:line="220" w:lineRule="exact"/>
              <w:ind w:right="27"/>
              <w:jc w:val="right"/>
              <w:rPr>
                <w:rFonts w:eastAsia="Arial" w:cs="Arial"/>
                <w:b/>
                <w:sz w:val="20"/>
              </w:rPr>
            </w:pPr>
            <w:r w:rsidRPr="00332771">
              <w:rPr>
                <w:rFonts w:eastAsia="Arial" w:cs="Arial"/>
                <w:b/>
                <w:w w:val="95"/>
                <w:sz w:val="20"/>
              </w:rPr>
              <w:t>36,947,568,000</w:t>
            </w:r>
          </w:p>
        </w:tc>
        <w:tc>
          <w:tcPr>
            <w:tcW w:w="1579" w:type="dxa"/>
          </w:tcPr>
          <w:p w:rsidR="00AC40FC" w:rsidRPr="00332771" w:rsidRDefault="00AC40FC" w:rsidP="00A51C66">
            <w:pPr>
              <w:widowControl w:val="0"/>
              <w:spacing w:after="0" w:line="220" w:lineRule="exact"/>
              <w:ind w:left="151" w:right="-2"/>
              <w:rPr>
                <w:rFonts w:eastAsia="Arial" w:cs="Arial"/>
                <w:b/>
                <w:sz w:val="20"/>
              </w:rPr>
            </w:pPr>
            <w:r w:rsidRPr="00332771">
              <w:rPr>
                <w:rFonts w:eastAsia="Arial" w:cs="Arial"/>
                <w:b/>
                <w:sz w:val="20"/>
              </w:rPr>
              <w:t>37,712,878,000</w:t>
            </w:r>
          </w:p>
        </w:tc>
        <w:tc>
          <w:tcPr>
            <w:tcW w:w="1627" w:type="dxa"/>
          </w:tcPr>
          <w:p w:rsidR="00AC40FC" w:rsidRPr="00332771" w:rsidRDefault="00AC40FC" w:rsidP="00A51C66">
            <w:pPr>
              <w:widowControl w:val="0"/>
              <w:spacing w:after="0" w:line="220" w:lineRule="exact"/>
              <w:ind w:right="27"/>
              <w:jc w:val="right"/>
              <w:rPr>
                <w:rFonts w:eastAsia="Arial" w:cs="Arial"/>
                <w:b/>
                <w:sz w:val="20"/>
              </w:rPr>
            </w:pPr>
            <w:r w:rsidRPr="00332771">
              <w:rPr>
                <w:rFonts w:eastAsia="Arial" w:cs="Arial"/>
                <w:b/>
                <w:w w:val="95"/>
                <w:sz w:val="20"/>
              </w:rPr>
              <w:t>38,005,667,000</w:t>
            </w:r>
          </w:p>
        </w:tc>
        <w:tc>
          <w:tcPr>
            <w:tcW w:w="1308" w:type="dxa"/>
          </w:tcPr>
          <w:p w:rsidR="00AC40FC" w:rsidRPr="00332771" w:rsidRDefault="00AC40FC" w:rsidP="00A51C66">
            <w:pPr>
              <w:widowControl w:val="0"/>
              <w:spacing w:after="0" w:line="220" w:lineRule="exact"/>
              <w:ind w:left="258" w:right="240"/>
              <w:jc w:val="center"/>
              <w:rPr>
                <w:rFonts w:eastAsia="Arial" w:cs="Arial"/>
                <w:b/>
                <w:sz w:val="20"/>
              </w:rPr>
            </w:pPr>
            <w:r w:rsidRPr="00332771">
              <w:rPr>
                <w:rFonts w:eastAsia="Arial" w:cs="Arial"/>
                <w:b/>
                <w:sz w:val="20"/>
              </w:rPr>
              <w:t>0.03%</w:t>
            </w:r>
          </w:p>
        </w:tc>
      </w:tr>
      <w:tr w:rsidR="00AC40FC" w:rsidRPr="00332771" w:rsidTr="00A51C66">
        <w:trPr>
          <w:trHeight w:hRule="exact" w:val="245"/>
          <w:jc w:val="center"/>
        </w:trPr>
        <w:tc>
          <w:tcPr>
            <w:tcW w:w="4966" w:type="dxa"/>
          </w:tcPr>
          <w:p w:rsidR="00AC40FC" w:rsidRPr="00332771" w:rsidRDefault="00AC40FC" w:rsidP="00A51C66">
            <w:pPr>
              <w:widowControl w:val="0"/>
              <w:spacing w:after="0" w:line="220" w:lineRule="exact"/>
              <w:ind w:left="179"/>
              <w:rPr>
                <w:rFonts w:eastAsia="Arial" w:cs="Arial"/>
                <w:sz w:val="20"/>
              </w:rPr>
            </w:pPr>
            <w:r w:rsidRPr="00332771">
              <w:rPr>
                <w:rFonts w:eastAsia="Arial" w:cs="Arial"/>
                <w:sz w:val="20"/>
              </w:rPr>
              <w:t>Less 449.1 Provision for Rate Refunds</w:t>
            </w:r>
          </w:p>
        </w:tc>
        <w:tc>
          <w:tcPr>
            <w:tcW w:w="1627" w:type="dxa"/>
          </w:tcPr>
          <w:p w:rsidR="00AC40FC" w:rsidRPr="00332771" w:rsidRDefault="00AC40FC" w:rsidP="00A51C66">
            <w:pPr>
              <w:widowControl w:val="0"/>
              <w:spacing w:after="0" w:line="220" w:lineRule="exact"/>
              <w:ind w:right="26"/>
              <w:jc w:val="right"/>
              <w:rPr>
                <w:rFonts w:eastAsia="Arial" w:cs="Arial"/>
                <w:sz w:val="20"/>
              </w:rPr>
            </w:pPr>
            <w:r w:rsidRPr="00332771">
              <w:rPr>
                <w:rFonts w:eastAsia="Arial" w:cs="Arial"/>
                <w:w w:val="99"/>
                <w:sz w:val="20"/>
              </w:rPr>
              <w:t>0</w:t>
            </w:r>
          </w:p>
        </w:tc>
        <w:tc>
          <w:tcPr>
            <w:tcW w:w="1886" w:type="dxa"/>
          </w:tcPr>
          <w:p w:rsidR="00AC40FC" w:rsidRPr="00332771" w:rsidRDefault="00AC40FC" w:rsidP="00A51C66">
            <w:pPr>
              <w:widowControl w:val="0"/>
              <w:spacing w:after="0" w:line="220" w:lineRule="exact"/>
              <w:ind w:right="26"/>
              <w:jc w:val="right"/>
              <w:rPr>
                <w:rFonts w:eastAsia="Arial" w:cs="Arial"/>
                <w:sz w:val="20"/>
              </w:rPr>
            </w:pPr>
            <w:r w:rsidRPr="00332771">
              <w:rPr>
                <w:rFonts w:eastAsia="Arial" w:cs="Arial"/>
                <w:w w:val="99"/>
                <w:sz w:val="20"/>
              </w:rPr>
              <w:t>0</w:t>
            </w:r>
          </w:p>
        </w:tc>
        <w:tc>
          <w:tcPr>
            <w:tcW w:w="1579" w:type="dxa"/>
          </w:tcPr>
          <w:p w:rsidR="00AC40FC" w:rsidRPr="00332771" w:rsidRDefault="00AC40FC" w:rsidP="00A51C66">
            <w:pPr>
              <w:widowControl w:val="0"/>
              <w:spacing w:after="0" w:line="220" w:lineRule="exact"/>
              <w:ind w:right="26"/>
              <w:jc w:val="right"/>
              <w:rPr>
                <w:rFonts w:eastAsia="Arial" w:cs="Arial"/>
                <w:sz w:val="20"/>
              </w:rPr>
            </w:pPr>
            <w:r w:rsidRPr="00332771">
              <w:rPr>
                <w:rFonts w:eastAsia="Arial" w:cs="Arial"/>
                <w:w w:val="99"/>
                <w:sz w:val="20"/>
              </w:rPr>
              <w:t>0</w:t>
            </w:r>
          </w:p>
        </w:tc>
        <w:tc>
          <w:tcPr>
            <w:tcW w:w="1579" w:type="dxa"/>
          </w:tcPr>
          <w:p w:rsidR="00AC40FC" w:rsidRPr="00332771" w:rsidRDefault="00AC40FC" w:rsidP="00A51C66">
            <w:pPr>
              <w:widowControl w:val="0"/>
              <w:spacing w:after="0" w:line="220" w:lineRule="exact"/>
              <w:ind w:right="26"/>
              <w:jc w:val="right"/>
              <w:rPr>
                <w:rFonts w:eastAsia="Arial" w:cs="Arial"/>
                <w:sz w:val="20"/>
              </w:rPr>
            </w:pPr>
            <w:r w:rsidRPr="00332771">
              <w:rPr>
                <w:rFonts w:eastAsia="Arial" w:cs="Arial"/>
                <w:w w:val="99"/>
                <w:sz w:val="20"/>
              </w:rPr>
              <w:t>0</w:t>
            </w:r>
          </w:p>
        </w:tc>
        <w:tc>
          <w:tcPr>
            <w:tcW w:w="1627" w:type="dxa"/>
          </w:tcPr>
          <w:p w:rsidR="00AC40FC" w:rsidRPr="00332771" w:rsidRDefault="00AC40FC" w:rsidP="00A51C66">
            <w:pPr>
              <w:widowControl w:val="0"/>
              <w:spacing w:after="0" w:line="220" w:lineRule="exact"/>
              <w:ind w:right="26"/>
              <w:jc w:val="right"/>
              <w:rPr>
                <w:rFonts w:eastAsia="Arial" w:cs="Arial"/>
                <w:sz w:val="20"/>
              </w:rPr>
            </w:pPr>
            <w:r w:rsidRPr="00332771">
              <w:rPr>
                <w:rFonts w:eastAsia="Arial" w:cs="Arial"/>
                <w:w w:val="99"/>
                <w:sz w:val="20"/>
              </w:rPr>
              <w:t>0</w:t>
            </w:r>
          </w:p>
        </w:tc>
        <w:tc>
          <w:tcPr>
            <w:tcW w:w="1308" w:type="dxa"/>
          </w:tcPr>
          <w:p w:rsidR="00AC40FC" w:rsidRPr="00332771" w:rsidRDefault="00AC40FC" w:rsidP="00A51C66">
            <w:pPr>
              <w:widowControl w:val="0"/>
              <w:spacing w:after="0" w:line="220" w:lineRule="exact"/>
              <w:ind w:left="258" w:right="243"/>
              <w:jc w:val="center"/>
              <w:rPr>
                <w:rFonts w:eastAsia="Arial" w:cs="Arial"/>
                <w:sz w:val="20"/>
              </w:rPr>
            </w:pPr>
            <w:r w:rsidRPr="00332771">
              <w:rPr>
                <w:rFonts w:eastAsia="Arial" w:cs="Arial"/>
                <w:sz w:val="20"/>
              </w:rPr>
              <w:t>NM</w:t>
            </w:r>
          </w:p>
        </w:tc>
      </w:tr>
      <w:tr w:rsidR="00AC40FC" w:rsidRPr="00332771" w:rsidTr="00A51C66">
        <w:trPr>
          <w:trHeight w:hRule="exact" w:val="497"/>
          <w:jc w:val="center"/>
        </w:trPr>
        <w:tc>
          <w:tcPr>
            <w:tcW w:w="4966" w:type="dxa"/>
          </w:tcPr>
          <w:p w:rsidR="00AC40FC" w:rsidRPr="00332771" w:rsidRDefault="00AC40FC" w:rsidP="00A51C66">
            <w:pPr>
              <w:widowControl w:val="0"/>
              <w:spacing w:before="7" w:after="0"/>
              <w:rPr>
                <w:rFonts w:ascii="Times New Roman" w:eastAsia="Arial" w:cs="Arial"/>
                <w:sz w:val="20"/>
              </w:rPr>
            </w:pPr>
          </w:p>
          <w:p w:rsidR="00AC40FC" w:rsidRPr="00332771" w:rsidRDefault="00AC40FC" w:rsidP="00A51C66">
            <w:pPr>
              <w:widowControl w:val="0"/>
              <w:spacing w:after="0"/>
              <w:ind w:right="29"/>
              <w:jc w:val="right"/>
              <w:rPr>
                <w:rFonts w:eastAsia="Arial" w:cs="Arial"/>
                <w:b/>
                <w:sz w:val="20"/>
              </w:rPr>
            </w:pPr>
            <w:r w:rsidRPr="00332771">
              <w:rPr>
                <w:rFonts w:eastAsia="Arial" w:cs="Arial"/>
                <w:b/>
                <w:sz w:val="20"/>
              </w:rPr>
              <w:t>Total Kilowatt Hours Sold</w:t>
            </w:r>
          </w:p>
        </w:tc>
        <w:tc>
          <w:tcPr>
            <w:tcW w:w="1627" w:type="dxa"/>
          </w:tcPr>
          <w:p w:rsidR="00AC40FC" w:rsidRPr="00332771" w:rsidRDefault="00AC40FC" w:rsidP="00A51C66">
            <w:pPr>
              <w:widowControl w:val="0"/>
              <w:spacing w:before="7" w:after="0"/>
              <w:rPr>
                <w:rFonts w:ascii="Times New Roman" w:eastAsia="Arial" w:cs="Arial"/>
                <w:sz w:val="20"/>
              </w:rPr>
            </w:pPr>
          </w:p>
          <w:p w:rsidR="00AC40FC" w:rsidRPr="00332771" w:rsidRDefault="00AC40FC" w:rsidP="00A51C66">
            <w:pPr>
              <w:widowControl w:val="0"/>
              <w:spacing w:after="0"/>
              <w:ind w:right="26"/>
              <w:jc w:val="right"/>
              <w:rPr>
                <w:rFonts w:eastAsia="Arial" w:cs="Arial"/>
                <w:b/>
                <w:sz w:val="20"/>
              </w:rPr>
            </w:pPr>
            <w:r w:rsidRPr="00332771">
              <w:rPr>
                <w:rFonts w:eastAsia="Arial" w:cs="Arial"/>
                <w:b/>
                <w:w w:val="95"/>
                <w:sz w:val="20"/>
              </w:rPr>
              <w:t>37,956,625,000</w:t>
            </w:r>
          </w:p>
        </w:tc>
        <w:tc>
          <w:tcPr>
            <w:tcW w:w="1886" w:type="dxa"/>
          </w:tcPr>
          <w:p w:rsidR="00AC40FC" w:rsidRPr="00332771" w:rsidRDefault="00AC40FC" w:rsidP="00A51C66">
            <w:pPr>
              <w:widowControl w:val="0"/>
              <w:spacing w:before="7" w:after="0"/>
              <w:rPr>
                <w:rFonts w:ascii="Times New Roman" w:eastAsia="Arial" w:cs="Arial"/>
                <w:sz w:val="20"/>
              </w:rPr>
            </w:pPr>
          </w:p>
          <w:p w:rsidR="00AC40FC" w:rsidRPr="00332771" w:rsidRDefault="00AC40FC" w:rsidP="00A51C66">
            <w:pPr>
              <w:widowControl w:val="0"/>
              <w:spacing w:after="0"/>
              <w:ind w:right="26"/>
              <w:jc w:val="right"/>
              <w:rPr>
                <w:rFonts w:eastAsia="Arial" w:cs="Arial"/>
                <w:b/>
                <w:sz w:val="20"/>
              </w:rPr>
            </w:pPr>
            <w:r w:rsidRPr="00332771">
              <w:rPr>
                <w:rFonts w:eastAsia="Arial" w:cs="Arial"/>
                <w:b/>
                <w:w w:val="95"/>
                <w:sz w:val="20"/>
              </w:rPr>
              <w:t>37,896,105,000</w:t>
            </w:r>
          </w:p>
        </w:tc>
        <w:tc>
          <w:tcPr>
            <w:tcW w:w="1579" w:type="dxa"/>
          </w:tcPr>
          <w:p w:rsidR="00AC40FC" w:rsidRPr="00332771" w:rsidRDefault="00AC40FC" w:rsidP="00A51C66">
            <w:pPr>
              <w:widowControl w:val="0"/>
              <w:spacing w:before="7" w:after="0"/>
              <w:rPr>
                <w:rFonts w:ascii="Times New Roman" w:eastAsia="Arial" w:cs="Arial"/>
                <w:sz w:val="20"/>
              </w:rPr>
            </w:pPr>
          </w:p>
          <w:p w:rsidR="00AC40FC" w:rsidRPr="00332771" w:rsidRDefault="00AC40FC" w:rsidP="00A51C66">
            <w:pPr>
              <w:widowControl w:val="0"/>
              <w:spacing w:after="0"/>
              <w:ind w:right="26"/>
              <w:jc w:val="right"/>
              <w:rPr>
                <w:rFonts w:eastAsia="Arial" w:cs="Arial"/>
                <w:b/>
                <w:sz w:val="20"/>
              </w:rPr>
            </w:pPr>
            <w:r w:rsidRPr="00332771">
              <w:rPr>
                <w:rFonts w:eastAsia="Arial" w:cs="Arial"/>
                <w:b/>
                <w:w w:val="95"/>
                <w:sz w:val="20"/>
              </w:rPr>
              <w:t>36,947,568,000</w:t>
            </w:r>
          </w:p>
        </w:tc>
        <w:tc>
          <w:tcPr>
            <w:tcW w:w="1579" w:type="dxa"/>
          </w:tcPr>
          <w:p w:rsidR="00AC40FC" w:rsidRPr="00332771" w:rsidRDefault="00AC40FC" w:rsidP="00A51C66">
            <w:pPr>
              <w:widowControl w:val="0"/>
              <w:spacing w:before="7" w:after="0"/>
              <w:rPr>
                <w:rFonts w:ascii="Times New Roman" w:eastAsia="Arial" w:cs="Arial"/>
                <w:sz w:val="20"/>
              </w:rPr>
            </w:pPr>
          </w:p>
          <w:p w:rsidR="00AC40FC" w:rsidRPr="00332771" w:rsidRDefault="00AC40FC" w:rsidP="00A51C66">
            <w:pPr>
              <w:widowControl w:val="0"/>
              <w:spacing w:after="0"/>
              <w:ind w:left="151" w:right="-2"/>
              <w:rPr>
                <w:rFonts w:eastAsia="Arial" w:cs="Arial"/>
                <w:b/>
                <w:sz w:val="20"/>
              </w:rPr>
            </w:pPr>
            <w:r w:rsidRPr="00332771">
              <w:rPr>
                <w:rFonts w:eastAsia="Arial" w:cs="Arial"/>
                <w:b/>
                <w:sz w:val="20"/>
              </w:rPr>
              <w:t>37,712,878,000</w:t>
            </w:r>
          </w:p>
        </w:tc>
        <w:tc>
          <w:tcPr>
            <w:tcW w:w="1627" w:type="dxa"/>
          </w:tcPr>
          <w:p w:rsidR="00AC40FC" w:rsidRPr="00332771" w:rsidRDefault="00AC40FC" w:rsidP="00A51C66">
            <w:pPr>
              <w:widowControl w:val="0"/>
              <w:spacing w:before="7" w:after="0"/>
              <w:rPr>
                <w:rFonts w:ascii="Times New Roman" w:eastAsia="Arial" w:cs="Arial"/>
                <w:sz w:val="20"/>
              </w:rPr>
            </w:pPr>
          </w:p>
          <w:p w:rsidR="00AC40FC" w:rsidRPr="00332771" w:rsidRDefault="00AC40FC" w:rsidP="00A51C66">
            <w:pPr>
              <w:widowControl w:val="0"/>
              <w:spacing w:after="0"/>
              <w:ind w:right="26"/>
              <w:jc w:val="right"/>
              <w:rPr>
                <w:rFonts w:eastAsia="Arial" w:cs="Arial"/>
                <w:b/>
                <w:sz w:val="20"/>
              </w:rPr>
            </w:pPr>
            <w:r w:rsidRPr="00332771">
              <w:rPr>
                <w:rFonts w:eastAsia="Arial" w:cs="Arial"/>
                <w:b/>
                <w:w w:val="95"/>
                <w:sz w:val="20"/>
              </w:rPr>
              <w:t>38,005,667,000</w:t>
            </w:r>
          </w:p>
        </w:tc>
        <w:tc>
          <w:tcPr>
            <w:tcW w:w="1308" w:type="dxa"/>
          </w:tcPr>
          <w:p w:rsidR="00AC40FC" w:rsidRPr="00332771" w:rsidRDefault="00AC40FC" w:rsidP="00A51C66">
            <w:pPr>
              <w:widowControl w:val="0"/>
              <w:spacing w:before="7" w:after="0"/>
              <w:rPr>
                <w:rFonts w:ascii="Times New Roman" w:eastAsia="Arial" w:cs="Arial"/>
                <w:sz w:val="20"/>
              </w:rPr>
            </w:pPr>
          </w:p>
          <w:p w:rsidR="00AC40FC" w:rsidRPr="00332771" w:rsidRDefault="00AC40FC" w:rsidP="00A51C66">
            <w:pPr>
              <w:widowControl w:val="0"/>
              <w:spacing w:after="0"/>
              <w:ind w:left="258" w:right="239"/>
              <w:jc w:val="center"/>
              <w:rPr>
                <w:rFonts w:eastAsia="Arial" w:cs="Arial"/>
                <w:b/>
                <w:sz w:val="20"/>
              </w:rPr>
            </w:pPr>
            <w:r w:rsidRPr="00332771">
              <w:rPr>
                <w:rFonts w:eastAsia="Arial" w:cs="Arial"/>
                <w:b/>
                <w:sz w:val="20"/>
              </w:rPr>
              <w:t>0.03%</w:t>
            </w:r>
          </w:p>
        </w:tc>
      </w:tr>
    </w:tbl>
    <w:p w:rsidR="00AC40FC" w:rsidRDefault="00AC40FC"/>
    <w:p w:rsidR="00AC40FC" w:rsidRDefault="00AC40FC" w:rsidP="005E47C4">
      <w:pPr>
        <w:pStyle w:val="Caption"/>
      </w:pPr>
      <w:bookmarkStart w:id="471" w:name="_Toc462648519"/>
      <w:bookmarkStart w:id="472" w:name="_Toc464553141"/>
      <w:r>
        <w:t xml:space="preserve">Exhibit </w:t>
      </w:r>
      <w:fldSimple w:instr=" STYLEREF 6 \s ">
        <w:r w:rsidR="00A24205">
          <w:rPr>
            <w:noProof/>
          </w:rPr>
          <w:t>A</w:t>
        </w:r>
      </w:fldSimple>
      <w:r>
        <w:noBreakHyphen/>
      </w:r>
      <w:fldSimple w:instr=" SEQ Exhibit_Apx \* ARABIC \s 6 ">
        <w:r w:rsidR="00A24205">
          <w:rPr>
            <w:noProof/>
          </w:rPr>
          <w:t>3</w:t>
        </w:r>
      </w:fldSimple>
      <w:r>
        <w:br/>
        <w:t>Average Number of Customers Per Month</w:t>
      </w:r>
      <w:bookmarkEnd w:id="471"/>
      <w:bookmarkEnd w:id="472"/>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4963"/>
        <w:gridCol w:w="1627"/>
        <w:gridCol w:w="1886"/>
        <w:gridCol w:w="1579"/>
        <w:gridCol w:w="1579"/>
        <w:gridCol w:w="1627"/>
        <w:gridCol w:w="1306"/>
      </w:tblGrid>
      <w:tr w:rsidR="00AC40FC" w:rsidRPr="00332771" w:rsidTr="00A51C66">
        <w:trPr>
          <w:trHeight w:hRule="exact" w:val="492"/>
          <w:jc w:val="center"/>
        </w:trPr>
        <w:tc>
          <w:tcPr>
            <w:tcW w:w="4963" w:type="dxa"/>
            <w:shd w:val="clear" w:color="auto" w:fill="A5CD7E"/>
          </w:tcPr>
          <w:p w:rsidR="00AC40FC" w:rsidRPr="00332771" w:rsidRDefault="00AC40FC" w:rsidP="00A51C66">
            <w:pPr>
              <w:widowControl w:val="0"/>
              <w:spacing w:before="122" w:after="0"/>
              <w:ind w:left="28"/>
              <w:rPr>
                <w:rFonts w:eastAsia="Arial" w:cs="Arial"/>
                <w:b/>
                <w:sz w:val="20"/>
              </w:rPr>
            </w:pPr>
            <w:r w:rsidRPr="00332771">
              <w:rPr>
                <w:rFonts w:eastAsia="Arial" w:cs="Arial"/>
                <w:b/>
                <w:sz w:val="20"/>
              </w:rPr>
              <w:t>Average Number of Customers Per Month</w:t>
            </w:r>
          </w:p>
        </w:tc>
        <w:tc>
          <w:tcPr>
            <w:tcW w:w="1627" w:type="dxa"/>
            <w:shd w:val="clear" w:color="auto" w:fill="A5CD7E"/>
          </w:tcPr>
          <w:p w:rsidR="00AC40FC" w:rsidRPr="00332771" w:rsidRDefault="00AC40FC" w:rsidP="00A51C66">
            <w:pPr>
              <w:widowControl w:val="0"/>
              <w:spacing w:before="122" w:after="0"/>
              <w:ind w:left="571" w:right="552"/>
              <w:jc w:val="center"/>
              <w:rPr>
                <w:rFonts w:eastAsia="Arial" w:cs="Arial"/>
                <w:b/>
                <w:sz w:val="20"/>
              </w:rPr>
            </w:pPr>
            <w:r w:rsidRPr="00332771">
              <w:rPr>
                <w:rFonts w:eastAsia="Arial" w:cs="Arial"/>
                <w:b/>
                <w:sz w:val="20"/>
              </w:rPr>
              <w:t>2010</w:t>
            </w:r>
          </w:p>
        </w:tc>
        <w:tc>
          <w:tcPr>
            <w:tcW w:w="1886" w:type="dxa"/>
            <w:shd w:val="clear" w:color="auto" w:fill="A5CD7E"/>
          </w:tcPr>
          <w:p w:rsidR="00AC40FC" w:rsidRPr="00332771" w:rsidRDefault="00AC40FC" w:rsidP="00A51C66">
            <w:pPr>
              <w:widowControl w:val="0"/>
              <w:spacing w:before="122" w:after="0"/>
              <w:ind w:left="700" w:right="682"/>
              <w:jc w:val="center"/>
              <w:rPr>
                <w:rFonts w:eastAsia="Arial" w:cs="Arial"/>
                <w:b/>
                <w:sz w:val="20"/>
              </w:rPr>
            </w:pPr>
            <w:r w:rsidRPr="00332771">
              <w:rPr>
                <w:rFonts w:eastAsia="Arial" w:cs="Arial"/>
                <w:b/>
                <w:sz w:val="20"/>
              </w:rPr>
              <w:t>2011</w:t>
            </w:r>
          </w:p>
        </w:tc>
        <w:tc>
          <w:tcPr>
            <w:tcW w:w="1579" w:type="dxa"/>
            <w:shd w:val="clear" w:color="auto" w:fill="A5CD7E"/>
          </w:tcPr>
          <w:p w:rsidR="00AC40FC" w:rsidRPr="00332771" w:rsidRDefault="00AC40FC" w:rsidP="00A51C66">
            <w:pPr>
              <w:widowControl w:val="0"/>
              <w:spacing w:before="122" w:after="0"/>
              <w:ind w:left="547" w:right="528"/>
              <w:jc w:val="center"/>
              <w:rPr>
                <w:rFonts w:eastAsia="Arial" w:cs="Arial"/>
                <w:b/>
                <w:sz w:val="20"/>
              </w:rPr>
            </w:pPr>
            <w:r w:rsidRPr="00332771">
              <w:rPr>
                <w:rFonts w:eastAsia="Arial" w:cs="Arial"/>
                <w:b/>
                <w:sz w:val="20"/>
              </w:rPr>
              <w:t>2012</w:t>
            </w:r>
          </w:p>
        </w:tc>
        <w:tc>
          <w:tcPr>
            <w:tcW w:w="1579" w:type="dxa"/>
            <w:shd w:val="clear" w:color="auto" w:fill="A5CD7E"/>
          </w:tcPr>
          <w:p w:rsidR="00AC40FC" w:rsidRPr="00332771" w:rsidRDefault="00AC40FC" w:rsidP="00A51C66">
            <w:pPr>
              <w:widowControl w:val="0"/>
              <w:spacing w:before="122" w:after="0"/>
              <w:ind w:left="547" w:right="528"/>
              <w:jc w:val="center"/>
              <w:rPr>
                <w:rFonts w:eastAsia="Arial" w:cs="Arial"/>
                <w:b/>
                <w:sz w:val="20"/>
              </w:rPr>
            </w:pPr>
            <w:r w:rsidRPr="00332771">
              <w:rPr>
                <w:rFonts w:eastAsia="Arial" w:cs="Arial"/>
                <w:b/>
                <w:sz w:val="20"/>
              </w:rPr>
              <w:t>2013</w:t>
            </w:r>
          </w:p>
        </w:tc>
        <w:tc>
          <w:tcPr>
            <w:tcW w:w="1627" w:type="dxa"/>
            <w:shd w:val="clear" w:color="auto" w:fill="A5CD7E"/>
          </w:tcPr>
          <w:p w:rsidR="00AC40FC" w:rsidRPr="00332771" w:rsidRDefault="00AC40FC" w:rsidP="00A51C66">
            <w:pPr>
              <w:widowControl w:val="0"/>
              <w:spacing w:before="122" w:after="0"/>
              <w:ind w:left="571" w:right="552"/>
              <w:jc w:val="center"/>
              <w:rPr>
                <w:rFonts w:eastAsia="Arial" w:cs="Arial"/>
                <w:b/>
                <w:sz w:val="20"/>
              </w:rPr>
            </w:pPr>
            <w:r w:rsidRPr="00332771">
              <w:rPr>
                <w:rFonts w:eastAsia="Arial" w:cs="Arial"/>
                <w:b/>
                <w:sz w:val="20"/>
              </w:rPr>
              <w:t>2014</w:t>
            </w:r>
          </w:p>
        </w:tc>
        <w:tc>
          <w:tcPr>
            <w:tcW w:w="1306" w:type="dxa"/>
            <w:shd w:val="clear" w:color="auto" w:fill="A5CD7E"/>
          </w:tcPr>
          <w:p w:rsidR="00AC40FC" w:rsidRPr="00332771" w:rsidRDefault="00AC40FC" w:rsidP="00A51C66">
            <w:pPr>
              <w:widowControl w:val="0"/>
              <w:spacing w:after="0" w:line="268" w:lineRule="auto"/>
              <w:ind w:left="295" w:right="94" w:hanging="178"/>
              <w:rPr>
                <w:rFonts w:eastAsia="Arial" w:cs="Arial"/>
                <w:b/>
                <w:sz w:val="20"/>
              </w:rPr>
            </w:pPr>
            <w:r w:rsidRPr="00332771">
              <w:rPr>
                <w:rFonts w:eastAsia="Arial" w:cs="Arial"/>
                <w:b/>
                <w:sz w:val="20"/>
              </w:rPr>
              <w:t>Compound Growth</w:t>
            </w:r>
          </w:p>
        </w:tc>
      </w:tr>
      <w:tr w:rsidR="00AC40FC" w:rsidRPr="00332771" w:rsidTr="00A51C66">
        <w:trPr>
          <w:trHeight w:hRule="exact" w:val="245"/>
          <w:jc w:val="center"/>
        </w:trPr>
        <w:tc>
          <w:tcPr>
            <w:tcW w:w="4963" w:type="dxa"/>
          </w:tcPr>
          <w:p w:rsidR="00AC40FC" w:rsidRPr="00332771" w:rsidRDefault="00AC40FC" w:rsidP="00A51C66">
            <w:pPr>
              <w:widowControl w:val="0"/>
              <w:spacing w:after="0" w:line="218" w:lineRule="exact"/>
              <w:ind w:left="28"/>
              <w:rPr>
                <w:rFonts w:eastAsia="Arial" w:cs="Arial"/>
                <w:b/>
                <w:sz w:val="20"/>
              </w:rPr>
            </w:pPr>
            <w:r w:rsidRPr="00332771">
              <w:rPr>
                <w:rFonts w:eastAsia="Arial" w:cs="Arial"/>
                <w:b/>
                <w:sz w:val="20"/>
              </w:rPr>
              <w:t>ELECTRIC DISTRIBUTION</w:t>
            </w:r>
          </w:p>
        </w:tc>
        <w:tc>
          <w:tcPr>
            <w:tcW w:w="1627" w:type="dxa"/>
          </w:tcPr>
          <w:p w:rsidR="00AC40FC" w:rsidRPr="00332771" w:rsidRDefault="00AC40FC" w:rsidP="00A51C66">
            <w:pPr>
              <w:widowControl w:val="0"/>
              <w:spacing w:after="0"/>
              <w:rPr>
                <w:rFonts w:eastAsia="Arial" w:cs="Arial"/>
              </w:rPr>
            </w:pPr>
          </w:p>
        </w:tc>
        <w:tc>
          <w:tcPr>
            <w:tcW w:w="1886" w:type="dxa"/>
          </w:tcPr>
          <w:p w:rsidR="00AC40FC" w:rsidRPr="00332771" w:rsidRDefault="00AC40FC" w:rsidP="00A51C66">
            <w:pPr>
              <w:widowControl w:val="0"/>
              <w:spacing w:after="0"/>
              <w:rPr>
                <w:rFonts w:eastAsia="Arial" w:cs="Arial"/>
              </w:rPr>
            </w:pPr>
          </w:p>
        </w:tc>
        <w:tc>
          <w:tcPr>
            <w:tcW w:w="1579" w:type="dxa"/>
          </w:tcPr>
          <w:p w:rsidR="00AC40FC" w:rsidRPr="00332771" w:rsidRDefault="00AC40FC" w:rsidP="00A51C66">
            <w:pPr>
              <w:widowControl w:val="0"/>
              <w:spacing w:after="0"/>
              <w:rPr>
                <w:rFonts w:eastAsia="Arial" w:cs="Arial"/>
              </w:rPr>
            </w:pPr>
          </w:p>
        </w:tc>
        <w:tc>
          <w:tcPr>
            <w:tcW w:w="1579" w:type="dxa"/>
          </w:tcPr>
          <w:p w:rsidR="00AC40FC" w:rsidRPr="00332771" w:rsidRDefault="00AC40FC" w:rsidP="00A51C66">
            <w:pPr>
              <w:widowControl w:val="0"/>
              <w:spacing w:after="0"/>
              <w:rPr>
                <w:rFonts w:eastAsia="Arial" w:cs="Arial"/>
              </w:rPr>
            </w:pPr>
          </w:p>
        </w:tc>
        <w:tc>
          <w:tcPr>
            <w:tcW w:w="1627" w:type="dxa"/>
          </w:tcPr>
          <w:p w:rsidR="00AC40FC" w:rsidRPr="00332771" w:rsidRDefault="00AC40FC" w:rsidP="00A51C66">
            <w:pPr>
              <w:widowControl w:val="0"/>
              <w:spacing w:after="0"/>
              <w:rPr>
                <w:rFonts w:eastAsia="Arial" w:cs="Arial"/>
              </w:rPr>
            </w:pPr>
          </w:p>
        </w:tc>
        <w:tc>
          <w:tcPr>
            <w:tcW w:w="1306" w:type="dxa"/>
          </w:tcPr>
          <w:p w:rsidR="00AC40FC" w:rsidRPr="00332771" w:rsidRDefault="00AC40FC" w:rsidP="00A51C66">
            <w:pPr>
              <w:widowControl w:val="0"/>
              <w:spacing w:after="0"/>
              <w:rPr>
                <w:rFonts w:eastAsia="Arial" w:cs="Arial"/>
              </w:rPr>
            </w:pPr>
          </w:p>
        </w:tc>
      </w:tr>
      <w:tr w:rsidR="00AC40FC" w:rsidRPr="00332771" w:rsidTr="00A51C66">
        <w:trPr>
          <w:trHeight w:hRule="exact" w:val="245"/>
          <w:jc w:val="center"/>
        </w:trPr>
        <w:tc>
          <w:tcPr>
            <w:tcW w:w="4963" w:type="dxa"/>
          </w:tcPr>
          <w:p w:rsidR="00AC40FC" w:rsidRPr="00332771" w:rsidRDefault="00AC40FC" w:rsidP="00A51C66">
            <w:pPr>
              <w:widowControl w:val="0"/>
              <w:spacing w:after="0" w:line="220" w:lineRule="exact"/>
              <w:ind w:left="179"/>
              <w:rPr>
                <w:rFonts w:eastAsia="Arial" w:cs="Arial"/>
                <w:sz w:val="20"/>
              </w:rPr>
            </w:pPr>
            <w:r w:rsidRPr="00332771">
              <w:rPr>
                <w:rFonts w:eastAsia="Arial" w:cs="Arial"/>
                <w:sz w:val="20"/>
              </w:rPr>
              <w:t>Residential Sales</w:t>
            </w:r>
          </w:p>
        </w:tc>
        <w:tc>
          <w:tcPr>
            <w:tcW w:w="1627" w:type="dxa"/>
          </w:tcPr>
          <w:p w:rsidR="00AC40FC" w:rsidRPr="00332771" w:rsidRDefault="00AC40FC" w:rsidP="00A51C66">
            <w:pPr>
              <w:widowControl w:val="0"/>
              <w:spacing w:after="0" w:line="220" w:lineRule="exact"/>
              <w:ind w:right="27"/>
              <w:jc w:val="right"/>
              <w:rPr>
                <w:rFonts w:eastAsia="Arial" w:cs="Arial"/>
                <w:sz w:val="20"/>
              </w:rPr>
            </w:pPr>
            <w:r w:rsidRPr="00332771">
              <w:rPr>
                <w:rFonts w:eastAsia="Arial" w:cs="Arial"/>
                <w:w w:val="95"/>
                <w:sz w:val="20"/>
              </w:rPr>
              <w:t>1,224,592</w:t>
            </w:r>
          </w:p>
        </w:tc>
        <w:tc>
          <w:tcPr>
            <w:tcW w:w="1886" w:type="dxa"/>
          </w:tcPr>
          <w:p w:rsidR="00AC40FC" w:rsidRPr="00332771" w:rsidRDefault="00AC40FC" w:rsidP="00A51C66">
            <w:pPr>
              <w:widowControl w:val="0"/>
              <w:spacing w:after="0" w:line="220" w:lineRule="exact"/>
              <w:ind w:right="27"/>
              <w:jc w:val="right"/>
              <w:rPr>
                <w:rFonts w:eastAsia="Arial" w:cs="Arial"/>
                <w:sz w:val="20"/>
              </w:rPr>
            </w:pPr>
            <w:r w:rsidRPr="00332771">
              <w:rPr>
                <w:rFonts w:eastAsia="Arial" w:cs="Arial"/>
                <w:w w:val="95"/>
                <w:sz w:val="20"/>
              </w:rPr>
              <w:t>1,225,816</w:t>
            </w:r>
          </w:p>
        </w:tc>
        <w:tc>
          <w:tcPr>
            <w:tcW w:w="1579" w:type="dxa"/>
          </w:tcPr>
          <w:p w:rsidR="00AC40FC" w:rsidRPr="00332771" w:rsidRDefault="00AC40FC" w:rsidP="00A51C66">
            <w:pPr>
              <w:widowControl w:val="0"/>
              <w:spacing w:after="0" w:line="220" w:lineRule="exact"/>
              <w:ind w:right="27"/>
              <w:jc w:val="right"/>
              <w:rPr>
                <w:rFonts w:eastAsia="Arial" w:cs="Arial"/>
                <w:sz w:val="20"/>
              </w:rPr>
            </w:pPr>
            <w:r w:rsidRPr="00332771">
              <w:rPr>
                <w:rFonts w:eastAsia="Arial" w:cs="Arial"/>
                <w:w w:val="95"/>
                <w:sz w:val="20"/>
              </w:rPr>
              <w:t>1,228,361</w:t>
            </w:r>
          </w:p>
        </w:tc>
        <w:tc>
          <w:tcPr>
            <w:tcW w:w="1579" w:type="dxa"/>
          </w:tcPr>
          <w:p w:rsidR="00AC40FC" w:rsidRPr="00332771" w:rsidRDefault="00AC40FC" w:rsidP="00A51C66">
            <w:pPr>
              <w:widowControl w:val="0"/>
              <w:spacing w:after="0" w:line="220" w:lineRule="exact"/>
              <w:ind w:right="26"/>
              <w:jc w:val="right"/>
              <w:rPr>
                <w:rFonts w:eastAsia="Arial" w:cs="Arial"/>
                <w:sz w:val="20"/>
              </w:rPr>
            </w:pPr>
            <w:r w:rsidRPr="00332771">
              <w:rPr>
                <w:rFonts w:eastAsia="Arial" w:cs="Arial"/>
                <w:w w:val="95"/>
                <w:sz w:val="20"/>
              </w:rPr>
              <w:t>1,231,272</w:t>
            </w:r>
          </w:p>
        </w:tc>
        <w:tc>
          <w:tcPr>
            <w:tcW w:w="1627" w:type="dxa"/>
          </w:tcPr>
          <w:p w:rsidR="00AC40FC" w:rsidRPr="00332771" w:rsidRDefault="00AC40FC" w:rsidP="00A51C66">
            <w:pPr>
              <w:widowControl w:val="0"/>
              <w:spacing w:after="0" w:line="220" w:lineRule="exact"/>
              <w:ind w:right="26"/>
              <w:jc w:val="right"/>
              <w:rPr>
                <w:rFonts w:eastAsia="Arial" w:cs="Arial"/>
                <w:sz w:val="20"/>
              </w:rPr>
            </w:pPr>
            <w:r w:rsidRPr="00332771">
              <w:rPr>
                <w:rFonts w:eastAsia="Arial" w:cs="Arial"/>
                <w:w w:val="95"/>
                <w:sz w:val="20"/>
              </w:rPr>
              <w:t>1,234,329</w:t>
            </w:r>
          </w:p>
        </w:tc>
        <w:tc>
          <w:tcPr>
            <w:tcW w:w="1306" w:type="dxa"/>
          </w:tcPr>
          <w:p w:rsidR="00AC40FC" w:rsidRPr="00332771" w:rsidRDefault="00AC40FC" w:rsidP="00A51C66">
            <w:pPr>
              <w:widowControl w:val="0"/>
              <w:spacing w:after="0" w:line="220" w:lineRule="exact"/>
              <w:ind w:left="201" w:right="185"/>
              <w:jc w:val="center"/>
              <w:rPr>
                <w:rFonts w:eastAsia="Arial" w:cs="Arial"/>
                <w:sz w:val="20"/>
              </w:rPr>
            </w:pPr>
            <w:r w:rsidRPr="00332771">
              <w:rPr>
                <w:rFonts w:eastAsia="Arial" w:cs="Arial"/>
                <w:sz w:val="20"/>
              </w:rPr>
              <w:t>0.20%</w:t>
            </w:r>
          </w:p>
        </w:tc>
      </w:tr>
      <w:tr w:rsidR="00AC40FC" w:rsidRPr="00332771" w:rsidTr="00A51C66">
        <w:trPr>
          <w:trHeight w:hRule="exact" w:val="245"/>
          <w:jc w:val="center"/>
        </w:trPr>
        <w:tc>
          <w:tcPr>
            <w:tcW w:w="4963" w:type="dxa"/>
          </w:tcPr>
          <w:p w:rsidR="00AC40FC" w:rsidRPr="00332771" w:rsidRDefault="00AC40FC" w:rsidP="00A51C66">
            <w:pPr>
              <w:widowControl w:val="0"/>
              <w:spacing w:after="0" w:line="220" w:lineRule="exact"/>
              <w:ind w:left="180"/>
              <w:rPr>
                <w:rFonts w:eastAsia="Arial" w:cs="Arial"/>
                <w:sz w:val="20"/>
              </w:rPr>
            </w:pPr>
            <w:r w:rsidRPr="00332771">
              <w:rPr>
                <w:rFonts w:eastAsia="Arial" w:cs="Arial"/>
                <w:sz w:val="20"/>
              </w:rPr>
              <w:t>Commercial Sales</w:t>
            </w:r>
          </w:p>
        </w:tc>
        <w:tc>
          <w:tcPr>
            <w:tcW w:w="1627" w:type="dxa"/>
          </w:tcPr>
          <w:p w:rsidR="00AC40FC" w:rsidRPr="00332771" w:rsidRDefault="00AC40FC" w:rsidP="00A51C66">
            <w:pPr>
              <w:widowControl w:val="0"/>
              <w:spacing w:after="0" w:line="220" w:lineRule="exact"/>
              <w:ind w:right="26"/>
              <w:jc w:val="right"/>
              <w:rPr>
                <w:rFonts w:eastAsia="Arial" w:cs="Arial"/>
                <w:sz w:val="20"/>
              </w:rPr>
            </w:pPr>
            <w:r w:rsidRPr="00332771">
              <w:rPr>
                <w:rFonts w:eastAsia="Arial" w:cs="Arial"/>
                <w:w w:val="95"/>
                <w:sz w:val="20"/>
              </w:rPr>
              <w:t>171,195</w:t>
            </w:r>
          </w:p>
        </w:tc>
        <w:tc>
          <w:tcPr>
            <w:tcW w:w="1886" w:type="dxa"/>
          </w:tcPr>
          <w:p w:rsidR="00AC40FC" w:rsidRPr="00332771" w:rsidRDefault="00AC40FC" w:rsidP="00A51C66">
            <w:pPr>
              <w:widowControl w:val="0"/>
              <w:spacing w:after="0" w:line="220" w:lineRule="exact"/>
              <w:ind w:right="26"/>
              <w:jc w:val="right"/>
              <w:rPr>
                <w:rFonts w:eastAsia="Arial" w:cs="Arial"/>
                <w:sz w:val="20"/>
              </w:rPr>
            </w:pPr>
            <w:r w:rsidRPr="00332771">
              <w:rPr>
                <w:rFonts w:eastAsia="Arial" w:cs="Arial"/>
                <w:w w:val="95"/>
                <w:sz w:val="20"/>
              </w:rPr>
              <w:t>172,209</w:t>
            </w:r>
          </w:p>
        </w:tc>
        <w:tc>
          <w:tcPr>
            <w:tcW w:w="1579" w:type="dxa"/>
          </w:tcPr>
          <w:p w:rsidR="00AC40FC" w:rsidRPr="00332771" w:rsidRDefault="00AC40FC" w:rsidP="00A51C66">
            <w:pPr>
              <w:widowControl w:val="0"/>
              <w:spacing w:after="0" w:line="220" w:lineRule="exact"/>
              <w:ind w:right="26"/>
              <w:jc w:val="right"/>
              <w:rPr>
                <w:rFonts w:eastAsia="Arial" w:cs="Arial"/>
                <w:sz w:val="20"/>
              </w:rPr>
            </w:pPr>
            <w:r w:rsidRPr="00332771">
              <w:rPr>
                <w:rFonts w:eastAsia="Arial" w:cs="Arial"/>
                <w:w w:val="95"/>
                <w:sz w:val="20"/>
              </w:rPr>
              <w:t>172,832</w:t>
            </w:r>
          </w:p>
        </w:tc>
        <w:tc>
          <w:tcPr>
            <w:tcW w:w="1579" w:type="dxa"/>
          </w:tcPr>
          <w:p w:rsidR="00AC40FC" w:rsidRPr="00332771" w:rsidRDefault="00AC40FC" w:rsidP="00A51C66">
            <w:pPr>
              <w:widowControl w:val="0"/>
              <w:spacing w:after="0" w:line="220" w:lineRule="exact"/>
              <w:ind w:right="26"/>
              <w:jc w:val="right"/>
              <w:rPr>
                <w:rFonts w:eastAsia="Arial" w:cs="Arial"/>
                <w:sz w:val="20"/>
              </w:rPr>
            </w:pPr>
            <w:r w:rsidRPr="00332771">
              <w:rPr>
                <w:rFonts w:eastAsia="Arial" w:cs="Arial"/>
                <w:w w:val="95"/>
                <w:sz w:val="20"/>
              </w:rPr>
              <w:t>173,472</w:t>
            </w:r>
          </w:p>
        </w:tc>
        <w:tc>
          <w:tcPr>
            <w:tcW w:w="1627" w:type="dxa"/>
          </w:tcPr>
          <w:p w:rsidR="00AC40FC" w:rsidRPr="00332771" w:rsidRDefault="00AC40FC" w:rsidP="00A51C66">
            <w:pPr>
              <w:widowControl w:val="0"/>
              <w:spacing w:after="0" w:line="220" w:lineRule="exact"/>
              <w:ind w:right="26"/>
              <w:jc w:val="right"/>
              <w:rPr>
                <w:rFonts w:eastAsia="Arial" w:cs="Arial"/>
                <w:sz w:val="20"/>
              </w:rPr>
            </w:pPr>
            <w:r w:rsidRPr="00332771">
              <w:rPr>
                <w:rFonts w:eastAsia="Arial" w:cs="Arial"/>
                <w:w w:val="95"/>
                <w:sz w:val="20"/>
              </w:rPr>
              <w:t>174,209</w:t>
            </w:r>
          </w:p>
        </w:tc>
        <w:tc>
          <w:tcPr>
            <w:tcW w:w="1306" w:type="dxa"/>
          </w:tcPr>
          <w:p w:rsidR="00AC40FC" w:rsidRPr="00332771" w:rsidRDefault="00AC40FC" w:rsidP="00A51C66">
            <w:pPr>
              <w:widowControl w:val="0"/>
              <w:spacing w:after="0" w:line="220" w:lineRule="exact"/>
              <w:ind w:left="201" w:right="185"/>
              <w:jc w:val="center"/>
              <w:rPr>
                <w:rFonts w:eastAsia="Arial" w:cs="Arial"/>
                <w:sz w:val="20"/>
              </w:rPr>
            </w:pPr>
            <w:r w:rsidRPr="00332771">
              <w:rPr>
                <w:rFonts w:eastAsia="Arial" w:cs="Arial"/>
                <w:sz w:val="20"/>
              </w:rPr>
              <w:t>0.44%</w:t>
            </w:r>
          </w:p>
        </w:tc>
      </w:tr>
      <w:tr w:rsidR="00AC40FC" w:rsidRPr="00332771" w:rsidTr="00A51C66">
        <w:trPr>
          <w:trHeight w:hRule="exact" w:val="245"/>
          <w:jc w:val="center"/>
        </w:trPr>
        <w:tc>
          <w:tcPr>
            <w:tcW w:w="4963" w:type="dxa"/>
          </w:tcPr>
          <w:p w:rsidR="00AC40FC" w:rsidRPr="00332771" w:rsidRDefault="00AC40FC" w:rsidP="00A51C66">
            <w:pPr>
              <w:widowControl w:val="0"/>
              <w:spacing w:after="0" w:line="220" w:lineRule="exact"/>
              <w:ind w:left="180"/>
              <w:rPr>
                <w:rFonts w:eastAsia="Arial" w:cs="Arial"/>
                <w:sz w:val="20"/>
              </w:rPr>
            </w:pPr>
            <w:r w:rsidRPr="00332771">
              <w:rPr>
                <w:rFonts w:eastAsia="Arial" w:cs="Arial"/>
                <w:sz w:val="20"/>
              </w:rPr>
              <w:t>Industrial Sales</w:t>
            </w:r>
          </w:p>
        </w:tc>
        <w:tc>
          <w:tcPr>
            <w:tcW w:w="1627" w:type="dxa"/>
          </w:tcPr>
          <w:p w:rsidR="00AC40FC" w:rsidRPr="00332771" w:rsidRDefault="00AC40FC" w:rsidP="00A51C66">
            <w:pPr>
              <w:widowControl w:val="0"/>
              <w:spacing w:after="0" w:line="220" w:lineRule="exact"/>
              <w:ind w:right="26"/>
              <w:jc w:val="right"/>
              <w:rPr>
                <w:rFonts w:eastAsia="Arial" w:cs="Arial"/>
                <w:sz w:val="20"/>
              </w:rPr>
            </w:pPr>
            <w:r w:rsidRPr="00332771">
              <w:rPr>
                <w:rFonts w:eastAsia="Arial" w:cs="Arial"/>
                <w:sz w:val="20"/>
              </w:rPr>
              <w:t>4,418</w:t>
            </w:r>
          </w:p>
        </w:tc>
        <w:tc>
          <w:tcPr>
            <w:tcW w:w="1886" w:type="dxa"/>
          </w:tcPr>
          <w:p w:rsidR="00AC40FC" w:rsidRPr="00332771" w:rsidRDefault="00AC40FC" w:rsidP="00A51C66">
            <w:pPr>
              <w:widowControl w:val="0"/>
              <w:spacing w:after="0" w:line="220" w:lineRule="exact"/>
              <w:ind w:right="26"/>
              <w:jc w:val="right"/>
              <w:rPr>
                <w:rFonts w:eastAsia="Arial" w:cs="Arial"/>
                <w:sz w:val="20"/>
              </w:rPr>
            </w:pPr>
            <w:r w:rsidRPr="00332771">
              <w:rPr>
                <w:rFonts w:eastAsia="Arial" w:cs="Arial"/>
                <w:sz w:val="20"/>
              </w:rPr>
              <w:t>4,405</w:t>
            </w:r>
          </w:p>
        </w:tc>
        <w:tc>
          <w:tcPr>
            <w:tcW w:w="1579" w:type="dxa"/>
          </w:tcPr>
          <w:p w:rsidR="00AC40FC" w:rsidRPr="00332771" w:rsidRDefault="00AC40FC" w:rsidP="00A51C66">
            <w:pPr>
              <w:widowControl w:val="0"/>
              <w:spacing w:after="0" w:line="220" w:lineRule="exact"/>
              <w:ind w:right="26"/>
              <w:jc w:val="right"/>
              <w:rPr>
                <w:rFonts w:eastAsia="Arial" w:cs="Arial"/>
                <w:sz w:val="20"/>
              </w:rPr>
            </w:pPr>
            <w:r w:rsidRPr="00332771">
              <w:rPr>
                <w:rFonts w:eastAsia="Arial" w:cs="Arial"/>
                <w:sz w:val="20"/>
              </w:rPr>
              <w:t>4,364</w:t>
            </w:r>
          </w:p>
        </w:tc>
        <w:tc>
          <w:tcPr>
            <w:tcW w:w="1579" w:type="dxa"/>
          </w:tcPr>
          <w:p w:rsidR="00AC40FC" w:rsidRPr="00332771" w:rsidRDefault="00AC40FC" w:rsidP="00A51C66">
            <w:pPr>
              <w:widowControl w:val="0"/>
              <w:spacing w:after="0" w:line="220" w:lineRule="exact"/>
              <w:ind w:right="26"/>
              <w:jc w:val="right"/>
              <w:rPr>
                <w:rFonts w:eastAsia="Arial" w:cs="Arial"/>
                <w:sz w:val="20"/>
              </w:rPr>
            </w:pPr>
            <w:r w:rsidRPr="00332771">
              <w:rPr>
                <w:rFonts w:eastAsia="Arial" w:cs="Arial"/>
                <w:sz w:val="20"/>
              </w:rPr>
              <w:t>4,334</w:t>
            </w:r>
          </w:p>
        </w:tc>
        <w:tc>
          <w:tcPr>
            <w:tcW w:w="1627" w:type="dxa"/>
          </w:tcPr>
          <w:p w:rsidR="00AC40FC" w:rsidRPr="00332771" w:rsidRDefault="00AC40FC" w:rsidP="00A51C66">
            <w:pPr>
              <w:widowControl w:val="0"/>
              <w:spacing w:after="0" w:line="220" w:lineRule="exact"/>
              <w:ind w:right="26"/>
              <w:jc w:val="right"/>
              <w:rPr>
                <w:rFonts w:eastAsia="Arial" w:cs="Arial"/>
                <w:sz w:val="20"/>
              </w:rPr>
            </w:pPr>
            <w:r w:rsidRPr="00332771">
              <w:rPr>
                <w:rFonts w:eastAsia="Arial" w:cs="Arial"/>
                <w:sz w:val="20"/>
              </w:rPr>
              <w:t>4,271</w:t>
            </w:r>
          </w:p>
        </w:tc>
        <w:tc>
          <w:tcPr>
            <w:tcW w:w="1306" w:type="dxa"/>
          </w:tcPr>
          <w:p w:rsidR="00AC40FC" w:rsidRPr="00332771" w:rsidRDefault="00AC40FC" w:rsidP="00A51C66">
            <w:pPr>
              <w:widowControl w:val="0"/>
              <w:spacing w:after="0" w:line="220" w:lineRule="exact"/>
              <w:ind w:left="202" w:right="185"/>
              <w:jc w:val="center"/>
              <w:rPr>
                <w:rFonts w:eastAsia="Arial" w:cs="Arial"/>
                <w:sz w:val="20"/>
              </w:rPr>
            </w:pPr>
            <w:r w:rsidRPr="00332771">
              <w:rPr>
                <w:rFonts w:eastAsia="Arial" w:cs="Arial"/>
                <w:sz w:val="20"/>
              </w:rPr>
              <w:t>-0.84%</w:t>
            </w:r>
          </w:p>
        </w:tc>
      </w:tr>
      <w:tr w:rsidR="00AC40FC" w:rsidRPr="00332771" w:rsidTr="00A51C66">
        <w:trPr>
          <w:trHeight w:hRule="exact" w:val="245"/>
          <w:jc w:val="center"/>
        </w:trPr>
        <w:tc>
          <w:tcPr>
            <w:tcW w:w="4963" w:type="dxa"/>
          </w:tcPr>
          <w:p w:rsidR="00AC40FC" w:rsidRPr="00332771" w:rsidRDefault="00AC40FC" w:rsidP="00A51C66">
            <w:pPr>
              <w:widowControl w:val="0"/>
              <w:spacing w:after="0" w:line="220" w:lineRule="exact"/>
              <w:ind w:left="180"/>
              <w:rPr>
                <w:rFonts w:eastAsia="Arial" w:cs="Arial"/>
                <w:sz w:val="20"/>
              </w:rPr>
            </w:pPr>
            <w:r w:rsidRPr="00332771">
              <w:rPr>
                <w:rFonts w:eastAsia="Arial" w:cs="Arial"/>
                <w:sz w:val="20"/>
              </w:rPr>
              <w:t>Public Street and Highway Lighting Sales</w:t>
            </w:r>
          </w:p>
        </w:tc>
        <w:tc>
          <w:tcPr>
            <w:tcW w:w="1627" w:type="dxa"/>
          </w:tcPr>
          <w:p w:rsidR="00AC40FC" w:rsidRPr="00332771" w:rsidRDefault="00AC40FC" w:rsidP="00A51C66">
            <w:pPr>
              <w:widowControl w:val="0"/>
              <w:spacing w:after="0" w:line="220" w:lineRule="exact"/>
              <w:ind w:right="26"/>
              <w:jc w:val="right"/>
              <w:rPr>
                <w:rFonts w:eastAsia="Arial" w:cs="Arial"/>
                <w:sz w:val="20"/>
              </w:rPr>
            </w:pPr>
            <w:r w:rsidRPr="00332771">
              <w:rPr>
                <w:rFonts w:eastAsia="Arial" w:cs="Arial"/>
                <w:sz w:val="20"/>
              </w:rPr>
              <w:t>1,439</w:t>
            </w:r>
          </w:p>
        </w:tc>
        <w:tc>
          <w:tcPr>
            <w:tcW w:w="1886" w:type="dxa"/>
          </w:tcPr>
          <w:p w:rsidR="00AC40FC" w:rsidRPr="00332771" w:rsidRDefault="00AC40FC" w:rsidP="00A51C66">
            <w:pPr>
              <w:widowControl w:val="0"/>
              <w:spacing w:after="0" w:line="220" w:lineRule="exact"/>
              <w:ind w:right="26"/>
              <w:jc w:val="right"/>
              <w:rPr>
                <w:rFonts w:eastAsia="Arial" w:cs="Arial"/>
                <w:sz w:val="20"/>
              </w:rPr>
            </w:pPr>
            <w:r w:rsidRPr="00332771">
              <w:rPr>
                <w:rFonts w:eastAsia="Arial" w:cs="Arial"/>
                <w:sz w:val="20"/>
              </w:rPr>
              <w:t>1,446</w:t>
            </w:r>
          </w:p>
        </w:tc>
        <w:tc>
          <w:tcPr>
            <w:tcW w:w="1579" w:type="dxa"/>
          </w:tcPr>
          <w:p w:rsidR="00AC40FC" w:rsidRPr="00332771" w:rsidRDefault="00AC40FC" w:rsidP="00A51C66">
            <w:pPr>
              <w:widowControl w:val="0"/>
              <w:spacing w:after="0" w:line="220" w:lineRule="exact"/>
              <w:ind w:right="26"/>
              <w:jc w:val="right"/>
              <w:rPr>
                <w:rFonts w:eastAsia="Arial" w:cs="Arial"/>
                <w:sz w:val="20"/>
              </w:rPr>
            </w:pPr>
            <w:r w:rsidRPr="00332771">
              <w:rPr>
                <w:rFonts w:eastAsia="Arial" w:cs="Arial"/>
                <w:sz w:val="20"/>
              </w:rPr>
              <w:t>1,461</w:t>
            </w:r>
          </w:p>
        </w:tc>
        <w:tc>
          <w:tcPr>
            <w:tcW w:w="1579" w:type="dxa"/>
          </w:tcPr>
          <w:p w:rsidR="00AC40FC" w:rsidRPr="00332771" w:rsidRDefault="00AC40FC" w:rsidP="00A51C66">
            <w:pPr>
              <w:widowControl w:val="0"/>
              <w:spacing w:after="0" w:line="220" w:lineRule="exact"/>
              <w:ind w:right="27"/>
              <w:jc w:val="right"/>
              <w:rPr>
                <w:rFonts w:eastAsia="Arial" w:cs="Arial"/>
                <w:sz w:val="20"/>
              </w:rPr>
            </w:pPr>
            <w:r w:rsidRPr="00332771">
              <w:rPr>
                <w:rFonts w:eastAsia="Arial" w:cs="Arial"/>
                <w:sz w:val="20"/>
              </w:rPr>
              <w:t>1,465</w:t>
            </w:r>
          </w:p>
        </w:tc>
        <w:tc>
          <w:tcPr>
            <w:tcW w:w="1627" w:type="dxa"/>
          </w:tcPr>
          <w:p w:rsidR="00AC40FC" w:rsidRPr="00332771" w:rsidRDefault="00AC40FC" w:rsidP="00A51C66">
            <w:pPr>
              <w:widowControl w:val="0"/>
              <w:spacing w:after="0" w:line="220" w:lineRule="exact"/>
              <w:ind w:right="25"/>
              <w:jc w:val="right"/>
              <w:rPr>
                <w:rFonts w:eastAsia="Arial" w:cs="Arial"/>
                <w:sz w:val="20"/>
              </w:rPr>
            </w:pPr>
            <w:r w:rsidRPr="00332771">
              <w:rPr>
                <w:rFonts w:eastAsia="Arial" w:cs="Arial"/>
                <w:sz w:val="20"/>
              </w:rPr>
              <w:t>1,475</w:t>
            </w:r>
          </w:p>
        </w:tc>
        <w:tc>
          <w:tcPr>
            <w:tcW w:w="1306" w:type="dxa"/>
          </w:tcPr>
          <w:p w:rsidR="00AC40FC" w:rsidRPr="00332771" w:rsidRDefault="00AC40FC" w:rsidP="00A51C66">
            <w:pPr>
              <w:widowControl w:val="0"/>
              <w:spacing w:after="0" w:line="220" w:lineRule="exact"/>
              <w:ind w:left="202" w:right="185"/>
              <w:jc w:val="center"/>
              <w:rPr>
                <w:rFonts w:eastAsia="Arial" w:cs="Arial"/>
                <w:sz w:val="20"/>
              </w:rPr>
            </w:pPr>
            <w:r w:rsidRPr="00332771">
              <w:rPr>
                <w:rFonts w:eastAsia="Arial" w:cs="Arial"/>
                <w:sz w:val="20"/>
              </w:rPr>
              <w:t>0.62%</w:t>
            </w:r>
          </w:p>
        </w:tc>
      </w:tr>
      <w:tr w:rsidR="00AC40FC" w:rsidRPr="00332771" w:rsidTr="00A51C66">
        <w:trPr>
          <w:trHeight w:hRule="exact" w:val="245"/>
          <w:jc w:val="center"/>
        </w:trPr>
        <w:tc>
          <w:tcPr>
            <w:tcW w:w="4963" w:type="dxa"/>
          </w:tcPr>
          <w:p w:rsidR="00AC40FC" w:rsidRPr="00332771" w:rsidRDefault="00AC40FC" w:rsidP="00A51C66">
            <w:pPr>
              <w:widowControl w:val="0"/>
              <w:spacing w:after="0" w:line="220" w:lineRule="exact"/>
              <w:ind w:left="180"/>
              <w:rPr>
                <w:rFonts w:eastAsia="Arial" w:cs="Arial"/>
                <w:sz w:val="20"/>
              </w:rPr>
            </w:pPr>
            <w:r w:rsidRPr="00332771">
              <w:rPr>
                <w:rFonts w:eastAsia="Arial" w:cs="Arial"/>
                <w:sz w:val="20"/>
              </w:rPr>
              <w:t>Other Sales to Public Authorities</w:t>
            </w:r>
          </w:p>
        </w:tc>
        <w:tc>
          <w:tcPr>
            <w:tcW w:w="1627" w:type="dxa"/>
          </w:tcPr>
          <w:p w:rsidR="00AC40FC" w:rsidRPr="00332771" w:rsidRDefault="00AC40FC" w:rsidP="00A51C66">
            <w:pPr>
              <w:widowControl w:val="0"/>
              <w:spacing w:after="0" w:line="220" w:lineRule="exact"/>
              <w:ind w:right="25"/>
              <w:jc w:val="right"/>
              <w:rPr>
                <w:rFonts w:eastAsia="Arial" w:cs="Arial"/>
                <w:sz w:val="20"/>
              </w:rPr>
            </w:pPr>
            <w:r w:rsidRPr="00332771">
              <w:rPr>
                <w:rFonts w:eastAsia="Arial" w:cs="Arial"/>
                <w:sz w:val="20"/>
              </w:rPr>
              <w:t>12</w:t>
            </w:r>
          </w:p>
        </w:tc>
        <w:tc>
          <w:tcPr>
            <w:tcW w:w="1886" w:type="dxa"/>
          </w:tcPr>
          <w:p w:rsidR="00AC40FC" w:rsidRPr="00332771" w:rsidRDefault="00AC40FC" w:rsidP="00A51C66">
            <w:pPr>
              <w:widowControl w:val="0"/>
              <w:spacing w:after="0" w:line="220" w:lineRule="exact"/>
              <w:ind w:right="25"/>
              <w:jc w:val="right"/>
              <w:rPr>
                <w:rFonts w:eastAsia="Arial" w:cs="Arial"/>
                <w:sz w:val="20"/>
              </w:rPr>
            </w:pPr>
            <w:r w:rsidRPr="00332771">
              <w:rPr>
                <w:rFonts w:eastAsia="Arial" w:cs="Arial"/>
                <w:sz w:val="20"/>
              </w:rPr>
              <w:t>12</w:t>
            </w:r>
          </w:p>
        </w:tc>
        <w:tc>
          <w:tcPr>
            <w:tcW w:w="1579" w:type="dxa"/>
          </w:tcPr>
          <w:p w:rsidR="00AC40FC" w:rsidRPr="00332771" w:rsidRDefault="00AC40FC" w:rsidP="00A51C66">
            <w:pPr>
              <w:widowControl w:val="0"/>
              <w:spacing w:after="0" w:line="220" w:lineRule="exact"/>
              <w:ind w:right="25"/>
              <w:jc w:val="right"/>
              <w:rPr>
                <w:rFonts w:eastAsia="Arial" w:cs="Arial"/>
                <w:sz w:val="20"/>
              </w:rPr>
            </w:pPr>
            <w:r w:rsidRPr="00332771">
              <w:rPr>
                <w:rFonts w:eastAsia="Arial" w:cs="Arial"/>
                <w:sz w:val="20"/>
              </w:rPr>
              <w:t>12</w:t>
            </w:r>
          </w:p>
        </w:tc>
        <w:tc>
          <w:tcPr>
            <w:tcW w:w="1579" w:type="dxa"/>
          </w:tcPr>
          <w:p w:rsidR="00AC40FC" w:rsidRPr="00332771" w:rsidRDefault="00AC40FC" w:rsidP="00A51C66">
            <w:pPr>
              <w:widowControl w:val="0"/>
              <w:spacing w:after="0" w:line="220" w:lineRule="exact"/>
              <w:ind w:right="25"/>
              <w:jc w:val="right"/>
              <w:rPr>
                <w:rFonts w:eastAsia="Arial" w:cs="Arial"/>
                <w:sz w:val="20"/>
              </w:rPr>
            </w:pPr>
            <w:r w:rsidRPr="00332771">
              <w:rPr>
                <w:rFonts w:eastAsia="Arial" w:cs="Arial"/>
                <w:sz w:val="20"/>
              </w:rPr>
              <w:t>12</w:t>
            </w:r>
          </w:p>
        </w:tc>
        <w:tc>
          <w:tcPr>
            <w:tcW w:w="1627" w:type="dxa"/>
          </w:tcPr>
          <w:p w:rsidR="00AC40FC" w:rsidRPr="00332771" w:rsidRDefault="00AC40FC" w:rsidP="00A51C66">
            <w:pPr>
              <w:widowControl w:val="0"/>
              <w:spacing w:after="0" w:line="220" w:lineRule="exact"/>
              <w:ind w:right="25"/>
              <w:jc w:val="right"/>
              <w:rPr>
                <w:rFonts w:eastAsia="Arial" w:cs="Arial"/>
                <w:sz w:val="20"/>
              </w:rPr>
            </w:pPr>
            <w:r w:rsidRPr="00332771">
              <w:rPr>
                <w:rFonts w:eastAsia="Arial" w:cs="Arial"/>
                <w:sz w:val="20"/>
              </w:rPr>
              <w:t>12</w:t>
            </w:r>
          </w:p>
        </w:tc>
        <w:tc>
          <w:tcPr>
            <w:tcW w:w="1306" w:type="dxa"/>
          </w:tcPr>
          <w:p w:rsidR="00AC40FC" w:rsidRPr="00332771" w:rsidRDefault="00AC40FC" w:rsidP="00A51C66">
            <w:pPr>
              <w:widowControl w:val="0"/>
              <w:spacing w:after="0" w:line="220" w:lineRule="exact"/>
              <w:ind w:left="203" w:right="185"/>
              <w:jc w:val="center"/>
              <w:rPr>
                <w:rFonts w:eastAsia="Arial" w:cs="Arial"/>
                <w:sz w:val="20"/>
              </w:rPr>
            </w:pPr>
            <w:r w:rsidRPr="00332771">
              <w:rPr>
                <w:rFonts w:eastAsia="Arial" w:cs="Arial"/>
                <w:sz w:val="20"/>
              </w:rPr>
              <w:t>0.00%</w:t>
            </w:r>
          </w:p>
        </w:tc>
      </w:tr>
      <w:tr w:rsidR="00AC40FC" w:rsidRPr="00332771" w:rsidTr="00A51C66">
        <w:trPr>
          <w:trHeight w:hRule="exact" w:val="276"/>
          <w:jc w:val="center"/>
        </w:trPr>
        <w:tc>
          <w:tcPr>
            <w:tcW w:w="4963" w:type="dxa"/>
          </w:tcPr>
          <w:p w:rsidR="00AC40FC" w:rsidRPr="00332771" w:rsidRDefault="00AC40FC" w:rsidP="00A51C66">
            <w:pPr>
              <w:widowControl w:val="0"/>
              <w:spacing w:before="21" w:after="0"/>
              <w:ind w:left="181"/>
              <w:rPr>
                <w:rFonts w:eastAsia="Arial" w:cs="Arial"/>
                <w:sz w:val="20"/>
              </w:rPr>
            </w:pPr>
            <w:r w:rsidRPr="00332771">
              <w:rPr>
                <w:rFonts w:eastAsia="Arial" w:cs="Arial"/>
                <w:sz w:val="20"/>
              </w:rPr>
              <w:t>Sales to Railroads and Railway</w:t>
            </w:r>
          </w:p>
        </w:tc>
        <w:tc>
          <w:tcPr>
            <w:tcW w:w="1627" w:type="dxa"/>
          </w:tcPr>
          <w:p w:rsidR="00AC40FC" w:rsidRPr="00332771" w:rsidRDefault="00AC40FC" w:rsidP="00A51C66">
            <w:pPr>
              <w:widowControl w:val="0"/>
              <w:spacing w:before="21" w:after="0"/>
              <w:ind w:right="25"/>
              <w:jc w:val="right"/>
              <w:rPr>
                <w:rFonts w:eastAsia="Arial" w:cs="Arial"/>
                <w:sz w:val="20"/>
              </w:rPr>
            </w:pPr>
            <w:r w:rsidRPr="00332771">
              <w:rPr>
                <w:rFonts w:eastAsia="Arial" w:cs="Arial"/>
                <w:w w:val="99"/>
                <w:sz w:val="20"/>
              </w:rPr>
              <w:t>1</w:t>
            </w:r>
          </w:p>
        </w:tc>
        <w:tc>
          <w:tcPr>
            <w:tcW w:w="1886" w:type="dxa"/>
          </w:tcPr>
          <w:p w:rsidR="00AC40FC" w:rsidRPr="00332771" w:rsidRDefault="00AC40FC" w:rsidP="00A51C66">
            <w:pPr>
              <w:widowControl w:val="0"/>
              <w:spacing w:before="21" w:after="0"/>
              <w:ind w:right="25"/>
              <w:jc w:val="right"/>
              <w:rPr>
                <w:rFonts w:eastAsia="Arial" w:cs="Arial"/>
                <w:sz w:val="20"/>
              </w:rPr>
            </w:pPr>
            <w:r w:rsidRPr="00332771">
              <w:rPr>
                <w:rFonts w:eastAsia="Arial" w:cs="Arial"/>
                <w:w w:val="99"/>
                <w:sz w:val="20"/>
              </w:rPr>
              <w:t>1</w:t>
            </w:r>
          </w:p>
        </w:tc>
        <w:tc>
          <w:tcPr>
            <w:tcW w:w="1579" w:type="dxa"/>
          </w:tcPr>
          <w:p w:rsidR="00AC40FC" w:rsidRPr="00332771" w:rsidRDefault="00AC40FC" w:rsidP="00A51C66">
            <w:pPr>
              <w:widowControl w:val="0"/>
              <w:spacing w:before="21" w:after="0"/>
              <w:ind w:right="25"/>
              <w:jc w:val="right"/>
              <w:rPr>
                <w:rFonts w:eastAsia="Arial" w:cs="Arial"/>
                <w:sz w:val="20"/>
              </w:rPr>
            </w:pPr>
            <w:r w:rsidRPr="00332771">
              <w:rPr>
                <w:rFonts w:eastAsia="Arial" w:cs="Arial"/>
                <w:w w:val="99"/>
                <w:sz w:val="20"/>
              </w:rPr>
              <w:t>1</w:t>
            </w:r>
          </w:p>
        </w:tc>
        <w:tc>
          <w:tcPr>
            <w:tcW w:w="1579" w:type="dxa"/>
          </w:tcPr>
          <w:p w:rsidR="00AC40FC" w:rsidRPr="00332771" w:rsidRDefault="00AC40FC" w:rsidP="00A51C66">
            <w:pPr>
              <w:widowControl w:val="0"/>
              <w:spacing w:before="21" w:after="0"/>
              <w:ind w:right="25"/>
              <w:jc w:val="right"/>
              <w:rPr>
                <w:rFonts w:eastAsia="Arial" w:cs="Arial"/>
                <w:sz w:val="20"/>
              </w:rPr>
            </w:pPr>
            <w:r w:rsidRPr="00332771">
              <w:rPr>
                <w:rFonts w:eastAsia="Arial" w:cs="Arial"/>
                <w:w w:val="99"/>
                <w:sz w:val="20"/>
              </w:rPr>
              <w:t>1</w:t>
            </w:r>
          </w:p>
        </w:tc>
        <w:tc>
          <w:tcPr>
            <w:tcW w:w="1627" w:type="dxa"/>
          </w:tcPr>
          <w:p w:rsidR="00AC40FC" w:rsidRPr="00332771" w:rsidRDefault="00AC40FC" w:rsidP="00A51C66">
            <w:pPr>
              <w:widowControl w:val="0"/>
              <w:spacing w:before="21" w:after="0"/>
              <w:ind w:right="24"/>
              <w:jc w:val="right"/>
              <w:rPr>
                <w:rFonts w:eastAsia="Arial" w:cs="Arial"/>
                <w:sz w:val="20"/>
              </w:rPr>
            </w:pPr>
            <w:r w:rsidRPr="00332771">
              <w:rPr>
                <w:rFonts w:eastAsia="Arial" w:cs="Arial"/>
                <w:w w:val="99"/>
                <w:sz w:val="20"/>
              </w:rPr>
              <w:t>1</w:t>
            </w:r>
          </w:p>
        </w:tc>
        <w:tc>
          <w:tcPr>
            <w:tcW w:w="1306" w:type="dxa"/>
          </w:tcPr>
          <w:p w:rsidR="00AC40FC" w:rsidRPr="00332771" w:rsidRDefault="00AC40FC" w:rsidP="00A51C66">
            <w:pPr>
              <w:widowControl w:val="0"/>
              <w:spacing w:before="21" w:after="0"/>
              <w:ind w:left="203" w:right="185"/>
              <w:jc w:val="center"/>
              <w:rPr>
                <w:rFonts w:eastAsia="Arial" w:cs="Arial"/>
                <w:sz w:val="20"/>
              </w:rPr>
            </w:pPr>
            <w:r w:rsidRPr="00332771">
              <w:rPr>
                <w:rFonts w:eastAsia="Arial" w:cs="Arial"/>
                <w:sz w:val="20"/>
              </w:rPr>
              <w:t>0.00%</w:t>
            </w:r>
          </w:p>
        </w:tc>
      </w:tr>
      <w:tr w:rsidR="00AC40FC" w:rsidRPr="00332771" w:rsidTr="00A51C66">
        <w:trPr>
          <w:trHeight w:hRule="exact" w:val="276"/>
          <w:jc w:val="center"/>
        </w:trPr>
        <w:tc>
          <w:tcPr>
            <w:tcW w:w="4963" w:type="dxa"/>
          </w:tcPr>
          <w:p w:rsidR="00AC40FC" w:rsidRPr="00332771" w:rsidRDefault="00AC40FC" w:rsidP="00A51C66">
            <w:pPr>
              <w:widowControl w:val="0"/>
              <w:spacing w:before="21" w:after="0"/>
              <w:ind w:left="181"/>
              <w:rPr>
                <w:rFonts w:eastAsia="Arial" w:cs="Arial"/>
                <w:sz w:val="20"/>
              </w:rPr>
            </w:pPr>
            <w:r w:rsidRPr="00332771">
              <w:rPr>
                <w:rFonts w:eastAsia="Arial" w:cs="Arial"/>
                <w:sz w:val="20"/>
              </w:rPr>
              <w:t>Interdepartmental Sales</w:t>
            </w:r>
          </w:p>
        </w:tc>
        <w:tc>
          <w:tcPr>
            <w:tcW w:w="1627" w:type="dxa"/>
          </w:tcPr>
          <w:p w:rsidR="00AC40FC" w:rsidRPr="00332771" w:rsidRDefault="00AC40FC" w:rsidP="00A51C66">
            <w:pPr>
              <w:widowControl w:val="0"/>
              <w:spacing w:after="0"/>
              <w:rPr>
                <w:rFonts w:eastAsia="Arial" w:cs="Arial"/>
              </w:rPr>
            </w:pPr>
          </w:p>
        </w:tc>
        <w:tc>
          <w:tcPr>
            <w:tcW w:w="1886" w:type="dxa"/>
          </w:tcPr>
          <w:p w:rsidR="00AC40FC" w:rsidRPr="00332771" w:rsidRDefault="00AC40FC" w:rsidP="00A51C66">
            <w:pPr>
              <w:widowControl w:val="0"/>
              <w:spacing w:after="0"/>
              <w:rPr>
                <w:rFonts w:eastAsia="Arial" w:cs="Arial"/>
              </w:rPr>
            </w:pPr>
          </w:p>
        </w:tc>
        <w:tc>
          <w:tcPr>
            <w:tcW w:w="1579" w:type="dxa"/>
          </w:tcPr>
          <w:p w:rsidR="00AC40FC" w:rsidRPr="00332771" w:rsidRDefault="00AC40FC" w:rsidP="00A51C66">
            <w:pPr>
              <w:widowControl w:val="0"/>
              <w:spacing w:after="0"/>
              <w:rPr>
                <w:rFonts w:eastAsia="Arial" w:cs="Arial"/>
              </w:rPr>
            </w:pPr>
          </w:p>
        </w:tc>
        <w:tc>
          <w:tcPr>
            <w:tcW w:w="1579" w:type="dxa"/>
          </w:tcPr>
          <w:p w:rsidR="00AC40FC" w:rsidRPr="00332771" w:rsidRDefault="00AC40FC" w:rsidP="00A51C66">
            <w:pPr>
              <w:widowControl w:val="0"/>
              <w:spacing w:after="0"/>
              <w:rPr>
                <w:rFonts w:eastAsia="Arial" w:cs="Arial"/>
              </w:rPr>
            </w:pPr>
          </w:p>
        </w:tc>
        <w:tc>
          <w:tcPr>
            <w:tcW w:w="1627" w:type="dxa"/>
          </w:tcPr>
          <w:p w:rsidR="00AC40FC" w:rsidRPr="00332771" w:rsidRDefault="00AC40FC" w:rsidP="00A51C66">
            <w:pPr>
              <w:widowControl w:val="0"/>
              <w:spacing w:after="0"/>
              <w:rPr>
                <w:rFonts w:eastAsia="Arial" w:cs="Arial"/>
              </w:rPr>
            </w:pPr>
          </w:p>
        </w:tc>
        <w:tc>
          <w:tcPr>
            <w:tcW w:w="1306" w:type="dxa"/>
          </w:tcPr>
          <w:p w:rsidR="00AC40FC" w:rsidRPr="00332771" w:rsidRDefault="00AC40FC" w:rsidP="00A51C66">
            <w:pPr>
              <w:widowControl w:val="0"/>
              <w:spacing w:before="21" w:after="0"/>
              <w:ind w:left="203" w:right="183"/>
              <w:jc w:val="center"/>
              <w:rPr>
                <w:rFonts w:eastAsia="Arial" w:cs="Arial"/>
                <w:sz w:val="20"/>
              </w:rPr>
            </w:pPr>
            <w:r w:rsidRPr="00332771">
              <w:rPr>
                <w:rFonts w:eastAsia="Arial" w:cs="Arial"/>
                <w:sz w:val="20"/>
              </w:rPr>
              <w:t>NM</w:t>
            </w:r>
          </w:p>
        </w:tc>
      </w:tr>
      <w:tr w:rsidR="00AC40FC" w:rsidRPr="00332771" w:rsidTr="00A51C66">
        <w:trPr>
          <w:trHeight w:hRule="exact" w:val="276"/>
          <w:jc w:val="center"/>
        </w:trPr>
        <w:tc>
          <w:tcPr>
            <w:tcW w:w="4963" w:type="dxa"/>
          </w:tcPr>
          <w:p w:rsidR="00AC40FC" w:rsidRPr="00332771" w:rsidRDefault="00AC40FC" w:rsidP="00A51C66">
            <w:pPr>
              <w:widowControl w:val="0"/>
              <w:spacing w:before="21" w:after="0"/>
              <w:ind w:right="25"/>
              <w:jc w:val="right"/>
              <w:rPr>
                <w:rFonts w:eastAsia="Arial" w:cs="Arial"/>
                <w:b/>
                <w:sz w:val="20"/>
              </w:rPr>
            </w:pPr>
            <w:r w:rsidRPr="00332771">
              <w:rPr>
                <w:rFonts w:eastAsia="Arial" w:cs="Arial"/>
                <w:b/>
                <w:sz w:val="20"/>
              </w:rPr>
              <w:t>Total Sales to Ultimate Customers</w:t>
            </w:r>
          </w:p>
        </w:tc>
        <w:tc>
          <w:tcPr>
            <w:tcW w:w="1627" w:type="dxa"/>
          </w:tcPr>
          <w:p w:rsidR="00AC40FC" w:rsidRPr="00332771" w:rsidRDefault="00AC40FC" w:rsidP="00A51C66">
            <w:pPr>
              <w:widowControl w:val="0"/>
              <w:spacing w:before="21" w:after="0"/>
              <w:ind w:right="25"/>
              <w:jc w:val="right"/>
              <w:rPr>
                <w:rFonts w:eastAsia="Arial" w:cs="Arial"/>
                <w:b/>
                <w:sz w:val="20"/>
              </w:rPr>
            </w:pPr>
            <w:r w:rsidRPr="00332771">
              <w:rPr>
                <w:rFonts w:eastAsia="Arial" w:cs="Arial"/>
                <w:b/>
                <w:w w:val="95"/>
                <w:sz w:val="20"/>
              </w:rPr>
              <w:t>1,401,657</w:t>
            </w:r>
          </w:p>
        </w:tc>
        <w:tc>
          <w:tcPr>
            <w:tcW w:w="1886" w:type="dxa"/>
          </w:tcPr>
          <w:p w:rsidR="00AC40FC" w:rsidRPr="00332771" w:rsidRDefault="00AC40FC" w:rsidP="00A51C66">
            <w:pPr>
              <w:widowControl w:val="0"/>
              <w:spacing w:before="21" w:after="0"/>
              <w:ind w:right="25"/>
              <w:jc w:val="right"/>
              <w:rPr>
                <w:rFonts w:eastAsia="Arial" w:cs="Arial"/>
                <w:b/>
                <w:sz w:val="20"/>
              </w:rPr>
            </w:pPr>
            <w:r w:rsidRPr="00332771">
              <w:rPr>
                <w:rFonts w:eastAsia="Arial" w:cs="Arial"/>
                <w:b/>
                <w:w w:val="95"/>
                <w:sz w:val="20"/>
              </w:rPr>
              <w:t>1,403,889</w:t>
            </w:r>
          </w:p>
        </w:tc>
        <w:tc>
          <w:tcPr>
            <w:tcW w:w="1579" w:type="dxa"/>
          </w:tcPr>
          <w:p w:rsidR="00AC40FC" w:rsidRPr="00332771" w:rsidRDefault="00AC40FC" w:rsidP="00A51C66">
            <w:pPr>
              <w:widowControl w:val="0"/>
              <w:spacing w:before="21" w:after="0"/>
              <w:ind w:right="25"/>
              <w:jc w:val="right"/>
              <w:rPr>
                <w:rFonts w:eastAsia="Arial" w:cs="Arial"/>
                <w:b/>
                <w:sz w:val="20"/>
              </w:rPr>
            </w:pPr>
            <w:r w:rsidRPr="00332771">
              <w:rPr>
                <w:rFonts w:eastAsia="Arial" w:cs="Arial"/>
                <w:b/>
                <w:w w:val="95"/>
                <w:sz w:val="20"/>
              </w:rPr>
              <w:t>1,407,031</w:t>
            </w:r>
          </w:p>
        </w:tc>
        <w:tc>
          <w:tcPr>
            <w:tcW w:w="1579" w:type="dxa"/>
          </w:tcPr>
          <w:p w:rsidR="00AC40FC" w:rsidRPr="00332771" w:rsidRDefault="00AC40FC" w:rsidP="00A51C66">
            <w:pPr>
              <w:widowControl w:val="0"/>
              <w:spacing w:before="21" w:after="0"/>
              <w:ind w:right="25"/>
              <w:jc w:val="right"/>
              <w:rPr>
                <w:rFonts w:eastAsia="Arial" w:cs="Arial"/>
                <w:b/>
                <w:sz w:val="20"/>
              </w:rPr>
            </w:pPr>
            <w:r w:rsidRPr="00332771">
              <w:rPr>
                <w:rFonts w:eastAsia="Arial" w:cs="Arial"/>
                <w:b/>
                <w:w w:val="95"/>
                <w:sz w:val="20"/>
              </w:rPr>
              <w:t>1,410,556</w:t>
            </w:r>
          </w:p>
        </w:tc>
        <w:tc>
          <w:tcPr>
            <w:tcW w:w="1627" w:type="dxa"/>
          </w:tcPr>
          <w:p w:rsidR="00AC40FC" w:rsidRPr="00332771" w:rsidRDefault="00AC40FC" w:rsidP="00A51C66">
            <w:pPr>
              <w:widowControl w:val="0"/>
              <w:spacing w:before="21" w:after="0"/>
              <w:ind w:right="25"/>
              <w:jc w:val="right"/>
              <w:rPr>
                <w:rFonts w:eastAsia="Arial" w:cs="Arial"/>
                <w:b/>
                <w:sz w:val="20"/>
              </w:rPr>
            </w:pPr>
            <w:r w:rsidRPr="00332771">
              <w:rPr>
                <w:rFonts w:eastAsia="Arial" w:cs="Arial"/>
                <w:b/>
                <w:w w:val="95"/>
                <w:sz w:val="20"/>
              </w:rPr>
              <w:t>1,414,297</w:t>
            </w:r>
          </w:p>
        </w:tc>
        <w:tc>
          <w:tcPr>
            <w:tcW w:w="1306" w:type="dxa"/>
          </w:tcPr>
          <w:p w:rsidR="00AC40FC" w:rsidRPr="00332771" w:rsidRDefault="00AC40FC" w:rsidP="00A51C66">
            <w:pPr>
              <w:widowControl w:val="0"/>
              <w:spacing w:before="21" w:after="0"/>
              <w:ind w:left="203" w:right="179"/>
              <w:jc w:val="center"/>
              <w:rPr>
                <w:rFonts w:eastAsia="Arial" w:cs="Arial"/>
                <w:b/>
                <w:sz w:val="20"/>
              </w:rPr>
            </w:pPr>
            <w:r w:rsidRPr="00332771">
              <w:rPr>
                <w:rFonts w:eastAsia="Arial" w:cs="Arial"/>
                <w:b/>
                <w:sz w:val="20"/>
              </w:rPr>
              <w:t>0.22%</w:t>
            </w:r>
          </w:p>
        </w:tc>
      </w:tr>
      <w:tr w:rsidR="00AC40FC" w:rsidRPr="00332771" w:rsidTr="00A51C66">
        <w:trPr>
          <w:trHeight w:hRule="exact" w:val="276"/>
          <w:jc w:val="center"/>
        </w:trPr>
        <w:tc>
          <w:tcPr>
            <w:tcW w:w="4963" w:type="dxa"/>
          </w:tcPr>
          <w:p w:rsidR="00AC40FC" w:rsidRPr="00332771" w:rsidRDefault="00AC40FC" w:rsidP="00A51C66">
            <w:pPr>
              <w:widowControl w:val="0"/>
              <w:spacing w:before="21" w:after="0"/>
              <w:ind w:left="181"/>
              <w:rPr>
                <w:rFonts w:eastAsia="Arial" w:cs="Arial"/>
                <w:sz w:val="20"/>
              </w:rPr>
            </w:pPr>
            <w:r w:rsidRPr="00332771">
              <w:rPr>
                <w:rFonts w:eastAsia="Arial" w:cs="Arial"/>
                <w:sz w:val="20"/>
              </w:rPr>
              <w:t>447 Sales for Resale</w:t>
            </w:r>
          </w:p>
        </w:tc>
        <w:tc>
          <w:tcPr>
            <w:tcW w:w="1627" w:type="dxa"/>
          </w:tcPr>
          <w:p w:rsidR="00AC40FC" w:rsidRPr="00332771" w:rsidRDefault="00AC40FC" w:rsidP="00A51C66">
            <w:pPr>
              <w:widowControl w:val="0"/>
              <w:spacing w:before="21" w:after="0"/>
              <w:ind w:right="25"/>
              <w:jc w:val="right"/>
              <w:rPr>
                <w:rFonts w:eastAsia="Arial" w:cs="Arial"/>
                <w:sz w:val="20"/>
              </w:rPr>
            </w:pPr>
            <w:r w:rsidRPr="00332771">
              <w:rPr>
                <w:rFonts w:eastAsia="Arial" w:cs="Arial"/>
                <w:sz w:val="20"/>
              </w:rPr>
              <w:t>42</w:t>
            </w:r>
          </w:p>
        </w:tc>
        <w:tc>
          <w:tcPr>
            <w:tcW w:w="1886" w:type="dxa"/>
          </w:tcPr>
          <w:p w:rsidR="00AC40FC" w:rsidRPr="00332771" w:rsidRDefault="00AC40FC" w:rsidP="00A51C66">
            <w:pPr>
              <w:widowControl w:val="0"/>
              <w:spacing w:before="21" w:after="0"/>
              <w:ind w:right="25"/>
              <w:jc w:val="right"/>
              <w:rPr>
                <w:rFonts w:eastAsia="Arial" w:cs="Arial"/>
                <w:sz w:val="20"/>
              </w:rPr>
            </w:pPr>
            <w:r w:rsidRPr="00332771">
              <w:rPr>
                <w:rFonts w:eastAsia="Arial" w:cs="Arial"/>
                <w:sz w:val="20"/>
              </w:rPr>
              <w:t>42</w:t>
            </w:r>
          </w:p>
        </w:tc>
        <w:tc>
          <w:tcPr>
            <w:tcW w:w="1579" w:type="dxa"/>
          </w:tcPr>
          <w:p w:rsidR="00AC40FC" w:rsidRPr="00332771" w:rsidRDefault="00AC40FC" w:rsidP="00A51C66">
            <w:pPr>
              <w:widowControl w:val="0"/>
              <w:spacing w:before="21" w:after="0"/>
              <w:ind w:right="25"/>
              <w:jc w:val="right"/>
              <w:rPr>
                <w:rFonts w:eastAsia="Arial" w:cs="Arial"/>
                <w:sz w:val="20"/>
              </w:rPr>
            </w:pPr>
            <w:r w:rsidRPr="00332771">
              <w:rPr>
                <w:rFonts w:eastAsia="Arial" w:cs="Arial"/>
                <w:sz w:val="20"/>
              </w:rPr>
              <w:t>42</w:t>
            </w:r>
          </w:p>
        </w:tc>
        <w:tc>
          <w:tcPr>
            <w:tcW w:w="1579" w:type="dxa"/>
          </w:tcPr>
          <w:p w:rsidR="00AC40FC" w:rsidRPr="00332771" w:rsidRDefault="00AC40FC" w:rsidP="00A51C66">
            <w:pPr>
              <w:widowControl w:val="0"/>
              <w:spacing w:before="21" w:after="0"/>
              <w:ind w:right="25"/>
              <w:jc w:val="right"/>
              <w:rPr>
                <w:rFonts w:eastAsia="Arial" w:cs="Arial"/>
                <w:sz w:val="20"/>
              </w:rPr>
            </w:pPr>
            <w:r w:rsidRPr="00332771">
              <w:rPr>
                <w:rFonts w:eastAsia="Arial" w:cs="Arial"/>
                <w:sz w:val="20"/>
              </w:rPr>
              <w:t>44</w:t>
            </w:r>
          </w:p>
        </w:tc>
        <w:tc>
          <w:tcPr>
            <w:tcW w:w="1627" w:type="dxa"/>
          </w:tcPr>
          <w:p w:rsidR="00AC40FC" w:rsidRPr="00332771" w:rsidRDefault="00AC40FC" w:rsidP="00A51C66">
            <w:pPr>
              <w:widowControl w:val="0"/>
              <w:spacing w:before="21" w:after="0"/>
              <w:ind w:right="24"/>
              <w:jc w:val="right"/>
              <w:rPr>
                <w:rFonts w:eastAsia="Arial" w:cs="Arial"/>
                <w:sz w:val="20"/>
              </w:rPr>
            </w:pPr>
            <w:r w:rsidRPr="00332771">
              <w:rPr>
                <w:rFonts w:eastAsia="Arial" w:cs="Arial"/>
                <w:sz w:val="20"/>
              </w:rPr>
              <w:t>43</w:t>
            </w:r>
          </w:p>
        </w:tc>
        <w:tc>
          <w:tcPr>
            <w:tcW w:w="1306" w:type="dxa"/>
          </w:tcPr>
          <w:p w:rsidR="00AC40FC" w:rsidRPr="00332771" w:rsidRDefault="00AC40FC" w:rsidP="00A51C66">
            <w:pPr>
              <w:widowControl w:val="0"/>
              <w:spacing w:before="21" w:after="0"/>
              <w:ind w:left="203" w:right="184"/>
              <w:jc w:val="center"/>
              <w:rPr>
                <w:rFonts w:eastAsia="Arial" w:cs="Arial"/>
                <w:sz w:val="20"/>
              </w:rPr>
            </w:pPr>
            <w:r w:rsidRPr="00332771">
              <w:rPr>
                <w:rFonts w:eastAsia="Arial" w:cs="Arial"/>
                <w:sz w:val="20"/>
              </w:rPr>
              <w:t>0.59%</w:t>
            </w:r>
          </w:p>
        </w:tc>
      </w:tr>
      <w:tr w:rsidR="00AC40FC" w:rsidRPr="00332771" w:rsidTr="00A51C66">
        <w:trPr>
          <w:trHeight w:hRule="exact" w:val="276"/>
          <w:jc w:val="center"/>
        </w:trPr>
        <w:tc>
          <w:tcPr>
            <w:tcW w:w="4963" w:type="dxa"/>
          </w:tcPr>
          <w:p w:rsidR="00AC40FC" w:rsidRPr="00332771" w:rsidRDefault="00AC40FC" w:rsidP="00A51C66">
            <w:pPr>
              <w:widowControl w:val="0"/>
              <w:spacing w:before="21" w:after="0"/>
              <w:ind w:right="22"/>
              <w:jc w:val="right"/>
              <w:rPr>
                <w:rFonts w:eastAsia="Arial" w:cs="Arial"/>
                <w:b/>
                <w:sz w:val="20"/>
              </w:rPr>
            </w:pPr>
            <w:r w:rsidRPr="00332771">
              <w:rPr>
                <w:rFonts w:eastAsia="Arial" w:cs="Arial"/>
                <w:b/>
                <w:sz w:val="20"/>
              </w:rPr>
              <w:t>Total Sales of Electricity</w:t>
            </w:r>
          </w:p>
        </w:tc>
        <w:tc>
          <w:tcPr>
            <w:tcW w:w="1627" w:type="dxa"/>
          </w:tcPr>
          <w:p w:rsidR="00AC40FC" w:rsidRPr="00332771" w:rsidRDefault="00AC40FC" w:rsidP="00A51C66">
            <w:pPr>
              <w:widowControl w:val="0"/>
              <w:spacing w:before="21" w:after="0"/>
              <w:ind w:right="25"/>
              <w:jc w:val="right"/>
              <w:rPr>
                <w:rFonts w:eastAsia="Arial" w:cs="Arial"/>
                <w:b/>
                <w:sz w:val="20"/>
              </w:rPr>
            </w:pPr>
            <w:r w:rsidRPr="00332771">
              <w:rPr>
                <w:rFonts w:eastAsia="Arial" w:cs="Arial"/>
                <w:b/>
                <w:w w:val="95"/>
                <w:sz w:val="20"/>
              </w:rPr>
              <w:t>1,401,699</w:t>
            </w:r>
          </w:p>
        </w:tc>
        <w:tc>
          <w:tcPr>
            <w:tcW w:w="1886" w:type="dxa"/>
          </w:tcPr>
          <w:p w:rsidR="00AC40FC" w:rsidRPr="00332771" w:rsidRDefault="00AC40FC" w:rsidP="00A51C66">
            <w:pPr>
              <w:widowControl w:val="0"/>
              <w:spacing w:before="21" w:after="0"/>
              <w:ind w:right="25"/>
              <w:jc w:val="right"/>
              <w:rPr>
                <w:rFonts w:eastAsia="Arial" w:cs="Arial"/>
                <w:b/>
                <w:sz w:val="20"/>
              </w:rPr>
            </w:pPr>
            <w:r w:rsidRPr="00332771">
              <w:rPr>
                <w:rFonts w:eastAsia="Arial" w:cs="Arial"/>
                <w:b/>
                <w:w w:val="95"/>
                <w:sz w:val="20"/>
              </w:rPr>
              <w:t>1,403,931</w:t>
            </w:r>
          </w:p>
        </w:tc>
        <w:tc>
          <w:tcPr>
            <w:tcW w:w="1579" w:type="dxa"/>
          </w:tcPr>
          <w:p w:rsidR="00AC40FC" w:rsidRPr="00332771" w:rsidRDefault="00AC40FC" w:rsidP="00A51C66">
            <w:pPr>
              <w:widowControl w:val="0"/>
              <w:spacing w:before="21" w:after="0"/>
              <w:ind w:right="25"/>
              <w:jc w:val="right"/>
              <w:rPr>
                <w:rFonts w:eastAsia="Arial" w:cs="Arial"/>
                <w:b/>
                <w:sz w:val="20"/>
              </w:rPr>
            </w:pPr>
            <w:r w:rsidRPr="00332771">
              <w:rPr>
                <w:rFonts w:eastAsia="Arial" w:cs="Arial"/>
                <w:b/>
                <w:w w:val="95"/>
                <w:sz w:val="20"/>
              </w:rPr>
              <w:t>1,407,073</w:t>
            </w:r>
          </w:p>
        </w:tc>
        <w:tc>
          <w:tcPr>
            <w:tcW w:w="1579" w:type="dxa"/>
          </w:tcPr>
          <w:p w:rsidR="00AC40FC" w:rsidRPr="00332771" w:rsidRDefault="00AC40FC" w:rsidP="00A51C66">
            <w:pPr>
              <w:widowControl w:val="0"/>
              <w:spacing w:before="21" w:after="0"/>
              <w:ind w:right="24"/>
              <w:jc w:val="right"/>
              <w:rPr>
                <w:rFonts w:eastAsia="Arial" w:cs="Arial"/>
                <w:b/>
                <w:sz w:val="20"/>
              </w:rPr>
            </w:pPr>
            <w:r w:rsidRPr="00332771">
              <w:rPr>
                <w:rFonts w:eastAsia="Arial" w:cs="Arial"/>
                <w:b/>
                <w:w w:val="95"/>
                <w:sz w:val="20"/>
              </w:rPr>
              <w:t>1,410,600</w:t>
            </w:r>
          </w:p>
        </w:tc>
        <w:tc>
          <w:tcPr>
            <w:tcW w:w="1627" w:type="dxa"/>
          </w:tcPr>
          <w:p w:rsidR="00AC40FC" w:rsidRPr="00332771" w:rsidRDefault="00AC40FC" w:rsidP="00A51C66">
            <w:pPr>
              <w:widowControl w:val="0"/>
              <w:spacing w:before="21" w:after="0"/>
              <w:ind w:right="24"/>
              <w:jc w:val="right"/>
              <w:rPr>
                <w:rFonts w:eastAsia="Arial" w:cs="Arial"/>
                <w:b/>
                <w:sz w:val="20"/>
              </w:rPr>
            </w:pPr>
            <w:r w:rsidRPr="00332771">
              <w:rPr>
                <w:rFonts w:eastAsia="Arial" w:cs="Arial"/>
                <w:b/>
                <w:w w:val="95"/>
                <w:sz w:val="20"/>
              </w:rPr>
              <w:t>1,414,340</w:t>
            </w:r>
          </w:p>
        </w:tc>
        <w:tc>
          <w:tcPr>
            <w:tcW w:w="1306" w:type="dxa"/>
          </w:tcPr>
          <w:p w:rsidR="00AC40FC" w:rsidRPr="00332771" w:rsidRDefault="00AC40FC" w:rsidP="00A51C66">
            <w:pPr>
              <w:widowControl w:val="0"/>
              <w:spacing w:before="21" w:after="0"/>
              <w:ind w:left="203" w:right="179"/>
              <w:jc w:val="center"/>
              <w:rPr>
                <w:rFonts w:eastAsia="Arial" w:cs="Arial"/>
                <w:b/>
                <w:sz w:val="20"/>
              </w:rPr>
            </w:pPr>
            <w:r w:rsidRPr="00332771">
              <w:rPr>
                <w:rFonts w:eastAsia="Arial" w:cs="Arial"/>
                <w:b/>
                <w:sz w:val="20"/>
              </w:rPr>
              <w:t>0.22%</w:t>
            </w:r>
          </w:p>
        </w:tc>
      </w:tr>
      <w:tr w:rsidR="00AC40FC" w:rsidRPr="00332771" w:rsidTr="00A51C66">
        <w:trPr>
          <w:trHeight w:hRule="exact" w:val="276"/>
          <w:jc w:val="center"/>
        </w:trPr>
        <w:tc>
          <w:tcPr>
            <w:tcW w:w="4963" w:type="dxa"/>
          </w:tcPr>
          <w:p w:rsidR="00AC40FC" w:rsidRPr="00332771" w:rsidRDefault="00AC40FC" w:rsidP="00A51C66">
            <w:pPr>
              <w:widowControl w:val="0"/>
              <w:spacing w:before="22" w:after="0"/>
              <w:ind w:left="182"/>
              <w:rPr>
                <w:rFonts w:eastAsia="Arial" w:cs="Arial"/>
                <w:sz w:val="20"/>
              </w:rPr>
            </w:pPr>
            <w:r w:rsidRPr="00332771">
              <w:rPr>
                <w:rFonts w:eastAsia="Arial" w:cs="Arial"/>
                <w:sz w:val="20"/>
              </w:rPr>
              <w:t>Less 449.1 Provision for Rate Refunds</w:t>
            </w:r>
          </w:p>
        </w:tc>
        <w:tc>
          <w:tcPr>
            <w:tcW w:w="1627" w:type="dxa"/>
          </w:tcPr>
          <w:p w:rsidR="00AC40FC" w:rsidRPr="00332771" w:rsidRDefault="00AC40FC" w:rsidP="00A51C66">
            <w:pPr>
              <w:widowControl w:val="0"/>
              <w:spacing w:before="22" w:after="0"/>
              <w:ind w:right="24"/>
              <w:jc w:val="right"/>
              <w:rPr>
                <w:rFonts w:eastAsia="Arial" w:cs="Arial"/>
                <w:sz w:val="20"/>
              </w:rPr>
            </w:pPr>
            <w:r w:rsidRPr="00332771">
              <w:rPr>
                <w:rFonts w:eastAsia="Arial" w:cs="Arial"/>
                <w:w w:val="99"/>
                <w:sz w:val="20"/>
              </w:rPr>
              <w:t>0</w:t>
            </w:r>
          </w:p>
        </w:tc>
        <w:tc>
          <w:tcPr>
            <w:tcW w:w="1886" w:type="dxa"/>
          </w:tcPr>
          <w:p w:rsidR="00AC40FC" w:rsidRPr="00332771" w:rsidRDefault="00AC40FC" w:rsidP="00A51C66">
            <w:pPr>
              <w:widowControl w:val="0"/>
              <w:spacing w:before="22" w:after="0"/>
              <w:ind w:right="24"/>
              <w:jc w:val="right"/>
              <w:rPr>
                <w:rFonts w:eastAsia="Arial" w:cs="Arial"/>
                <w:sz w:val="20"/>
              </w:rPr>
            </w:pPr>
            <w:r w:rsidRPr="00332771">
              <w:rPr>
                <w:rFonts w:eastAsia="Arial" w:cs="Arial"/>
                <w:w w:val="99"/>
                <w:sz w:val="20"/>
              </w:rPr>
              <w:t>0</w:t>
            </w:r>
          </w:p>
        </w:tc>
        <w:tc>
          <w:tcPr>
            <w:tcW w:w="1579" w:type="dxa"/>
          </w:tcPr>
          <w:p w:rsidR="00AC40FC" w:rsidRPr="00332771" w:rsidRDefault="00AC40FC" w:rsidP="00A51C66">
            <w:pPr>
              <w:widowControl w:val="0"/>
              <w:spacing w:before="22" w:after="0"/>
              <w:ind w:right="24"/>
              <w:jc w:val="right"/>
              <w:rPr>
                <w:rFonts w:eastAsia="Arial" w:cs="Arial"/>
                <w:sz w:val="20"/>
              </w:rPr>
            </w:pPr>
            <w:r w:rsidRPr="00332771">
              <w:rPr>
                <w:rFonts w:eastAsia="Arial" w:cs="Arial"/>
                <w:w w:val="99"/>
                <w:sz w:val="20"/>
              </w:rPr>
              <w:t>0</w:t>
            </w:r>
          </w:p>
        </w:tc>
        <w:tc>
          <w:tcPr>
            <w:tcW w:w="1579" w:type="dxa"/>
          </w:tcPr>
          <w:p w:rsidR="00AC40FC" w:rsidRPr="00332771" w:rsidRDefault="00AC40FC" w:rsidP="00A51C66">
            <w:pPr>
              <w:widowControl w:val="0"/>
              <w:spacing w:before="22" w:after="0"/>
              <w:ind w:right="24"/>
              <w:jc w:val="right"/>
              <w:rPr>
                <w:rFonts w:eastAsia="Arial" w:cs="Arial"/>
                <w:sz w:val="20"/>
              </w:rPr>
            </w:pPr>
            <w:r w:rsidRPr="00332771">
              <w:rPr>
                <w:rFonts w:eastAsia="Arial" w:cs="Arial"/>
                <w:w w:val="99"/>
                <w:sz w:val="20"/>
              </w:rPr>
              <w:t>0</w:t>
            </w:r>
          </w:p>
        </w:tc>
        <w:tc>
          <w:tcPr>
            <w:tcW w:w="1627" w:type="dxa"/>
          </w:tcPr>
          <w:p w:rsidR="00AC40FC" w:rsidRPr="00332771" w:rsidRDefault="00AC40FC" w:rsidP="00A51C66">
            <w:pPr>
              <w:widowControl w:val="0"/>
              <w:spacing w:before="22" w:after="0"/>
              <w:ind w:right="23"/>
              <w:jc w:val="right"/>
              <w:rPr>
                <w:rFonts w:eastAsia="Arial" w:cs="Arial"/>
                <w:sz w:val="20"/>
              </w:rPr>
            </w:pPr>
            <w:r w:rsidRPr="00332771">
              <w:rPr>
                <w:rFonts w:eastAsia="Arial" w:cs="Arial"/>
                <w:w w:val="99"/>
                <w:sz w:val="20"/>
              </w:rPr>
              <w:t>0</w:t>
            </w:r>
          </w:p>
        </w:tc>
        <w:tc>
          <w:tcPr>
            <w:tcW w:w="1306" w:type="dxa"/>
          </w:tcPr>
          <w:p w:rsidR="00AC40FC" w:rsidRPr="00332771" w:rsidRDefault="00AC40FC" w:rsidP="00A51C66">
            <w:pPr>
              <w:widowControl w:val="0"/>
              <w:spacing w:before="22" w:after="0"/>
              <w:ind w:left="203" w:right="181"/>
              <w:jc w:val="center"/>
              <w:rPr>
                <w:rFonts w:eastAsia="Arial" w:cs="Arial"/>
                <w:sz w:val="20"/>
              </w:rPr>
            </w:pPr>
            <w:r w:rsidRPr="00332771">
              <w:rPr>
                <w:rFonts w:eastAsia="Arial" w:cs="Arial"/>
                <w:sz w:val="20"/>
              </w:rPr>
              <w:t>NM</w:t>
            </w:r>
          </w:p>
        </w:tc>
      </w:tr>
      <w:tr w:rsidR="00AC40FC" w:rsidRPr="00332771" w:rsidTr="00A51C66">
        <w:trPr>
          <w:trHeight w:hRule="exact" w:val="245"/>
          <w:jc w:val="center"/>
        </w:trPr>
        <w:tc>
          <w:tcPr>
            <w:tcW w:w="4963" w:type="dxa"/>
          </w:tcPr>
          <w:p w:rsidR="00AC40FC" w:rsidRPr="00332771" w:rsidRDefault="00AC40FC" w:rsidP="00BB665B">
            <w:pPr>
              <w:widowControl w:val="0"/>
              <w:spacing w:after="0" w:line="220" w:lineRule="exact"/>
              <w:ind w:right="27"/>
              <w:jc w:val="right"/>
              <w:rPr>
                <w:rFonts w:eastAsia="Arial" w:cs="Arial"/>
                <w:b/>
                <w:sz w:val="20"/>
              </w:rPr>
            </w:pPr>
            <w:r w:rsidRPr="00332771">
              <w:rPr>
                <w:rFonts w:eastAsia="Arial" w:cs="Arial"/>
                <w:b/>
                <w:sz w:val="20"/>
              </w:rPr>
              <w:t>Total Av</w:t>
            </w:r>
            <w:r>
              <w:rPr>
                <w:rFonts w:eastAsia="Arial" w:cs="Arial"/>
                <w:b/>
                <w:sz w:val="20"/>
              </w:rPr>
              <w:t>erage</w:t>
            </w:r>
            <w:r w:rsidRPr="00332771">
              <w:rPr>
                <w:rFonts w:eastAsia="Arial" w:cs="Arial"/>
                <w:b/>
                <w:sz w:val="20"/>
              </w:rPr>
              <w:t xml:space="preserve"> Number of Cust</w:t>
            </w:r>
            <w:r>
              <w:rPr>
                <w:rFonts w:eastAsia="Arial" w:cs="Arial"/>
                <w:b/>
                <w:sz w:val="20"/>
              </w:rPr>
              <w:t>omers</w:t>
            </w:r>
            <w:r w:rsidRPr="00332771">
              <w:rPr>
                <w:rFonts w:eastAsia="Arial" w:cs="Arial"/>
                <w:b/>
                <w:sz w:val="20"/>
              </w:rPr>
              <w:t xml:space="preserve"> per Month</w:t>
            </w:r>
          </w:p>
        </w:tc>
        <w:tc>
          <w:tcPr>
            <w:tcW w:w="1627" w:type="dxa"/>
          </w:tcPr>
          <w:p w:rsidR="00AC40FC" w:rsidRPr="00332771" w:rsidRDefault="00AC40FC" w:rsidP="00A51C66">
            <w:pPr>
              <w:widowControl w:val="0"/>
              <w:spacing w:after="0" w:line="220" w:lineRule="exact"/>
              <w:ind w:right="27"/>
              <w:jc w:val="right"/>
              <w:rPr>
                <w:rFonts w:eastAsia="Arial" w:cs="Arial"/>
                <w:b/>
                <w:sz w:val="20"/>
              </w:rPr>
            </w:pPr>
            <w:r w:rsidRPr="00332771">
              <w:rPr>
                <w:rFonts w:eastAsia="Arial" w:cs="Arial"/>
                <w:b/>
                <w:w w:val="95"/>
                <w:sz w:val="20"/>
              </w:rPr>
              <w:t>1,401,699</w:t>
            </w:r>
          </w:p>
        </w:tc>
        <w:tc>
          <w:tcPr>
            <w:tcW w:w="1886" w:type="dxa"/>
          </w:tcPr>
          <w:p w:rsidR="00AC40FC" w:rsidRPr="00332771" w:rsidRDefault="00AC40FC" w:rsidP="00A51C66">
            <w:pPr>
              <w:widowControl w:val="0"/>
              <w:spacing w:after="0" w:line="220" w:lineRule="exact"/>
              <w:ind w:right="27"/>
              <w:jc w:val="right"/>
              <w:rPr>
                <w:rFonts w:eastAsia="Arial" w:cs="Arial"/>
                <w:b/>
                <w:sz w:val="20"/>
              </w:rPr>
            </w:pPr>
            <w:r w:rsidRPr="00332771">
              <w:rPr>
                <w:rFonts w:eastAsia="Arial" w:cs="Arial"/>
                <w:b/>
                <w:w w:val="95"/>
                <w:sz w:val="20"/>
              </w:rPr>
              <w:t>1,403,931</w:t>
            </w:r>
          </w:p>
        </w:tc>
        <w:tc>
          <w:tcPr>
            <w:tcW w:w="1579" w:type="dxa"/>
          </w:tcPr>
          <w:p w:rsidR="00AC40FC" w:rsidRPr="00332771" w:rsidRDefault="00AC40FC" w:rsidP="00A51C66">
            <w:pPr>
              <w:widowControl w:val="0"/>
              <w:spacing w:after="0" w:line="220" w:lineRule="exact"/>
              <w:ind w:right="27"/>
              <w:jc w:val="right"/>
              <w:rPr>
                <w:rFonts w:eastAsia="Arial" w:cs="Arial"/>
                <w:b/>
                <w:sz w:val="20"/>
              </w:rPr>
            </w:pPr>
            <w:r w:rsidRPr="00332771">
              <w:rPr>
                <w:rFonts w:eastAsia="Arial" w:cs="Arial"/>
                <w:b/>
                <w:w w:val="95"/>
                <w:sz w:val="20"/>
              </w:rPr>
              <w:t>1,407,073</w:t>
            </w:r>
          </w:p>
        </w:tc>
        <w:tc>
          <w:tcPr>
            <w:tcW w:w="1579" w:type="dxa"/>
          </w:tcPr>
          <w:p w:rsidR="00AC40FC" w:rsidRPr="00332771" w:rsidRDefault="00AC40FC" w:rsidP="00A51C66">
            <w:pPr>
              <w:widowControl w:val="0"/>
              <w:spacing w:after="0" w:line="220" w:lineRule="exact"/>
              <w:ind w:right="27"/>
              <w:jc w:val="right"/>
              <w:rPr>
                <w:rFonts w:eastAsia="Arial" w:cs="Arial"/>
                <w:b/>
                <w:sz w:val="20"/>
              </w:rPr>
            </w:pPr>
            <w:r w:rsidRPr="00332771">
              <w:rPr>
                <w:rFonts w:eastAsia="Arial" w:cs="Arial"/>
                <w:b/>
                <w:w w:val="95"/>
                <w:sz w:val="20"/>
              </w:rPr>
              <w:t>1,410,600</w:t>
            </w:r>
          </w:p>
        </w:tc>
        <w:tc>
          <w:tcPr>
            <w:tcW w:w="1627" w:type="dxa"/>
          </w:tcPr>
          <w:p w:rsidR="00AC40FC" w:rsidRPr="00332771" w:rsidRDefault="00AC40FC" w:rsidP="00A51C66">
            <w:pPr>
              <w:widowControl w:val="0"/>
              <w:spacing w:after="0" w:line="220" w:lineRule="exact"/>
              <w:ind w:right="27"/>
              <w:jc w:val="right"/>
              <w:rPr>
                <w:rFonts w:eastAsia="Arial" w:cs="Arial"/>
                <w:b/>
                <w:sz w:val="20"/>
              </w:rPr>
            </w:pPr>
            <w:r w:rsidRPr="00332771">
              <w:rPr>
                <w:rFonts w:eastAsia="Arial" w:cs="Arial"/>
                <w:b/>
                <w:w w:val="95"/>
                <w:sz w:val="20"/>
              </w:rPr>
              <w:t>1,414,340</w:t>
            </w:r>
          </w:p>
        </w:tc>
        <w:tc>
          <w:tcPr>
            <w:tcW w:w="1306" w:type="dxa"/>
          </w:tcPr>
          <w:p w:rsidR="00AC40FC" w:rsidRPr="00332771" w:rsidRDefault="00AC40FC" w:rsidP="00A51C66">
            <w:pPr>
              <w:widowControl w:val="0"/>
              <w:spacing w:after="0" w:line="220" w:lineRule="exact"/>
              <w:ind w:left="203" w:right="183"/>
              <w:jc w:val="center"/>
              <w:rPr>
                <w:rFonts w:eastAsia="Arial" w:cs="Arial"/>
                <w:b/>
                <w:sz w:val="20"/>
              </w:rPr>
            </w:pPr>
            <w:r w:rsidRPr="00332771">
              <w:rPr>
                <w:rFonts w:eastAsia="Arial" w:cs="Arial"/>
                <w:b/>
                <w:sz w:val="20"/>
              </w:rPr>
              <w:t>0.22%</w:t>
            </w:r>
          </w:p>
        </w:tc>
      </w:tr>
    </w:tbl>
    <w:p w:rsidR="00AC40FC" w:rsidRDefault="00AC40FC" w:rsidP="005E47C4">
      <w:pPr>
        <w:pStyle w:val="Caption"/>
      </w:pPr>
      <w:bookmarkStart w:id="473" w:name="_Toc462648520"/>
      <w:bookmarkStart w:id="474" w:name="_Toc464553142"/>
      <w:r>
        <w:lastRenderedPageBreak/>
        <w:t xml:space="preserve">Exhibit </w:t>
      </w:r>
      <w:fldSimple w:instr=" STYLEREF 6 \s ">
        <w:r w:rsidR="00A24205">
          <w:rPr>
            <w:noProof/>
          </w:rPr>
          <w:t>A</w:t>
        </w:r>
      </w:fldSimple>
      <w:r>
        <w:noBreakHyphen/>
      </w:r>
      <w:fldSimple w:instr=" SEQ Exhibit_Apx \* ARABIC \s 6 ">
        <w:r w:rsidR="00A24205">
          <w:rPr>
            <w:noProof/>
          </w:rPr>
          <w:t>4</w:t>
        </w:r>
      </w:fldSimple>
      <w:r>
        <w:br/>
        <w:t>Operation and Maintenance Expenses</w:t>
      </w:r>
      <w:bookmarkEnd w:id="473"/>
      <w:bookmarkEnd w:id="474"/>
    </w:p>
    <w:tbl>
      <w:tblPr>
        <w:tblW w:w="1456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4963"/>
        <w:gridCol w:w="1627"/>
        <w:gridCol w:w="1886"/>
        <w:gridCol w:w="1579"/>
        <w:gridCol w:w="1579"/>
        <w:gridCol w:w="1627"/>
        <w:gridCol w:w="1306"/>
      </w:tblGrid>
      <w:tr w:rsidR="00AC40FC" w:rsidTr="00BB665B">
        <w:trPr>
          <w:trHeight w:hRule="exact" w:val="443"/>
          <w:jc w:val="center"/>
        </w:trPr>
        <w:tc>
          <w:tcPr>
            <w:tcW w:w="4963" w:type="dxa"/>
            <w:shd w:val="clear" w:color="auto" w:fill="A5CD7E"/>
          </w:tcPr>
          <w:p w:rsidR="00AC40FC" w:rsidRDefault="00AC40FC" w:rsidP="00BB665B">
            <w:pPr>
              <w:pStyle w:val="TableParagraph"/>
              <w:spacing w:before="120" w:after="120" w:line="240" w:lineRule="auto"/>
              <w:ind w:left="29" w:right="0"/>
              <w:jc w:val="left"/>
              <w:rPr>
                <w:b/>
                <w:sz w:val="20"/>
              </w:rPr>
            </w:pPr>
            <w:r>
              <w:rPr>
                <w:b/>
                <w:sz w:val="20"/>
              </w:rPr>
              <w:t>OPERATION &amp; MAINTENANCE EXPENSES</w:t>
            </w:r>
          </w:p>
        </w:tc>
        <w:tc>
          <w:tcPr>
            <w:tcW w:w="1627" w:type="dxa"/>
            <w:shd w:val="clear" w:color="auto" w:fill="A5CD7E"/>
          </w:tcPr>
          <w:p w:rsidR="00AC40FC" w:rsidRDefault="00AC40FC" w:rsidP="00BB665B">
            <w:pPr>
              <w:pStyle w:val="TableParagraph"/>
              <w:spacing w:before="120" w:after="120" w:line="240" w:lineRule="auto"/>
              <w:ind w:left="571" w:right="552"/>
              <w:jc w:val="center"/>
              <w:rPr>
                <w:b/>
                <w:sz w:val="20"/>
              </w:rPr>
            </w:pPr>
            <w:r>
              <w:rPr>
                <w:b/>
                <w:sz w:val="20"/>
              </w:rPr>
              <w:t>2010</w:t>
            </w:r>
          </w:p>
        </w:tc>
        <w:tc>
          <w:tcPr>
            <w:tcW w:w="1886" w:type="dxa"/>
            <w:shd w:val="clear" w:color="auto" w:fill="A5CD7E"/>
          </w:tcPr>
          <w:p w:rsidR="00AC40FC" w:rsidRDefault="00AC40FC" w:rsidP="00BB665B">
            <w:pPr>
              <w:pStyle w:val="TableParagraph"/>
              <w:spacing w:before="120" w:after="120" w:line="240" w:lineRule="auto"/>
              <w:ind w:left="700" w:right="682"/>
              <w:jc w:val="center"/>
              <w:rPr>
                <w:b/>
                <w:sz w:val="20"/>
              </w:rPr>
            </w:pPr>
            <w:r>
              <w:rPr>
                <w:b/>
                <w:sz w:val="20"/>
              </w:rPr>
              <w:t>2011</w:t>
            </w:r>
          </w:p>
        </w:tc>
        <w:tc>
          <w:tcPr>
            <w:tcW w:w="1579" w:type="dxa"/>
            <w:shd w:val="clear" w:color="auto" w:fill="A5CD7E"/>
          </w:tcPr>
          <w:p w:rsidR="00AC40FC" w:rsidRDefault="00AC40FC" w:rsidP="00BB665B">
            <w:pPr>
              <w:pStyle w:val="TableParagraph"/>
              <w:spacing w:before="120" w:after="120" w:line="240" w:lineRule="auto"/>
              <w:ind w:left="547" w:right="528"/>
              <w:jc w:val="center"/>
              <w:rPr>
                <w:b/>
                <w:sz w:val="20"/>
              </w:rPr>
            </w:pPr>
            <w:r>
              <w:rPr>
                <w:b/>
                <w:sz w:val="20"/>
              </w:rPr>
              <w:t>2012</w:t>
            </w:r>
          </w:p>
        </w:tc>
        <w:tc>
          <w:tcPr>
            <w:tcW w:w="1579" w:type="dxa"/>
            <w:shd w:val="clear" w:color="auto" w:fill="A5CD7E"/>
          </w:tcPr>
          <w:p w:rsidR="00AC40FC" w:rsidRDefault="00AC40FC" w:rsidP="00BB665B">
            <w:pPr>
              <w:pStyle w:val="TableParagraph"/>
              <w:spacing w:before="120" w:after="120" w:line="240" w:lineRule="auto"/>
              <w:ind w:left="547" w:right="528"/>
              <w:jc w:val="center"/>
              <w:rPr>
                <w:b/>
                <w:sz w:val="20"/>
              </w:rPr>
            </w:pPr>
            <w:r>
              <w:rPr>
                <w:b/>
                <w:sz w:val="20"/>
              </w:rPr>
              <w:t>2013</w:t>
            </w:r>
          </w:p>
        </w:tc>
        <w:tc>
          <w:tcPr>
            <w:tcW w:w="1627" w:type="dxa"/>
            <w:shd w:val="clear" w:color="auto" w:fill="A5CD7E"/>
          </w:tcPr>
          <w:p w:rsidR="00AC40FC" w:rsidRDefault="00AC40FC" w:rsidP="00BB665B">
            <w:pPr>
              <w:pStyle w:val="TableParagraph"/>
              <w:spacing w:before="120" w:after="120" w:line="240" w:lineRule="auto"/>
              <w:ind w:left="571" w:right="552"/>
              <w:jc w:val="center"/>
              <w:rPr>
                <w:b/>
                <w:sz w:val="20"/>
              </w:rPr>
            </w:pPr>
            <w:r>
              <w:rPr>
                <w:b/>
                <w:sz w:val="20"/>
              </w:rPr>
              <w:t>2014</w:t>
            </w:r>
          </w:p>
        </w:tc>
        <w:tc>
          <w:tcPr>
            <w:tcW w:w="1306" w:type="dxa"/>
            <w:shd w:val="clear" w:color="auto" w:fill="A5CD7E"/>
          </w:tcPr>
          <w:p w:rsidR="00AC40FC" w:rsidRDefault="00AC40FC" w:rsidP="00BB665B">
            <w:pPr>
              <w:pStyle w:val="TableParagraph"/>
              <w:spacing w:before="120" w:after="120" w:line="268" w:lineRule="auto"/>
              <w:ind w:left="295" w:right="94" w:hanging="178"/>
              <w:jc w:val="left"/>
              <w:rPr>
                <w:b/>
                <w:sz w:val="20"/>
              </w:rPr>
            </w:pPr>
            <w:r>
              <w:rPr>
                <w:b/>
                <w:sz w:val="20"/>
              </w:rPr>
              <w:t>Compound Growth</w:t>
            </w:r>
          </w:p>
        </w:tc>
      </w:tr>
      <w:tr w:rsidR="00AC40FC" w:rsidTr="005E47C4">
        <w:trPr>
          <w:trHeight w:hRule="exact" w:val="245"/>
          <w:jc w:val="center"/>
        </w:trPr>
        <w:tc>
          <w:tcPr>
            <w:tcW w:w="4963" w:type="dxa"/>
          </w:tcPr>
          <w:p w:rsidR="00AC40FC" w:rsidRDefault="00AC40FC" w:rsidP="00A51C66">
            <w:pPr>
              <w:pStyle w:val="TableParagraph"/>
              <w:ind w:left="179" w:right="0"/>
              <w:jc w:val="left"/>
              <w:rPr>
                <w:sz w:val="20"/>
              </w:rPr>
            </w:pPr>
            <w:r>
              <w:rPr>
                <w:sz w:val="20"/>
              </w:rPr>
              <w:t>560.0 Operation Supervision &amp; Engineering</w:t>
            </w:r>
          </w:p>
        </w:tc>
        <w:tc>
          <w:tcPr>
            <w:tcW w:w="1627" w:type="dxa"/>
          </w:tcPr>
          <w:p w:rsidR="00AC40FC" w:rsidRDefault="00AC40FC" w:rsidP="00A51C66">
            <w:pPr>
              <w:pStyle w:val="TableParagraph"/>
              <w:ind w:right="94"/>
              <w:rPr>
                <w:sz w:val="20"/>
              </w:rPr>
            </w:pPr>
            <w:r>
              <w:rPr>
                <w:w w:val="95"/>
                <w:sz w:val="20"/>
              </w:rPr>
              <w:t>$3,080,150</w:t>
            </w:r>
          </w:p>
        </w:tc>
        <w:tc>
          <w:tcPr>
            <w:tcW w:w="1886" w:type="dxa"/>
          </w:tcPr>
          <w:p w:rsidR="00AC40FC" w:rsidRDefault="00AC40FC" w:rsidP="00A51C66">
            <w:pPr>
              <w:pStyle w:val="TableParagraph"/>
              <w:ind w:right="94"/>
              <w:rPr>
                <w:sz w:val="20"/>
              </w:rPr>
            </w:pPr>
            <w:r>
              <w:rPr>
                <w:w w:val="95"/>
                <w:sz w:val="20"/>
              </w:rPr>
              <w:t>$4,953,036</w:t>
            </w:r>
          </w:p>
        </w:tc>
        <w:tc>
          <w:tcPr>
            <w:tcW w:w="1579" w:type="dxa"/>
          </w:tcPr>
          <w:p w:rsidR="00AC40FC" w:rsidRDefault="00AC40FC" w:rsidP="00A51C66">
            <w:pPr>
              <w:pStyle w:val="TableParagraph"/>
              <w:ind w:right="94"/>
              <w:rPr>
                <w:sz w:val="20"/>
              </w:rPr>
            </w:pPr>
            <w:r>
              <w:rPr>
                <w:w w:val="95"/>
                <w:sz w:val="20"/>
              </w:rPr>
              <w:t>$7,642,055</w:t>
            </w:r>
          </w:p>
        </w:tc>
        <w:tc>
          <w:tcPr>
            <w:tcW w:w="1579" w:type="dxa"/>
          </w:tcPr>
          <w:p w:rsidR="00AC40FC" w:rsidRDefault="00AC40FC" w:rsidP="00A51C66">
            <w:pPr>
              <w:pStyle w:val="TableParagraph"/>
              <w:ind w:right="94"/>
              <w:rPr>
                <w:sz w:val="20"/>
              </w:rPr>
            </w:pPr>
            <w:r>
              <w:rPr>
                <w:w w:val="95"/>
                <w:sz w:val="20"/>
              </w:rPr>
              <w:t>$8,638,138</w:t>
            </w:r>
          </w:p>
        </w:tc>
        <w:tc>
          <w:tcPr>
            <w:tcW w:w="1627" w:type="dxa"/>
          </w:tcPr>
          <w:p w:rsidR="00AC40FC" w:rsidRDefault="00AC40FC" w:rsidP="00A51C66">
            <w:pPr>
              <w:pStyle w:val="TableParagraph"/>
              <w:ind w:right="94"/>
              <w:rPr>
                <w:sz w:val="20"/>
              </w:rPr>
            </w:pPr>
            <w:r>
              <w:rPr>
                <w:w w:val="95"/>
                <w:sz w:val="20"/>
              </w:rPr>
              <w:t>$6,299,756</w:t>
            </w:r>
          </w:p>
        </w:tc>
        <w:tc>
          <w:tcPr>
            <w:tcW w:w="1306" w:type="dxa"/>
          </w:tcPr>
          <w:p w:rsidR="00AC40FC" w:rsidRDefault="00AC40FC" w:rsidP="00A51C66">
            <w:pPr>
              <w:pStyle w:val="TableParagraph"/>
              <w:ind w:left="200" w:right="185"/>
              <w:jc w:val="center"/>
              <w:rPr>
                <w:sz w:val="20"/>
              </w:rPr>
            </w:pPr>
            <w:r>
              <w:rPr>
                <w:sz w:val="20"/>
              </w:rPr>
              <w:t>19.59%</w:t>
            </w:r>
          </w:p>
        </w:tc>
      </w:tr>
      <w:tr w:rsidR="00AC40FC" w:rsidTr="005E47C4">
        <w:trPr>
          <w:trHeight w:hRule="exact" w:val="245"/>
          <w:jc w:val="center"/>
        </w:trPr>
        <w:tc>
          <w:tcPr>
            <w:tcW w:w="4963" w:type="dxa"/>
          </w:tcPr>
          <w:p w:rsidR="00AC40FC" w:rsidRDefault="00AC40FC" w:rsidP="00A51C66">
            <w:pPr>
              <w:pStyle w:val="TableParagraph"/>
              <w:ind w:left="180" w:right="0"/>
              <w:jc w:val="left"/>
              <w:rPr>
                <w:sz w:val="20"/>
              </w:rPr>
            </w:pPr>
            <w:r>
              <w:rPr>
                <w:sz w:val="20"/>
              </w:rPr>
              <w:t>561.0 Load Dispatching</w:t>
            </w:r>
          </w:p>
        </w:tc>
        <w:tc>
          <w:tcPr>
            <w:tcW w:w="1627" w:type="dxa"/>
          </w:tcPr>
          <w:p w:rsidR="00AC40FC" w:rsidRDefault="00AC40FC" w:rsidP="00A51C66">
            <w:pPr>
              <w:pStyle w:val="TableParagraph"/>
              <w:ind w:right="94"/>
              <w:rPr>
                <w:sz w:val="20"/>
              </w:rPr>
            </w:pPr>
            <w:r>
              <w:rPr>
                <w:w w:val="95"/>
                <w:sz w:val="20"/>
              </w:rPr>
              <w:t>3,356,135</w:t>
            </w:r>
          </w:p>
        </w:tc>
        <w:tc>
          <w:tcPr>
            <w:tcW w:w="1886" w:type="dxa"/>
          </w:tcPr>
          <w:p w:rsidR="00AC40FC" w:rsidRDefault="00AC40FC" w:rsidP="00A51C66">
            <w:pPr>
              <w:pStyle w:val="TableParagraph"/>
              <w:ind w:right="94"/>
              <w:rPr>
                <w:sz w:val="20"/>
              </w:rPr>
            </w:pPr>
            <w:r>
              <w:rPr>
                <w:w w:val="95"/>
                <w:sz w:val="20"/>
              </w:rPr>
              <w:t>3,777,424</w:t>
            </w:r>
          </w:p>
        </w:tc>
        <w:tc>
          <w:tcPr>
            <w:tcW w:w="1579" w:type="dxa"/>
          </w:tcPr>
          <w:p w:rsidR="00AC40FC" w:rsidRDefault="00AC40FC" w:rsidP="00A51C66">
            <w:pPr>
              <w:pStyle w:val="TableParagraph"/>
              <w:ind w:right="94"/>
              <w:rPr>
                <w:sz w:val="20"/>
              </w:rPr>
            </w:pPr>
            <w:r>
              <w:rPr>
                <w:w w:val="95"/>
                <w:sz w:val="20"/>
              </w:rPr>
              <w:t>3,304,183</w:t>
            </w:r>
          </w:p>
        </w:tc>
        <w:tc>
          <w:tcPr>
            <w:tcW w:w="1579" w:type="dxa"/>
          </w:tcPr>
          <w:p w:rsidR="00AC40FC" w:rsidRDefault="00AC40FC" w:rsidP="00A51C66">
            <w:pPr>
              <w:pStyle w:val="TableParagraph"/>
              <w:ind w:right="94"/>
              <w:rPr>
                <w:sz w:val="20"/>
              </w:rPr>
            </w:pPr>
            <w:r>
              <w:rPr>
                <w:w w:val="95"/>
                <w:sz w:val="20"/>
              </w:rPr>
              <w:t>3,118,131</w:t>
            </w:r>
          </w:p>
        </w:tc>
        <w:tc>
          <w:tcPr>
            <w:tcW w:w="1627" w:type="dxa"/>
          </w:tcPr>
          <w:p w:rsidR="00AC40FC" w:rsidRDefault="00AC40FC" w:rsidP="00A51C66">
            <w:pPr>
              <w:pStyle w:val="TableParagraph"/>
              <w:ind w:right="94"/>
              <w:rPr>
                <w:sz w:val="20"/>
              </w:rPr>
            </w:pPr>
            <w:r>
              <w:rPr>
                <w:w w:val="95"/>
                <w:sz w:val="20"/>
              </w:rPr>
              <w:t>2,431,400</w:t>
            </w:r>
          </w:p>
        </w:tc>
        <w:tc>
          <w:tcPr>
            <w:tcW w:w="1306" w:type="dxa"/>
          </w:tcPr>
          <w:p w:rsidR="00AC40FC" w:rsidRDefault="00AC40FC" w:rsidP="00A51C66">
            <w:pPr>
              <w:pStyle w:val="TableParagraph"/>
              <w:ind w:left="201" w:right="185"/>
              <w:jc w:val="center"/>
              <w:rPr>
                <w:sz w:val="20"/>
              </w:rPr>
            </w:pPr>
            <w:r>
              <w:rPr>
                <w:sz w:val="20"/>
              </w:rPr>
              <w:t>-7.74%</w:t>
            </w:r>
          </w:p>
        </w:tc>
      </w:tr>
      <w:tr w:rsidR="00AC40FC" w:rsidTr="005E47C4">
        <w:trPr>
          <w:trHeight w:hRule="exact" w:val="245"/>
          <w:jc w:val="center"/>
        </w:trPr>
        <w:tc>
          <w:tcPr>
            <w:tcW w:w="4963" w:type="dxa"/>
          </w:tcPr>
          <w:p w:rsidR="00AC40FC" w:rsidRDefault="00AC40FC" w:rsidP="00A51C66">
            <w:pPr>
              <w:pStyle w:val="TableParagraph"/>
              <w:ind w:left="180" w:right="0"/>
              <w:jc w:val="left"/>
              <w:rPr>
                <w:sz w:val="20"/>
              </w:rPr>
            </w:pPr>
            <w:r>
              <w:rPr>
                <w:sz w:val="20"/>
              </w:rPr>
              <w:t>562.0 Station Expenses</w:t>
            </w:r>
          </w:p>
        </w:tc>
        <w:tc>
          <w:tcPr>
            <w:tcW w:w="1627" w:type="dxa"/>
          </w:tcPr>
          <w:p w:rsidR="00AC40FC" w:rsidRDefault="00AC40FC" w:rsidP="00A51C66">
            <w:pPr>
              <w:pStyle w:val="TableParagraph"/>
              <w:ind w:right="93"/>
              <w:rPr>
                <w:sz w:val="20"/>
              </w:rPr>
            </w:pPr>
            <w:r>
              <w:rPr>
                <w:w w:val="95"/>
                <w:sz w:val="20"/>
              </w:rPr>
              <w:t>997,611</w:t>
            </w:r>
          </w:p>
        </w:tc>
        <w:tc>
          <w:tcPr>
            <w:tcW w:w="1886" w:type="dxa"/>
          </w:tcPr>
          <w:p w:rsidR="00AC40FC" w:rsidRDefault="00AC40FC" w:rsidP="00A51C66">
            <w:pPr>
              <w:pStyle w:val="TableParagraph"/>
              <w:ind w:right="93"/>
              <w:rPr>
                <w:sz w:val="20"/>
              </w:rPr>
            </w:pPr>
            <w:r>
              <w:rPr>
                <w:w w:val="95"/>
                <w:sz w:val="20"/>
              </w:rPr>
              <w:t>569,060</w:t>
            </w:r>
          </w:p>
        </w:tc>
        <w:tc>
          <w:tcPr>
            <w:tcW w:w="1579" w:type="dxa"/>
          </w:tcPr>
          <w:p w:rsidR="00AC40FC" w:rsidRDefault="00AC40FC" w:rsidP="00A51C66">
            <w:pPr>
              <w:pStyle w:val="TableParagraph"/>
              <w:ind w:right="93"/>
              <w:rPr>
                <w:sz w:val="20"/>
              </w:rPr>
            </w:pPr>
            <w:r>
              <w:rPr>
                <w:w w:val="95"/>
                <w:sz w:val="20"/>
              </w:rPr>
              <w:t>717,606</w:t>
            </w:r>
          </w:p>
        </w:tc>
        <w:tc>
          <w:tcPr>
            <w:tcW w:w="1579" w:type="dxa"/>
          </w:tcPr>
          <w:p w:rsidR="00AC40FC" w:rsidRDefault="00AC40FC" w:rsidP="00A51C66">
            <w:pPr>
              <w:pStyle w:val="TableParagraph"/>
              <w:ind w:right="93"/>
              <w:rPr>
                <w:sz w:val="20"/>
              </w:rPr>
            </w:pPr>
            <w:r>
              <w:rPr>
                <w:w w:val="95"/>
                <w:sz w:val="20"/>
              </w:rPr>
              <w:t>2,403,755</w:t>
            </w:r>
          </w:p>
        </w:tc>
        <w:tc>
          <w:tcPr>
            <w:tcW w:w="1627" w:type="dxa"/>
          </w:tcPr>
          <w:p w:rsidR="00AC40FC" w:rsidRDefault="00AC40FC" w:rsidP="00A51C66">
            <w:pPr>
              <w:pStyle w:val="TableParagraph"/>
              <w:ind w:right="93"/>
              <w:rPr>
                <w:sz w:val="20"/>
              </w:rPr>
            </w:pPr>
            <w:r>
              <w:rPr>
                <w:w w:val="95"/>
                <w:sz w:val="20"/>
              </w:rPr>
              <w:t>1,702,335</w:t>
            </w:r>
          </w:p>
        </w:tc>
        <w:tc>
          <w:tcPr>
            <w:tcW w:w="1306" w:type="dxa"/>
          </w:tcPr>
          <w:p w:rsidR="00AC40FC" w:rsidRDefault="00AC40FC" w:rsidP="00A51C66">
            <w:pPr>
              <w:pStyle w:val="TableParagraph"/>
              <w:ind w:left="201" w:right="185"/>
              <w:jc w:val="center"/>
              <w:rPr>
                <w:sz w:val="20"/>
              </w:rPr>
            </w:pPr>
            <w:r>
              <w:rPr>
                <w:sz w:val="20"/>
              </w:rPr>
              <w:t>14.29%</w:t>
            </w:r>
          </w:p>
        </w:tc>
      </w:tr>
      <w:tr w:rsidR="00AC40FC" w:rsidTr="005E47C4">
        <w:trPr>
          <w:trHeight w:hRule="exact" w:val="245"/>
          <w:jc w:val="center"/>
        </w:trPr>
        <w:tc>
          <w:tcPr>
            <w:tcW w:w="4963" w:type="dxa"/>
          </w:tcPr>
          <w:p w:rsidR="00AC40FC" w:rsidRDefault="00AC40FC" w:rsidP="00A51C66">
            <w:pPr>
              <w:pStyle w:val="TableParagraph"/>
              <w:ind w:left="180" w:right="0"/>
              <w:jc w:val="left"/>
              <w:rPr>
                <w:sz w:val="20"/>
              </w:rPr>
            </w:pPr>
            <w:r>
              <w:rPr>
                <w:sz w:val="20"/>
              </w:rPr>
              <w:t>563.0 Overhead Line Expenses</w:t>
            </w:r>
          </w:p>
        </w:tc>
        <w:tc>
          <w:tcPr>
            <w:tcW w:w="1627" w:type="dxa"/>
          </w:tcPr>
          <w:p w:rsidR="00AC40FC" w:rsidRDefault="00AC40FC" w:rsidP="00A51C66">
            <w:pPr>
              <w:pStyle w:val="TableParagraph"/>
              <w:ind w:right="93"/>
              <w:rPr>
                <w:sz w:val="20"/>
              </w:rPr>
            </w:pPr>
            <w:r>
              <w:rPr>
                <w:w w:val="95"/>
                <w:sz w:val="20"/>
              </w:rPr>
              <w:t>1,267,539</w:t>
            </w:r>
          </w:p>
        </w:tc>
        <w:tc>
          <w:tcPr>
            <w:tcW w:w="1886" w:type="dxa"/>
          </w:tcPr>
          <w:p w:rsidR="00AC40FC" w:rsidRDefault="00AC40FC" w:rsidP="00A51C66">
            <w:pPr>
              <w:pStyle w:val="TableParagraph"/>
              <w:ind w:right="93"/>
              <w:rPr>
                <w:sz w:val="20"/>
              </w:rPr>
            </w:pPr>
            <w:r>
              <w:rPr>
                <w:w w:val="95"/>
                <w:sz w:val="20"/>
              </w:rPr>
              <w:t>1,177,725</w:t>
            </w:r>
          </w:p>
        </w:tc>
        <w:tc>
          <w:tcPr>
            <w:tcW w:w="1579" w:type="dxa"/>
          </w:tcPr>
          <w:p w:rsidR="00AC40FC" w:rsidRDefault="00AC40FC" w:rsidP="00A51C66">
            <w:pPr>
              <w:pStyle w:val="TableParagraph"/>
              <w:ind w:right="93"/>
              <w:rPr>
                <w:sz w:val="20"/>
              </w:rPr>
            </w:pPr>
            <w:r>
              <w:rPr>
                <w:w w:val="95"/>
                <w:sz w:val="20"/>
              </w:rPr>
              <w:t>1,912,843</w:t>
            </w:r>
          </w:p>
        </w:tc>
        <w:tc>
          <w:tcPr>
            <w:tcW w:w="1579" w:type="dxa"/>
          </w:tcPr>
          <w:p w:rsidR="00AC40FC" w:rsidRDefault="00AC40FC" w:rsidP="00A51C66">
            <w:pPr>
              <w:pStyle w:val="TableParagraph"/>
              <w:ind w:right="93"/>
              <w:rPr>
                <w:sz w:val="20"/>
              </w:rPr>
            </w:pPr>
            <w:r>
              <w:rPr>
                <w:w w:val="95"/>
                <w:sz w:val="20"/>
              </w:rPr>
              <w:t>1,600,054</w:t>
            </w:r>
          </w:p>
        </w:tc>
        <w:tc>
          <w:tcPr>
            <w:tcW w:w="1627" w:type="dxa"/>
          </w:tcPr>
          <w:p w:rsidR="00AC40FC" w:rsidRDefault="00AC40FC" w:rsidP="00A51C66">
            <w:pPr>
              <w:pStyle w:val="TableParagraph"/>
              <w:ind w:right="93"/>
              <w:rPr>
                <w:sz w:val="20"/>
              </w:rPr>
            </w:pPr>
            <w:r>
              <w:rPr>
                <w:w w:val="95"/>
                <w:sz w:val="20"/>
              </w:rPr>
              <w:t>1,691,733</w:t>
            </w:r>
          </w:p>
        </w:tc>
        <w:tc>
          <w:tcPr>
            <w:tcW w:w="1306" w:type="dxa"/>
          </w:tcPr>
          <w:p w:rsidR="00AC40FC" w:rsidRDefault="00AC40FC" w:rsidP="00A51C66">
            <w:pPr>
              <w:pStyle w:val="TableParagraph"/>
              <w:ind w:left="201" w:right="185"/>
              <w:jc w:val="center"/>
              <w:rPr>
                <w:sz w:val="20"/>
              </w:rPr>
            </w:pPr>
            <w:r>
              <w:rPr>
                <w:sz w:val="20"/>
              </w:rPr>
              <w:t>7.48%</w:t>
            </w:r>
          </w:p>
        </w:tc>
      </w:tr>
      <w:tr w:rsidR="00AC40FC" w:rsidTr="005E47C4">
        <w:trPr>
          <w:trHeight w:hRule="exact" w:val="245"/>
          <w:jc w:val="center"/>
        </w:trPr>
        <w:tc>
          <w:tcPr>
            <w:tcW w:w="4963" w:type="dxa"/>
          </w:tcPr>
          <w:p w:rsidR="00AC40FC" w:rsidRDefault="00AC40FC" w:rsidP="00A51C66">
            <w:pPr>
              <w:pStyle w:val="TableParagraph"/>
              <w:ind w:left="180" w:right="0"/>
              <w:jc w:val="left"/>
              <w:rPr>
                <w:sz w:val="20"/>
              </w:rPr>
            </w:pPr>
            <w:r>
              <w:rPr>
                <w:sz w:val="20"/>
              </w:rPr>
              <w:t>564.0 Underground Line Expenses</w:t>
            </w:r>
          </w:p>
        </w:tc>
        <w:tc>
          <w:tcPr>
            <w:tcW w:w="1627" w:type="dxa"/>
          </w:tcPr>
          <w:p w:rsidR="00AC40FC" w:rsidRDefault="00AC40FC" w:rsidP="00A51C66">
            <w:pPr>
              <w:pStyle w:val="TableParagraph"/>
              <w:ind w:right="93"/>
              <w:rPr>
                <w:sz w:val="20"/>
              </w:rPr>
            </w:pPr>
            <w:r>
              <w:rPr>
                <w:w w:val="99"/>
                <w:sz w:val="20"/>
              </w:rPr>
              <w:t>0</w:t>
            </w:r>
          </w:p>
        </w:tc>
        <w:tc>
          <w:tcPr>
            <w:tcW w:w="1886" w:type="dxa"/>
          </w:tcPr>
          <w:p w:rsidR="00AC40FC" w:rsidRDefault="00AC40FC" w:rsidP="00A51C66">
            <w:pPr>
              <w:pStyle w:val="TableParagraph"/>
              <w:ind w:right="93"/>
              <w:rPr>
                <w:sz w:val="20"/>
              </w:rPr>
            </w:pPr>
            <w:r>
              <w:rPr>
                <w:w w:val="99"/>
                <w:sz w:val="20"/>
              </w:rPr>
              <w:t>0</w:t>
            </w:r>
          </w:p>
        </w:tc>
        <w:tc>
          <w:tcPr>
            <w:tcW w:w="1579" w:type="dxa"/>
          </w:tcPr>
          <w:p w:rsidR="00AC40FC" w:rsidRDefault="00AC40FC" w:rsidP="00A51C66">
            <w:pPr>
              <w:pStyle w:val="TableParagraph"/>
              <w:ind w:right="93"/>
              <w:rPr>
                <w:sz w:val="20"/>
              </w:rPr>
            </w:pPr>
            <w:r>
              <w:rPr>
                <w:w w:val="99"/>
                <w:sz w:val="20"/>
              </w:rPr>
              <w:t>0</w:t>
            </w:r>
          </w:p>
        </w:tc>
        <w:tc>
          <w:tcPr>
            <w:tcW w:w="1579" w:type="dxa"/>
          </w:tcPr>
          <w:p w:rsidR="00AC40FC" w:rsidRDefault="00AC40FC" w:rsidP="00A51C66">
            <w:pPr>
              <w:pStyle w:val="TableParagraph"/>
              <w:ind w:right="92"/>
              <w:rPr>
                <w:sz w:val="20"/>
              </w:rPr>
            </w:pPr>
            <w:r>
              <w:rPr>
                <w:w w:val="99"/>
                <w:sz w:val="20"/>
              </w:rPr>
              <w:t>0</w:t>
            </w:r>
          </w:p>
        </w:tc>
        <w:tc>
          <w:tcPr>
            <w:tcW w:w="1627" w:type="dxa"/>
          </w:tcPr>
          <w:p w:rsidR="00AC40FC" w:rsidRDefault="00AC40FC" w:rsidP="00A51C66">
            <w:pPr>
              <w:pStyle w:val="TableParagraph"/>
              <w:ind w:right="92"/>
              <w:rPr>
                <w:sz w:val="20"/>
              </w:rPr>
            </w:pPr>
            <w:r>
              <w:rPr>
                <w:w w:val="99"/>
                <w:sz w:val="20"/>
              </w:rPr>
              <w:t>0</w:t>
            </w:r>
          </w:p>
        </w:tc>
        <w:tc>
          <w:tcPr>
            <w:tcW w:w="1306" w:type="dxa"/>
          </w:tcPr>
          <w:p w:rsidR="00AC40FC" w:rsidRDefault="00AC40FC" w:rsidP="00A51C66">
            <w:pPr>
              <w:pStyle w:val="TableParagraph"/>
              <w:ind w:left="203" w:right="184"/>
              <w:jc w:val="center"/>
              <w:rPr>
                <w:sz w:val="20"/>
              </w:rPr>
            </w:pPr>
            <w:r>
              <w:rPr>
                <w:sz w:val="20"/>
              </w:rPr>
              <w:t>NM</w:t>
            </w:r>
          </w:p>
        </w:tc>
      </w:tr>
      <w:tr w:rsidR="00AC40FC" w:rsidTr="005E47C4">
        <w:trPr>
          <w:trHeight w:hRule="exact" w:val="245"/>
          <w:jc w:val="center"/>
        </w:trPr>
        <w:tc>
          <w:tcPr>
            <w:tcW w:w="4963" w:type="dxa"/>
          </w:tcPr>
          <w:p w:rsidR="00AC40FC" w:rsidRDefault="00AC40FC" w:rsidP="00A51C66">
            <w:pPr>
              <w:pStyle w:val="TableParagraph"/>
              <w:ind w:left="180" w:right="0"/>
              <w:jc w:val="left"/>
              <w:rPr>
                <w:sz w:val="20"/>
              </w:rPr>
            </w:pPr>
            <w:r>
              <w:rPr>
                <w:sz w:val="20"/>
              </w:rPr>
              <w:t>565.0 Transmission of Electricity by Others</w:t>
            </w:r>
          </w:p>
        </w:tc>
        <w:tc>
          <w:tcPr>
            <w:tcW w:w="1627" w:type="dxa"/>
          </w:tcPr>
          <w:p w:rsidR="00AC40FC" w:rsidRDefault="00AC40FC" w:rsidP="00A51C66">
            <w:pPr>
              <w:pStyle w:val="TableParagraph"/>
              <w:ind w:right="93"/>
              <w:rPr>
                <w:sz w:val="20"/>
              </w:rPr>
            </w:pPr>
            <w:r>
              <w:rPr>
                <w:w w:val="95"/>
                <w:sz w:val="20"/>
              </w:rPr>
              <w:t>76,672,820</w:t>
            </w:r>
          </w:p>
        </w:tc>
        <w:tc>
          <w:tcPr>
            <w:tcW w:w="1886" w:type="dxa"/>
          </w:tcPr>
          <w:p w:rsidR="00AC40FC" w:rsidRDefault="00AC40FC" w:rsidP="00A51C66">
            <w:pPr>
              <w:pStyle w:val="TableParagraph"/>
              <w:ind w:right="93"/>
              <w:rPr>
                <w:sz w:val="20"/>
              </w:rPr>
            </w:pPr>
            <w:r>
              <w:rPr>
                <w:w w:val="95"/>
                <w:sz w:val="20"/>
              </w:rPr>
              <w:t>58,347,728</w:t>
            </w:r>
          </w:p>
        </w:tc>
        <w:tc>
          <w:tcPr>
            <w:tcW w:w="1579" w:type="dxa"/>
          </w:tcPr>
          <w:p w:rsidR="00AC40FC" w:rsidRDefault="00AC40FC" w:rsidP="00A51C66">
            <w:pPr>
              <w:pStyle w:val="TableParagraph"/>
              <w:ind w:right="93"/>
              <w:rPr>
                <w:sz w:val="20"/>
              </w:rPr>
            </w:pPr>
            <w:r>
              <w:rPr>
                <w:w w:val="95"/>
                <w:sz w:val="20"/>
              </w:rPr>
              <w:t>58,090,727</w:t>
            </w:r>
          </w:p>
        </w:tc>
        <w:tc>
          <w:tcPr>
            <w:tcW w:w="1579" w:type="dxa"/>
          </w:tcPr>
          <w:p w:rsidR="00AC40FC" w:rsidRDefault="00AC40FC" w:rsidP="00A51C66">
            <w:pPr>
              <w:pStyle w:val="TableParagraph"/>
              <w:ind w:right="93"/>
              <w:rPr>
                <w:sz w:val="20"/>
              </w:rPr>
            </w:pPr>
            <w:r>
              <w:rPr>
                <w:w w:val="95"/>
                <w:sz w:val="20"/>
              </w:rPr>
              <w:t>66,146,409</w:t>
            </w:r>
          </w:p>
        </w:tc>
        <w:tc>
          <w:tcPr>
            <w:tcW w:w="1627" w:type="dxa"/>
          </w:tcPr>
          <w:p w:rsidR="00AC40FC" w:rsidRDefault="00AC40FC" w:rsidP="00A51C66">
            <w:pPr>
              <w:pStyle w:val="TableParagraph"/>
              <w:ind w:right="93"/>
              <w:rPr>
                <w:sz w:val="20"/>
              </w:rPr>
            </w:pPr>
            <w:r>
              <w:rPr>
                <w:w w:val="95"/>
                <w:sz w:val="20"/>
              </w:rPr>
              <w:t>80,276,320</w:t>
            </w:r>
          </w:p>
        </w:tc>
        <w:tc>
          <w:tcPr>
            <w:tcW w:w="1306" w:type="dxa"/>
          </w:tcPr>
          <w:p w:rsidR="00AC40FC" w:rsidRDefault="00AC40FC" w:rsidP="00A51C66">
            <w:pPr>
              <w:pStyle w:val="TableParagraph"/>
              <w:ind w:left="202" w:right="185"/>
              <w:jc w:val="center"/>
              <w:rPr>
                <w:sz w:val="20"/>
              </w:rPr>
            </w:pPr>
            <w:r>
              <w:rPr>
                <w:sz w:val="20"/>
              </w:rPr>
              <w:t>1.15%</w:t>
            </w:r>
          </w:p>
        </w:tc>
      </w:tr>
      <w:tr w:rsidR="00AC40FC" w:rsidTr="005E47C4">
        <w:trPr>
          <w:trHeight w:hRule="exact" w:val="245"/>
          <w:jc w:val="center"/>
        </w:trPr>
        <w:tc>
          <w:tcPr>
            <w:tcW w:w="4963" w:type="dxa"/>
          </w:tcPr>
          <w:p w:rsidR="00AC40FC" w:rsidRDefault="00AC40FC" w:rsidP="00A51C66">
            <w:pPr>
              <w:pStyle w:val="TableParagraph"/>
              <w:ind w:left="180" w:right="0"/>
              <w:jc w:val="left"/>
              <w:rPr>
                <w:sz w:val="20"/>
              </w:rPr>
            </w:pPr>
            <w:r>
              <w:rPr>
                <w:sz w:val="20"/>
              </w:rPr>
              <w:t>566.0 Miscellaneous Transmission Expenses</w:t>
            </w:r>
          </w:p>
        </w:tc>
        <w:tc>
          <w:tcPr>
            <w:tcW w:w="1627" w:type="dxa"/>
          </w:tcPr>
          <w:p w:rsidR="00AC40FC" w:rsidRDefault="00AC40FC" w:rsidP="00A51C66">
            <w:pPr>
              <w:pStyle w:val="TableParagraph"/>
              <w:ind w:right="93"/>
              <w:rPr>
                <w:sz w:val="20"/>
              </w:rPr>
            </w:pPr>
            <w:r>
              <w:rPr>
                <w:w w:val="95"/>
                <w:sz w:val="20"/>
              </w:rPr>
              <w:t>1,433,722</w:t>
            </w:r>
          </w:p>
        </w:tc>
        <w:tc>
          <w:tcPr>
            <w:tcW w:w="1886" w:type="dxa"/>
          </w:tcPr>
          <w:p w:rsidR="00AC40FC" w:rsidRDefault="00AC40FC" w:rsidP="00A51C66">
            <w:pPr>
              <w:pStyle w:val="TableParagraph"/>
              <w:ind w:right="93"/>
              <w:rPr>
                <w:sz w:val="20"/>
              </w:rPr>
            </w:pPr>
            <w:r>
              <w:rPr>
                <w:w w:val="95"/>
                <w:sz w:val="20"/>
              </w:rPr>
              <w:t>2,141,989</w:t>
            </w:r>
          </w:p>
        </w:tc>
        <w:tc>
          <w:tcPr>
            <w:tcW w:w="1579" w:type="dxa"/>
          </w:tcPr>
          <w:p w:rsidR="00AC40FC" w:rsidRDefault="00AC40FC" w:rsidP="00A51C66">
            <w:pPr>
              <w:pStyle w:val="TableParagraph"/>
              <w:ind w:right="93"/>
              <w:rPr>
                <w:sz w:val="20"/>
              </w:rPr>
            </w:pPr>
            <w:r>
              <w:rPr>
                <w:w w:val="95"/>
                <w:sz w:val="20"/>
              </w:rPr>
              <w:t>2,214,938</w:t>
            </w:r>
          </w:p>
        </w:tc>
        <w:tc>
          <w:tcPr>
            <w:tcW w:w="1579" w:type="dxa"/>
          </w:tcPr>
          <w:p w:rsidR="00AC40FC" w:rsidRDefault="00AC40FC" w:rsidP="00A51C66">
            <w:pPr>
              <w:pStyle w:val="TableParagraph"/>
              <w:ind w:right="93"/>
              <w:rPr>
                <w:sz w:val="20"/>
              </w:rPr>
            </w:pPr>
            <w:r>
              <w:rPr>
                <w:w w:val="95"/>
                <w:sz w:val="20"/>
              </w:rPr>
              <w:t>2,331,297</w:t>
            </w:r>
          </w:p>
        </w:tc>
        <w:tc>
          <w:tcPr>
            <w:tcW w:w="1627" w:type="dxa"/>
          </w:tcPr>
          <w:p w:rsidR="00AC40FC" w:rsidRDefault="00AC40FC" w:rsidP="00A51C66">
            <w:pPr>
              <w:pStyle w:val="TableParagraph"/>
              <w:ind w:right="93"/>
              <w:rPr>
                <w:sz w:val="20"/>
              </w:rPr>
            </w:pPr>
            <w:r>
              <w:rPr>
                <w:w w:val="95"/>
                <w:sz w:val="20"/>
              </w:rPr>
              <w:t>1,765,645</w:t>
            </w:r>
          </w:p>
        </w:tc>
        <w:tc>
          <w:tcPr>
            <w:tcW w:w="1306" w:type="dxa"/>
          </w:tcPr>
          <w:p w:rsidR="00AC40FC" w:rsidRDefault="00AC40FC" w:rsidP="00A51C66">
            <w:pPr>
              <w:pStyle w:val="TableParagraph"/>
              <w:ind w:left="203" w:right="185"/>
              <w:jc w:val="center"/>
              <w:rPr>
                <w:sz w:val="20"/>
              </w:rPr>
            </w:pPr>
            <w:r>
              <w:rPr>
                <w:sz w:val="20"/>
              </w:rPr>
              <w:t>5.34%</w:t>
            </w:r>
          </w:p>
        </w:tc>
      </w:tr>
      <w:tr w:rsidR="00AC40FC" w:rsidTr="005E47C4">
        <w:trPr>
          <w:trHeight w:hRule="exact" w:val="245"/>
          <w:jc w:val="center"/>
        </w:trPr>
        <w:tc>
          <w:tcPr>
            <w:tcW w:w="4963" w:type="dxa"/>
          </w:tcPr>
          <w:p w:rsidR="00AC40FC" w:rsidRDefault="00AC40FC" w:rsidP="00A51C66">
            <w:pPr>
              <w:pStyle w:val="TableParagraph"/>
              <w:ind w:left="181" w:right="0"/>
              <w:jc w:val="left"/>
              <w:rPr>
                <w:sz w:val="20"/>
              </w:rPr>
            </w:pPr>
            <w:r>
              <w:rPr>
                <w:sz w:val="20"/>
              </w:rPr>
              <w:t>567.0 Rents</w:t>
            </w:r>
          </w:p>
        </w:tc>
        <w:tc>
          <w:tcPr>
            <w:tcW w:w="1627" w:type="dxa"/>
          </w:tcPr>
          <w:p w:rsidR="00AC40FC" w:rsidRDefault="00AC40FC" w:rsidP="00A51C66">
            <w:pPr>
              <w:pStyle w:val="TableParagraph"/>
              <w:ind w:right="93"/>
              <w:rPr>
                <w:sz w:val="20"/>
              </w:rPr>
            </w:pPr>
            <w:r>
              <w:rPr>
                <w:w w:val="95"/>
                <w:sz w:val="20"/>
              </w:rPr>
              <w:t>237,824</w:t>
            </w:r>
          </w:p>
        </w:tc>
        <w:tc>
          <w:tcPr>
            <w:tcW w:w="1886" w:type="dxa"/>
          </w:tcPr>
          <w:p w:rsidR="00AC40FC" w:rsidRDefault="00AC40FC" w:rsidP="00A51C66">
            <w:pPr>
              <w:pStyle w:val="TableParagraph"/>
              <w:ind w:right="93"/>
              <w:rPr>
                <w:sz w:val="20"/>
              </w:rPr>
            </w:pPr>
            <w:r>
              <w:rPr>
                <w:w w:val="95"/>
                <w:sz w:val="20"/>
              </w:rPr>
              <w:t>349,215</w:t>
            </w:r>
          </w:p>
        </w:tc>
        <w:tc>
          <w:tcPr>
            <w:tcW w:w="1579" w:type="dxa"/>
          </w:tcPr>
          <w:p w:rsidR="00AC40FC" w:rsidRDefault="00AC40FC" w:rsidP="00A51C66">
            <w:pPr>
              <w:pStyle w:val="TableParagraph"/>
              <w:ind w:right="92"/>
              <w:rPr>
                <w:sz w:val="20"/>
              </w:rPr>
            </w:pPr>
            <w:r>
              <w:rPr>
                <w:w w:val="95"/>
                <w:sz w:val="20"/>
              </w:rPr>
              <w:t>413,132</w:t>
            </w:r>
          </w:p>
        </w:tc>
        <w:tc>
          <w:tcPr>
            <w:tcW w:w="1579" w:type="dxa"/>
          </w:tcPr>
          <w:p w:rsidR="00AC40FC" w:rsidRDefault="00AC40FC" w:rsidP="00A51C66">
            <w:pPr>
              <w:pStyle w:val="TableParagraph"/>
              <w:ind w:right="92"/>
              <w:rPr>
                <w:sz w:val="20"/>
              </w:rPr>
            </w:pPr>
            <w:r>
              <w:rPr>
                <w:w w:val="95"/>
                <w:sz w:val="20"/>
              </w:rPr>
              <w:t>775,741</w:t>
            </w:r>
          </w:p>
        </w:tc>
        <w:tc>
          <w:tcPr>
            <w:tcW w:w="1627" w:type="dxa"/>
          </w:tcPr>
          <w:p w:rsidR="00AC40FC" w:rsidRDefault="00AC40FC" w:rsidP="00A51C66">
            <w:pPr>
              <w:pStyle w:val="TableParagraph"/>
              <w:ind w:right="92"/>
              <w:rPr>
                <w:sz w:val="20"/>
              </w:rPr>
            </w:pPr>
            <w:r>
              <w:rPr>
                <w:w w:val="95"/>
                <w:sz w:val="20"/>
              </w:rPr>
              <w:t>581,297</w:t>
            </w:r>
          </w:p>
        </w:tc>
        <w:tc>
          <w:tcPr>
            <w:tcW w:w="1306" w:type="dxa"/>
          </w:tcPr>
          <w:p w:rsidR="00AC40FC" w:rsidRDefault="00AC40FC" w:rsidP="00A51C66">
            <w:pPr>
              <w:pStyle w:val="TableParagraph"/>
              <w:ind w:left="203" w:right="185"/>
              <w:jc w:val="center"/>
              <w:rPr>
                <w:sz w:val="20"/>
              </w:rPr>
            </w:pPr>
            <w:r>
              <w:rPr>
                <w:sz w:val="20"/>
              </w:rPr>
              <w:t>25.04%</w:t>
            </w:r>
          </w:p>
        </w:tc>
      </w:tr>
      <w:tr w:rsidR="00AC40FC" w:rsidTr="005E47C4">
        <w:trPr>
          <w:trHeight w:hRule="exact" w:val="245"/>
          <w:jc w:val="center"/>
        </w:trPr>
        <w:tc>
          <w:tcPr>
            <w:tcW w:w="4963" w:type="dxa"/>
          </w:tcPr>
          <w:p w:rsidR="00AC40FC" w:rsidRDefault="00AC40FC" w:rsidP="00A51C66">
            <w:pPr>
              <w:pStyle w:val="TableParagraph"/>
              <w:ind w:left="181" w:right="0"/>
              <w:jc w:val="left"/>
              <w:rPr>
                <w:sz w:val="20"/>
              </w:rPr>
            </w:pPr>
            <w:r>
              <w:rPr>
                <w:sz w:val="20"/>
              </w:rPr>
              <w:t>567.1 Operation Supplies &amp; Expenses</w:t>
            </w:r>
          </w:p>
        </w:tc>
        <w:tc>
          <w:tcPr>
            <w:tcW w:w="1627" w:type="dxa"/>
          </w:tcPr>
          <w:p w:rsidR="00AC40FC" w:rsidRDefault="00AC40FC" w:rsidP="00A51C66">
            <w:pPr>
              <w:pStyle w:val="TableParagraph"/>
              <w:ind w:right="92"/>
              <w:rPr>
                <w:sz w:val="20"/>
              </w:rPr>
            </w:pPr>
            <w:r>
              <w:rPr>
                <w:w w:val="99"/>
                <w:sz w:val="20"/>
              </w:rPr>
              <w:t>0</w:t>
            </w:r>
          </w:p>
        </w:tc>
        <w:tc>
          <w:tcPr>
            <w:tcW w:w="1886" w:type="dxa"/>
          </w:tcPr>
          <w:p w:rsidR="00AC40FC" w:rsidRDefault="00AC40FC" w:rsidP="00A51C66"/>
        </w:tc>
        <w:tc>
          <w:tcPr>
            <w:tcW w:w="1579" w:type="dxa"/>
          </w:tcPr>
          <w:p w:rsidR="00AC40FC" w:rsidRDefault="00AC40FC" w:rsidP="00A51C66"/>
        </w:tc>
        <w:tc>
          <w:tcPr>
            <w:tcW w:w="1579" w:type="dxa"/>
          </w:tcPr>
          <w:p w:rsidR="00AC40FC" w:rsidRDefault="00AC40FC" w:rsidP="00A51C66">
            <w:pPr>
              <w:pStyle w:val="TableParagraph"/>
              <w:ind w:right="92"/>
              <w:rPr>
                <w:sz w:val="20"/>
              </w:rPr>
            </w:pPr>
            <w:r>
              <w:rPr>
                <w:w w:val="99"/>
                <w:sz w:val="20"/>
              </w:rPr>
              <w:t>0</w:t>
            </w:r>
          </w:p>
        </w:tc>
        <w:tc>
          <w:tcPr>
            <w:tcW w:w="1627" w:type="dxa"/>
          </w:tcPr>
          <w:p w:rsidR="00AC40FC" w:rsidRDefault="00AC40FC" w:rsidP="00A51C66">
            <w:pPr>
              <w:pStyle w:val="TableParagraph"/>
              <w:ind w:right="92"/>
              <w:rPr>
                <w:sz w:val="20"/>
              </w:rPr>
            </w:pPr>
            <w:r>
              <w:rPr>
                <w:w w:val="99"/>
                <w:sz w:val="20"/>
              </w:rPr>
              <w:t>0</w:t>
            </w:r>
          </w:p>
        </w:tc>
        <w:tc>
          <w:tcPr>
            <w:tcW w:w="1306" w:type="dxa"/>
          </w:tcPr>
          <w:p w:rsidR="00AC40FC" w:rsidRDefault="00AC40FC" w:rsidP="00A51C66">
            <w:pPr>
              <w:pStyle w:val="TableParagraph"/>
              <w:ind w:left="203" w:right="183"/>
              <w:jc w:val="center"/>
              <w:rPr>
                <w:sz w:val="20"/>
              </w:rPr>
            </w:pPr>
            <w:r>
              <w:rPr>
                <w:sz w:val="20"/>
              </w:rPr>
              <w:t>NM</w:t>
            </w:r>
          </w:p>
        </w:tc>
      </w:tr>
      <w:tr w:rsidR="00AC40FC" w:rsidTr="005E47C4">
        <w:trPr>
          <w:trHeight w:hRule="exact" w:val="245"/>
          <w:jc w:val="center"/>
        </w:trPr>
        <w:tc>
          <w:tcPr>
            <w:tcW w:w="4963" w:type="dxa"/>
          </w:tcPr>
          <w:p w:rsidR="00AC40FC" w:rsidRDefault="00AC40FC" w:rsidP="00A51C66">
            <w:pPr>
              <w:pStyle w:val="TableParagraph"/>
              <w:ind w:right="27"/>
              <w:rPr>
                <w:b/>
                <w:sz w:val="20"/>
              </w:rPr>
            </w:pPr>
            <w:r>
              <w:rPr>
                <w:b/>
                <w:sz w:val="20"/>
              </w:rPr>
              <w:t>Total Transmission Operation Expenses</w:t>
            </w:r>
          </w:p>
        </w:tc>
        <w:tc>
          <w:tcPr>
            <w:tcW w:w="1627" w:type="dxa"/>
          </w:tcPr>
          <w:p w:rsidR="00AC40FC" w:rsidRDefault="00AC40FC" w:rsidP="00A51C66">
            <w:pPr>
              <w:pStyle w:val="TableParagraph"/>
              <w:ind w:left="407" w:right="0"/>
              <w:jc w:val="left"/>
              <w:rPr>
                <w:b/>
                <w:sz w:val="20"/>
              </w:rPr>
            </w:pPr>
            <w:r>
              <w:rPr>
                <w:b/>
                <w:sz w:val="20"/>
              </w:rPr>
              <w:t>$87,045,801</w:t>
            </w:r>
          </w:p>
        </w:tc>
        <w:tc>
          <w:tcPr>
            <w:tcW w:w="1886" w:type="dxa"/>
          </w:tcPr>
          <w:p w:rsidR="00AC40FC" w:rsidRDefault="00AC40FC" w:rsidP="00A51C66">
            <w:pPr>
              <w:pStyle w:val="TableParagraph"/>
              <w:ind w:right="94"/>
              <w:rPr>
                <w:b/>
                <w:sz w:val="20"/>
              </w:rPr>
            </w:pPr>
            <w:r>
              <w:rPr>
                <w:b/>
                <w:w w:val="95"/>
                <w:sz w:val="20"/>
              </w:rPr>
              <w:t>$71,316,177</w:t>
            </w:r>
          </w:p>
        </w:tc>
        <w:tc>
          <w:tcPr>
            <w:tcW w:w="1579" w:type="dxa"/>
          </w:tcPr>
          <w:p w:rsidR="00AC40FC" w:rsidRDefault="00AC40FC" w:rsidP="00A51C66">
            <w:pPr>
              <w:pStyle w:val="TableParagraph"/>
              <w:ind w:right="94"/>
              <w:rPr>
                <w:b/>
                <w:sz w:val="20"/>
              </w:rPr>
            </w:pPr>
            <w:r>
              <w:rPr>
                <w:b/>
                <w:w w:val="95"/>
                <w:sz w:val="20"/>
              </w:rPr>
              <w:t>$74,295,484</w:t>
            </w:r>
          </w:p>
        </w:tc>
        <w:tc>
          <w:tcPr>
            <w:tcW w:w="1579" w:type="dxa"/>
          </w:tcPr>
          <w:p w:rsidR="00AC40FC" w:rsidRDefault="00AC40FC" w:rsidP="00A51C66">
            <w:pPr>
              <w:pStyle w:val="TableParagraph"/>
              <w:ind w:left="360" w:right="-2"/>
              <w:jc w:val="left"/>
              <w:rPr>
                <w:b/>
                <w:sz w:val="20"/>
              </w:rPr>
            </w:pPr>
            <w:r>
              <w:rPr>
                <w:b/>
                <w:sz w:val="20"/>
              </w:rPr>
              <w:t>$85,013,525</w:t>
            </w:r>
          </w:p>
        </w:tc>
        <w:tc>
          <w:tcPr>
            <w:tcW w:w="1627" w:type="dxa"/>
          </w:tcPr>
          <w:p w:rsidR="00AC40FC" w:rsidRDefault="00AC40FC" w:rsidP="00A51C66">
            <w:pPr>
              <w:pStyle w:val="TableParagraph"/>
              <w:ind w:right="94"/>
              <w:rPr>
                <w:b/>
                <w:sz w:val="20"/>
              </w:rPr>
            </w:pPr>
            <w:r>
              <w:rPr>
                <w:b/>
                <w:w w:val="95"/>
                <w:sz w:val="20"/>
              </w:rPr>
              <w:t>$94,748,486</w:t>
            </w:r>
          </w:p>
        </w:tc>
        <w:tc>
          <w:tcPr>
            <w:tcW w:w="1306" w:type="dxa"/>
          </w:tcPr>
          <w:p w:rsidR="00AC40FC" w:rsidRDefault="00AC40FC" w:rsidP="00A51C66">
            <w:pPr>
              <w:pStyle w:val="TableParagraph"/>
              <w:ind w:left="203" w:right="183"/>
              <w:jc w:val="center"/>
              <w:rPr>
                <w:b/>
                <w:sz w:val="20"/>
              </w:rPr>
            </w:pPr>
            <w:r>
              <w:rPr>
                <w:b/>
                <w:sz w:val="20"/>
              </w:rPr>
              <w:t>2.14%</w:t>
            </w:r>
          </w:p>
        </w:tc>
      </w:tr>
      <w:tr w:rsidR="00AC40FC" w:rsidTr="005E47C4">
        <w:trPr>
          <w:trHeight w:hRule="exact" w:val="334"/>
          <w:jc w:val="center"/>
        </w:trPr>
        <w:tc>
          <w:tcPr>
            <w:tcW w:w="4963" w:type="dxa"/>
          </w:tcPr>
          <w:p w:rsidR="00AC40FC" w:rsidRDefault="00AC40FC" w:rsidP="00A51C66">
            <w:pPr>
              <w:pStyle w:val="TableParagraph"/>
              <w:spacing w:before="79" w:line="240" w:lineRule="auto"/>
              <w:ind w:left="28" w:right="0"/>
              <w:jc w:val="left"/>
              <w:rPr>
                <w:b/>
                <w:sz w:val="20"/>
              </w:rPr>
            </w:pPr>
            <w:r>
              <w:rPr>
                <w:b/>
                <w:sz w:val="20"/>
              </w:rPr>
              <w:t>Transmission Maintenance Expenses</w:t>
            </w:r>
          </w:p>
        </w:tc>
        <w:tc>
          <w:tcPr>
            <w:tcW w:w="1627" w:type="dxa"/>
          </w:tcPr>
          <w:p w:rsidR="00AC40FC" w:rsidRDefault="00AC40FC" w:rsidP="00A51C66"/>
        </w:tc>
        <w:tc>
          <w:tcPr>
            <w:tcW w:w="1886" w:type="dxa"/>
          </w:tcPr>
          <w:p w:rsidR="00AC40FC" w:rsidRDefault="00AC40FC" w:rsidP="00A51C66"/>
        </w:tc>
        <w:tc>
          <w:tcPr>
            <w:tcW w:w="1579" w:type="dxa"/>
          </w:tcPr>
          <w:p w:rsidR="00AC40FC" w:rsidRDefault="00AC40FC" w:rsidP="00A51C66"/>
        </w:tc>
        <w:tc>
          <w:tcPr>
            <w:tcW w:w="1579" w:type="dxa"/>
          </w:tcPr>
          <w:p w:rsidR="00AC40FC" w:rsidRDefault="00AC40FC" w:rsidP="00A51C66"/>
        </w:tc>
        <w:tc>
          <w:tcPr>
            <w:tcW w:w="1627" w:type="dxa"/>
          </w:tcPr>
          <w:p w:rsidR="00AC40FC" w:rsidRDefault="00AC40FC" w:rsidP="00A51C66"/>
        </w:tc>
        <w:tc>
          <w:tcPr>
            <w:tcW w:w="1306" w:type="dxa"/>
          </w:tcPr>
          <w:p w:rsidR="00AC40FC" w:rsidRDefault="00AC40FC" w:rsidP="00A51C66"/>
        </w:tc>
      </w:tr>
      <w:tr w:rsidR="00AC40FC" w:rsidTr="005E47C4">
        <w:trPr>
          <w:trHeight w:hRule="exact" w:val="245"/>
          <w:jc w:val="center"/>
        </w:trPr>
        <w:tc>
          <w:tcPr>
            <w:tcW w:w="4963" w:type="dxa"/>
          </w:tcPr>
          <w:p w:rsidR="00AC40FC" w:rsidRDefault="00AC40FC" w:rsidP="00A51C66">
            <w:pPr>
              <w:pStyle w:val="TableParagraph"/>
              <w:ind w:left="179" w:right="0"/>
              <w:jc w:val="left"/>
              <w:rPr>
                <w:sz w:val="20"/>
              </w:rPr>
            </w:pPr>
            <w:r>
              <w:rPr>
                <w:sz w:val="20"/>
              </w:rPr>
              <w:t>568.0 Maintenance Supervision and Engineering</w:t>
            </w:r>
          </w:p>
        </w:tc>
        <w:tc>
          <w:tcPr>
            <w:tcW w:w="1627" w:type="dxa"/>
          </w:tcPr>
          <w:p w:rsidR="00AC40FC" w:rsidRDefault="00AC40FC" w:rsidP="00A51C66">
            <w:pPr>
              <w:pStyle w:val="TableParagraph"/>
              <w:ind w:right="94"/>
              <w:rPr>
                <w:sz w:val="20"/>
              </w:rPr>
            </w:pPr>
            <w:r>
              <w:rPr>
                <w:w w:val="95"/>
                <w:sz w:val="20"/>
              </w:rPr>
              <w:t>$602,357</w:t>
            </w:r>
          </w:p>
        </w:tc>
        <w:tc>
          <w:tcPr>
            <w:tcW w:w="1886" w:type="dxa"/>
          </w:tcPr>
          <w:p w:rsidR="00AC40FC" w:rsidRDefault="00AC40FC" w:rsidP="00A51C66">
            <w:pPr>
              <w:pStyle w:val="TableParagraph"/>
              <w:ind w:right="94"/>
              <w:rPr>
                <w:sz w:val="20"/>
              </w:rPr>
            </w:pPr>
            <w:r>
              <w:rPr>
                <w:w w:val="95"/>
                <w:sz w:val="20"/>
              </w:rPr>
              <w:t>$539,962</w:t>
            </w:r>
          </w:p>
        </w:tc>
        <w:tc>
          <w:tcPr>
            <w:tcW w:w="1579" w:type="dxa"/>
          </w:tcPr>
          <w:p w:rsidR="00AC40FC" w:rsidRDefault="00AC40FC" w:rsidP="00A51C66">
            <w:pPr>
              <w:pStyle w:val="TableParagraph"/>
              <w:ind w:right="94"/>
              <w:rPr>
                <w:sz w:val="20"/>
              </w:rPr>
            </w:pPr>
            <w:r>
              <w:rPr>
                <w:w w:val="95"/>
                <w:sz w:val="20"/>
              </w:rPr>
              <w:t>$694,232</w:t>
            </w:r>
          </w:p>
        </w:tc>
        <w:tc>
          <w:tcPr>
            <w:tcW w:w="1579" w:type="dxa"/>
          </w:tcPr>
          <w:p w:rsidR="00AC40FC" w:rsidRDefault="00AC40FC" w:rsidP="00A51C66">
            <w:pPr>
              <w:pStyle w:val="TableParagraph"/>
              <w:ind w:right="94"/>
              <w:rPr>
                <w:sz w:val="20"/>
              </w:rPr>
            </w:pPr>
            <w:r>
              <w:rPr>
                <w:w w:val="95"/>
                <w:sz w:val="20"/>
              </w:rPr>
              <w:t>$214,823</w:t>
            </w:r>
          </w:p>
        </w:tc>
        <w:tc>
          <w:tcPr>
            <w:tcW w:w="1627" w:type="dxa"/>
          </w:tcPr>
          <w:p w:rsidR="00AC40FC" w:rsidRDefault="00AC40FC" w:rsidP="00A51C66">
            <w:pPr>
              <w:pStyle w:val="TableParagraph"/>
              <w:ind w:right="94"/>
              <w:rPr>
                <w:sz w:val="20"/>
              </w:rPr>
            </w:pPr>
            <w:r>
              <w:rPr>
                <w:w w:val="95"/>
                <w:sz w:val="20"/>
              </w:rPr>
              <w:t>$804,152</w:t>
            </w:r>
          </w:p>
        </w:tc>
        <w:tc>
          <w:tcPr>
            <w:tcW w:w="1306" w:type="dxa"/>
          </w:tcPr>
          <w:p w:rsidR="00AC40FC" w:rsidRDefault="00AC40FC" w:rsidP="00A51C66">
            <w:pPr>
              <w:pStyle w:val="TableParagraph"/>
              <w:ind w:left="201" w:right="185"/>
              <w:jc w:val="center"/>
              <w:rPr>
                <w:sz w:val="20"/>
              </w:rPr>
            </w:pPr>
            <w:r>
              <w:rPr>
                <w:sz w:val="20"/>
              </w:rPr>
              <w:t>7.49%</w:t>
            </w:r>
          </w:p>
        </w:tc>
      </w:tr>
      <w:tr w:rsidR="00AC40FC" w:rsidTr="005E47C4">
        <w:trPr>
          <w:trHeight w:hRule="exact" w:val="245"/>
          <w:jc w:val="center"/>
        </w:trPr>
        <w:tc>
          <w:tcPr>
            <w:tcW w:w="4963" w:type="dxa"/>
          </w:tcPr>
          <w:p w:rsidR="00AC40FC" w:rsidRDefault="00AC40FC" w:rsidP="00A51C66">
            <w:pPr>
              <w:pStyle w:val="TableParagraph"/>
              <w:ind w:left="180" w:right="0"/>
              <w:jc w:val="left"/>
              <w:rPr>
                <w:sz w:val="20"/>
              </w:rPr>
            </w:pPr>
            <w:r>
              <w:rPr>
                <w:sz w:val="20"/>
              </w:rPr>
              <w:t>569.0 Maintenance of Structures</w:t>
            </w:r>
          </w:p>
        </w:tc>
        <w:tc>
          <w:tcPr>
            <w:tcW w:w="1627" w:type="dxa"/>
          </w:tcPr>
          <w:p w:rsidR="00AC40FC" w:rsidRDefault="00AC40FC" w:rsidP="00A51C66">
            <w:pPr>
              <w:pStyle w:val="TableParagraph"/>
              <w:ind w:right="94"/>
              <w:rPr>
                <w:sz w:val="20"/>
              </w:rPr>
            </w:pPr>
            <w:r>
              <w:rPr>
                <w:w w:val="95"/>
                <w:sz w:val="20"/>
              </w:rPr>
              <w:t>609,099</w:t>
            </w:r>
          </w:p>
        </w:tc>
        <w:tc>
          <w:tcPr>
            <w:tcW w:w="1886" w:type="dxa"/>
          </w:tcPr>
          <w:p w:rsidR="00AC40FC" w:rsidRDefault="00AC40FC" w:rsidP="00A51C66">
            <w:pPr>
              <w:pStyle w:val="TableParagraph"/>
              <w:ind w:right="94"/>
              <w:rPr>
                <w:sz w:val="20"/>
              </w:rPr>
            </w:pPr>
            <w:r>
              <w:rPr>
                <w:w w:val="95"/>
                <w:sz w:val="20"/>
              </w:rPr>
              <w:t>565,962</w:t>
            </w:r>
          </w:p>
        </w:tc>
        <w:tc>
          <w:tcPr>
            <w:tcW w:w="1579" w:type="dxa"/>
          </w:tcPr>
          <w:p w:rsidR="00AC40FC" w:rsidRDefault="00AC40FC" w:rsidP="00A51C66">
            <w:pPr>
              <w:pStyle w:val="TableParagraph"/>
              <w:ind w:right="93"/>
              <w:rPr>
                <w:sz w:val="20"/>
              </w:rPr>
            </w:pPr>
            <w:r>
              <w:rPr>
                <w:w w:val="95"/>
                <w:sz w:val="20"/>
              </w:rPr>
              <w:t>547,803</w:t>
            </w:r>
          </w:p>
        </w:tc>
        <w:tc>
          <w:tcPr>
            <w:tcW w:w="1579" w:type="dxa"/>
          </w:tcPr>
          <w:p w:rsidR="00AC40FC" w:rsidRDefault="00AC40FC" w:rsidP="00A51C66">
            <w:pPr>
              <w:pStyle w:val="TableParagraph"/>
              <w:ind w:right="93"/>
              <w:rPr>
                <w:sz w:val="20"/>
              </w:rPr>
            </w:pPr>
            <w:r>
              <w:rPr>
                <w:w w:val="95"/>
                <w:sz w:val="20"/>
              </w:rPr>
              <w:t>281,315</w:t>
            </w:r>
          </w:p>
        </w:tc>
        <w:tc>
          <w:tcPr>
            <w:tcW w:w="1627" w:type="dxa"/>
          </w:tcPr>
          <w:p w:rsidR="00AC40FC" w:rsidRDefault="00AC40FC" w:rsidP="00A51C66">
            <w:pPr>
              <w:pStyle w:val="TableParagraph"/>
              <w:ind w:right="93"/>
              <w:rPr>
                <w:sz w:val="20"/>
              </w:rPr>
            </w:pPr>
            <w:r>
              <w:rPr>
                <w:w w:val="95"/>
                <w:sz w:val="20"/>
              </w:rPr>
              <w:t>638,007</w:t>
            </w:r>
          </w:p>
        </w:tc>
        <w:tc>
          <w:tcPr>
            <w:tcW w:w="1306" w:type="dxa"/>
          </w:tcPr>
          <w:p w:rsidR="00AC40FC" w:rsidRDefault="00AC40FC" w:rsidP="00A51C66">
            <w:pPr>
              <w:pStyle w:val="TableParagraph"/>
              <w:ind w:left="201" w:right="185"/>
              <w:jc w:val="center"/>
              <w:rPr>
                <w:sz w:val="20"/>
              </w:rPr>
            </w:pPr>
            <w:r>
              <w:rPr>
                <w:sz w:val="20"/>
              </w:rPr>
              <w:t>1.17%</w:t>
            </w:r>
          </w:p>
        </w:tc>
      </w:tr>
      <w:tr w:rsidR="00AC40FC" w:rsidTr="005E47C4">
        <w:trPr>
          <w:trHeight w:hRule="exact" w:val="245"/>
          <w:jc w:val="center"/>
        </w:trPr>
        <w:tc>
          <w:tcPr>
            <w:tcW w:w="4963" w:type="dxa"/>
          </w:tcPr>
          <w:p w:rsidR="00AC40FC" w:rsidRDefault="00AC40FC" w:rsidP="00A51C66">
            <w:pPr>
              <w:pStyle w:val="TableParagraph"/>
              <w:ind w:left="180" w:right="0"/>
              <w:jc w:val="left"/>
              <w:rPr>
                <w:sz w:val="20"/>
              </w:rPr>
            </w:pPr>
            <w:r>
              <w:rPr>
                <w:sz w:val="20"/>
              </w:rPr>
              <w:t>570.0 Maintenance of Station Equipment</w:t>
            </w:r>
          </w:p>
        </w:tc>
        <w:tc>
          <w:tcPr>
            <w:tcW w:w="1627" w:type="dxa"/>
          </w:tcPr>
          <w:p w:rsidR="00AC40FC" w:rsidRDefault="00AC40FC" w:rsidP="00A51C66">
            <w:pPr>
              <w:pStyle w:val="TableParagraph"/>
              <w:ind w:right="93"/>
              <w:rPr>
                <w:sz w:val="20"/>
              </w:rPr>
            </w:pPr>
            <w:r>
              <w:rPr>
                <w:w w:val="95"/>
                <w:sz w:val="20"/>
              </w:rPr>
              <w:t>5,312,194</w:t>
            </w:r>
          </w:p>
        </w:tc>
        <w:tc>
          <w:tcPr>
            <w:tcW w:w="1886" w:type="dxa"/>
          </w:tcPr>
          <w:p w:rsidR="00AC40FC" w:rsidRDefault="00AC40FC" w:rsidP="00A51C66">
            <w:pPr>
              <w:pStyle w:val="TableParagraph"/>
              <w:ind w:right="93"/>
              <w:rPr>
                <w:sz w:val="20"/>
              </w:rPr>
            </w:pPr>
            <w:r>
              <w:rPr>
                <w:w w:val="95"/>
                <w:sz w:val="20"/>
              </w:rPr>
              <w:t>5,353,968</w:t>
            </w:r>
          </w:p>
        </w:tc>
        <w:tc>
          <w:tcPr>
            <w:tcW w:w="1579" w:type="dxa"/>
          </w:tcPr>
          <w:p w:rsidR="00AC40FC" w:rsidRDefault="00AC40FC" w:rsidP="00A51C66">
            <w:pPr>
              <w:pStyle w:val="TableParagraph"/>
              <w:ind w:right="93"/>
              <w:rPr>
                <w:sz w:val="20"/>
              </w:rPr>
            </w:pPr>
            <w:r>
              <w:rPr>
                <w:w w:val="95"/>
                <w:sz w:val="20"/>
              </w:rPr>
              <w:t>6,483,365</w:t>
            </w:r>
          </w:p>
        </w:tc>
        <w:tc>
          <w:tcPr>
            <w:tcW w:w="1579" w:type="dxa"/>
          </w:tcPr>
          <w:p w:rsidR="00AC40FC" w:rsidRDefault="00AC40FC" w:rsidP="00A51C66">
            <w:pPr>
              <w:pStyle w:val="TableParagraph"/>
              <w:ind w:right="93"/>
              <w:rPr>
                <w:sz w:val="20"/>
              </w:rPr>
            </w:pPr>
            <w:r>
              <w:rPr>
                <w:w w:val="95"/>
                <w:sz w:val="20"/>
              </w:rPr>
              <w:t>9,358,527</w:t>
            </w:r>
          </w:p>
        </w:tc>
        <w:tc>
          <w:tcPr>
            <w:tcW w:w="1627" w:type="dxa"/>
          </w:tcPr>
          <w:p w:rsidR="00AC40FC" w:rsidRDefault="00AC40FC" w:rsidP="00A51C66">
            <w:pPr>
              <w:pStyle w:val="TableParagraph"/>
              <w:ind w:right="93"/>
              <w:rPr>
                <w:sz w:val="20"/>
              </w:rPr>
            </w:pPr>
            <w:r>
              <w:rPr>
                <w:w w:val="95"/>
                <w:sz w:val="20"/>
              </w:rPr>
              <w:t>7,575,189</w:t>
            </w:r>
          </w:p>
        </w:tc>
        <w:tc>
          <w:tcPr>
            <w:tcW w:w="1306" w:type="dxa"/>
          </w:tcPr>
          <w:p w:rsidR="00AC40FC" w:rsidRDefault="00AC40FC" w:rsidP="00A51C66">
            <w:pPr>
              <w:pStyle w:val="TableParagraph"/>
              <w:ind w:left="201" w:right="185"/>
              <w:jc w:val="center"/>
              <w:rPr>
                <w:sz w:val="20"/>
              </w:rPr>
            </w:pPr>
            <w:r>
              <w:rPr>
                <w:sz w:val="20"/>
              </w:rPr>
              <w:t>9.28%</w:t>
            </w:r>
          </w:p>
        </w:tc>
      </w:tr>
      <w:tr w:rsidR="00AC40FC" w:rsidTr="005E47C4">
        <w:trPr>
          <w:trHeight w:hRule="exact" w:val="276"/>
          <w:jc w:val="center"/>
        </w:trPr>
        <w:tc>
          <w:tcPr>
            <w:tcW w:w="4963" w:type="dxa"/>
          </w:tcPr>
          <w:p w:rsidR="00AC40FC" w:rsidRDefault="00AC40FC" w:rsidP="00A51C66">
            <w:pPr>
              <w:pStyle w:val="TableParagraph"/>
              <w:spacing w:before="21" w:line="240" w:lineRule="auto"/>
              <w:ind w:left="180" w:right="0"/>
              <w:jc w:val="left"/>
              <w:rPr>
                <w:sz w:val="20"/>
              </w:rPr>
            </w:pPr>
            <w:r>
              <w:rPr>
                <w:sz w:val="20"/>
              </w:rPr>
              <w:t>571.0 Maintenance of Overhead Lines</w:t>
            </w:r>
          </w:p>
        </w:tc>
        <w:tc>
          <w:tcPr>
            <w:tcW w:w="1627" w:type="dxa"/>
          </w:tcPr>
          <w:p w:rsidR="00AC40FC" w:rsidRDefault="00AC40FC" w:rsidP="00A51C66">
            <w:pPr>
              <w:pStyle w:val="TableParagraph"/>
              <w:spacing w:before="21" w:line="240" w:lineRule="auto"/>
              <w:ind w:right="93"/>
              <w:rPr>
                <w:sz w:val="20"/>
              </w:rPr>
            </w:pPr>
            <w:r>
              <w:rPr>
                <w:w w:val="95"/>
                <w:sz w:val="20"/>
              </w:rPr>
              <w:t>18,371,022</w:t>
            </w:r>
          </w:p>
        </w:tc>
        <w:tc>
          <w:tcPr>
            <w:tcW w:w="1886" w:type="dxa"/>
          </w:tcPr>
          <w:p w:rsidR="00AC40FC" w:rsidRDefault="00AC40FC" w:rsidP="00A51C66">
            <w:pPr>
              <w:pStyle w:val="TableParagraph"/>
              <w:spacing w:before="21" w:line="240" w:lineRule="auto"/>
              <w:ind w:right="93"/>
              <w:rPr>
                <w:sz w:val="20"/>
              </w:rPr>
            </w:pPr>
            <w:r>
              <w:rPr>
                <w:w w:val="95"/>
                <w:sz w:val="20"/>
              </w:rPr>
              <w:t>19,584,389</w:t>
            </w:r>
          </w:p>
        </w:tc>
        <w:tc>
          <w:tcPr>
            <w:tcW w:w="1579" w:type="dxa"/>
          </w:tcPr>
          <w:p w:rsidR="00AC40FC" w:rsidRDefault="00AC40FC" w:rsidP="00A51C66">
            <w:pPr>
              <w:pStyle w:val="TableParagraph"/>
              <w:spacing w:before="21" w:line="240" w:lineRule="auto"/>
              <w:ind w:right="93"/>
              <w:rPr>
                <w:sz w:val="20"/>
              </w:rPr>
            </w:pPr>
            <w:r>
              <w:rPr>
                <w:w w:val="95"/>
                <w:sz w:val="20"/>
              </w:rPr>
              <w:t>27,593,558</w:t>
            </w:r>
          </w:p>
        </w:tc>
        <w:tc>
          <w:tcPr>
            <w:tcW w:w="1579" w:type="dxa"/>
          </w:tcPr>
          <w:p w:rsidR="00AC40FC" w:rsidRDefault="00AC40FC" w:rsidP="00A51C66">
            <w:pPr>
              <w:pStyle w:val="TableParagraph"/>
              <w:spacing w:before="21" w:line="240" w:lineRule="auto"/>
              <w:ind w:right="93"/>
              <w:rPr>
                <w:sz w:val="20"/>
              </w:rPr>
            </w:pPr>
            <w:r>
              <w:rPr>
                <w:w w:val="95"/>
                <w:sz w:val="20"/>
              </w:rPr>
              <w:t>20,113,141</w:t>
            </w:r>
          </w:p>
        </w:tc>
        <w:tc>
          <w:tcPr>
            <w:tcW w:w="1627" w:type="dxa"/>
          </w:tcPr>
          <w:p w:rsidR="00AC40FC" w:rsidRDefault="00AC40FC" w:rsidP="00A51C66">
            <w:pPr>
              <w:pStyle w:val="TableParagraph"/>
              <w:spacing w:before="21" w:line="240" w:lineRule="auto"/>
              <w:ind w:right="93"/>
              <w:rPr>
                <w:sz w:val="20"/>
              </w:rPr>
            </w:pPr>
            <w:r>
              <w:rPr>
                <w:w w:val="95"/>
                <w:sz w:val="20"/>
              </w:rPr>
              <w:t>18,005,857</w:t>
            </w:r>
          </w:p>
        </w:tc>
        <w:tc>
          <w:tcPr>
            <w:tcW w:w="1306" w:type="dxa"/>
          </w:tcPr>
          <w:p w:rsidR="00AC40FC" w:rsidRDefault="00AC40FC" w:rsidP="00A51C66">
            <w:pPr>
              <w:pStyle w:val="TableParagraph"/>
              <w:spacing w:before="21" w:line="240" w:lineRule="auto"/>
              <w:ind w:left="202" w:right="185"/>
              <w:jc w:val="center"/>
              <w:rPr>
                <w:sz w:val="20"/>
              </w:rPr>
            </w:pPr>
            <w:r>
              <w:rPr>
                <w:sz w:val="20"/>
              </w:rPr>
              <w:t>-0.50%</w:t>
            </w:r>
          </w:p>
        </w:tc>
      </w:tr>
      <w:tr w:rsidR="00AC40FC" w:rsidTr="005E47C4">
        <w:trPr>
          <w:trHeight w:hRule="exact" w:val="276"/>
          <w:jc w:val="center"/>
        </w:trPr>
        <w:tc>
          <w:tcPr>
            <w:tcW w:w="4963" w:type="dxa"/>
          </w:tcPr>
          <w:p w:rsidR="00AC40FC" w:rsidRDefault="00AC40FC" w:rsidP="00A51C66">
            <w:pPr>
              <w:pStyle w:val="TableParagraph"/>
              <w:spacing w:before="21" w:line="240" w:lineRule="auto"/>
              <w:ind w:left="180" w:right="0"/>
              <w:jc w:val="left"/>
              <w:rPr>
                <w:sz w:val="20"/>
              </w:rPr>
            </w:pPr>
            <w:r>
              <w:rPr>
                <w:sz w:val="20"/>
              </w:rPr>
              <w:t>572.0 Maintenance of Underground Lines</w:t>
            </w:r>
          </w:p>
        </w:tc>
        <w:tc>
          <w:tcPr>
            <w:tcW w:w="1627" w:type="dxa"/>
          </w:tcPr>
          <w:p w:rsidR="00AC40FC" w:rsidRDefault="00AC40FC" w:rsidP="00A51C66">
            <w:pPr>
              <w:pStyle w:val="TableParagraph"/>
              <w:spacing w:before="21" w:line="240" w:lineRule="auto"/>
              <w:ind w:right="93"/>
              <w:rPr>
                <w:sz w:val="20"/>
              </w:rPr>
            </w:pPr>
            <w:r>
              <w:rPr>
                <w:w w:val="95"/>
                <w:sz w:val="20"/>
              </w:rPr>
              <w:t>111,764</w:t>
            </w:r>
          </w:p>
        </w:tc>
        <w:tc>
          <w:tcPr>
            <w:tcW w:w="1886" w:type="dxa"/>
          </w:tcPr>
          <w:p w:rsidR="00AC40FC" w:rsidRDefault="00AC40FC" w:rsidP="00A51C66">
            <w:pPr>
              <w:pStyle w:val="TableParagraph"/>
              <w:spacing w:before="21" w:line="240" w:lineRule="auto"/>
              <w:ind w:right="93"/>
              <w:rPr>
                <w:sz w:val="20"/>
              </w:rPr>
            </w:pPr>
            <w:r>
              <w:rPr>
                <w:w w:val="95"/>
                <w:sz w:val="20"/>
              </w:rPr>
              <w:t>111,278</w:t>
            </w:r>
          </w:p>
        </w:tc>
        <w:tc>
          <w:tcPr>
            <w:tcW w:w="1579" w:type="dxa"/>
          </w:tcPr>
          <w:p w:rsidR="00AC40FC" w:rsidRDefault="00AC40FC" w:rsidP="00A51C66">
            <w:pPr>
              <w:pStyle w:val="TableParagraph"/>
              <w:spacing w:before="21" w:line="240" w:lineRule="auto"/>
              <w:ind w:right="93"/>
              <w:rPr>
                <w:sz w:val="20"/>
              </w:rPr>
            </w:pPr>
            <w:r>
              <w:rPr>
                <w:w w:val="95"/>
                <w:sz w:val="20"/>
              </w:rPr>
              <w:t>470,253</w:t>
            </w:r>
          </w:p>
        </w:tc>
        <w:tc>
          <w:tcPr>
            <w:tcW w:w="1579" w:type="dxa"/>
          </w:tcPr>
          <w:p w:rsidR="00AC40FC" w:rsidRDefault="00AC40FC" w:rsidP="00A51C66">
            <w:pPr>
              <w:pStyle w:val="TableParagraph"/>
              <w:spacing w:before="21" w:line="240" w:lineRule="auto"/>
              <w:ind w:right="93"/>
              <w:rPr>
                <w:sz w:val="20"/>
              </w:rPr>
            </w:pPr>
            <w:r>
              <w:rPr>
                <w:w w:val="95"/>
                <w:sz w:val="20"/>
              </w:rPr>
              <w:t>392,035</w:t>
            </w:r>
          </w:p>
        </w:tc>
        <w:tc>
          <w:tcPr>
            <w:tcW w:w="1627" w:type="dxa"/>
          </w:tcPr>
          <w:p w:rsidR="00AC40FC" w:rsidRDefault="00AC40FC" w:rsidP="00A51C66">
            <w:pPr>
              <w:pStyle w:val="TableParagraph"/>
              <w:spacing w:before="21" w:line="240" w:lineRule="auto"/>
              <w:ind w:right="93"/>
              <w:rPr>
                <w:sz w:val="20"/>
              </w:rPr>
            </w:pPr>
            <w:r>
              <w:rPr>
                <w:sz w:val="20"/>
              </w:rPr>
              <w:t>56,852</w:t>
            </w:r>
          </w:p>
        </w:tc>
        <w:tc>
          <w:tcPr>
            <w:tcW w:w="1306" w:type="dxa"/>
          </w:tcPr>
          <w:p w:rsidR="00AC40FC" w:rsidRDefault="00AC40FC" w:rsidP="00A51C66">
            <w:pPr>
              <w:pStyle w:val="TableParagraph"/>
              <w:spacing w:before="21" w:line="240" w:lineRule="auto"/>
              <w:ind w:left="202" w:right="185"/>
              <w:jc w:val="center"/>
              <w:rPr>
                <w:sz w:val="20"/>
              </w:rPr>
            </w:pPr>
            <w:r>
              <w:rPr>
                <w:sz w:val="20"/>
              </w:rPr>
              <w:t>-15.55%</w:t>
            </w:r>
          </w:p>
        </w:tc>
      </w:tr>
      <w:tr w:rsidR="00AC40FC" w:rsidTr="00BB665B">
        <w:trPr>
          <w:trHeight w:hRule="exact" w:val="560"/>
          <w:jc w:val="center"/>
        </w:trPr>
        <w:tc>
          <w:tcPr>
            <w:tcW w:w="4963" w:type="dxa"/>
          </w:tcPr>
          <w:p w:rsidR="00AC40FC" w:rsidRDefault="00AC40FC" w:rsidP="00BB665B">
            <w:pPr>
              <w:pStyle w:val="TableParagraph"/>
              <w:spacing w:before="21" w:line="240" w:lineRule="auto"/>
              <w:ind w:left="714" w:right="0" w:hanging="540"/>
              <w:jc w:val="left"/>
              <w:rPr>
                <w:sz w:val="20"/>
              </w:rPr>
            </w:pPr>
            <w:r>
              <w:rPr>
                <w:sz w:val="20"/>
              </w:rPr>
              <w:t>573.0 Maintenance of Miscellaneous Transmission Plant</w:t>
            </w:r>
          </w:p>
        </w:tc>
        <w:tc>
          <w:tcPr>
            <w:tcW w:w="1627" w:type="dxa"/>
          </w:tcPr>
          <w:p w:rsidR="00AC40FC" w:rsidRDefault="00AC40FC" w:rsidP="00A51C66">
            <w:pPr>
              <w:pStyle w:val="TableParagraph"/>
              <w:spacing w:before="21" w:line="240" w:lineRule="auto"/>
              <w:ind w:right="93"/>
              <w:rPr>
                <w:sz w:val="20"/>
              </w:rPr>
            </w:pPr>
            <w:r>
              <w:rPr>
                <w:w w:val="95"/>
                <w:sz w:val="20"/>
              </w:rPr>
              <w:t>278,017</w:t>
            </w:r>
          </w:p>
        </w:tc>
        <w:tc>
          <w:tcPr>
            <w:tcW w:w="1886" w:type="dxa"/>
          </w:tcPr>
          <w:p w:rsidR="00AC40FC" w:rsidRDefault="00AC40FC" w:rsidP="00A51C66">
            <w:pPr>
              <w:pStyle w:val="TableParagraph"/>
              <w:spacing w:before="21" w:line="240" w:lineRule="auto"/>
              <w:ind w:right="93"/>
              <w:rPr>
                <w:sz w:val="20"/>
              </w:rPr>
            </w:pPr>
            <w:r>
              <w:rPr>
                <w:w w:val="95"/>
                <w:sz w:val="20"/>
              </w:rPr>
              <w:t>275,774</w:t>
            </w:r>
          </w:p>
        </w:tc>
        <w:tc>
          <w:tcPr>
            <w:tcW w:w="1579" w:type="dxa"/>
          </w:tcPr>
          <w:p w:rsidR="00AC40FC" w:rsidRDefault="00AC40FC" w:rsidP="00A51C66">
            <w:pPr>
              <w:pStyle w:val="TableParagraph"/>
              <w:spacing w:before="21" w:line="240" w:lineRule="auto"/>
              <w:ind w:right="93"/>
              <w:rPr>
                <w:sz w:val="20"/>
              </w:rPr>
            </w:pPr>
            <w:r>
              <w:rPr>
                <w:w w:val="95"/>
                <w:sz w:val="20"/>
              </w:rPr>
              <w:t>182,773</w:t>
            </w:r>
          </w:p>
        </w:tc>
        <w:tc>
          <w:tcPr>
            <w:tcW w:w="1579" w:type="dxa"/>
          </w:tcPr>
          <w:p w:rsidR="00AC40FC" w:rsidRDefault="00AC40FC" w:rsidP="00A51C66">
            <w:pPr>
              <w:pStyle w:val="TableParagraph"/>
              <w:spacing w:before="21" w:line="240" w:lineRule="auto"/>
              <w:ind w:right="93"/>
              <w:rPr>
                <w:sz w:val="20"/>
              </w:rPr>
            </w:pPr>
            <w:r>
              <w:rPr>
                <w:w w:val="95"/>
                <w:sz w:val="20"/>
              </w:rPr>
              <w:t>224,635</w:t>
            </w:r>
          </w:p>
        </w:tc>
        <w:tc>
          <w:tcPr>
            <w:tcW w:w="1627" w:type="dxa"/>
          </w:tcPr>
          <w:p w:rsidR="00AC40FC" w:rsidRDefault="00AC40FC" w:rsidP="00A51C66">
            <w:pPr>
              <w:pStyle w:val="TableParagraph"/>
              <w:spacing w:before="21" w:line="240" w:lineRule="auto"/>
              <w:ind w:right="93"/>
              <w:rPr>
                <w:sz w:val="20"/>
              </w:rPr>
            </w:pPr>
            <w:r>
              <w:rPr>
                <w:w w:val="95"/>
                <w:sz w:val="20"/>
              </w:rPr>
              <w:t>257,253</w:t>
            </w:r>
          </w:p>
        </w:tc>
        <w:tc>
          <w:tcPr>
            <w:tcW w:w="1306" w:type="dxa"/>
          </w:tcPr>
          <w:p w:rsidR="00AC40FC" w:rsidRDefault="00AC40FC" w:rsidP="00A51C66">
            <w:pPr>
              <w:pStyle w:val="TableParagraph"/>
              <w:spacing w:before="21" w:line="240" w:lineRule="auto"/>
              <w:ind w:left="202" w:right="185"/>
              <w:jc w:val="center"/>
              <w:rPr>
                <w:sz w:val="20"/>
              </w:rPr>
            </w:pPr>
            <w:r>
              <w:rPr>
                <w:sz w:val="20"/>
              </w:rPr>
              <w:t>-1.92%</w:t>
            </w:r>
          </w:p>
        </w:tc>
      </w:tr>
      <w:tr w:rsidR="00AC40FC" w:rsidTr="005E47C4">
        <w:trPr>
          <w:trHeight w:hRule="exact" w:val="245"/>
          <w:jc w:val="center"/>
        </w:trPr>
        <w:tc>
          <w:tcPr>
            <w:tcW w:w="4963" w:type="dxa"/>
          </w:tcPr>
          <w:p w:rsidR="00AC40FC" w:rsidRDefault="00AC40FC" w:rsidP="00A51C66">
            <w:pPr>
              <w:pStyle w:val="TableParagraph"/>
              <w:ind w:left="181" w:right="0"/>
              <w:jc w:val="left"/>
              <w:rPr>
                <w:sz w:val="20"/>
              </w:rPr>
            </w:pPr>
            <w:r>
              <w:rPr>
                <w:sz w:val="20"/>
              </w:rPr>
              <w:t>574.0 Maintenance of Transmission Plant</w:t>
            </w:r>
          </w:p>
        </w:tc>
        <w:tc>
          <w:tcPr>
            <w:tcW w:w="1627" w:type="dxa"/>
          </w:tcPr>
          <w:p w:rsidR="00AC40FC" w:rsidRDefault="00AC40FC" w:rsidP="00A51C66">
            <w:pPr>
              <w:pStyle w:val="TableParagraph"/>
              <w:ind w:right="92"/>
              <w:rPr>
                <w:sz w:val="20"/>
              </w:rPr>
            </w:pPr>
            <w:r>
              <w:rPr>
                <w:w w:val="99"/>
                <w:sz w:val="20"/>
              </w:rPr>
              <w:t>0</w:t>
            </w:r>
          </w:p>
        </w:tc>
        <w:tc>
          <w:tcPr>
            <w:tcW w:w="1886" w:type="dxa"/>
          </w:tcPr>
          <w:p w:rsidR="00AC40FC" w:rsidRDefault="00AC40FC" w:rsidP="00A51C66">
            <w:pPr>
              <w:pStyle w:val="TableParagraph"/>
              <w:ind w:right="92"/>
              <w:rPr>
                <w:sz w:val="20"/>
              </w:rPr>
            </w:pPr>
            <w:r>
              <w:rPr>
                <w:w w:val="99"/>
                <w:sz w:val="20"/>
              </w:rPr>
              <w:t>0</w:t>
            </w:r>
          </w:p>
        </w:tc>
        <w:tc>
          <w:tcPr>
            <w:tcW w:w="1579" w:type="dxa"/>
          </w:tcPr>
          <w:p w:rsidR="00AC40FC" w:rsidRDefault="00AC40FC" w:rsidP="00A51C66">
            <w:pPr>
              <w:pStyle w:val="TableParagraph"/>
              <w:ind w:right="92"/>
              <w:rPr>
                <w:sz w:val="20"/>
              </w:rPr>
            </w:pPr>
            <w:r>
              <w:rPr>
                <w:w w:val="99"/>
                <w:sz w:val="20"/>
              </w:rPr>
              <w:t>0</w:t>
            </w:r>
          </w:p>
        </w:tc>
        <w:tc>
          <w:tcPr>
            <w:tcW w:w="1579" w:type="dxa"/>
          </w:tcPr>
          <w:p w:rsidR="00AC40FC" w:rsidRDefault="00AC40FC" w:rsidP="00A51C66">
            <w:pPr>
              <w:pStyle w:val="TableParagraph"/>
              <w:ind w:right="92"/>
              <w:rPr>
                <w:sz w:val="20"/>
              </w:rPr>
            </w:pPr>
            <w:r>
              <w:rPr>
                <w:w w:val="99"/>
                <w:sz w:val="20"/>
              </w:rPr>
              <w:t>0</w:t>
            </w:r>
          </w:p>
        </w:tc>
        <w:tc>
          <w:tcPr>
            <w:tcW w:w="1627" w:type="dxa"/>
          </w:tcPr>
          <w:p w:rsidR="00AC40FC" w:rsidRDefault="00AC40FC" w:rsidP="00A51C66">
            <w:pPr>
              <w:pStyle w:val="TableParagraph"/>
              <w:ind w:right="92"/>
              <w:rPr>
                <w:sz w:val="20"/>
              </w:rPr>
            </w:pPr>
            <w:r>
              <w:rPr>
                <w:w w:val="99"/>
                <w:sz w:val="20"/>
              </w:rPr>
              <w:t>0</w:t>
            </w:r>
          </w:p>
        </w:tc>
        <w:tc>
          <w:tcPr>
            <w:tcW w:w="1306" w:type="dxa"/>
          </w:tcPr>
          <w:p w:rsidR="00AC40FC" w:rsidRDefault="00AC40FC" w:rsidP="00A51C66">
            <w:pPr>
              <w:pStyle w:val="TableParagraph"/>
              <w:ind w:left="203" w:right="183"/>
              <w:jc w:val="center"/>
              <w:rPr>
                <w:sz w:val="20"/>
              </w:rPr>
            </w:pPr>
            <w:r>
              <w:rPr>
                <w:sz w:val="20"/>
              </w:rPr>
              <w:t>NM</w:t>
            </w:r>
          </w:p>
        </w:tc>
      </w:tr>
      <w:tr w:rsidR="00AC40FC" w:rsidTr="005E47C4">
        <w:trPr>
          <w:trHeight w:hRule="exact" w:val="245"/>
          <w:jc w:val="center"/>
        </w:trPr>
        <w:tc>
          <w:tcPr>
            <w:tcW w:w="4963" w:type="dxa"/>
          </w:tcPr>
          <w:p w:rsidR="00AC40FC" w:rsidRDefault="00AC40FC" w:rsidP="00A51C66">
            <w:pPr>
              <w:pStyle w:val="TableParagraph"/>
              <w:ind w:right="27"/>
              <w:rPr>
                <w:b/>
                <w:sz w:val="20"/>
              </w:rPr>
            </w:pPr>
            <w:r>
              <w:rPr>
                <w:b/>
                <w:sz w:val="20"/>
              </w:rPr>
              <w:t>Total Transmission Maintenance Expenses</w:t>
            </w:r>
          </w:p>
        </w:tc>
        <w:tc>
          <w:tcPr>
            <w:tcW w:w="1627" w:type="dxa"/>
          </w:tcPr>
          <w:p w:rsidR="00AC40FC" w:rsidRDefault="00AC40FC" w:rsidP="00A51C66">
            <w:pPr>
              <w:pStyle w:val="TableParagraph"/>
              <w:ind w:left="407" w:right="0"/>
              <w:jc w:val="left"/>
              <w:rPr>
                <w:b/>
                <w:sz w:val="20"/>
              </w:rPr>
            </w:pPr>
            <w:r>
              <w:rPr>
                <w:b/>
                <w:sz w:val="20"/>
              </w:rPr>
              <w:t>$25,284,453</w:t>
            </w:r>
          </w:p>
        </w:tc>
        <w:tc>
          <w:tcPr>
            <w:tcW w:w="1886" w:type="dxa"/>
          </w:tcPr>
          <w:p w:rsidR="00AC40FC" w:rsidRDefault="00AC40FC" w:rsidP="00A51C66">
            <w:pPr>
              <w:pStyle w:val="TableParagraph"/>
              <w:ind w:right="94"/>
              <w:rPr>
                <w:b/>
                <w:sz w:val="20"/>
              </w:rPr>
            </w:pPr>
            <w:r>
              <w:rPr>
                <w:b/>
                <w:w w:val="95"/>
                <w:sz w:val="20"/>
              </w:rPr>
              <w:t>$26,431,333</w:t>
            </w:r>
          </w:p>
        </w:tc>
        <w:tc>
          <w:tcPr>
            <w:tcW w:w="1579" w:type="dxa"/>
          </w:tcPr>
          <w:p w:rsidR="00AC40FC" w:rsidRDefault="00AC40FC" w:rsidP="00A51C66">
            <w:pPr>
              <w:pStyle w:val="TableParagraph"/>
              <w:ind w:right="94"/>
              <w:rPr>
                <w:b/>
                <w:sz w:val="20"/>
              </w:rPr>
            </w:pPr>
            <w:r>
              <w:rPr>
                <w:b/>
                <w:w w:val="95"/>
                <w:sz w:val="20"/>
              </w:rPr>
              <w:t>$35,971,984</w:t>
            </w:r>
          </w:p>
        </w:tc>
        <w:tc>
          <w:tcPr>
            <w:tcW w:w="1579" w:type="dxa"/>
          </w:tcPr>
          <w:p w:rsidR="00AC40FC" w:rsidRDefault="00AC40FC" w:rsidP="00A51C66">
            <w:pPr>
              <w:pStyle w:val="TableParagraph"/>
              <w:ind w:left="360" w:right="-2"/>
              <w:jc w:val="left"/>
              <w:rPr>
                <w:b/>
                <w:sz w:val="20"/>
              </w:rPr>
            </w:pPr>
            <w:r>
              <w:rPr>
                <w:b/>
                <w:sz w:val="20"/>
              </w:rPr>
              <w:t>$30,584,476</w:t>
            </w:r>
          </w:p>
        </w:tc>
        <w:tc>
          <w:tcPr>
            <w:tcW w:w="1627" w:type="dxa"/>
          </w:tcPr>
          <w:p w:rsidR="00AC40FC" w:rsidRDefault="00AC40FC" w:rsidP="00A51C66">
            <w:pPr>
              <w:pStyle w:val="TableParagraph"/>
              <w:ind w:right="94"/>
              <w:rPr>
                <w:b/>
                <w:sz w:val="20"/>
              </w:rPr>
            </w:pPr>
            <w:r>
              <w:rPr>
                <w:b/>
                <w:w w:val="95"/>
                <w:sz w:val="20"/>
              </w:rPr>
              <w:t>$27,337,310</w:t>
            </w:r>
          </w:p>
        </w:tc>
        <w:tc>
          <w:tcPr>
            <w:tcW w:w="1306" w:type="dxa"/>
          </w:tcPr>
          <w:p w:rsidR="00AC40FC" w:rsidRDefault="00AC40FC" w:rsidP="00A51C66">
            <w:pPr>
              <w:pStyle w:val="TableParagraph"/>
              <w:ind w:left="203" w:right="183"/>
              <w:jc w:val="center"/>
              <w:rPr>
                <w:b/>
                <w:sz w:val="20"/>
              </w:rPr>
            </w:pPr>
            <w:r>
              <w:rPr>
                <w:b/>
                <w:sz w:val="20"/>
              </w:rPr>
              <w:t>1.97%</w:t>
            </w:r>
          </w:p>
        </w:tc>
      </w:tr>
      <w:tr w:rsidR="00AC40FC" w:rsidTr="005E47C4">
        <w:trPr>
          <w:trHeight w:hRule="exact" w:val="245"/>
          <w:jc w:val="center"/>
        </w:trPr>
        <w:tc>
          <w:tcPr>
            <w:tcW w:w="4963" w:type="dxa"/>
          </w:tcPr>
          <w:p w:rsidR="00AC40FC" w:rsidRDefault="00AC40FC" w:rsidP="00A51C66">
            <w:pPr>
              <w:pStyle w:val="TableParagraph"/>
              <w:ind w:right="27"/>
              <w:rPr>
                <w:b/>
                <w:sz w:val="20"/>
              </w:rPr>
            </w:pPr>
            <w:r>
              <w:rPr>
                <w:b/>
                <w:sz w:val="20"/>
              </w:rPr>
              <w:t>Total Transmission O&amp;M Expenses</w:t>
            </w:r>
          </w:p>
        </w:tc>
        <w:tc>
          <w:tcPr>
            <w:tcW w:w="1627" w:type="dxa"/>
          </w:tcPr>
          <w:p w:rsidR="00AC40FC" w:rsidRDefault="00AC40FC" w:rsidP="00A51C66">
            <w:pPr>
              <w:pStyle w:val="TableParagraph"/>
              <w:ind w:left="297" w:right="0"/>
              <w:jc w:val="left"/>
              <w:rPr>
                <w:b/>
                <w:sz w:val="20"/>
              </w:rPr>
            </w:pPr>
            <w:r>
              <w:rPr>
                <w:b/>
                <w:sz w:val="20"/>
              </w:rPr>
              <w:t>$112,330,254</w:t>
            </w:r>
          </w:p>
        </w:tc>
        <w:tc>
          <w:tcPr>
            <w:tcW w:w="1886" w:type="dxa"/>
          </w:tcPr>
          <w:p w:rsidR="00AC40FC" w:rsidRDefault="00AC40FC" w:rsidP="00A51C66">
            <w:pPr>
              <w:pStyle w:val="TableParagraph"/>
              <w:ind w:right="94"/>
              <w:rPr>
                <w:b/>
                <w:sz w:val="20"/>
              </w:rPr>
            </w:pPr>
            <w:r>
              <w:rPr>
                <w:b/>
                <w:w w:val="95"/>
                <w:sz w:val="20"/>
              </w:rPr>
              <w:t>$97,747,510</w:t>
            </w:r>
          </w:p>
        </w:tc>
        <w:tc>
          <w:tcPr>
            <w:tcW w:w="1579" w:type="dxa"/>
          </w:tcPr>
          <w:p w:rsidR="00AC40FC" w:rsidRDefault="00AC40FC" w:rsidP="00A51C66">
            <w:pPr>
              <w:pStyle w:val="TableParagraph"/>
              <w:ind w:right="94"/>
              <w:rPr>
                <w:b/>
                <w:sz w:val="20"/>
              </w:rPr>
            </w:pPr>
            <w:r>
              <w:rPr>
                <w:b/>
                <w:w w:val="95"/>
                <w:sz w:val="20"/>
              </w:rPr>
              <w:t>$110,267,468</w:t>
            </w:r>
          </w:p>
        </w:tc>
        <w:tc>
          <w:tcPr>
            <w:tcW w:w="1579" w:type="dxa"/>
          </w:tcPr>
          <w:p w:rsidR="00AC40FC" w:rsidRDefault="00AC40FC" w:rsidP="00A51C66">
            <w:pPr>
              <w:pStyle w:val="TableParagraph"/>
              <w:ind w:left="249" w:right="-2"/>
              <w:jc w:val="left"/>
              <w:rPr>
                <w:b/>
                <w:sz w:val="20"/>
              </w:rPr>
            </w:pPr>
            <w:r>
              <w:rPr>
                <w:b/>
                <w:sz w:val="20"/>
              </w:rPr>
              <w:t>$115,598,001</w:t>
            </w:r>
          </w:p>
        </w:tc>
        <w:tc>
          <w:tcPr>
            <w:tcW w:w="1627" w:type="dxa"/>
          </w:tcPr>
          <w:p w:rsidR="00AC40FC" w:rsidRDefault="00AC40FC" w:rsidP="00A51C66">
            <w:pPr>
              <w:pStyle w:val="TableParagraph"/>
              <w:ind w:left="297" w:right="0"/>
              <w:jc w:val="left"/>
              <w:rPr>
                <w:b/>
                <w:sz w:val="20"/>
              </w:rPr>
            </w:pPr>
            <w:r>
              <w:rPr>
                <w:b/>
                <w:sz w:val="20"/>
              </w:rPr>
              <w:t>$122,085,796</w:t>
            </w:r>
          </w:p>
        </w:tc>
        <w:tc>
          <w:tcPr>
            <w:tcW w:w="1306" w:type="dxa"/>
          </w:tcPr>
          <w:p w:rsidR="00AC40FC" w:rsidRDefault="00AC40FC" w:rsidP="00A51C66">
            <w:pPr>
              <w:pStyle w:val="TableParagraph"/>
              <w:ind w:left="203" w:right="183"/>
              <w:jc w:val="center"/>
              <w:rPr>
                <w:b/>
                <w:sz w:val="20"/>
              </w:rPr>
            </w:pPr>
            <w:r>
              <w:rPr>
                <w:b/>
                <w:sz w:val="20"/>
              </w:rPr>
              <w:t>2.10%</w:t>
            </w:r>
          </w:p>
        </w:tc>
      </w:tr>
      <w:tr w:rsidR="00AC40FC" w:rsidTr="005E47C4">
        <w:trPr>
          <w:trHeight w:hRule="exact" w:val="334"/>
          <w:jc w:val="center"/>
        </w:trPr>
        <w:tc>
          <w:tcPr>
            <w:tcW w:w="4963" w:type="dxa"/>
          </w:tcPr>
          <w:p w:rsidR="00AC40FC" w:rsidRDefault="00AC40FC" w:rsidP="00A51C66">
            <w:pPr>
              <w:pStyle w:val="TableParagraph"/>
              <w:spacing w:before="79" w:line="240" w:lineRule="auto"/>
              <w:ind w:left="28" w:right="0"/>
              <w:jc w:val="left"/>
              <w:rPr>
                <w:b/>
                <w:sz w:val="20"/>
              </w:rPr>
            </w:pPr>
            <w:r>
              <w:rPr>
                <w:b/>
                <w:sz w:val="20"/>
              </w:rPr>
              <w:t>Distribution Operation Expenses</w:t>
            </w:r>
          </w:p>
        </w:tc>
        <w:tc>
          <w:tcPr>
            <w:tcW w:w="1627" w:type="dxa"/>
          </w:tcPr>
          <w:p w:rsidR="00AC40FC" w:rsidRDefault="00AC40FC" w:rsidP="00A51C66"/>
        </w:tc>
        <w:tc>
          <w:tcPr>
            <w:tcW w:w="1886" w:type="dxa"/>
          </w:tcPr>
          <w:p w:rsidR="00AC40FC" w:rsidRDefault="00AC40FC" w:rsidP="00A51C66"/>
        </w:tc>
        <w:tc>
          <w:tcPr>
            <w:tcW w:w="1579" w:type="dxa"/>
          </w:tcPr>
          <w:p w:rsidR="00AC40FC" w:rsidRDefault="00AC40FC" w:rsidP="00A51C66"/>
        </w:tc>
        <w:tc>
          <w:tcPr>
            <w:tcW w:w="1579" w:type="dxa"/>
          </w:tcPr>
          <w:p w:rsidR="00AC40FC" w:rsidRDefault="00AC40FC" w:rsidP="00A51C66"/>
        </w:tc>
        <w:tc>
          <w:tcPr>
            <w:tcW w:w="1627" w:type="dxa"/>
          </w:tcPr>
          <w:p w:rsidR="00AC40FC" w:rsidRDefault="00AC40FC" w:rsidP="00A51C66"/>
        </w:tc>
        <w:tc>
          <w:tcPr>
            <w:tcW w:w="1306" w:type="dxa"/>
          </w:tcPr>
          <w:p w:rsidR="00AC40FC" w:rsidRDefault="00AC40FC" w:rsidP="00A51C66"/>
        </w:tc>
      </w:tr>
      <w:tr w:rsidR="00AC40FC" w:rsidTr="005E47C4">
        <w:trPr>
          <w:trHeight w:hRule="exact" w:val="245"/>
          <w:jc w:val="center"/>
        </w:trPr>
        <w:tc>
          <w:tcPr>
            <w:tcW w:w="4963" w:type="dxa"/>
          </w:tcPr>
          <w:p w:rsidR="00AC40FC" w:rsidRDefault="00AC40FC" w:rsidP="00A51C66">
            <w:pPr>
              <w:pStyle w:val="TableParagraph"/>
              <w:ind w:left="179" w:right="0"/>
              <w:jc w:val="left"/>
              <w:rPr>
                <w:sz w:val="20"/>
              </w:rPr>
            </w:pPr>
            <w:r>
              <w:rPr>
                <w:sz w:val="20"/>
              </w:rPr>
              <w:t>580.0 Operation Supervision and Engineering</w:t>
            </w:r>
          </w:p>
        </w:tc>
        <w:tc>
          <w:tcPr>
            <w:tcW w:w="1627" w:type="dxa"/>
          </w:tcPr>
          <w:p w:rsidR="00AC40FC" w:rsidRDefault="00AC40FC" w:rsidP="00A51C66">
            <w:pPr>
              <w:pStyle w:val="TableParagraph"/>
              <w:ind w:left="407" w:right="0"/>
              <w:jc w:val="left"/>
              <w:rPr>
                <w:sz w:val="20"/>
              </w:rPr>
            </w:pPr>
            <w:r>
              <w:rPr>
                <w:sz w:val="20"/>
              </w:rPr>
              <w:t>$23,543,403</w:t>
            </w:r>
          </w:p>
        </w:tc>
        <w:tc>
          <w:tcPr>
            <w:tcW w:w="1886" w:type="dxa"/>
          </w:tcPr>
          <w:p w:rsidR="00AC40FC" w:rsidRDefault="00AC40FC" w:rsidP="00A51C66">
            <w:pPr>
              <w:pStyle w:val="TableParagraph"/>
              <w:ind w:right="94"/>
              <w:rPr>
                <w:sz w:val="20"/>
              </w:rPr>
            </w:pPr>
            <w:r>
              <w:rPr>
                <w:w w:val="95"/>
                <w:sz w:val="20"/>
              </w:rPr>
              <w:t>$22,952,698</w:t>
            </w:r>
          </w:p>
        </w:tc>
        <w:tc>
          <w:tcPr>
            <w:tcW w:w="1579" w:type="dxa"/>
          </w:tcPr>
          <w:p w:rsidR="00AC40FC" w:rsidRDefault="00AC40FC" w:rsidP="00A51C66">
            <w:pPr>
              <w:pStyle w:val="TableParagraph"/>
              <w:ind w:right="94"/>
              <w:rPr>
                <w:sz w:val="20"/>
              </w:rPr>
            </w:pPr>
            <w:r>
              <w:rPr>
                <w:w w:val="95"/>
                <w:sz w:val="20"/>
              </w:rPr>
              <w:t>$27,499,630</w:t>
            </w:r>
          </w:p>
        </w:tc>
        <w:tc>
          <w:tcPr>
            <w:tcW w:w="1579" w:type="dxa"/>
          </w:tcPr>
          <w:p w:rsidR="00AC40FC" w:rsidRDefault="00AC40FC" w:rsidP="00A51C66">
            <w:pPr>
              <w:pStyle w:val="TableParagraph"/>
              <w:ind w:left="360" w:right="-2"/>
              <w:jc w:val="left"/>
              <w:rPr>
                <w:sz w:val="20"/>
              </w:rPr>
            </w:pPr>
            <w:r>
              <w:rPr>
                <w:sz w:val="20"/>
              </w:rPr>
              <w:t>$30,075,577</w:t>
            </w:r>
          </w:p>
        </w:tc>
        <w:tc>
          <w:tcPr>
            <w:tcW w:w="1627" w:type="dxa"/>
          </w:tcPr>
          <w:p w:rsidR="00AC40FC" w:rsidRDefault="00AC40FC" w:rsidP="00A51C66">
            <w:pPr>
              <w:pStyle w:val="TableParagraph"/>
              <w:ind w:right="94"/>
              <w:rPr>
                <w:sz w:val="20"/>
              </w:rPr>
            </w:pPr>
            <w:r>
              <w:rPr>
                <w:w w:val="95"/>
                <w:sz w:val="20"/>
              </w:rPr>
              <w:t>$23,055,768</w:t>
            </w:r>
          </w:p>
        </w:tc>
        <w:tc>
          <w:tcPr>
            <w:tcW w:w="1306" w:type="dxa"/>
          </w:tcPr>
          <w:p w:rsidR="00AC40FC" w:rsidRDefault="00AC40FC" w:rsidP="00A51C66">
            <w:pPr>
              <w:pStyle w:val="TableParagraph"/>
              <w:ind w:left="200" w:right="185"/>
              <w:jc w:val="center"/>
              <w:rPr>
                <w:sz w:val="20"/>
              </w:rPr>
            </w:pPr>
            <w:r>
              <w:rPr>
                <w:sz w:val="20"/>
              </w:rPr>
              <w:t>-0.52%</w:t>
            </w:r>
          </w:p>
        </w:tc>
      </w:tr>
      <w:tr w:rsidR="00AC40FC" w:rsidTr="005E47C4">
        <w:trPr>
          <w:trHeight w:hRule="exact" w:val="245"/>
          <w:jc w:val="center"/>
        </w:trPr>
        <w:tc>
          <w:tcPr>
            <w:tcW w:w="4963" w:type="dxa"/>
          </w:tcPr>
          <w:p w:rsidR="00AC40FC" w:rsidRDefault="00AC40FC" w:rsidP="00A51C66">
            <w:pPr>
              <w:pStyle w:val="TableParagraph"/>
              <w:ind w:left="180" w:right="0"/>
              <w:jc w:val="left"/>
              <w:rPr>
                <w:sz w:val="20"/>
              </w:rPr>
            </w:pPr>
            <w:r>
              <w:rPr>
                <w:sz w:val="20"/>
              </w:rPr>
              <w:t>581.0 Load Dispatching</w:t>
            </w:r>
          </w:p>
        </w:tc>
        <w:tc>
          <w:tcPr>
            <w:tcW w:w="1627" w:type="dxa"/>
          </w:tcPr>
          <w:p w:rsidR="00AC40FC" w:rsidRDefault="00AC40FC" w:rsidP="00A51C66">
            <w:pPr>
              <w:pStyle w:val="TableParagraph"/>
              <w:rPr>
                <w:sz w:val="20"/>
              </w:rPr>
            </w:pPr>
            <w:r>
              <w:rPr>
                <w:w w:val="95"/>
                <w:sz w:val="20"/>
              </w:rPr>
              <w:t>636,790</w:t>
            </w:r>
          </w:p>
        </w:tc>
        <w:tc>
          <w:tcPr>
            <w:tcW w:w="1886" w:type="dxa"/>
          </w:tcPr>
          <w:p w:rsidR="00AC40FC" w:rsidRDefault="00AC40FC" w:rsidP="00A51C66">
            <w:pPr>
              <w:pStyle w:val="TableParagraph"/>
              <w:rPr>
                <w:sz w:val="20"/>
              </w:rPr>
            </w:pPr>
            <w:r>
              <w:rPr>
                <w:w w:val="95"/>
                <w:sz w:val="20"/>
              </w:rPr>
              <w:t>359,572</w:t>
            </w:r>
          </w:p>
        </w:tc>
        <w:tc>
          <w:tcPr>
            <w:tcW w:w="1579" w:type="dxa"/>
          </w:tcPr>
          <w:p w:rsidR="00AC40FC" w:rsidRDefault="00AC40FC" w:rsidP="00A51C66">
            <w:pPr>
              <w:pStyle w:val="TableParagraph"/>
              <w:rPr>
                <w:sz w:val="20"/>
              </w:rPr>
            </w:pPr>
            <w:r>
              <w:rPr>
                <w:w w:val="95"/>
                <w:sz w:val="20"/>
              </w:rPr>
              <w:t>192,750</w:t>
            </w:r>
          </w:p>
        </w:tc>
        <w:tc>
          <w:tcPr>
            <w:tcW w:w="1579" w:type="dxa"/>
          </w:tcPr>
          <w:p w:rsidR="00AC40FC" w:rsidRDefault="00AC40FC" w:rsidP="00A51C66">
            <w:pPr>
              <w:pStyle w:val="TableParagraph"/>
              <w:rPr>
                <w:sz w:val="20"/>
              </w:rPr>
            </w:pPr>
            <w:r>
              <w:rPr>
                <w:w w:val="95"/>
                <w:sz w:val="20"/>
              </w:rPr>
              <w:t>245,908</w:t>
            </w:r>
          </w:p>
        </w:tc>
        <w:tc>
          <w:tcPr>
            <w:tcW w:w="1627" w:type="dxa"/>
          </w:tcPr>
          <w:p w:rsidR="00AC40FC" w:rsidRDefault="00AC40FC" w:rsidP="00A51C66">
            <w:pPr>
              <w:pStyle w:val="TableParagraph"/>
              <w:rPr>
                <w:sz w:val="20"/>
              </w:rPr>
            </w:pPr>
            <w:r>
              <w:rPr>
                <w:w w:val="95"/>
                <w:sz w:val="20"/>
              </w:rPr>
              <w:t>494,192</w:t>
            </w:r>
          </w:p>
        </w:tc>
        <w:tc>
          <w:tcPr>
            <w:tcW w:w="1306" w:type="dxa"/>
          </w:tcPr>
          <w:p w:rsidR="00AC40FC" w:rsidRDefault="00AC40FC" w:rsidP="00A51C66">
            <w:pPr>
              <w:pStyle w:val="TableParagraph"/>
              <w:ind w:left="201" w:right="185"/>
              <w:jc w:val="center"/>
              <w:rPr>
                <w:sz w:val="20"/>
              </w:rPr>
            </w:pPr>
            <w:r>
              <w:rPr>
                <w:sz w:val="20"/>
              </w:rPr>
              <w:t>-6.14%</w:t>
            </w:r>
          </w:p>
        </w:tc>
      </w:tr>
      <w:tr w:rsidR="00AC40FC" w:rsidTr="005E47C4">
        <w:trPr>
          <w:trHeight w:hRule="exact" w:val="245"/>
          <w:jc w:val="center"/>
        </w:trPr>
        <w:tc>
          <w:tcPr>
            <w:tcW w:w="4963" w:type="dxa"/>
          </w:tcPr>
          <w:p w:rsidR="00AC40FC" w:rsidRDefault="00AC40FC" w:rsidP="00A51C66">
            <w:pPr>
              <w:pStyle w:val="TableParagraph"/>
              <w:ind w:left="180" w:right="0"/>
              <w:jc w:val="left"/>
              <w:rPr>
                <w:sz w:val="20"/>
              </w:rPr>
            </w:pPr>
            <w:r>
              <w:rPr>
                <w:sz w:val="20"/>
              </w:rPr>
              <w:t>582.0 Station Expenses</w:t>
            </w:r>
          </w:p>
        </w:tc>
        <w:tc>
          <w:tcPr>
            <w:tcW w:w="1627" w:type="dxa"/>
          </w:tcPr>
          <w:p w:rsidR="00AC40FC" w:rsidRDefault="00AC40FC" w:rsidP="00A51C66">
            <w:pPr>
              <w:pStyle w:val="TableParagraph"/>
              <w:rPr>
                <w:sz w:val="20"/>
              </w:rPr>
            </w:pPr>
            <w:r>
              <w:rPr>
                <w:w w:val="95"/>
                <w:sz w:val="20"/>
              </w:rPr>
              <w:t>601,042</w:t>
            </w:r>
          </w:p>
        </w:tc>
        <w:tc>
          <w:tcPr>
            <w:tcW w:w="1886" w:type="dxa"/>
          </w:tcPr>
          <w:p w:rsidR="00AC40FC" w:rsidRDefault="00AC40FC" w:rsidP="00A51C66">
            <w:pPr>
              <w:pStyle w:val="TableParagraph"/>
              <w:rPr>
                <w:sz w:val="20"/>
              </w:rPr>
            </w:pPr>
            <w:r>
              <w:rPr>
                <w:w w:val="95"/>
                <w:sz w:val="20"/>
              </w:rPr>
              <w:t>572,142</w:t>
            </w:r>
          </w:p>
        </w:tc>
        <w:tc>
          <w:tcPr>
            <w:tcW w:w="1579" w:type="dxa"/>
          </w:tcPr>
          <w:p w:rsidR="00AC40FC" w:rsidRDefault="00AC40FC" w:rsidP="00A51C66">
            <w:pPr>
              <w:pStyle w:val="TableParagraph"/>
              <w:rPr>
                <w:sz w:val="20"/>
              </w:rPr>
            </w:pPr>
            <w:r>
              <w:rPr>
                <w:w w:val="95"/>
                <w:sz w:val="20"/>
              </w:rPr>
              <w:t>492,815</w:t>
            </w:r>
          </w:p>
        </w:tc>
        <w:tc>
          <w:tcPr>
            <w:tcW w:w="1579" w:type="dxa"/>
          </w:tcPr>
          <w:p w:rsidR="00AC40FC" w:rsidRDefault="00AC40FC" w:rsidP="00A51C66">
            <w:pPr>
              <w:pStyle w:val="TableParagraph"/>
              <w:rPr>
                <w:sz w:val="20"/>
              </w:rPr>
            </w:pPr>
            <w:r>
              <w:rPr>
                <w:w w:val="95"/>
                <w:sz w:val="20"/>
              </w:rPr>
              <w:t>702,636</w:t>
            </w:r>
          </w:p>
        </w:tc>
        <w:tc>
          <w:tcPr>
            <w:tcW w:w="1627" w:type="dxa"/>
          </w:tcPr>
          <w:p w:rsidR="00AC40FC" w:rsidRDefault="00AC40FC" w:rsidP="00A51C66">
            <w:pPr>
              <w:pStyle w:val="TableParagraph"/>
              <w:rPr>
                <w:sz w:val="20"/>
              </w:rPr>
            </w:pPr>
            <w:r>
              <w:rPr>
                <w:w w:val="95"/>
                <w:sz w:val="20"/>
              </w:rPr>
              <w:t>1,043,287</w:t>
            </w:r>
          </w:p>
        </w:tc>
        <w:tc>
          <w:tcPr>
            <w:tcW w:w="1306" w:type="dxa"/>
          </w:tcPr>
          <w:p w:rsidR="00AC40FC" w:rsidRDefault="00AC40FC" w:rsidP="00A51C66">
            <w:pPr>
              <w:pStyle w:val="TableParagraph"/>
              <w:ind w:left="201" w:right="185"/>
              <w:jc w:val="center"/>
              <w:rPr>
                <w:sz w:val="20"/>
              </w:rPr>
            </w:pPr>
            <w:r>
              <w:rPr>
                <w:sz w:val="20"/>
              </w:rPr>
              <w:t>14.78%</w:t>
            </w:r>
          </w:p>
        </w:tc>
      </w:tr>
      <w:tr w:rsidR="00AC40FC" w:rsidTr="005E47C4">
        <w:trPr>
          <w:trHeight w:hRule="exact" w:val="245"/>
          <w:jc w:val="center"/>
        </w:trPr>
        <w:tc>
          <w:tcPr>
            <w:tcW w:w="4963" w:type="dxa"/>
          </w:tcPr>
          <w:p w:rsidR="00AC40FC" w:rsidRDefault="00AC40FC" w:rsidP="00A51C66">
            <w:pPr>
              <w:pStyle w:val="TableParagraph"/>
              <w:ind w:left="180" w:right="0"/>
              <w:jc w:val="left"/>
              <w:rPr>
                <w:sz w:val="20"/>
              </w:rPr>
            </w:pPr>
            <w:r>
              <w:rPr>
                <w:sz w:val="20"/>
              </w:rPr>
              <w:t>583.0 Overhead Line Expenses</w:t>
            </w:r>
          </w:p>
        </w:tc>
        <w:tc>
          <w:tcPr>
            <w:tcW w:w="1627" w:type="dxa"/>
          </w:tcPr>
          <w:p w:rsidR="00AC40FC" w:rsidRDefault="00AC40FC" w:rsidP="00A51C66">
            <w:pPr>
              <w:pStyle w:val="TableParagraph"/>
              <w:rPr>
                <w:sz w:val="20"/>
              </w:rPr>
            </w:pPr>
            <w:r>
              <w:rPr>
                <w:w w:val="95"/>
                <w:sz w:val="20"/>
              </w:rPr>
              <w:t>18,184,469</w:t>
            </w:r>
          </w:p>
        </w:tc>
        <w:tc>
          <w:tcPr>
            <w:tcW w:w="1886" w:type="dxa"/>
          </w:tcPr>
          <w:p w:rsidR="00AC40FC" w:rsidRDefault="00AC40FC" w:rsidP="00A51C66">
            <w:pPr>
              <w:pStyle w:val="TableParagraph"/>
              <w:rPr>
                <w:sz w:val="20"/>
              </w:rPr>
            </w:pPr>
            <w:r>
              <w:rPr>
                <w:w w:val="95"/>
                <w:sz w:val="20"/>
              </w:rPr>
              <w:t>22,017,403</w:t>
            </w:r>
          </w:p>
        </w:tc>
        <w:tc>
          <w:tcPr>
            <w:tcW w:w="1579" w:type="dxa"/>
          </w:tcPr>
          <w:p w:rsidR="00AC40FC" w:rsidRDefault="00AC40FC" w:rsidP="00A51C66">
            <w:pPr>
              <w:pStyle w:val="TableParagraph"/>
              <w:rPr>
                <w:sz w:val="20"/>
              </w:rPr>
            </w:pPr>
            <w:r>
              <w:rPr>
                <w:w w:val="95"/>
                <w:sz w:val="20"/>
              </w:rPr>
              <w:t>15,619,658</w:t>
            </w:r>
          </w:p>
        </w:tc>
        <w:tc>
          <w:tcPr>
            <w:tcW w:w="1579" w:type="dxa"/>
          </w:tcPr>
          <w:p w:rsidR="00AC40FC" w:rsidRDefault="00AC40FC" w:rsidP="00A51C66">
            <w:pPr>
              <w:pStyle w:val="TableParagraph"/>
              <w:rPr>
                <w:sz w:val="20"/>
              </w:rPr>
            </w:pPr>
            <w:r>
              <w:rPr>
                <w:w w:val="95"/>
                <w:sz w:val="20"/>
              </w:rPr>
              <w:t>14,366,182</w:t>
            </w:r>
          </w:p>
        </w:tc>
        <w:tc>
          <w:tcPr>
            <w:tcW w:w="1627" w:type="dxa"/>
          </w:tcPr>
          <w:p w:rsidR="00AC40FC" w:rsidRDefault="00AC40FC" w:rsidP="00A51C66">
            <w:pPr>
              <w:pStyle w:val="TableParagraph"/>
              <w:rPr>
                <w:sz w:val="20"/>
              </w:rPr>
            </w:pPr>
            <w:r>
              <w:rPr>
                <w:w w:val="95"/>
                <w:sz w:val="20"/>
              </w:rPr>
              <w:t>19,989,185</w:t>
            </w:r>
          </w:p>
        </w:tc>
        <w:tc>
          <w:tcPr>
            <w:tcW w:w="1306" w:type="dxa"/>
          </w:tcPr>
          <w:p w:rsidR="00AC40FC" w:rsidRDefault="00AC40FC" w:rsidP="00A51C66">
            <w:pPr>
              <w:pStyle w:val="TableParagraph"/>
              <w:ind w:left="201" w:right="185"/>
              <w:jc w:val="center"/>
              <w:rPr>
                <w:sz w:val="20"/>
              </w:rPr>
            </w:pPr>
            <w:r>
              <w:rPr>
                <w:sz w:val="20"/>
              </w:rPr>
              <w:t>2.39%</w:t>
            </w:r>
          </w:p>
        </w:tc>
      </w:tr>
      <w:tr w:rsidR="00AC40FC" w:rsidTr="005E47C4">
        <w:trPr>
          <w:trHeight w:hRule="exact" w:val="245"/>
          <w:jc w:val="center"/>
        </w:trPr>
        <w:tc>
          <w:tcPr>
            <w:tcW w:w="4963" w:type="dxa"/>
          </w:tcPr>
          <w:p w:rsidR="00AC40FC" w:rsidRDefault="00AC40FC" w:rsidP="00A51C66">
            <w:pPr>
              <w:pStyle w:val="TableParagraph"/>
              <w:ind w:left="180" w:right="0"/>
              <w:jc w:val="left"/>
              <w:rPr>
                <w:sz w:val="20"/>
              </w:rPr>
            </w:pPr>
            <w:r>
              <w:rPr>
                <w:sz w:val="20"/>
              </w:rPr>
              <w:t>584.0 Underground Line Expenses</w:t>
            </w:r>
          </w:p>
        </w:tc>
        <w:tc>
          <w:tcPr>
            <w:tcW w:w="1627" w:type="dxa"/>
          </w:tcPr>
          <w:p w:rsidR="00AC40FC" w:rsidRDefault="00AC40FC" w:rsidP="00A51C66">
            <w:pPr>
              <w:pStyle w:val="TableParagraph"/>
              <w:rPr>
                <w:sz w:val="20"/>
              </w:rPr>
            </w:pPr>
            <w:r>
              <w:rPr>
                <w:w w:val="95"/>
                <w:sz w:val="20"/>
              </w:rPr>
              <w:t>6,733,581</w:t>
            </w:r>
          </w:p>
        </w:tc>
        <w:tc>
          <w:tcPr>
            <w:tcW w:w="1886" w:type="dxa"/>
          </w:tcPr>
          <w:p w:rsidR="00AC40FC" w:rsidRDefault="00AC40FC" w:rsidP="00A51C66">
            <w:pPr>
              <w:pStyle w:val="TableParagraph"/>
              <w:rPr>
                <w:sz w:val="20"/>
              </w:rPr>
            </w:pPr>
            <w:r>
              <w:rPr>
                <w:w w:val="95"/>
                <w:sz w:val="20"/>
              </w:rPr>
              <w:t>6,680,892</w:t>
            </w:r>
          </w:p>
        </w:tc>
        <w:tc>
          <w:tcPr>
            <w:tcW w:w="1579" w:type="dxa"/>
          </w:tcPr>
          <w:p w:rsidR="00AC40FC" w:rsidRDefault="00AC40FC" w:rsidP="00A51C66">
            <w:pPr>
              <w:pStyle w:val="TableParagraph"/>
              <w:rPr>
                <w:sz w:val="20"/>
              </w:rPr>
            </w:pPr>
            <w:r>
              <w:rPr>
                <w:w w:val="95"/>
                <w:sz w:val="20"/>
              </w:rPr>
              <w:t>6,295,018</w:t>
            </w:r>
          </w:p>
        </w:tc>
        <w:tc>
          <w:tcPr>
            <w:tcW w:w="1579" w:type="dxa"/>
          </w:tcPr>
          <w:p w:rsidR="00AC40FC" w:rsidRDefault="00AC40FC" w:rsidP="00A51C66">
            <w:pPr>
              <w:pStyle w:val="TableParagraph"/>
              <w:rPr>
                <w:sz w:val="20"/>
              </w:rPr>
            </w:pPr>
            <w:r>
              <w:rPr>
                <w:w w:val="95"/>
                <w:sz w:val="20"/>
              </w:rPr>
              <w:t>5,668,436</w:t>
            </w:r>
          </w:p>
        </w:tc>
        <w:tc>
          <w:tcPr>
            <w:tcW w:w="1627" w:type="dxa"/>
          </w:tcPr>
          <w:p w:rsidR="00AC40FC" w:rsidRDefault="00AC40FC" w:rsidP="00A51C66">
            <w:pPr>
              <w:pStyle w:val="TableParagraph"/>
              <w:rPr>
                <w:sz w:val="20"/>
              </w:rPr>
            </w:pPr>
            <w:r>
              <w:rPr>
                <w:w w:val="95"/>
                <w:sz w:val="20"/>
              </w:rPr>
              <w:t>5,931,441</w:t>
            </w:r>
          </w:p>
        </w:tc>
        <w:tc>
          <w:tcPr>
            <w:tcW w:w="1306" w:type="dxa"/>
          </w:tcPr>
          <w:p w:rsidR="00AC40FC" w:rsidRDefault="00AC40FC" w:rsidP="00A51C66">
            <w:pPr>
              <w:pStyle w:val="TableParagraph"/>
              <w:ind w:left="202" w:right="185"/>
              <w:jc w:val="center"/>
              <w:rPr>
                <w:sz w:val="20"/>
              </w:rPr>
            </w:pPr>
            <w:r>
              <w:rPr>
                <w:sz w:val="20"/>
              </w:rPr>
              <w:t>-3.12%</w:t>
            </w:r>
          </w:p>
        </w:tc>
      </w:tr>
      <w:tr w:rsidR="00AC40FC" w:rsidTr="005E47C4">
        <w:trPr>
          <w:trHeight w:hRule="exact" w:val="245"/>
          <w:jc w:val="center"/>
        </w:trPr>
        <w:tc>
          <w:tcPr>
            <w:tcW w:w="4963" w:type="dxa"/>
          </w:tcPr>
          <w:p w:rsidR="00AC40FC" w:rsidRDefault="00AC40FC" w:rsidP="00A51C66">
            <w:pPr>
              <w:pStyle w:val="TableParagraph"/>
              <w:ind w:left="180" w:right="0"/>
              <w:jc w:val="left"/>
              <w:rPr>
                <w:sz w:val="20"/>
              </w:rPr>
            </w:pPr>
            <w:r>
              <w:rPr>
                <w:sz w:val="20"/>
              </w:rPr>
              <w:t>585.0 Street Lighting and Signal Expenses</w:t>
            </w:r>
          </w:p>
        </w:tc>
        <w:tc>
          <w:tcPr>
            <w:tcW w:w="1627" w:type="dxa"/>
          </w:tcPr>
          <w:p w:rsidR="00AC40FC" w:rsidRDefault="00AC40FC" w:rsidP="00A51C66">
            <w:pPr>
              <w:pStyle w:val="TableParagraph"/>
              <w:rPr>
                <w:sz w:val="20"/>
              </w:rPr>
            </w:pPr>
            <w:r>
              <w:rPr>
                <w:w w:val="95"/>
                <w:sz w:val="20"/>
              </w:rPr>
              <w:t>271,388</w:t>
            </w:r>
          </w:p>
        </w:tc>
        <w:tc>
          <w:tcPr>
            <w:tcW w:w="1886" w:type="dxa"/>
          </w:tcPr>
          <w:p w:rsidR="00AC40FC" w:rsidRDefault="00AC40FC" w:rsidP="00A51C66">
            <w:pPr>
              <w:pStyle w:val="TableParagraph"/>
              <w:rPr>
                <w:sz w:val="20"/>
              </w:rPr>
            </w:pPr>
            <w:r>
              <w:rPr>
                <w:w w:val="95"/>
                <w:sz w:val="20"/>
              </w:rPr>
              <w:t>454,848</w:t>
            </w:r>
          </w:p>
        </w:tc>
        <w:tc>
          <w:tcPr>
            <w:tcW w:w="1579" w:type="dxa"/>
          </w:tcPr>
          <w:p w:rsidR="00AC40FC" w:rsidRDefault="00AC40FC" w:rsidP="00A51C66">
            <w:pPr>
              <w:pStyle w:val="TableParagraph"/>
              <w:rPr>
                <w:sz w:val="20"/>
              </w:rPr>
            </w:pPr>
            <w:r>
              <w:rPr>
                <w:w w:val="95"/>
                <w:sz w:val="20"/>
              </w:rPr>
              <w:t>1,050,982</w:t>
            </w:r>
          </w:p>
        </w:tc>
        <w:tc>
          <w:tcPr>
            <w:tcW w:w="1579" w:type="dxa"/>
          </w:tcPr>
          <w:p w:rsidR="00AC40FC" w:rsidRDefault="00AC40FC" w:rsidP="00A51C66">
            <w:pPr>
              <w:pStyle w:val="TableParagraph"/>
              <w:rPr>
                <w:sz w:val="20"/>
              </w:rPr>
            </w:pPr>
            <w:r>
              <w:rPr>
                <w:w w:val="95"/>
                <w:sz w:val="20"/>
              </w:rPr>
              <w:t>698,498</w:t>
            </w:r>
          </w:p>
        </w:tc>
        <w:tc>
          <w:tcPr>
            <w:tcW w:w="1627" w:type="dxa"/>
          </w:tcPr>
          <w:p w:rsidR="00AC40FC" w:rsidRDefault="00AC40FC" w:rsidP="00A51C66">
            <w:pPr>
              <w:pStyle w:val="TableParagraph"/>
              <w:rPr>
                <w:sz w:val="20"/>
              </w:rPr>
            </w:pPr>
            <w:r>
              <w:rPr>
                <w:w w:val="95"/>
                <w:sz w:val="20"/>
              </w:rPr>
              <w:t>440,973</w:t>
            </w:r>
          </w:p>
        </w:tc>
        <w:tc>
          <w:tcPr>
            <w:tcW w:w="1306" w:type="dxa"/>
          </w:tcPr>
          <w:p w:rsidR="00AC40FC" w:rsidRDefault="00AC40FC" w:rsidP="00A51C66">
            <w:pPr>
              <w:pStyle w:val="TableParagraph"/>
              <w:ind w:left="202" w:right="185"/>
              <w:jc w:val="center"/>
              <w:rPr>
                <w:sz w:val="20"/>
              </w:rPr>
            </w:pPr>
            <w:r>
              <w:rPr>
                <w:sz w:val="20"/>
              </w:rPr>
              <w:t>12.90%</w:t>
            </w:r>
          </w:p>
        </w:tc>
      </w:tr>
      <w:tr w:rsidR="00AC40FC" w:rsidTr="005E47C4">
        <w:trPr>
          <w:trHeight w:hRule="exact" w:val="245"/>
          <w:jc w:val="center"/>
        </w:trPr>
        <w:tc>
          <w:tcPr>
            <w:tcW w:w="4963" w:type="dxa"/>
          </w:tcPr>
          <w:p w:rsidR="00AC40FC" w:rsidRDefault="00AC40FC" w:rsidP="00A51C66">
            <w:pPr>
              <w:pStyle w:val="TableParagraph"/>
              <w:ind w:left="180" w:right="0"/>
              <w:jc w:val="left"/>
              <w:rPr>
                <w:sz w:val="20"/>
              </w:rPr>
            </w:pPr>
            <w:r>
              <w:rPr>
                <w:sz w:val="20"/>
              </w:rPr>
              <w:t>586.0 Meter Expenses</w:t>
            </w:r>
          </w:p>
        </w:tc>
        <w:tc>
          <w:tcPr>
            <w:tcW w:w="1627" w:type="dxa"/>
          </w:tcPr>
          <w:p w:rsidR="00AC40FC" w:rsidRDefault="00AC40FC" w:rsidP="00A51C66">
            <w:pPr>
              <w:pStyle w:val="TableParagraph"/>
              <w:rPr>
                <w:sz w:val="20"/>
              </w:rPr>
            </w:pPr>
            <w:r>
              <w:rPr>
                <w:w w:val="95"/>
                <w:sz w:val="20"/>
              </w:rPr>
              <w:t>7,592,414</w:t>
            </w:r>
          </w:p>
        </w:tc>
        <w:tc>
          <w:tcPr>
            <w:tcW w:w="1886" w:type="dxa"/>
          </w:tcPr>
          <w:p w:rsidR="00AC40FC" w:rsidRDefault="00AC40FC" w:rsidP="00A51C66">
            <w:pPr>
              <w:pStyle w:val="TableParagraph"/>
              <w:rPr>
                <w:sz w:val="20"/>
              </w:rPr>
            </w:pPr>
            <w:r>
              <w:rPr>
                <w:w w:val="95"/>
                <w:sz w:val="20"/>
              </w:rPr>
              <w:t>10,014,677</w:t>
            </w:r>
          </w:p>
        </w:tc>
        <w:tc>
          <w:tcPr>
            <w:tcW w:w="1579" w:type="dxa"/>
          </w:tcPr>
          <w:p w:rsidR="00AC40FC" w:rsidRDefault="00AC40FC" w:rsidP="00A51C66">
            <w:pPr>
              <w:pStyle w:val="TableParagraph"/>
              <w:rPr>
                <w:sz w:val="20"/>
              </w:rPr>
            </w:pPr>
            <w:r>
              <w:rPr>
                <w:w w:val="95"/>
                <w:sz w:val="20"/>
              </w:rPr>
              <w:t>8,832,924</w:t>
            </w:r>
          </w:p>
        </w:tc>
        <w:tc>
          <w:tcPr>
            <w:tcW w:w="1579" w:type="dxa"/>
          </w:tcPr>
          <w:p w:rsidR="00AC40FC" w:rsidRDefault="00AC40FC" w:rsidP="00A51C66">
            <w:pPr>
              <w:pStyle w:val="TableParagraph"/>
              <w:rPr>
                <w:sz w:val="20"/>
              </w:rPr>
            </w:pPr>
            <w:r>
              <w:rPr>
                <w:w w:val="95"/>
                <w:sz w:val="20"/>
              </w:rPr>
              <w:t>10,107,920</w:t>
            </w:r>
          </w:p>
        </w:tc>
        <w:tc>
          <w:tcPr>
            <w:tcW w:w="1627" w:type="dxa"/>
          </w:tcPr>
          <w:p w:rsidR="00AC40FC" w:rsidRDefault="00AC40FC" w:rsidP="00A51C66">
            <w:pPr>
              <w:pStyle w:val="TableParagraph"/>
              <w:rPr>
                <w:sz w:val="20"/>
              </w:rPr>
            </w:pPr>
            <w:r>
              <w:rPr>
                <w:w w:val="95"/>
                <w:sz w:val="20"/>
              </w:rPr>
              <w:t>7,752,022</w:t>
            </w:r>
          </w:p>
        </w:tc>
        <w:tc>
          <w:tcPr>
            <w:tcW w:w="1306" w:type="dxa"/>
          </w:tcPr>
          <w:p w:rsidR="00AC40FC" w:rsidRDefault="00AC40FC" w:rsidP="00A51C66">
            <w:pPr>
              <w:pStyle w:val="TableParagraph"/>
              <w:ind w:left="202" w:right="185"/>
              <w:jc w:val="center"/>
              <w:rPr>
                <w:sz w:val="20"/>
              </w:rPr>
            </w:pPr>
            <w:r>
              <w:rPr>
                <w:sz w:val="20"/>
              </w:rPr>
              <w:t>0.52%</w:t>
            </w:r>
          </w:p>
        </w:tc>
      </w:tr>
      <w:tr w:rsidR="00AC40FC" w:rsidTr="005E47C4">
        <w:trPr>
          <w:trHeight w:hRule="exact" w:val="276"/>
          <w:jc w:val="center"/>
        </w:trPr>
        <w:tc>
          <w:tcPr>
            <w:tcW w:w="4963" w:type="dxa"/>
          </w:tcPr>
          <w:p w:rsidR="00AC40FC" w:rsidRDefault="00AC40FC" w:rsidP="00A51C66">
            <w:pPr>
              <w:pStyle w:val="TableParagraph"/>
              <w:spacing w:before="21" w:line="240" w:lineRule="auto"/>
              <w:ind w:left="180" w:right="0"/>
              <w:jc w:val="left"/>
              <w:rPr>
                <w:sz w:val="20"/>
              </w:rPr>
            </w:pPr>
            <w:r>
              <w:rPr>
                <w:sz w:val="20"/>
              </w:rPr>
              <w:t>587.0 Customer Installations Expenses</w:t>
            </w:r>
          </w:p>
        </w:tc>
        <w:tc>
          <w:tcPr>
            <w:tcW w:w="1627" w:type="dxa"/>
          </w:tcPr>
          <w:p w:rsidR="00AC40FC" w:rsidRDefault="00AC40FC" w:rsidP="00A51C66">
            <w:pPr>
              <w:pStyle w:val="TableParagraph"/>
              <w:spacing w:before="21" w:line="240" w:lineRule="auto"/>
              <w:rPr>
                <w:sz w:val="20"/>
              </w:rPr>
            </w:pPr>
            <w:r>
              <w:rPr>
                <w:w w:val="95"/>
                <w:sz w:val="20"/>
              </w:rPr>
              <w:t>4,119,382</w:t>
            </w:r>
          </w:p>
        </w:tc>
        <w:tc>
          <w:tcPr>
            <w:tcW w:w="1886" w:type="dxa"/>
          </w:tcPr>
          <w:p w:rsidR="00AC40FC" w:rsidRDefault="00AC40FC" w:rsidP="00A51C66">
            <w:pPr>
              <w:pStyle w:val="TableParagraph"/>
              <w:spacing w:before="21" w:line="240" w:lineRule="auto"/>
              <w:rPr>
                <w:sz w:val="20"/>
              </w:rPr>
            </w:pPr>
            <w:r>
              <w:rPr>
                <w:w w:val="95"/>
                <w:sz w:val="20"/>
              </w:rPr>
              <w:t>4,490,833</w:t>
            </w:r>
          </w:p>
        </w:tc>
        <w:tc>
          <w:tcPr>
            <w:tcW w:w="1579" w:type="dxa"/>
          </w:tcPr>
          <w:p w:rsidR="00AC40FC" w:rsidRDefault="00AC40FC" w:rsidP="00A51C66">
            <w:pPr>
              <w:pStyle w:val="TableParagraph"/>
              <w:spacing w:before="21" w:line="240" w:lineRule="auto"/>
              <w:rPr>
                <w:sz w:val="20"/>
              </w:rPr>
            </w:pPr>
            <w:r>
              <w:rPr>
                <w:w w:val="95"/>
                <w:sz w:val="20"/>
              </w:rPr>
              <w:t>4,416,501</w:t>
            </w:r>
          </w:p>
        </w:tc>
        <w:tc>
          <w:tcPr>
            <w:tcW w:w="1579" w:type="dxa"/>
          </w:tcPr>
          <w:p w:rsidR="00AC40FC" w:rsidRDefault="00AC40FC" w:rsidP="00A51C66">
            <w:pPr>
              <w:pStyle w:val="TableParagraph"/>
              <w:spacing w:before="21" w:line="240" w:lineRule="auto"/>
              <w:rPr>
                <w:sz w:val="20"/>
              </w:rPr>
            </w:pPr>
            <w:r>
              <w:rPr>
                <w:w w:val="95"/>
                <w:sz w:val="20"/>
              </w:rPr>
              <w:t>4,431,206</w:t>
            </w:r>
          </w:p>
        </w:tc>
        <w:tc>
          <w:tcPr>
            <w:tcW w:w="1627" w:type="dxa"/>
          </w:tcPr>
          <w:p w:rsidR="00AC40FC" w:rsidRDefault="00AC40FC" w:rsidP="00A51C66">
            <w:pPr>
              <w:pStyle w:val="TableParagraph"/>
              <w:spacing w:before="21" w:line="240" w:lineRule="auto"/>
              <w:rPr>
                <w:sz w:val="20"/>
              </w:rPr>
            </w:pPr>
            <w:r>
              <w:rPr>
                <w:w w:val="95"/>
                <w:sz w:val="20"/>
              </w:rPr>
              <w:t>5,590,869</w:t>
            </w:r>
          </w:p>
        </w:tc>
        <w:tc>
          <w:tcPr>
            <w:tcW w:w="1306" w:type="dxa"/>
          </w:tcPr>
          <w:p w:rsidR="00AC40FC" w:rsidRDefault="00AC40FC" w:rsidP="00A51C66">
            <w:pPr>
              <w:pStyle w:val="TableParagraph"/>
              <w:spacing w:before="21" w:line="240" w:lineRule="auto"/>
              <w:ind w:left="202" w:right="185"/>
              <w:jc w:val="center"/>
              <w:rPr>
                <w:sz w:val="20"/>
              </w:rPr>
            </w:pPr>
            <w:r>
              <w:rPr>
                <w:sz w:val="20"/>
              </w:rPr>
              <w:t>7.93%</w:t>
            </w:r>
          </w:p>
        </w:tc>
      </w:tr>
      <w:tr w:rsidR="00AC40FC" w:rsidTr="005E47C4">
        <w:trPr>
          <w:trHeight w:hRule="exact" w:val="245"/>
          <w:jc w:val="center"/>
        </w:trPr>
        <w:tc>
          <w:tcPr>
            <w:tcW w:w="4963" w:type="dxa"/>
          </w:tcPr>
          <w:p w:rsidR="00AC40FC" w:rsidRDefault="00AC40FC" w:rsidP="00A51C66">
            <w:pPr>
              <w:pStyle w:val="TableParagraph"/>
              <w:ind w:left="180" w:right="0"/>
              <w:jc w:val="left"/>
              <w:rPr>
                <w:sz w:val="20"/>
              </w:rPr>
            </w:pPr>
            <w:r>
              <w:rPr>
                <w:sz w:val="20"/>
              </w:rPr>
              <w:t>588.0 Miscellaneous Expenses</w:t>
            </w:r>
          </w:p>
        </w:tc>
        <w:tc>
          <w:tcPr>
            <w:tcW w:w="1627" w:type="dxa"/>
          </w:tcPr>
          <w:p w:rsidR="00AC40FC" w:rsidRDefault="00AC40FC" w:rsidP="00A51C66">
            <w:pPr>
              <w:pStyle w:val="TableParagraph"/>
              <w:rPr>
                <w:sz w:val="20"/>
              </w:rPr>
            </w:pPr>
            <w:r>
              <w:rPr>
                <w:w w:val="95"/>
                <w:sz w:val="20"/>
              </w:rPr>
              <w:t>3,407,129</w:t>
            </w:r>
          </w:p>
        </w:tc>
        <w:tc>
          <w:tcPr>
            <w:tcW w:w="1886" w:type="dxa"/>
          </w:tcPr>
          <w:p w:rsidR="00AC40FC" w:rsidRDefault="00AC40FC" w:rsidP="00A51C66">
            <w:pPr>
              <w:pStyle w:val="TableParagraph"/>
              <w:rPr>
                <w:sz w:val="20"/>
              </w:rPr>
            </w:pPr>
            <w:r>
              <w:rPr>
                <w:w w:val="95"/>
                <w:sz w:val="20"/>
              </w:rPr>
              <w:t>10,317,509</w:t>
            </w:r>
          </w:p>
        </w:tc>
        <w:tc>
          <w:tcPr>
            <w:tcW w:w="1579" w:type="dxa"/>
          </w:tcPr>
          <w:p w:rsidR="00AC40FC" w:rsidRDefault="00AC40FC" w:rsidP="00A51C66">
            <w:pPr>
              <w:pStyle w:val="TableParagraph"/>
              <w:rPr>
                <w:sz w:val="20"/>
              </w:rPr>
            </w:pPr>
            <w:r>
              <w:rPr>
                <w:w w:val="95"/>
                <w:sz w:val="20"/>
              </w:rPr>
              <w:t>9,587,474</w:t>
            </w:r>
          </w:p>
        </w:tc>
        <w:tc>
          <w:tcPr>
            <w:tcW w:w="1579" w:type="dxa"/>
          </w:tcPr>
          <w:p w:rsidR="00AC40FC" w:rsidRDefault="00AC40FC" w:rsidP="00A51C66">
            <w:pPr>
              <w:pStyle w:val="TableParagraph"/>
              <w:ind w:right="27"/>
              <w:rPr>
                <w:sz w:val="20"/>
              </w:rPr>
            </w:pPr>
            <w:r>
              <w:rPr>
                <w:w w:val="95"/>
                <w:sz w:val="20"/>
              </w:rPr>
              <w:t>3,406,166</w:t>
            </w:r>
          </w:p>
        </w:tc>
        <w:tc>
          <w:tcPr>
            <w:tcW w:w="1627" w:type="dxa"/>
          </w:tcPr>
          <w:p w:rsidR="00AC40FC" w:rsidRDefault="00AC40FC" w:rsidP="00A51C66">
            <w:pPr>
              <w:pStyle w:val="TableParagraph"/>
              <w:ind w:right="25"/>
              <w:rPr>
                <w:sz w:val="20"/>
              </w:rPr>
            </w:pPr>
            <w:r>
              <w:rPr>
                <w:w w:val="95"/>
                <w:sz w:val="20"/>
              </w:rPr>
              <w:t>9,017,820</w:t>
            </w:r>
          </w:p>
        </w:tc>
        <w:tc>
          <w:tcPr>
            <w:tcW w:w="1306" w:type="dxa"/>
          </w:tcPr>
          <w:p w:rsidR="00AC40FC" w:rsidRDefault="00AC40FC" w:rsidP="00A51C66">
            <w:pPr>
              <w:pStyle w:val="TableParagraph"/>
              <w:ind w:left="203" w:right="185"/>
              <w:jc w:val="center"/>
              <w:rPr>
                <w:sz w:val="20"/>
              </w:rPr>
            </w:pPr>
            <w:r>
              <w:rPr>
                <w:sz w:val="20"/>
              </w:rPr>
              <w:t>27.55%</w:t>
            </w:r>
          </w:p>
        </w:tc>
      </w:tr>
      <w:tr w:rsidR="00AC40FC" w:rsidTr="005E47C4">
        <w:trPr>
          <w:trHeight w:hRule="exact" w:val="245"/>
          <w:jc w:val="center"/>
        </w:trPr>
        <w:tc>
          <w:tcPr>
            <w:tcW w:w="4963" w:type="dxa"/>
          </w:tcPr>
          <w:p w:rsidR="00AC40FC" w:rsidRDefault="00AC40FC" w:rsidP="00A51C66">
            <w:pPr>
              <w:pStyle w:val="TableParagraph"/>
              <w:ind w:left="181" w:right="0"/>
              <w:jc w:val="left"/>
              <w:rPr>
                <w:sz w:val="20"/>
              </w:rPr>
            </w:pPr>
            <w:r>
              <w:rPr>
                <w:sz w:val="20"/>
              </w:rPr>
              <w:t>589.0 Rents</w:t>
            </w:r>
          </w:p>
        </w:tc>
        <w:tc>
          <w:tcPr>
            <w:tcW w:w="1627" w:type="dxa"/>
          </w:tcPr>
          <w:p w:rsidR="00AC40FC" w:rsidRDefault="00AC40FC" w:rsidP="00A51C66">
            <w:pPr>
              <w:pStyle w:val="TableParagraph"/>
              <w:ind w:right="25"/>
              <w:rPr>
                <w:sz w:val="20"/>
              </w:rPr>
            </w:pPr>
            <w:r>
              <w:rPr>
                <w:w w:val="95"/>
                <w:sz w:val="20"/>
              </w:rPr>
              <w:t>9,917,560</w:t>
            </w:r>
          </w:p>
        </w:tc>
        <w:tc>
          <w:tcPr>
            <w:tcW w:w="1886" w:type="dxa"/>
          </w:tcPr>
          <w:p w:rsidR="00AC40FC" w:rsidRDefault="00AC40FC" w:rsidP="00A51C66">
            <w:pPr>
              <w:pStyle w:val="TableParagraph"/>
              <w:ind w:right="25"/>
              <w:rPr>
                <w:sz w:val="20"/>
              </w:rPr>
            </w:pPr>
            <w:r>
              <w:rPr>
                <w:w w:val="95"/>
                <w:sz w:val="20"/>
              </w:rPr>
              <w:t>8,029,520</w:t>
            </w:r>
          </w:p>
        </w:tc>
        <w:tc>
          <w:tcPr>
            <w:tcW w:w="1579" w:type="dxa"/>
          </w:tcPr>
          <w:p w:rsidR="00AC40FC" w:rsidRDefault="00AC40FC" w:rsidP="00A51C66">
            <w:pPr>
              <w:pStyle w:val="TableParagraph"/>
              <w:ind w:right="25"/>
              <w:rPr>
                <w:sz w:val="20"/>
              </w:rPr>
            </w:pPr>
            <w:r>
              <w:rPr>
                <w:w w:val="95"/>
                <w:sz w:val="20"/>
              </w:rPr>
              <w:t>8,046,800</w:t>
            </w:r>
          </w:p>
        </w:tc>
        <w:tc>
          <w:tcPr>
            <w:tcW w:w="1579" w:type="dxa"/>
          </w:tcPr>
          <w:p w:rsidR="00AC40FC" w:rsidRDefault="00AC40FC" w:rsidP="00A51C66">
            <w:pPr>
              <w:pStyle w:val="TableParagraph"/>
              <w:ind w:right="25"/>
              <w:rPr>
                <w:sz w:val="20"/>
              </w:rPr>
            </w:pPr>
            <w:r>
              <w:rPr>
                <w:w w:val="95"/>
                <w:sz w:val="20"/>
              </w:rPr>
              <w:t>7,311,786</w:t>
            </w:r>
          </w:p>
        </w:tc>
        <w:tc>
          <w:tcPr>
            <w:tcW w:w="1627" w:type="dxa"/>
          </w:tcPr>
          <w:p w:rsidR="00AC40FC" w:rsidRDefault="00AC40FC" w:rsidP="00A51C66">
            <w:pPr>
              <w:pStyle w:val="TableParagraph"/>
              <w:ind w:right="25"/>
              <w:rPr>
                <w:sz w:val="20"/>
              </w:rPr>
            </w:pPr>
            <w:r>
              <w:rPr>
                <w:w w:val="95"/>
                <w:sz w:val="20"/>
              </w:rPr>
              <w:t>7,240,890</w:t>
            </w:r>
          </w:p>
        </w:tc>
        <w:tc>
          <w:tcPr>
            <w:tcW w:w="1306" w:type="dxa"/>
          </w:tcPr>
          <w:p w:rsidR="00AC40FC" w:rsidRDefault="00AC40FC" w:rsidP="00A51C66">
            <w:pPr>
              <w:pStyle w:val="TableParagraph"/>
              <w:ind w:left="203" w:right="185"/>
              <w:jc w:val="center"/>
              <w:rPr>
                <w:sz w:val="20"/>
              </w:rPr>
            </w:pPr>
            <w:r>
              <w:rPr>
                <w:sz w:val="20"/>
              </w:rPr>
              <w:t>-7.56%</w:t>
            </w:r>
          </w:p>
        </w:tc>
      </w:tr>
      <w:tr w:rsidR="00AC40FC" w:rsidTr="005E47C4">
        <w:trPr>
          <w:trHeight w:hRule="exact" w:val="245"/>
          <w:jc w:val="center"/>
        </w:trPr>
        <w:tc>
          <w:tcPr>
            <w:tcW w:w="4963" w:type="dxa"/>
          </w:tcPr>
          <w:p w:rsidR="00AC40FC" w:rsidRDefault="00AC40FC" w:rsidP="00A51C66">
            <w:pPr>
              <w:pStyle w:val="TableParagraph"/>
              <w:rPr>
                <w:b/>
                <w:sz w:val="20"/>
              </w:rPr>
            </w:pPr>
            <w:r>
              <w:rPr>
                <w:b/>
                <w:sz w:val="20"/>
              </w:rPr>
              <w:t>Total Distribution Operation Expenses</w:t>
            </w:r>
          </w:p>
        </w:tc>
        <w:tc>
          <w:tcPr>
            <w:tcW w:w="1627" w:type="dxa"/>
          </w:tcPr>
          <w:p w:rsidR="00AC40FC" w:rsidRDefault="00AC40FC" w:rsidP="00A51C66">
            <w:pPr>
              <w:pStyle w:val="TableParagraph"/>
              <w:ind w:left="407" w:right="0"/>
              <w:jc w:val="left"/>
              <w:rPr>
                <w:b/>
                <w:sz w:val="20"/>
              </w:rPr>
            </w:pPr>
            <w:r>
              <w:rPr>
                <w:b/>
                <w:sz w:val="20"/>
              </w:rPr>
              <w:t>$75,007,158</w:t>
            </w:r>
          </w:p>
        </w:tc>
        <w:tc>
          <w:tcPr>
            <w:tcW w:w="1886" w:type="dxa"/>
          </w:tcPr>
          <w:p w:rsidR="00AC40FC" w:rsidRDefault="00AC40FC" w:rsidP="00A51C66">
            <w:pPr>
              <w:pStyle w:val="TableParagraph"/>
              <w:ind w:right="94"/>
              <w:rPr>
                <w:b/>
                <w:sz w:val="20"/>
              </w:rPr>
            </w:pPr>
            <w:r>
              <w:rPr>
                <w:b/>
                <w:w w:val="95"/>
                <w:sz w:val="20"/>
              </w:rPr>
              <w:t>$85,890,094</w:t>
            </w:r>
          </w:p>
        </w:tc>
        <w:tc>
          <w:tcPr>
            <w:tcW w:w="1579" w:type="dxa"/>
          </w:tcPr>
          <w:p w:rsidR="00AC40FC" w:rsidRDefault="00AC40FC" w:rsidP="00A51C66">
            <w:pPr>
              <w:pStyle w:val="TableParagraph"/>
              <w:ind w:right="94"/>
              <w:rPr>
                <w:b/>
                <w:sz w:val="20"/>
              </w:rPr>
            </w:pPr>
            <w:r>
              <w:rPr>
                <w:b/>
                <w:w w:val="95"/>
                <w:sz w:val="20"/>
              </w:rPr>
              <w:t>$82,034,552</w:t>
            </w:r>
          </w:p>
        </w:tc>
        <w:tc>
          <w:tcPr>
            <w:tcW w:w="1579" w:type="dxa"/>
          </w:tcPr>
          <w:p w:rsidR="00AC40FC" w:rsidRDefault="00AC40FC" w:rsidP="00A51C66">
            <w:pPr>
              <w:pStyle w:val="TableParagraph"/>
              <w:ind w:left="360" w:right="-2"/>
              <w:jc w:val="left"/>
              <w:rPr>
                <w:b/>
                <w:sz w:val="20"/>
              </w:rPr>
            </w:pPr>
            <w:r>
              <w:rPr>
                <w:b/>
                <w:sz w:val="20"/>
              </w:rPr>
              <w:t>$77,014,315</w:t>
            </w:r>
          </w:p>
        </w:tc>
        <w:tc>
          <w:tcPr>
            <w:tcW w:w="1627" w:type="dxa"/>
          </w:tcPr>
          <w:p w:rsidR="00AC40FC" w:rsidRDefault="00AC40FC" w:rsidP="00A51C66">
            <w:pPr>
              <w:pStyle w:val="TableParagraph"/>
              <w:ind w:right="94"/>
              <w:rPr>
                <w:b/>
                <w:sz w:val="20"/>
              </w:rPr>
            </w:pPr>
            <w:r>
              <w:rPr>
                <w:b/>
                <w:w w:val="95"/>
                <w:sz w:val="20"/>
              </w:rPr>
              <w:t>$80,556,447</w:t>
            </w:r>
          </w:p>
        </w:tc>
        <w:tc>
          <w:tcPr>
            <w:tcW w:w="1306" w:type="dxa"/>
          </w:tcPr>
          <w:p w:rsidR="00AC40FC" w:rsidRDefault="00AC40FC" w:rsidP="00A51C66">
            <w:pPr>
              <w:pStyle w:val="TableParagraph"/>
              <w:ind w:left="203" w:right="183"/>
              <w:jc w:val="center"/>
              <w:rPr>
                <w:b/>
                <w:sz w:val="20"/>
              </w:rPr>
            </w:pPr>
            <w:r>
              <w:rPr>
                <w:b/>
                <w:sz w:val="20"/>
              </w:rPr>
              <w:t>1.80%</w:t>
            </w:r>
          </w:p>
        </w:tc>
      </w:tr>
      <w:tr w:rsidR="00AC40FC" w:rsidTr="005E47C4">
        <w:trPr>
          <w:trHeight w:hRule="exact" w:val="334"/>
          <w:jc w:val="center"/>
        </w:trPr>
        <w:tc>
          <w:tcPr>
            <w:tcW w:w="4963" w:type="dxa"/>
          </w:tcPr>
          <w:p w:rsidR="00AC40FC" w:rsidRDefault="00AC40FC" w:rsidP="00A51C66">
            <w:pPr>
              <w:pStyle w:val="TableParagraph"/>
              <w:spacing w:before="79" w:line="240" w:lineRule="auto"/>
              <w:ind w:left="28" w:right="0"/>
              <w:jc w:val="left"/>
              <w:rPr>
                <w:b/>
                <w:sz w:val="20"/>
              </w:rPr>
            </w:pPr>
            <w:r>
              <w:rPr>
                <w:b/>
                <w:sz w:val="20"/>
              </w:rPr>
              <w:t>Distribution Maintenance Expenses</w:t>
            </w:r>
          </w:p>
        </w:tc>
        <w:tc>
          <w:tcPr>
            <w:tcW w:w="1627" w:type="dxa"/>
          </w:tcPr>
          <w:p w:rsidR="00AC40FC" w:rsidRDefault="00AC40FC" w:rsidP="00A51C66"/>
        </w:tc>
        <w:tc>
          <w:tcPr>
            <w:tcW w:w="1886" w:type="dxa"/>
          </w:tcPr>
          <w:p w:rsidR="00AC40FC" w:rsidRDefault="00AC40FC" w:rsidP="00A51C66"/>
        </w:tc>
        <w:tc>
          <w:tcPr>
            <w:tcW w:w="1579" w:type="dxa"/>
          </w:tcPr>
          <w:p w:rsidR="00AC40FC" w:rsidRDefault="00AC40FC" w:rsidP="00A51C66"/>
        </w:tc>
        <w:tc>
          <w:tcPr>
            <w:tcW w:w="1579" w:type="dxa"/>
          </w:tcPr>
          <w:p w:rsidR="00AC40FC" w:rsidRDefault="00AC40FC" w:rsidP="00A51C66"/>
        </w:tc>
        <w:tc>
          <w:tcPr>
            <w:tcW w:w="1627" w:type="dxa"/>
          </w:tcPr>
          <w:p w:rsidR="00AC40FC" w:rsidRDefault="00AC40FC" w:rsidP="00A51C66"/>
        </w:tc>
        <w:tc>
          <w:tcPr>
            <w:tcW w:w="1306" w:type="dxa"/>
          </w:tcPr>
          <w:p w:rsidR="00AC40FC" w:rsidRDefault="00AC40FC" w:rsidP="00A51C66"/>
        </w:tc>
      </w:tr>
      <w:tr w:rsidR="00AC40FC" w:rsidTr="005E47C4">
        <w:trPr>
          <w:trHeight w:hRule="exact" w:val="245"/>
          <w:jc w:val="center"/>
        </w:trPr>
        <w:tc>
          <w:tcPr>
            <w:tcW w:w="4963" w:type="dxa"/>
          </w:tcPr>
          <w:p w:rsidR="00AC40FC" w:rsidRDefault="00AC40FC" w:rsidP="00A51C66">
            <w:pPr>
              <w:pStyle w:val="TableParagraph"/>
              <w:ind w:left="179" w:right="0"/>
              <w:jc w:val="left"/>
              <w:rPr>
                <w:sz w:val="20"/>
              </w:rPr>
            </w:pPr>
            <w:r>
              <w:rPr>
                <w:sz w:val="20"/>
              </w:rPr>
              <w:t>590.0 Maintenance Supervision and Engineering</w:t>
            </w:r>
          </w:p>
        </w:tc>
        <w:tc>
          <w:tcPr>
            <w:tcW w:w="1627" w:type="dxa"/>
          </w:tcPr>
          <w:p w:rsidR="00AC40FC" w:rsidRDefault="00AC40FC" w:rsidP="00A51C66">
            <w:pPr>
              <w:pStyle w:val="TableParagraph"/>
              <w:ind w:right="94"/>
              <w:rPr>
                <w:sz w:val="20"/>
              </w:rPr>
            </w:pPr>
            <w:r>
              <w:rPr>
                <w:w w:val="95"/>
                <w:sz w:val="20"/>
              </w:rPr>
              <w:t>$1,528,083</w:t>
            </w:r>
          </w:p>
        </w:tc>
        <w:tc>
          <w:tcPr>
            <w:tcW w:w="1886" w:type="dxa"/>
          </w:tcPr>
          <w:p w:rsidR="00AC40FC" w:rsidRDefault="00AC40FC" w:rsidP="00A51C66">
            <w:pPr>
              <w:pStyle w:val="TableParagraph"/>
              <w:ind w:right="94"/>
              <w:rPr>
                <w:sz w:val="20"/>
              </w:rPr>
            </w:pPr>
            <w:r>
              <w:rPr>
                <w:w w:val="95"/>
                <w:sz w:val="20"/>
              </w:rPr>
              <w:t>$1,706,189</w:t>
            </w:r>
          </w:p>
        </w:tc>
        <w:tc>
          <w:tcPr>
            <w:tcW w:w="1579" w:type="dxa"/>
          </w:tcPr>
          <w:p w:rsidR="00AC40FC" w:rsidRDefault="00AC40FC" w:rsidP="00A51C66">
            <w:pPr>
              <w:pStyle w:val="TableParagraph"/>
              <w:ind w:right="94"/>
              <w:rPr>
                <w:sz w:val="20"/>
              </w:rPr>
            </w:pPr>
            <w:r>
              <w:rPr>
                <w:w w:val="95"/>
                <w:sz w:val="20"/>
              </w:rPr>
              <w:t>$1,613,406</w:t>
            </w:r>
          </w:p>
        </w:tc>
        <w:tc>
          <w:tcPr>
            <w:tcW w:w="1579" w:type="dxa"/>
          </w:tcPr>
          <w:p w:rsidR="00AC40FC" w:rsidRDefault="00AC40FC" w:rsidP="00A51C66">
            <w:pPr>
              <w:pStyle w:val="TableParagraph"/>
              <w:ind w:right="94"/>
              <w:rPr>
                <w:sz w:val="20"/>
              </w:rPr>
            </w:pPr>
            <w:r>
              <w:rPr>
                <w:w w:val="95"/>
                <w:sz w:val="20"/>
              </w:rPr>
              <w:t>$1,692,301</w:t>
            </w:r>
          </w:p>
        </w:tc>
        <w:tc>
          <w:tcPr>
            <w:tcW w:w="1627" w:type="dxa"/>
          </w:tcPr>
          <w:p w:rsidR="00AC40FC" w:rsidRDefault="00AC40FC" w:rsidP="00A51C66">
            <w:pPr>
              <w:pStyle w:val="TableParagraph"/>
              <w:ind w:right="94"/>
              <w:rPr>
                <w:sz w:val="20"/>
              </w:rPr>
            </w:pPr>
            <w:r>
              <w:rPr>
                <w:w w:val="95"/>
                <w:sz w:val="20"/>
              </w:rPr>
              <w:t>$994,880</w:t>
            </w:r>
          </w:p>
        </w:tc>
        <w:tc>
          <w:tcPr>
            <w:tcW w:w="1306" w:type="dxa"/>
          </w:tcPr>
          <w:p w:rsidR="00AC40FC" w:rsidRDefault="00AC40FC" w:rsidP="00A51C66">
            <w:pPr>
              <w:pStyle w:val="TableParagraph"/>
              <w:ind w:left="200" w:right="185"/>
              <w:jc w:val="center"/>
              <w:rPr>
                <w:sz w:val="20"/>
              </w:rPr>
            </w:pPr>
            <w:r>
              <w:rPr>
                <w:sz w:val="20"/>
              </w:rPr>
              <w:t>-10.17%</w:t>
            </w:r>
          </w:p>
        </w:tc>
      </w:tr>
      <w:tr w:rsidR="00AC40FC" w:rsidTr="005E47C4">
        <w:trPr>
          <w:trHeight w:hRule="exact" w:val="245"/>
          <w:jc w:val="center"/>
        </w:trPr>
        <w:tc>
          <w:tcPr>
            <w:tcW w:w="4963" w:type="dxa"/>
          </w:tcPr>
          <w:p w:rsidR="00AC40FC" w:rsidRDefault="00AC40FC" w:rsidP="00A51C66">
            <w:pPr>
              <w:pStyle w:val="TableParagraph"/>
              <w:ind w:left="180" w:right="0"/>
              <w:jc w:val="left"/>
              <w:rPr>
                <w:sz w:val="20"/>
              </w:rPr>
            </w:pPr>
            <w:r>
              <w:rPr>
                <w:sz w:val="20"/>
              </w:rPr>
              <w:t>591.0 Maintenance of Structures</w:t>
            </w:r>
          </w:p>
        </w:tc>
        <w:tc>
          <w:tcPr>
            <w:tcW w:w="1627" w:type="dxa"/>
          </w:tcPr>
          <w:p w:rsidR="00AC40FC" w:rsidRDefault="00AC40FC" w:rsidP="00A51C66">
            <w:pPr>
              <w:pStyle w:val="TableParagraph"/>
              <w:rPr>
                <w:sz w:val="20"/>
              </w:rPr>
            </w:pPr>
            <w:r>
              <w:rPr>
                <w:sz w:val="20"/>
              </w:rPr>
              <w:t>56,381</w:t>
            </w:r>
          </w:p>
        </w:tc>
        <w:tc>
          <w:tcPr>
            <w:tcW w:w="1886" w:type="dxa"/>
          </w:tcPr>
          <w:p w:rsidR="00AC40FC" w:rsidRDefault="00AC40FC" w:rsidP="00A51C66">
            <w:pPr>
              <w:pStyle w:val="TableParagraph"/>
              <w:rPr>
                <w:sz w:val="20"/>
              </w:rPr>
            </w:pPr>
            <w:r>
              <w:rPr>
                <w:sz w:val="20"/>
              </w:rPr>
              <w:t>44,293</w:t>
            </w:r>
          </w:p>
        </w:tc>
        <w:tc>
          <w:tcPr>
            <w:tcW w:w="1579" w:type="dxa"/>
          </w:tcPr>
          <w:p w:rsidR="00AC40FC" w:rsidRDefault="00AC40FC" w:rsidP="00A51C66">
            <w:pPr>
              <w:pStyle w:val="TableParagraph"/>
              <w:rPr>
                <w:sz w:val="20"/>
              </w:rPr>
            </w:pPr>
            <w:r>
              <w:rPr>
                <w:sz w:val="20"/>
              </w:rPr>
              <w:t>59,214</w:t>
            </w:r>
          </w:p>
        </w:tc>
        <w:tc>
          <w:tcPr>
            <w:tcW w:w="1579" w:type="dxa"/>
          </w:tcPr>
          <w:p w:rsidR="00AC40FC" w:rsidRDefault="00AC40FC" w:rsidP="00A51C66">
            <w:pPr>
              <w:pStyle w:val="TableParagraph"/>
              <w:rPr>
                <w:sz w:val="20"/>
              </w:rPr>
            </w:pPr>
            <w:r>
              <w:rPr>
                <w:sz w:val="20"/>
              </w:rPr>
              <w:t>84,477</w:t>
            </w:r>
          </w:p>
        </w:tc>
        <w:tc>
          <w:tcPr>
            <w:tcW w:w="1627" w:type="dxa"/>
          </w:tcPr>
          <w:p w:rsidR="00AC40FC" w:rsidRDefault="00AC40FC" w:rsidP="00A51C66">
            <w:pPr>
              <w:pStyle w:val="TableParagraph"/>
              <w:rPr>
                <w:sz w:val="20"/>
              </w:rPr>
            </w:pPr>
            <w:r>
              <w:rPr>
                <w:sz w:val="20"/>
              </w:rPr>
              <w:t>20,758</w:t>
            </w:r>
          </w:p>
        </w:tc>
        <w:tc>
          <w:tcPr>
            <w:tcW w:w="1306" w:type="dxa"/>
          </w:tcPr>
          <w:p w:rsidR="00AC40FC" w:rsidRDefault="00AC40FC" w:rsidP="00A51C66">
            <w:pPr>
              <w:pStyle w:val="TableParagraph"/>
              <w:ind w:left="201" w:right="185"/>
              <w:jc w:val="center"/>
              <w:rPr>
                <w:sz w:val="20"/>
              </w:rPr>
            </w:pPr>
            <w:r>
              <w:rPr>
                <w:sz w:val="20"/>
              </w:rPr>
              <w:t>-22.10%</w:t>
            </w:r>
          </w:p>
        </w:tc>
      </w:tr>
      <w:tr w:rsidR="00AC40FC" w:rsidTr="005E47C4">
        <w:trPr>
          <w:trHeight w:hRule="exact" w:val="245"/>
          <w:jc w:val="center"/>
        </w:trPr>
        <w:tc>
          <w:tcPr>
            <w:tcW w:w="4963" w:type="dxa"/>
          </w:tcPr>
          <w:p w:rsidR="00AC40FC" w:rsidRDefault="00AC40FC" w:rsidP="00A51C66">
            <w:pPr>
              <w:pStyle w:val="TableParagraph"/>
              <w:ind w:left="180" w:right="0"/>
              <w:jc w:val="left"/>
              <w:rPr>
                <w:sz w:val="20"/>
              </w:rPr>
            </w:pPr>
            <w:r>
              <w:rPr>
                <w:sz w:val="20"/>
              </w:rPr>
              <w:lastRenderedPageBreak/>
              <w:t>592.0 Maintenance of Station Equipment</w:t>
            </w:r>
          </w:p>
        </w:tc>
        <w:tc>
          <w:tcPr>
            <w:tcW w:w="1627" w:type="dxa"/>
          </w:tcPr>
          <w:p w:rsidR="00AC40FC" w:rsidRDefault="00AC40FC" w:rsidP="00A51C66">
            <w:pPr>
              <w:pStyle w:val="TableParagraph"/>
              <w:ind w:right="27"/>
              <w:rPr>
                <w:sz w:val="20"/>
              </w:rPr>
            </w:pPr>
            <w:r>
              <w:rPr>
                <w:w w:val="95"/>
                <w:sz w:val="20"/>
              </w:rPr>
              <w:t>5,596,264</w:t>
            </w:r>
          </w:p>
        </w:tc>
        <w:tc>
          <w:tcPr>
            <w:tcW w:w="1886" w:type="dxa"/>
          </w:tcPr>
          <w:p w:rsidR="00AC40FC" w:rsidRDefault="00AC40FC" w:rsidP="00A51C66">
            <w:pPr>
              <w:pStyle w:val="TableParagraph"/>
              <w:ind w:right="27"/>
              <w:rPr>
                <w:sz w:val="20"/>
              </w:rPr>
            </w:pPr>
            <w:r>
              <w:rPr>
                <w:w w:val="95"/>
                <w:sz w:val="20"/>
              </w:rPr>
              <w:t>3,986,707</w:t>
            </w:r>
          </w:p>
        </w:tc>
        <w:tc>
          <w:tcPr>
            <w:tcW w:w="1579" w:type="dxa"/>
          </w:tcPr>
          <w:p w:rsidR="00AC40FC" w:rsidRDefault="00AC40FC" w:rsidP="00A51C66">
            <w:pPr>
              <w:pStyle w:val="TableParagraph"/>
              <w:ind w:right="27"/>
              <w:rPr>
                <w:sz w:val="20"/>
              </w:rPr>
            </w:pPr>
            <w:r>
              <w:rPr>
                <w:w w:val="95"/>
                <w:sz w:val="20"/>
              </w:rPr>
              <w:t>7,506,656</w:t>
            </w:r>
          </w:p>
        </w:tc>
        <w:tc>
          <w:tcPr>
            <w:tcW w:w="1579" w:type="dxa"/>
          </w:tcPr>
          <w:p w:rsidR="00AC40FC" w:rsidRDefault="00AC40FC" w:rsidP="00A51C66">
            <w:pPr>
              <w:pStyle w:val="TableParagraph"/>
              <w:ind w:right="27"/>
              <w:rPr>
                <w:sz w:val="20"/>
              </w:rPr>
            </w:pPr>
            <w:r>
              <w:rPr>
                <w:w w:val="95"/>
                <w:sz w:val="20"/>
              </w:rPr>
              <w:t>10,003,251</w:t>
            </w:r>
          </w:p>
        </w:tc>
        <w:tc>
          <w:tcPr>
            <w:tcW w:w="1627" w:type="dxa"/>
          </w:tcPr>
          <w:p w:rsidR="00AC40FC" w:rsidRDefault="00AC40FC" w:rsidP="00A51C66">
            <w:pPr>
              <w:pStyle w:val="TableParagraph"/>
              <w:ind w:right="27"/>
              <w:rPr>
                <w:sz w:val="20"/>
              </w:rPr>
            </w:pPr>
            <w:r>
              <w:rPr>
                <w:w w:val="95"/>
                <w:sz w:val="20"/>
              </w:rPr>
              <w:t>10,433,286</w:t>
            </w:r>
          </w:p>
        </w:tc>
        <w:tc>
          <w:tcPr>
            <w:tcW w:w="1306" w:type="dxa"/>
          </w:tcPr>
          <w:p w:rsidR="00AC40FC" w:rsidRDefault="00AC40FC" w:rsidP="00A51C66">
            <w:pPr>
              <w:pStyle w:val="TableParagraph"/>
              <w:ind w:left="200" w:right="185"/>
              <w:jc w:val="center"/>
              <w:rPr>
                <w:sz w:val="20"/>
              </w:rPr>
            </w:pPr>
            <w:r>
              <w:rPr>
                <w:sz w:val="20"/>
              </w:rPr>
              <w:t>16.85%</w:t>
            </w:r>
          </w:p>
        </w:tc>
      </w:tr>
      <w:tr w:rsidR="00AC40FC" w:rsidTr="00BB665B">
        <w:trPr>
          <w:trHeight w:hRule="exact" w:val="497"/>
          <w:jc w:val="center"/>
        </w:trPr>
        <w:tc>
          <w:tcPr>
            <w:tcW w:w="4963" w:type="dxa"/>
            <w:shd w:val="clear" w:color="auto" w:fill="A5CD7E"/>
          </w:tcPr>
          <w:p w:rsidR="00AC40FC" w:rsidRDefault="00AC40FC" w:rsidP="00A51C66">
            <w:pPr>
              <w:pStyle w:val="TableParagraph"/>
              <w:spacing w:before="122" w:line="240" w:lineRule="auto"/>
              <w:ind w:left="28" w:right="0"/>
              <w:jc w:val="left"/>
              <w:rPr>
                <w:b/>
                <w:sz w:val="20"/>
              </w:rPr>
            </w:pPr>
            <w:r>
              <w:rPr>
                <w:b/>
                <w:sz w:val="20"/>
              </w:rPr>
              <w:t>OPERATION &amp; MAINTENANCE EXPENSES</w:t>
            </w:r>
          </w:p>
        </w:tc>
        <w:tc>
          <w:tcPr>
            <w:tcW w:w="1627" w:type="dxa"/>
            <w:shd w:val="clear" w:color="auto" w:fill="A5CD7E"/>
          </w:tcPr>
          <w:p w:rsidR="00AC40FC" w:rsidRDefault="00AC40FC" w:rsidP="00A51C66">
            <w:pPr>
              <w:pStyle w:val="TableParagraph"/>
              <w:spacing w:before="122" w:line="240" w:lineRule="auto"/>
              <w:ind w:left="571" w:right="552"/>
              <w:jc w:val="center"/>
              <w:rPr>
                <w:b/>
                <w:sz w:val="20"/>
              </w:rPr>
            </w:pPr>
            <w:r>
              <w:rPr>
                <w:b/>
                <w:sz w:val="20"/>
              </w:rPr>
              <w:t>2010</w:t>
            </w:r>
          </w:p>
        </w:tc>
        <w:tc>
          <w:tcPr>
            <w:tcW w:w="1886" w:type="dxa"/>
            <w:shd w:val="clear" w:color="auto" w:fill="A5CD7E"/>
          </w:tcPr>
          <w:p w:rsidR="00AC40FC" w:rsidRDefault="00AC40FC" w:rsidP="00A51C66">
            <w:pPr>
              <w:pStyle w:val="TableParagraph"/>
              <w:spacing w:before="122" w:line="240" w:lineRule="auto"/>
              <w:ind w:left="700" w:right="682"/>
              <w:jc w:val="center"/>
              <w:rPr>
                <w:b/>
                <w:sz w:val="20"/>
              </w:rPr>
            </w:pPr>
            <w:r>
              <w:rPr>
                <w:b/>
                <w:sz w:val="20"/>
              </w:rPr>
              <w:t>2011</w:t>
            </w:r>
          </w:p>
        </w:tc>
        <w:tc>
          <w:tcPr>
            <w:tcW w:w="1579" w:type="dxa"/>
            <w:shd w:val="clear" w:color="auto" w:fill="A5CD7E"/>
          </w:tcPr>
          <w:p w:rsidR="00AC40FC" w:rsidRDefault="00AC40FC" w:rsidP="00A51C66">
            <w:pPr>
              <w:pStyle w:val="TableParagraph"/>
              <w:spacing w:before="122" w:line="240" w:lineRule="auto"/>
              <w:ind w:left="547" w:right="528"/>
              <w:jc w:val="center"/>
              <w:rPr>
                <w:b/>
                <w:sz w:val="20"/>
              </w:rPr>
            </w:pPr>
            <w:r>
              <w:rPr>
                <w:b/>
                <w:sz w:val="20"/>
              </w:rPr>
              <w:t>2012</w:t>
            </w:r>
          </w:p>
        </w:tc>
        <w:tc>
          <w:tcPr>
            <w:tcW w:w="1579" w:type="dxa"/>
            <w:shd w:val="clear" w:color="auto" w:fill="A5CD7E"/>
          </w:tcPr>
          <w:p w:rsidR="00AC40FC" w:rsidRDefault="00AC40FC" w:rsidP="00A51C66">
            <w:pPr>
              <w:pStyle w:val="TableParagraph"/>
              <w:spacing w:before="122" w:line="240" w:lineRule="auto"/>
              <w:ind w:left="547" w:right="528"/>
              <w:jc w:val="center"/>
              <w:rPr>
                <w:b/>
                <w:sz w:val="20"/>
              </w:rPr>
            </w:pPr>
            <w:r>
              <w:rPr>
                <w:b/>
                <w:sz w:val="20"/>
              </w:rPr>
              <w:t>2013</w:t>
            </w:r>
          </w:p>
        </w:tc>
        <w:tc>
          <w:tcPr>
            <w:tcW w:w="1627" w:type="dxa"/>
            <w:shd w:val="clear" w:color="auto" w:fill="A5CD7E"/>
          </w:tcPr>
          <w:p w:rsidR="00AC40FC" w:rsidRDefault="00AC40FC" w:rsidP="00A51C66">
            <w:pPr>
              <w:pStyle w:val="TableParagraph"/>
              <w:spacing w:before="122" w:line="240" w:lineRule="auto"/>
              <w:ind w:left="571" w:right="552"/>
              <w:jc w:val="center"/>
              <w:rPr>
                <w:b/>
                <w:sz w:val="20"/>
              </w:rPr>
            </w:pPr>
            <w:r>
              <w:rPr>
                <w:b/>
                <w:sz w:val="20"/>
              </w:rPr>
              <w:t>2014</w:t>
            </w:r>
          </w:p>
        </w:tc>
        <w:tc>
          <w:tcPr>
            <w:tcW w:w="1306" w:type="dxa"/>
            <w:shd w:val="clear" w:color="auto" w:fill="A5CD7E"/>
          </w:tcPr>
          <w:p w:rsidR="00AC40FC" w:rsidRDefault="00AC40FC" w:rsidP="00A51C66">
            <w:pPr>
              <w:pStyle w:val="TableParagraph"/>
              <w:spacing w:line="268" w:lineRule="auto"/>
              <w:ind w:left="295" w:right="94" w:hanging="178"/>
              <w:jc w:val="left"/>
              <w:rPr>
                <w:b/>
                <w:sz w:val="20"/>
              </w:rPr>
            </w:pPr>
            <w:r>
              <w:rPr>
                <w:b/>
                <w:sz w:val="20"/>
              </w:rPr>
              <w:t>Compound Growth</w:t>
            </w:r>
          </w:p>
        </w:tc>
      </w:tr>
      <w:tr w:rsidR="00AC40FC" w:rsidTr="005E47C4">
        <w:trPr>
          <w:trHeight w:hRule="exact" w:val="245"/>
          <w:jc w:val="center"/>
        </w:trPr>
        <w:tc>
          <w:tcPr>
            <w:tcW w:w="4963" w:type="dxa"/>
          </w:tcPr>
          <w:p w:rsidR="00AC40FC" w:rsidRDefault="00AC40FC" w:rsidP="00A51C66">
            <w:pPr>
              <w:pStyle w:val="TableParagraph"/>
              <w:ind w:left="179" w:right="0"/>
              <w:jc w:val="left"/>
              <w:rPr>
                <w:sz w:val="20"/>
              </w:rPr>
            </w:pPr>
            <w:r>
              <w:rPr>
                <w:sz w:val="20"/>
              </w:rPr>
              <w:t>593.0 Maintenance of Overhead Lines</w:t>
            </w:r>
          </w:p>
        </w:tc>
        <w:tc>
          <w:tcPr>
            <w:tcW w:w="1627" w:type="dxa"/>
          </w:tcPr>
          <w:p w:rsidR="00AC40FC" w:rsidRDefault="00AC40FC" w:rsidP="00A51C66">
            <w:pPr>
              <w:pStyle w:val="TableParagraph"/>
              <w:ind w:right="27"/>
              <w:rPr>
                <w:sz w:val="20"/>
              </w:rPr>
            </w:pPr>
            <w:r>
              <w:rPr>
                <w:w w:val="95"/>
                <w:sz w:val="20"/>
              </w:rPr>
              <w:t>45,707,212</w:t>
            </w:r>
          </w:p>
        </w:tc>
        <w:tc>
          <w:tcPr>
            <w:tcW w:w="1886" w:type="dxa"/>
          </w:tcPr>
          <w:p w:rsidR="00AC40FC" w:rsidRDefault="00AC40FC" w:rsidP="00A51C66">
            <w:pPr>
              <w:pStyle w:val="TableParagraph"/>
              <w:ind w:right="27"/>
              <w:rPr>
                <w:sz w:val="20"/>
              </w:rPr>
            </w:pPr>
            <w:r>
              <w:rPr>
                <w:w w:val="95"/>
                <w:sz w:val="20"/>
              </w:rPr>
              <w:t>48,635,099</w:t>
            </w:r>
          </w:p>
        </w:tc>
        <w:tc>
          <w:tcPr>
            <w:tcW w:w="1579" w:type="dxa"/>
          </w:tcPr>
          <w:p w:rsidR="00AC40FC" w:rsidRDefault="00AC40FC" w:rsidP="00A51C66">
            <w:pPr>
              <w:pStyle w:val="TableParagraph"/>
              <w:ind w:right="27"/>
              <w:rPr>
                <w:sz w:val="20"/>
              </w:rPr>
            </w:pPr>
            <w:r>
              <w:rPr>
                <w:w w:val="95"/>
                <w:sz w:val="20"/>
              </w:rPr>
              <w:t>53,794,721</w:t>
            </w:r>
          </w:p>
        </w:tc>
        <w:tc>
          <w:tcPr>
            <w:tcW w:w="1579" w:type="dxa"/>
          </w:tcPr>
          <w:p w:rsidR="00AC40FC" w:rsidRDefault="00AC40FC" w:rsidP="00A51C66">
            <w:pPr>
              <w:pStyle w:val="TableParagraph"/>
              <w:ind w:right="27"/>
              <w:rPr>
                <w:sz w:val="20"/>
              </w:rPr>
            </w:pPr>
            <w:r>
              <w:rPr>
                <w:w w:val="95"/>
                <w:sz w:val="20"/>
              </w:rPr>
              <w:t>64,006,683</w:t>
            </w:r>
          </w:p>
        </w:tc>
        <w:tc>
          <w:tcPr>
            <w:tcW w:w="1627" w:type="dxa"/>
          </w:tcPr>
          <w:p w:rsidR="00AC40FC" w:rsidRDefault="00AC40FC" w:rsidP="00A51C66">
            <w:pPr>
              <w:pStyle w:val="TableParagraph"/>
              <w:ind w:right="27"/>
              <w:rPr>
                <w:sz w:val="20"/>
              </w:rPr>
            </w:pPr>
            <w:r>
              <w:rPr>
                <w:w w:val="95"/>
                <w:sz w:val="20"/>
              </w:rPr>
              <w:t>68,078,757</w:t>
            </w:r>
          </w:p>
        </w:tc>
        <w:tc>
          <w:tcPr>
            <w:tcW w:w="1306" w:type="dxa"/>
          </w:tcPr>
          <w:p w:rsidR="00AC40FC" w:rsidRDefault="00AC40FC" w:rsidP="00A51C66">
            <w:pPr>
              <w:pStyle w:val="TableParagraph"/>
              <w:ind w:left="200" w:right="185"/>
              <w:jc w:val="center"/>
              <w:rPr>
                <w:sz w:val="20"/>
              </w:rPr>
            </w:pPr>
            <w:r>
              <w:rPr>
                <w:sz w:val="20"/>
              </w:rPr>
              <w:t>10.47%</w:t>
            </w:r>
          </w:p>
        </w:tc>
      </w:tr>
      <w:tr w:rsidR="00AC40FC" w:rsidTr="005E47C4">
        <w:trPr>
          <w:trHeight w:hRule="exact" w:val="245"/>
          <w:jc w:val="center"/>
        </w:trPr>
        <w:tc>
          <w:tcPr>
            <w:tcW w:w="4963" w:type="dxa"/>
          </w:tcPr>
          <w:p w:rsidR="00AC40FC" w:rsidRDefault="00AC40FC" w:rsidP="00A51C66">
            <w:pPr>
              <w:pStyle w:val="TableParagraph"/>
              <w:ind w:left="179" w:right="0"/>
              <w:jc w:val="left"/>
              <w:rPr>
                <w:sz w:val="20"/>
              </w:rPr>
            </w:pPr>
            <w:r>
              <w:rPr>
                <w:sz w:val="20"/>
              </w:rPr>
              <w:t>594.0 Maintenance of Underground Lines</w:t>
            </w:r>
          </w:p>
        </w:tc>
        <w:tc>
          <w:tcPr>
            <w:tcW w:w="1627" w:type="dxa"/>
          </w:tcPr>
          <w:p w:rsidR="00AC40FC" w:rsidRDefault="00AC40FC" w:rsidP="00A51C66">
            <w:pPr>
              <w:pStyle w:val="TableParagraph"/>
              <w:ind w:right="27"/>
              <w:rPr>
                <w:sz w:val="20"/>
              </w:rPr>
            </w:pPr>
            <w:r>
              <w:rPr>
                <w:w w:val="95"/>
                <w:sz w:val="20"/>
              </w:rPr>
              <w:t>6,990,586</w:t>
            </w:r>
          </w:p>
        </w:tc>
        <w:tc>
          <w:tcPr>
            <w:tcW w:w="1886" w:type="dxa"/>
          </w:tcPr>
          <w:p w:rsidR="00AC40FC" w:rsidRDefault="00AC40FC" w:rsidP="00A51C66">
            <w:pPr>
              <w:pStyle w:val="TableParagraph"/>
              <w:ind w:right="27"/>
              <w:rPr>
                <w:sz w:val="20"/>
              </w:rPr>
            </w:pPr>
            <w:r>
              <w:rPr>
                <w:w w:val="95"/>
                <w:sz w:val="20"/>
              </w:rPr>
              <w:t>5,872,533</w:t>
            </w:r>
          </w:p>
        </w:tc>
        <w:tc>
          <w:tcPr>
            <w:tcW w:w="1579" w:type="dxa"/>
          </w:tcPr>
          <w:p w:rsidR="00AC40FC" w:rsidRDefault="00AC40FC" w:rsidP="00A51C66">
            <w:pPr>
              <w:pStyle w:val="TableParagraph"/>
              <w:ind w:right="27"/>
              <w:rPr>
                <w:sz w:val="20"/>
              </w:rPr>
            </w:pPr>
            <w:r>
              <w:rPr>
                <w:w w:val="95"/>
                <w:sz w:val="20"/>
              </w:rPr>
              <w:t>5,007,748</w:t>
            </w:r>
          </w:p>
        </w:tc>
        <w:tc>
          <w:tcPr>
            <w:tcW w:w="1579" w:type="dxa"/>
          </w:tcPr>
          <w:p w:rsidR="00AC40FC" w:rsidRDefault="00AC40FC" w:rsidP="00A51C66">
            <w:pPr>
              <w:pStyle w:val="TableParagraph"/>
              <w:rPr>
                <w:sz w:val="20"/>
              </w:rPr>
            </w:pPr>
            <w:r>
              <w:rPr>
                <w:w w:val="95"/>
                <w:sz w:val="20"/>
              </w:rPr>
              <w:t>5,918,999</w:t>
            </w:r>
          </w:p>
        </w:tc>
        <w:tc>
          <w:tcPr>
            <w:tcW w:w="1627" w:type="dxa"/>
          </w:tcPr>
          <w:p w:rsidR="00AC40FC" w:rsidRDefault="00AC40FC" w:rsidP="00A51C66">
            <w:pPr>
              <w:pStyle w:val="TableParagraph"/>
              <w:rPr>
                <w:sz w:val="20"/>
              </w:rPr>
            </w:pPr>
            <w:r>
              <w:rPr>
                <w:w w:val="95"/>
                <w:sz w:val="20"/>
              </w:rPr>
              <w:t>5,641,335</w:t>
            </w:r>
          </w:p>
        </w:tc>
        <w:tc>
          <w:tcPr>
            <w:tcW w:w="1306" w:type="dxa"/>
          </w:tcPr>
          <w:p w:rsidR="00AC40FC" w:rsidRDefault="00AC40FC" w:rsidP="00A51C66">
            <w:pPr>
              <w:pStyle w:val="TableParagraph"/>
              <w:ind w:left="200" w:right="185"/>
              <w:jc w:val="center"/>
              <w:rPr>
                <w:sz w:val="20"/>
              </w:rPr>
            </w:pPr>
            <w:r>
              <w:rPr>
                <w:sz w:val="20"/>
              </w:rPr>
              <w:t>-5.22%</w:t>
            </w:r>
          </w:p>
        </w:tc>
      </w:tr>
      <w:tr w:rsidR="00AC40FC" w:rsidTr="005E47C4">
        <w:trPr>
          <w:trHeight w:hRule="exact" w:val="245"/>
          <w:jc w:val="center"/>
        </w:trPr>
        <w:tc>
          <w:tcPr>
            <w:tcW w:w="4963" w:type="dxa"/>
          </w:tcPr>
          <w:p w:rsidR="00AC40FC" w:rsidRDefault="00AC40FC" w:rsidP="00A51C66">
            <w:pPr>
              <w:pStyle w:val="TableParagraph"/>
              <w:ind w:left="180" w:right="0"/>
              <w:jc w:val="left"/>
              <w:rPr>
                <w:sz w:val="20"/>
              </w:rPr>
            </w:pPr>
            <w:r>
              <w:rPr>
                <w:sz w:val="20"/>
              </w:rPr>
              <w:t>595.0 Maintenance of Line Transformers</w:t>
            </w:r>
          </w:p>
        </w:tc>
        <w:tc>
          <w:tcPr>
            <w:tcW w:w="1627" w:type="dxa"/>
          </w:tcPr>
          <w:p w:rsidR="00AC40FC" w:rsidRDefault="00AC40FC" w:rsidP="00A51C66">
            <w:pPr>
              <w:pStyle w:val="TableParagraph"/>
              <w:rPr>
                <w:sz w:val="20"/>
              </w:rPr>
            </w:pPr>
            <w:r>
              <w:rPr>
                <w:w w:val="95"/>
                <w:sz w:val="20"/>
              </w:rPr>
              <w:t>2,459,224</w:t>
            </w:r>
          </w:p>
        </w:tc>
        <w:tc>
          <w:tcPr>
            <w:tcW w:w="1886" w:type="dxa"/>
          </w:tcPr>
          <w:p w:rsidR="00AC40FC" w:rsidRDefault="00AC40FC" w:rsidP="00A51C66">
            <w:pPr>
              <w:pStyle w:val="TableParagraph"/>
              <w:rPr>
                <w:sz w:val="20"/>
              </w:rPr>
            </w:pPr>
            <w:r>
              <w:rPr>
                <w:w w:val="95"/>
                <w:sz w:val="20"/>
              </w:rPr>
              <w:t>1,342,650</w:t>
            </w:r>
          </w:p>
        </w:tc>
        <w:tc>
          <w:tcPr>
            <w:tcW w:w="1579" w:type="dxa"/>
          </w:tcPr>
          <w:p w:rsidR="00AC40FC" w:rsidRDefault="00AC40FC" w:rsidP="00A51C66">
            <w:pPr>
              <w:pStyle w:val="TableParagraph"/>
              <w:rPr>
                <w:sz w:val="20"/>
              </w:rPr>
            </w:pPr>
            <w:r>
              <w:rPr>
                <w:w w:val="95"/>
                <w:sz w:val="20"/>
              </w:rPr>
              <w:t>2,001,178</w:t>
            </w:r>
          </w:p>
        </w:tc>
        <w:tc>
          <w:tcPr>
            <w:tcW w:w="1579" w:type="dxa"/>
          </w:tcPr>
          <w:p w:rsidR="00AC40FC" w:rsidRDefault="00AC40FC" w:rsidP="00A51C66">
            <w:pPr>
              <w:pStyle w:val="TableParagraph"/>
              <w:rPr>
                <w:sz w:val="20"/>
              </w:rPr>
            </w:pPr>
            <w:r>
              <w:rPr>
                <w:w w:val="95"/>
                <w:sz w:val="20"/>
              </w:rPr>
              <w:t>2,155,652</w:t>
            </w:r>
          </w:p>
        </w:tc>
        <w:tc>
          <w:tcPr>
            <w:tcW w:w="1627" w:type="dxa"/>
          </w:tcPr>
          <w:p w:rsidR="00AC40FC" w:rsidRDefault="00AC40FC" w:rsidP="00A51C66">
            <w:pPr>
              <w:pStyle w:val="TableParagraph"/>
              <w:rPr>
                <w:sz w:val="20"/>
              </w:rPr>
            </w:pPr>
            <w:r>
              <w:rPr>
                <w:w w:val="95"/>
                <w:sz w:val="20"/>
              </w:rPr>
              <w:t>2,064,668</w:t>
            </w:r>
          </w:p>
        </w:tc>
        <w:tc>
          <w:tcPr>
            <w:tcW w:w="1306" w:type="dxa"/>
          </w:tcPr>
          <w:p w:rsidR="00AC40FC" w:rsidRDefault="00AC40FC" w:rsidP="00A51C66">
            <w:pPr>
              <w:pStyle w:val="TableParagraph"/>
              <w:ind w:left="201" w:right="185"/>
              <w:jc w:val="center"/>
              <w:rPr>
                <w:sz w:val="20"/>
              </w:rPr>
            </w:pPr>
            <w:r>
              <w:rPr>
                <w:sz w:val="20"/>
              </w:rPr>
              <w:t>-4.28%</w:t>
            </w:r>
          </w:p>
        </w:tc>
      </w:tr>
      <w:tr w:rsidR="00AC40FC" w:rsidTr="00BB665B">
        <w:trPr>
          <w:trHeight w:hRule="exact" w:val="533"/>
          <w:jc w:val="center"/>
        </w:trPr>
        <w:tc>
          <w:tcPr>
            <w:tcW w:w="4963" w:type="dxa"/>
          </w:tcPr>
          <w:p w:rsidR="00AC40FC" w:rsidRDefault="00AC40FC" w:rsidP="00BB665B">
            <w:pPr>
              <w:pStyle w:val="TableParagraph"/>
              <w:ind w:left="714" w:right="0" w:hanging="534"/>
              <w:jc w:val="left"/>
              <w:rPr>
                <w:sz w:val="20"/>
              </w:rPr>
            </w:pPr>
            <w:r>
              <w:rPr>
                <w:sz w:val="20"/>
              </w:rPr>
              <w:t xml:space="preserve">596.0 Maintenance. of Street Lighting &amp; </w:t>
            </w:r>
          </w:p>
          <w:p w:rsidR="00AC40FC" w:rsidRDefault="00AC40FC" w:rsidP="00BB665B">
            <w:pPr>
              <w:pStyle w:val="TableParagraph"/>
              <w:ind w:left="714" w:right="0"/>
              <w:jc w:val="left"/>
              <w:rPr>
                <w:sz w:val="20"/>
              </w:rPr>
            </w:pPr>
            <w:r>
              <w:rPr>
                <w:sz w:val="20"/>
              </w:rPr>
              <w:t>Signal Systems</w:t>
            </w:r>
          </w:p>
        </w:tc>
        <w:tc>
          <w:tcPr>
            <w:tcW w:w="1627" w:type="dxa"/>
          </w:tcPr>
          <w:p w:rsidR="00AC40FC" w:rsidRDefault="00AC40FC" w:rsidP="00A51C66">
            <w:pPr>
              <w:pStyle w:val="TableParagraph"/>
              <w:rPr>
                <w:sz w:val="20"/>
              </w:rPr>
            </w:pPr>
            <w:r>
              <w:rPr>
                <w:w w:val="95"/>
                <w:sz w:val="20"/>
              </w:rPr>
              <w:t>2,610,474</w:t>
            </w:r>
          </w:p>
        </w:tc>
        <w:tc>
          <w:tcPr>
            <w:tcW w:w="1886" w:type="dxa"/>
          </w:tcPr>
          <w:p w:rsidR="00AC40FC" w:rsidRDefault="00AC40FC" w:rsidP="00A51C66">
            <w:pPr>
              <w:pStyle w:val="TableParagraph"/>
              <w:rPr>
                <w:sz w:val="20"/>
              </w:rPr>
            </w:pPr>
            <w:r>
              <w:rPr>
                <w:w w:val="95"/>
                <w:sz w:val="20"/>
              </w:rPr>
              <w:t>2,640,874</w:t>
            </w:r>
          </w:p>
        </w:tc>
        <w:tc>
          <w:tcPr>
            <w:tcW w:w="1579" w:type="dxa"/>
          </w:tcPr>
          <w:p w:rsidR="00AC40FC" w:rsidRDefault="00AC40FC" w:rsidP="00A51C66">
            <w:pPr>
              <w:pStyle w:val="TableParagraph"/>
              <w:rPr>
                <w:sz w:val="20"/>
              </w:rPr>
            </w:pPr>
            <w:r>
              <w:rPr>
                <w:w w:val="95"/>
                <w:sz w:val="20"/>
              </w:rPr>
              <w:t>2,984,179</w:t>
            </w:r>
          </w:p>
        </w:tc>
        <w:tc>
          <w:tcPr>
            <w:tcW w:w="1579" w:type="dxa"/>
          </w:tcPr>
          <w:p w:rsidR="00AC40FC" w:rsidRDefault="00AC40FC" w:rsidP="00A51C66">
            <w:pPr>
              <w:pStyle w:val="TableParagraph"/>
              <w:rPr>
                <w:sz w:val="20"/>
              </w:rPr>
            </w:pPr>
            <w:r>
              <w:rPr>
                <w:w w:val="95"/>
                <w:sz w:val="20"/>
              </w:rPr>
              <w:t>2,583,772</w:t>
            </w:r>
          </w:p>
        </w:tc>
        <w:tc>
          <w:tcPr>
            <w:tcW w:w="1627" w:type="dxa"/>
          </w:tcPr>
          <w:p w:rsidR="00AC40FC" w:rsidRDefault="00AC40FC" w:rsidP="00A51C66">
            <w:pPr>
              <w:pStyle w:val="TableParagraph"/>
              <w:rPr>
                <w:sz w:val="20"/>
              </w:rPr>
            </w:pPr>
            <w:r>
              <w:rPr>
                <w:w w:val="95"/>
                <w:sz w:val="20"/>
              </w:rPr>
              <w:t>2,514,639</w:t>
            </w:r>
          </w:p>
        </w:tc>
        <w:tc>
          <w:tcPr>
            <w:tcW w:w="1306" w:type="dxa"/>
          </w:tcPr>
          <w:p w:rsidR="00AC40FC" w:rsidRDefault="00AC40FC" w:rsidP="00A51C66">
            <w:pPr>
              <w:pStyle w:val="TableParagraph"/>
              <w:ind w:left="201" w:right="185"/>
              <w:jc w:val="center"/>
              <w:rPr>
                <w:sz w:val="20"/>
              </w:rPr>
            </w:pPr>
            <w:r>
              <w:rPr>
                <w:sz w:val="20"/>
              </w:rPr>
              <w:t>-0.93%</w:t>
            </w:r>
          </w:p>
        </w:tc>
      </w:tr>
      <w:tr w:rsidR="00AC40FC" w:rsidTr="005E47C4">
        <w:trPr>
          <w:trHeight w:hRule="exact" w:val="245"/>
          <w:jc w:val="center"/>
        </w:trPr>
        <w:tc>
          <w:tcPr>
            <w:tcW w:w="4963" w:type="dxa"/>
          </w:tcPr>
          <w:p w:rsidR="00AC40FC" w:rsidRDefault="00AC40FC" w:rsidP="00A51C66">
            <w:pPr>
              <w:pStyle w:val="TableParagraph"/>
              <w:ind w:left="180" w:right="0"/>
              <w:jc w:val="left"/>
              <w:rPr>
                <w:sz w:val="20"/>
              </w:rPr>
            </w:pPr>
            <w:r>
              <w:rPr>
                <w:sz w:val="20"/>
              </w:rPr>
              <w:t>597.0 Maintenance of Meters</w:t>
            </w:r>
          </w:p>
        </w:tc>
        <w:tc>
          <w:tcPr>
            <w:tcW w:w="1627" w:type="dxa"/>
          </w:tcPr>
          <w:p w:rsidR="00AC40FC" w:rsidRDefault="00AC40FC" w:rsidP="00A51C66">
            <w:pPr>
              <w:pStyle w:val="TableParagraph"/>
              <w:rPr>
                <w:sz w:val="20"/>
              </w:rPr>
            </w:pPr>
            <w:r>
              <w:rPr>
                <w:sz w:val="20"/>
              </w:rPr>
              <w:t>3,591</w:t>
            </w:r>
          </w:p>
        </w:tc>
        <w:tc>
          <w:tcPr>
            <w:tcW w:w="1886" w:type="dxa"/>
          </w:tcPr>
          <w:p w:rsidR="00AC40FC" w:rsidRDefault="00AC40FC" w:rsidP="00A51C66">
            <w:pPr>
              <w:pStyle w:val="TableParagraph"/>
              <w:rPr>
                <w:sz w:val="20"/>
              </w:rPr>
            </w:pPr>
            <w:r>
              <w:rPr>
                <w:sz w:val="20"/>
              </w:rPr>
              <w:t>221</w:t>
            </w:r>
          </w:p>
        </w:tc>
        <w:tc>
          <w:tcPr>
            <w:tcW w:w="1579" w:type="dxa"/>
          </w:tcPr>
          <w:p w:rsidR="00AC40FC" w:rsidRDefault="00AC40FC" w:rsidP="00A51C66">
            <w:pPr>
              <w:pStyle w:val="TableParagraph"/>
              <w:rPr>
                <w:sz w:val="20"/>
              </w:rPr>
            </w:pPr>
            <w:r>
              <w:rPr>
                <w:sz w:val="20"/>
              </w:rPr>
              <w:t>502</w:t>
            </w:r>
          </w:p>
        </w:tc>
        <w:tc>
          <w:tcPr>
            <w:tcW w:w="1579" w:type="dxa"/>
          </w:tcPr>
          <w:p w:rsidR="00AC40FC" w:rsidRDefault="00AC40FC" w:rsidP="00A51C66">
            <w:pPr>
              <w:pStyle w:val="TableParagraph"/>
              <w:rPr>
                <w:sz w:val="20"/>
              </w:rPr>
            </w:pPr>
            <w:r>
              <w:rPr>
                <w:sz w:val="20"/>
              </w:rPr>
              <w:t>337</w:t>
            </w:r>
          </w:p>
        </w:tc>
        <w:tc>
          <w:tcPr>
            <w:tcW w:w="1627" w:type="dxa"/>
          </w:tcPr>
          <w:p w:rsidR="00AC40FC" w:rsidRDefault="00AC40FC" w:rsidP="00A51C66">
            <w:pPr>
              <w:pStyle w:val="TableParagraph"/>
              <w:rPr>
                <w:sz w:val="20"/>
              </w:rPr>
            </w:pPr>
            <w:r>
              <w:rPr>
                <w:w w:val="95"/>
                <w:sz w:val="20"/>
              </w:rPr>
              <w:t>3,217,821</w:t>
            </w:r>
          </w:p>
        </w:tc>
        <w:tc>
          <w:tcPr>
            <w:tcW w:w="1306" w:type="dxa"/>
          </w:tcPr>
          <w:p w:rsidR="00AC40FC" w:rsidRDefault="00AC40FC" w:rsidP="00A51C66">
            <w:pPr>
              <w:pStyle w:val="TableParagraph"/>
              <w:ind w:left="202" w:right="185"/>
              <w:jc w:val="center"/>
              <w:rPr>
                <w:sz w:val="20"/>
              </w:rPr>
            </w:pPr>
            <w:r>
              <w:rPr>
                <w:sz w:val="20"/>
              </w:rPr>
              <w:t>447.13%</w:t>
            </w:r>
          </w:p>
        </w:tc>
      </w:tr>
      <w:tr w:rsidR="00AC40FC" w:rsidTr="00BB665B">
        <w:trPr>
          <w:trHeight w:hRule="exact" w:val="470"/>
          <w:jc w:val="center"/>
        </w:trPr>
        <w:tc>
          <w:tcPr>
            <w:tcW w:w="4963" w:type="dxa"/>
          </w:tcPr>
          <w:p w:rsidR="00AC40FC" w:rsidRDefault="00AC40FC" w:rsidP="00BB665B">
            <w:pPr>
              <w:pStyle w:val="TableParagraph"/>
              <w:ind w:left="180" w:right="0"/>
              <w:jc w:val="left"/>
              <w:rPr>
                <w:sz w:val="20"/>
              </w:rPr>
            </w:pPr>
            <w:r>
              <w:rPr>
                <w:sz w:val="20"/>
              </w:rPr>
              <w:t xml:space="preserve">598.0 Maintenance of Miscellaneous </w:t>
            </w:r>
          </w:p>
          <w:p w:rsidR="00AC40FC" w:rsidRDefault="00AC40FC" w:rsidP="00BB665B">
            <w:pPr>
              <w:pStyle w:val="TableParagraph"/>
              <w:ind w:left="714" w:right="0"/>
              <w:jc w:val="left"/>
              <w:rPr>
                <w:sz w:val="20"/>
              </w:rPr>
            </w:pPr>
            <w:r>
              <w:rPr>
                <w:sz w:val="20"/>
              </w:rPr>
              <w:t>Distribution Plant</w:t>
            </w:r>
          </w:p>
        </w:tc>
        <w:tc>
          <w:tcPr>
            <w:tcW w:w="1627" w:type="dxa"/>
          </w:tcPr>
          <w:p w:rsidR="00AC40FC" w:rsidRDefault="00AC40FC" w:rsidP="00A51C66">
            <w:pPr>
              <w:pStyle w:val="TableParagraph"/>
              <w:rPr>
                <w:sz w:val="20"/>
              </w:rPr>
            </w:pPr>
            <w:r>
              <w:rPr>
                <w:w w:val="95"/>
                <w:sz w:val="20"/>
              </w:rPr>
              <w:t>2,418,688</w:t>
            </w:r>
          </w:p>
        </w:tc>
        <w:tc>
          <w:tcPr>
            <w:tcW w:w="1886" w:type="dxa"/>
          </w:tcPr>
          <w:p w:rsidR="00AC40FC" w:rsidRDefault="00AC40FC" w:rsidP="00A51C66">
            <w:pPr>
              <w:pStyle w:val="TableParagraph"/>
              <w:rPr>
                <w:sz w:val="20"/>
              </w:rPr>
            </w:pPr>
            <w:r>
              <w:rPr>
                <w:w w:val="95"/>
                <w:sz w:val="20"/>
              </w:rPr>
              <w:t>2,185,755</w:t>
            </w:r>
          </w:p>
        </w:tc>
        <w:tc>
          <w:tcPr>
            <w:tcW w:w="1579" w:type="dxa"/>
          </w:tcPr>
          <w:p w:rsidR="00AC40FC" w:rsidRDefault="00AC40FC" w:rsidP="00A51C66">
            <w:pPr>
              <w:pStyle w:val="TableParagraph"/>
              <w:rPr>
                <w:sz w:val="20"/>
              </w:rPr>
            </w:pPr>
            <w:r>
              <w:rPr>
                <w:w w:val="95"/>
                <w:sz w:val="20"/>
              </w:rPr>
              <w:t>2,297,611</w:t>
            </w:r>
          </w:p>
        </w:tc>
        <w:tc>
          <w:tcPr>
            <w:tcW w:w="1579" w:type="dxa"/>
          </w:tcPr>
          <w:p w:rsidR="00AC40FC" w:rsidRDefault="00AC40FC" w:rsidP="00A51C66">
            <w:pPr>
              <w:pStyle w:val="TableParagraph"/>
              <w:rPr>
                <w:sz w:val="20"/>
              </w:rPr>
            </w:pPr>
            <w:r>
              <w:rPr>
                <w:w w:val="95"/>
                <w:sz w:val="20"/>
              </w:rPr>
              <w:t>2,834,205</w:t>
            </w:r>
          </w:p>
        </w:tc>
        <w:tc>
          <w:tcPr>
            <w:tcW w:w="1627" w:type="dxa"/>
          </w:tcPr>
          <w:p w:rsidR="00AC40FC" w:rsidRDefault="00AC40FC" w:rsidP="00A51C66">
            <w:pPr>
              <w:pStyle w:val="TableParagraph"/>
              <w:rPr>
                <w:sz w:val="20"/>
              </w:rPr>
            </w:pPr>
            <w:r>
              <w:rPr>
                <w:w w:val="95"/>
                <w:sz w:val="20"/>
              </w:rPr>
              <w:t>2,578,200</w:t>
            </w:r>
          </w:p>
        </w:tc>
        <w:tc>
          <w:tcPr>
            <w:tcW w:w="1306" w:type="dxa"/>
          </w:tcPr>
          <w:p w:rsidR="00AC40FC" w:rsidRDefault="00AC40FC" w:rsidP="00A51C66">
            <w:pPr>
              <w:pStyle w:val="TableParagraph"/>
              <w:ind w:left="202" w:right="185"/>
              <w:jc w:val="center"/>
              <w:rPr>
                <w:sz w:val="20"/>
              </w:rPr>
            </w:pPr>
            <w:r>
              <w:rPr>
                <w:sz w:val="20"/>
              </w:rPr>
              <w:t>1.61%</w:t>
            </w:r>
          </w:p>
        </w:tc>
      </w:tr>
      <w:tr w:rsidR="00AC40FC" w:rsidTr="005E47C4">
        <w:trPr>
          <w:trHeight w:hRule="exact" w:val="245"/>
          <w:jc w:val="center"/>
        </w:trPr>
        <w:tc>
          <w:tcPr>
            <w:tcW w:w="4963" w:type="dxa"/>
          </w:tcPr>
          <w:p w:rsidR="00AC40FC" w:rsidRDefault="00AC40FC" w:rsidP="00A51C66">
            <w:pPr>
              <w:pStyle w:val="TableParagraph"/>
              <w:rPr>
                <w:b/>
                <w:sz w:val="20"/>
              </w:rPr>
            </w:pPr>
            <w:r>
              <w:rPr>
                <w:b/>
                <w:sz w:val="20"/>
              </w:rPr>
              <w:t>Total Distribution Maintenance Expenses</w:t>
            </w:r>
          </w:p>
        </w:tc>
        <w:tc>
          <w:tcPr>
            <w:tcW w:w="1627" w:type="dxa"/>
          </w:tcPr>
          <w:p w:rsidR="00AC40FC" w:rsidRDefault="00AC40FC" w:rsidP="00A51C66">
            <w:pPr>
              <w:pStyle w:val="TableParagraph"/>
              <w:ind w:left="407" w:right="0"/>
              <w:jc w:val="left"/>
              <w:rPr>
                <w:b/>
                <w:sz w:val="20"/>
              </w:rPr>
            </w:pPr>
            <w:r>
              <w:rPr>
                <w:b/>
                <w:sz w:val="20"/>
              </w:rPr>
              <w:t>$67,370,503</w:t>
            </w:r>
          </w:p>
        </w:tc>
        <w:tc>
          <w:tcPr>
            <w:tcW w:w="1886" w:type="dxa"/>
          </w:tcPr>
          <w:p w:rsidR="00AC40FC" w:rsidRDefault="00AC40FC" w:rsidP="00A51C66">
            <w:pPr>
              <w:pStyle w:val="TableParagraph"/>
              <w:ind w:right="94"/>
              <w:rPr>
                <w:b/>
                <w:sz w:val="20"/>
              </w:rPr>
            </w:pPr>
            <w:r>
              <w:rPr>
                <w:b/>
                <w:w w:val="95"/>
                <w:sz w:val="20"/>
              </w:rPr>
              <w:t>$66,414,321</w:t>
            </w:r>
          </w:p>
        </w:tc>
        <w:tc>
          <w:tcPr>
            <w:tcW w:w="1579" w:type="dxa"/>
          </w:tcPr>
          <w:p w:rsidR="00AC40FC" w:rsidRDefault="00AC40FC" w:rsidP="00A51C66">
            <w:pPr>
              <w:pStyle w:val="TableParagraph"/>
              <w:ind w:right="94"/>
              <w:rPr>
                <w:b/>
                <w:sz w:val="20"/>
              </w:rPr>
            </w:pPr>
            <w:r>
              <w:rPr>
                <w:b/>
                <w:w w:val="95"/>
                <w:sz w:val="20"/>
              </w:rPr>
              <w:t>$75,265,215</w:t>
            </w:r>
          </w:p>
        </w:tc>
        <w:tc>
          <w:tcPr>
            <w:tcW w:w="1579" w:type="dxa"/>
          </w:tcPr>
          <w:p w:rsidR="00AC40FC" w:rsidRDefault="00AC40FC" w:rsidP="00A51C66">
            <w:pPr>
              <w:pStyle w:val="TableParagraph"/>
              <w:ind w:left="360" w:right="-2"/>
              <w:jc w:val="left"/>
              <w:rPr>
                <w:b/>
                <w:sz w:val="20"/>
              </w:rPr>
            </w:pPr>
            <w:r>
              <w:rPr>
                <w:b/>
                <w:sz w:val="20"/>
              </w:rPr>
              <w:t>$89,279,677</w:t>
            </w:r>
          </w:p>
        </w:tc>
        <w:tc>
          <w:tcPr>
            <w:tcW w:w="1627" w:type="dxa"/>
          </w:tcPr>
          <w:p w:rsidR="00AC40FC" w:rsidRDefault="00AC40FC" w:rsidP="00A51C66">
            <w:pPr>
              <w:pStyle w:val="TableParagraph"/>
              <w:ind w:right="94"/>
              <w:rPr>
                <w:b/>
                <w:sz w:val="20"/>
              </w:rPr>
            </w:pPr>
            <w:r>
              <w:rPr>
                <w:b/>
                <w:w w:val="95"/>
                <w:sz w:val="20"/>
              </w:rPr>
              <w:t>$95,544,344</w:t>
            </w:r>
          </w:p>
        </w:tc>
        <w:tc>
          <w:tcPr>
            <w:tcW w:w="1306" w:type="dxa"/>
          </w:tcPr>
          <w:p w:rsidR="00AC40FC" w:rsidRDefault="00AC40FC" w:rsidP="00A51C66">
            <w:pPr>
              <w:pStyle w:val="TableParagraph"/>
              <w:ind w:left="203" w:right="183"/>
              <w:jc w:val="center"/>
              <w:rPr>
                <w:b/>
                <w:sz w:val="20"/>
              </w:rPr>
            </w:pPr>
            <w:r>
              <w:rPr>
                <w:b/>
                <w:sz w:val="20"/>
              </w:rPr>
              <w:t>9.13%</w:t>
            </w:r>
          </w:p>
        </w:tc>
      </w:tr>
      <w:tr w:rsidR="00AC40FC" w:rsidTr="005E47C4">
        <w:trPr>
          <w:trHeight w:hRule="exact" w:val="245"/>
          <w:jc w:val="center"/>
        </w:trPr>
        <w:tc>
          <w:tcPr>
            <w:tcW w:w="4963" w:type="dxa"/>
          </w:tcPr>
          <w:p w:rsidR="00AC40FC" w:rsidRDefault="00AC40FC" w:rsidP="00A51C66">
            <w:pPr>
              <w:pStyle w:val="TableParagraph"/>
              <w:rPr>
                <w:b/>
                <w:sz w:val="20"/>
              </w:rPr>
            </w:pPr>
            <w:r>
              <w:rPr>
                <w:b/>
                <w:sz w:val="20"/>
              </w:rPr>
              <w:t>Total Distribution O&amp;M Expenses</w:t>
            </w:r>
          </w:p>
        </w:tc>
        <w:tc>
          <w:tcPr>
            <w:tcW w:w="1627" w:type="dxa"/>
          </w:tcPr>
          <w:p w:rsidR="00AC40FC" w:rsidRDefault="00AC40FC" w:rsidP="00A51C66">
            <w:pPr>
              <w:pStyle w:val="TableParagraph"/>
              <w:ind w:left="297" w:right="0"/>
              <w:jc w:val="left"/>
              <w:rPr>
                <w:b/>
                <w:sz w:val="20"/>
              </w:rPr>
            </w:pPr>
            <w:r>
              <w:rPr>
                <w:b/>
                <w:sz w:val="20"/>
              </w:rPr>
              <w:t>$142,377,661</w:t>
            </w:r>
          </w:p>
        </w:tc>
        <w:tc>
          <w:tcPr>
            <w:tcW w:w="1886" w:type="dxa"/>
          </w:tcPr>
          <w:p w:rsidR="00AC40FC" w:rsidRDefault="00AC40FC" w:rsidP="00A51C66">
            <w:pPr>
              <w:pStyle w:val="TableParagraph"/>
              <w:ind w:right="94"/>
              <w:rPr>
                <w:b/>
                <w:sz w:val="20"/>
              </w:rPr>
            </w:pPr>
            <w:r>
              <w:rPr>
                <w:b/>
                <w:w w:val="95"/>
                <w:sz w:val="20"/>
              </w:rPr>
              <w:t>$152,304,415</w:t>
            </w:r>
          </w:p>
        </w:tc>
        <w:tc>
          <w:tcPr>
            <w:tcW w:w="1579" w:type="dxa"/>
          </w:tcPr>
          <w:p w:rsidR="00AC40FC" w:rsidRDefault="00AC40FC" w:rsidP="00A51C66">
            <w:pPr>
              <w:pStyle w:val="TableParagraph"/>
              <w:ind w:right="94"/>
              <w:rPr>
                <w:b/>
                <w:sz w:val="20"/>
              </w:rPr>
            </w:pPr>
            <w:r>
              <w:rPr>
                <w:b/>
                <w:w w:val="95"/>
                <w:sz w:val="20"/>
              </w:rPr>
              <w:t>$157,299,767</w:t>
            </w:r>
          </w:p>
        </w:tc>
        <w:tc>
          <w:tcPr>
            <w:tcW w:w="1579" w:type="dxa"/>
          </w:tcPr>
          <w:p w:rsidR="00AC40FC" w:rsidRDefault="00AC40FC" w:rsidP="00A51C66">
            <w:pPr>
              <w:pStyle w:val="TableParagraph"/>
              <w:ind w:left="249" w:right="-2"/>
              <w:jc w:val="left"/>
              <w:rPr>
                <w:b/>
                <w:sz w:val="20"/>
              </w:rPr>
            </w:pPr>
            <w:r>
              <w:rPr>
                <w:b/>
                <w:sz w:val="20"/>
              </w:rPr>
              <w:t>$166,293,992</w:t>
            </w:r>
          </w:p>
        </w:tc>
        <w:tc>
          <w:tcPr>
            <w:tcW w:w="1627" w:type="dxa"/>
          </w:tcPr>
          <w:p w:rsidR="00AC40FC" w:rsidRDefault="00AC40FC" w:rsidP="00A51C66">
            <w:pPr>
              <w:pStyle w:val="TableParagraph"/>
              <w:ind w:left="297" w:right="0"/>
              <w:jc w:val="left"/>
              <w:rPr>
                <w:b/>
                <w:sz w:val="20"/>
              </w:rPr>
            </w:pPr>
            <w:r>
              <w:rPr>
                <w:b/>
                <w:sz w:val="20"/>
              </w:rPr>
              <w:t>$176,100,791</w:t>
            </w:r>
          </w:p>
        </w:tc>
        <w:tc>
          <w:tcPr>
            <w:tcW w:w="1306" w:type="dxa"/>
          </w:tcPr>
          <w:p w:rsidR="00AC40FC" w:rsidRDefault="00AC40FC" w:rsidP="00A51C66">
            <w:pPr>
              <w:pStyle w:val="TableParagraph"/>
              <w:ind w:left="203" w:right="183"/>
              <w:jc w:val="center"/>
              <w:rPr>
                <w:b/>
                <w:sz w:val="20"/>
              </w:rPr>
            </w:pPr>
            <w:r>
              <w:rPr>
                <w:b/>
                <w:sz w:val="20"/>
              </w:rPr>
              <w:t>5.46%</w:t>
            </w:r>
          </w:p>
        </w:tc>
      </w:tr>
      <w:tr w:rsidR="00AC40FC" w:rsidTr="005E47C4">
        <w:trPr>
          <w:trHeight w:hRule="exact" w:val="334"/>
          <w:jc w:val="center"/>
        </w:trPr>
        <w:tc>
          <w:tcPr>
            <w:tcW w:w="4963" w:type="dxa"/>
          </w:tcPr>
          <w:p w:rsidR="00AC40FC" w:rsidRDefault="00AC40FC" w:rsidP="00A51C66">
            <w:pPr>
              <w:pStyle w:val="TableParagraph"/>
              <w:spacing w:before="79" w:line="240" w:lineRule="auto"/>
              <w:ind w:left="28" w:right="0"/>
              <w:jc w:val="left"/>
              <w:rPr>
                <w:b/>
                <w:sz w:val="20"/>
              </w:rPr>
            </w:pPr>
            <w:r>
              <w:rPr>
                <w:b/>
                <w:sz w:val="20"/>
              </w:rPr>
              <w:t>Other Power Supply Expenses</w:t>
            </w:r>
          </w:p>
        </w:tc>
        <w:tc>
          <w:tcPr>
            <w:tcW w:w="1627" w:type="dxa"/>
          </w:tcPr>
          <w:p w:rsidR="00AC40FC" w:rsidRDefault="00AC40FC" w:rsidP="00A51C66"/>
        </w:tc>
        <w:tc>
          <w:tcPr>
            <w:tcW w:w="1886" w:type="dxa"/>
          </w:tcPr>
          <w:p w:rsidR="00AC40FC" w:rsidRDefault="00AC40FC" w:rsidP="00A51C66"/>
        </w:tc>
        <w:tc>
          <w:tcPr>
            <w:tcW w:w="1579" w:type="dxa"/>
          </w:tcPr>
          <w:p w:rsidR="00AC40FC" w:rsidRDefault="00AC40FC" w:rsidP="00A51C66"/>
        </w:tc>
        <w:tc>
          <w:tcPr>
            <w:tcW w:w="1579" w:type="dxa"/>
          </w:tcPr>
          <w:p w:rsidR="00AC40FC" w:rsidRDefault="00AC40FC" w:rsidP="00A51C66"/>
        </w:tc>
        <w:tc>
          <w:tcPr>
            <w:tcW w:w="1627" w:type="dxa"/>
          </w:tcPr>
          <w:p w:rsidR="00AC40FC" w:rsidRDefault="00AC40FC" w:rsidP="00A51C66"/>
        </w:tc>
        <w:tc>
          <w:tcPr>
            <w:tcW w:w="1306" w:type="dxa"/>
          </w:tcPr>
          <w:p w:rsidR="00AC40FC" w:rsidRDefault="00AC40FC" w:rsidP="00A51C66"/>
        </w:tc>
      </w:tr>
      <w:tr w:rsidR="00AC40FC" w:rsidTr="005E47C4">
        <w:trPr>
          <w:trHeight w:hRule="exact" w:val="245"/>
          <w:jc w:val="center"/>
        </w:trPr>
        <w:tc>
          <w:tcPr>
            <w:tcW w:w="4963" w:type="dxa"/>
          </w:tcPr>
          <w:p w:rsidR="00AC40FC" w:rsidRDefault="00AC40FC" w:rsidP="00A51C66">
            <w:pPr>
              <w:pStyle w:val="TableParagraph"/>
              <w:ind w:left="179" w:right="0"/>
              <w:jc w:val="left"/>
              <w:rPr>
                <w:sz w:val="20"/>
              </w:rPr>
            </w:pPr>
            <w:r>
              <w:rPr>
                <w:sz w:val="20"/>
              </w:rPr>
              <w:t>555.0 Purchased Power</w:t>
            </w:r>
          </w:p>
        </w:tc>
        <w:tc>
          <w:tcPr>
            <w:tcW w:w="1627" w:type="dxa"/>
          </w:tcPr>
          <w:p w:rsidR="00AC40FC" w:rsidRDefault="00AC40FC" w:rsidP="00A51C66">
            <w:pPr>
              <w:pStyle w:val="TableParagraph"/>
              <w:ind w:left="132" w:right="0"/>
              <w:jc w:val="left"/>
              <w:rPr>
                <w:sz w:val="20"/>
              </w:rPr>
            </w:pPr>
            <w:r>
              <w:rPr>
                <w:sz w:val="20"/>
              </w:rPr>
              <w:t>$1,390,117,352</w:t>
            </w:r>
          </w:p>
        </w:tc>
        <w:tc>
          <w:tcPr>
            <w:tcW w:w="1886" w:type="dxa"/>
          </w:tcPr>
          <w:p w:rsidR="00AC40FC" w:rsidRDefault="00AC40FC" w:rsidP="00A51C66">
            <w:pPr>
              <w:pStyle w:val="TableParagraph"/>
              <w:ind w:right="94"/>
              <w:rPr>
                <w:sz w:val="20"/>
              </w:rPr>
            </w:pPr>
            <w:r>
              <w:rPr>
                <w:w w:val="95"/>
                <w:sz w:val="20"/>
              </w:rPr>
              <w:t>$759,101,405</w:t>
            </w:r>
          </w:p>
        </w:tc>
        <w:tc>
          <w:tcPr>
            <w:tcW w:w="1579" w:type="dxa"/>
          </w:tcPr>
          <w:p w:rsidR="00AC40FC" w:rsidRDefault="00AC40FC" w:rsidP="00A51C66">
            <w:pPr>
              <w:pStyle w:val="TableParagraph"/>
              <w:ind w:right="94"/>
              <w:rPr>
                <w:sz w:val="20"/>
              </w:rPr>
            </w:pPr>
            <w:r>
              <w:rPr>
                <w:w w:val="95"/>
                <w:sz w:val="20"/>
              </w:rPr>
              <w:t>$620,414,938</w:t>
            </w:r>
          </w:p>
        </w:tc>
        <w:tc>
          <w:tcPr>
            <w:tcW w:w="1579" w:type="dxa"/>
          </w:tcPr>
          <w:p w:rsidR="00AC40FC" w:rsidRDefault="00AC40FC" w:rsidP="00A51C66">
            <w:pPr>
              <w:pStyle w:val="TableParagraph"/>
              <w:ind w:left="249" w:right="-2"/>
              <w:jc w:val="left"/>
              <w:rPr>
                <w:sz w:val="20"/>
              </w:rPr>
            </w:pPr>
            <w:r>
              <w:rPr>
                <w:sz w:val="20"/>
              </w:rPr>
              <w:t>$630,362,743</w:t>
            </w:r>
          </w:p>
        </w:tc>
        <w:tc>
          <w:tcPr>
            <w:tcW w:w="1627" w:type="dxa"/>
          </w:tcPr>
          <w:p w:rsidR="00AC40FC" w:rsidRDefault="00AC40FC" w:rsidP="00A51C66">
            <w:pPr>
              <w:pStyle w:val="TableParagraph"/>
              <w:ind w:left="297" w:right="0"/>
              <w:jc w:val="left"/>
              <w:rPr>
                <w:sz w:val="20"/>
              </w:rPr>
            </w:pPr>
            <w:r>
              <w:rPr>
                <w:sz w:val="20"/>
              </w:rPr>
              <w:t>$660,835,713</w:t>
            </w:r>
          </w:p>
        </w:tc>
        <w:tc>
          <w:tcPr>
            <w:tcW w:w="1306" w:type="dxa"/>
          </w:tcPr>
          <w:p w:rsidR="00AC40FC" w:rsidRDefault="00AC40FC" w:rsidP="00A51C66">
            <w:pPr>
              <w:pStyle w:val="TableParagraph"/>
              <w:ind w:left="200" w:right="185"/>
              <w:jc w:val="center"/>
              <w:rPr>
                <w:sz w:val="20"/>
              </w:rPr>
            </w:pPr>
            <w:r>
              <w:rPr>
                <w:sz w:val="20"/>
              </w:rPr>
              <w:t>-16.97%</w:t>
            </w:r>
          </w:p>
        </w:tc>
      </w:tr>
      <w:tr w:rsidR="00AC40FC" w:rsidTr="005E47C4">
        <w:trPr>
          <w:trHeight w:hRule="exact" w:val="245"/>
          <w:jc w:val="center"/>
        </w:trPr>
        <w:tc>
          <w:tcPr>
            <w:tcW w:w="4963" w:type="dxa"/>
          </w:tcPr>
          <w:p w:rsidR="00AC40FC" w:rsidRDefault="00AC40FC" w:rsidP="00A51C66">
            <w:pPr>
              <w:pStyle w:val="TableParagraph"/>
              <w:ind w:left="180" w:right="0"/>
              <w:jc w:val="left"/>
              <w:rPr>
                <w:sz w:val="20"/>
              </w:rPr>
            </w:pPr>
            <w:r>
              <w:rPr>
                <w:sz w:val="20"/>
              </w:rPr>
              <w:t>556.0 System Control &amp; Load Dispatching</w:t>
            </w:r>
          </w:p>
        </w:tc>
        <w:tc>
          <w:tcPr>
            <w:tcW w:w="1627" w:type="dxa"/>
          </w:tcPr>
          <w:p w:rsidR="00AC40FC" w:rsidRDefault="00AC40FC" w:rsidP="00A51C66">
            <w:pPr>
              <w:pStyle w:val="TableParagraph"/>
              <w:rPr>
                <w:sz w:val="20"/>
              </w:rPr>
            </w:pPr>
            <w:r>
              <w:rPr>
                <w:w w:val="95"/>
                <w:sz w:val="20"/>
              </w:rPr>
              <w:t>109,613</w:t>
            </w:r>
          </w:p>
        </w:tc>
        <w:tc>
          <w:tcPr>
            <w:tcW w:w="1886" w:type="dxa"/>
          </w:tcPr>
          <w:p w:rsidR="00AC40FC" w:rsidRDefault="00AC40FC" w:rsidP="00A51C66">
            <w:pPr>
              <w:pStyle w:val="TableParagraph"/>
              <w:rPr>
                <w:sz w:val="20"/>
              </w:rPr>
            </w:pPr>
            <w:r>
              <w:rPr>
                <w:sz w:val="20"/>
              </w:rPr>
              <w:t>47,869</w:t>
            </w:r>
          </w:p>
        </w:tc>
        <w:tc>
          <w:tcPr>
            <w:tcW w:w="1579" w:type="dxa"/>
          </w:tcPr>
          <w:p w:rsidR="00AC40FC" w:rsidRDefault="00AC40FC" w:rsidP="00A51C66">
            <w:pPr>
              <w:pStyle w:val="TableParagraph"/>
              <w:rPr>
                <w:sz w:val="20"/>
              </w:rPr>
            </w:pPr>
            <w:r>
              <w:rPr>
                <w:sz w:val="20"/>
              </w:rPr>
              <w:t>62,458</w:t>
            </w:r>
          </w:p>
        </w:tc>
        <w:tc>
          <w:tcPr>
            <w:tcW w:w="1579" w:type="dxa"/>
          </w:tcPr>
          <w:p w:rsidR="00AC40FC" w:rsidRDefault="00AC40FC" w:rsidP="00A51C66">
            <w:pPr>
              <w:pStyle w:val="TableParagraph"/>
              <w:rPr>
                <w:sz w:val="20"/>
              </w:rPr>
            </w:pPr>
            <w:r>
              <w:rPr>
                <w:sz w:val="20"/>
              </w:rPr>
              <w:t>57,475</w:t>
            </w:r>
          </w:p>
        </w:tc>
        <w:tc>
          <w:tcPr>
            <w:tcW w:w="1627" w:type="dxa"/>
          </w:tcPr>
          <w:p w:rsidR="00AC40FC" w:rsidRDefault="00AC40FC" w:rsidP="00A51C66">
            <w:pPr>
              <w:pStyle w:val="TableParagraph"/>
              <w:rPr>
                <w:sz w:val="20"/>
              </w:rPr>
            </w:pPr>
            <w:r>
              <w:rPr>
                <w:sz w:val="20"/>
              </w:rPr>
              <w:t>57,807</w:t>
            </w:r>
          </w:p>
        </w:tc>
        <w:tc>
          <w:tcPr>
            <w:tcW w:w="1306" w:type="dxa"/>
          </w:tcPr>
          <w:p w:rsidR="00AC40FC" w:rsidRDefault="00AC40FC" w:rsidP="00A51C66">
            <w:pPr>
              <w:pStyle w:val="TableParagraph"/>
              <w:ind w:left="201" w:right="185"/>
              <w:jc w:val="center"/>
              <w:rPr>
                <w:sz w:val="20"/>
              </w:rPr>
            </w:pPr>
            <w:r>
              <w:rPr>
                <w:sz w:val="20"/>
              </w:rPr>
              <w:t>-14.78%</w:t>
            </w:r>
          </w:p>
        </w:tc>
      </w:tr>
    </w:tbl>
    <w:p w:rsidR="00AC40FC" w:rsidRDefault="00AC40FC"/>
    <w:p w:rsidR="00AC40FC" w:rsidRDefault="00AC40FC">
      <w:pPr>
        <w:sectPr w:rsidR="00AC40FC" w:rsidSect="005E47C4">
          <w:headerReference w:type="default" r:id="rId92"/>
          <w:footerReference w:type="default" r:id="rId93"/>
          <w:pgSz w:w="15840" w:h="12240" w:orient="landscape"/>
          <w:pgMar w:top="720" w:right="720" w:bottom="720" w:left="720" w:header="432" w:footer="288" w:gutter="0"/>
          <w:cols w:space="720"/>
          <w:docGrid w:linePitch="360"/>
        </w:sectPr>
      </w:pPr>
    </w:p>
    <w:p w:rsidR="00AC40FC" w:rsidRPr="006B3BEA" w:rsidRDefault="00AC40FC" w:rsidP="0077443B">
      <w:pPr>
        <w:pStyle w:val="Heading6"/>
        <w:spacing w:before="120" w:after="0"/>
      </w:pPr>
      <w:bookmarkStart w:id="475" w:name="_Toc461088613"/>
      <w:bookmarkStart w:id="476" w:name="_Toc464486124"/>
      <w:r>
        <w:lastRenderedPageBreak/>
        <w:t>ppl electric UTILITIES CORPORATION balance sheet</w:t>
      </w:r>
      <w:bookmarkEnd w:id="475"/>
      <w:bookmarkEnd w:id="476"/>
    </w:p>
    <w:p w:rsidR="00AC40FC" w:rsidRDefault="00AC40FC" w:rsidP="00B052DB">
      <w:pPr>
        <w:pStyle w:val="Heading30"/>
        <w:spacing w:before="0"/>
        <w:jc w:val="center"/>
      </w:pPr>
      <w:r w:rsidRPr="006B3BEA">
        <w:t>2010–2014 Annual Data and Compound Growth Rate</w:t>
      </w:r>
    </w:p>
    <w:p w:rsidR="00AC40FC" w:rsidRPr="006B3BEA" w:rsidRDefault="00AC40FC" w:rsidP="004966B1">
      <w:pPr>
        <w:pStyle w:val="Caption"/>
        <w:spacing w:after="60"/>
      </w:pPr>
      <w:bookmarkStart w:id="477" w:name="_Toc462648521"/>
      <w:bookmarkStart w:id="478" w:name="_Toc464553143"/>
      <w:r>
        <w:t xml:space="preserve">Exhibit </w:t>
      </w:r>
      <w:fldSimple w:instr=" STYLEREF 6 \s ">
        <w:r w:rsidR="00A24205">
          <w:rPr>
            <w:noProof/>
          </w:rPr>
          <w:t>B</w:t>
        </w:r>
      </w:fldSimple>
      <w:r>
        <w:noBreakHyphen/>
      </w:r>
      <w:fldSimple w:instr=" SEQ Exhibit_Apx \* ARABIC \s 6 ">
        <w:r w:rsidR="00A24205">
          <w:rPr>
            <w:noProof/>
          </w:rPr>
          <w:t>1</w:t>
        </w:r>
      </w:fldSimple>
      <w:r>
        <w:t>. PPL Electric Utilities Corporation Balance Sheet</w:t>
      </w:r>
      <w:bookmarkEnd w:id="477"/>
      <w:bookmarkEnd w:id="478"/>
    </w:p>
    <w:tbl>
      <w:tblPr>
        <w:tblW w:w="1475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5059"/>
        <w:gridCol w:w="1740"/>
        <w:gridCol w:w="1740"/>
        <w:gridCol w:w="1740"/>
        <w:gridCol w:w="1627"/>
        <w:gridCol w:w="1627"/>
        <w:gridCol w:w="1225"/>
      </w:tblGrid>
      <w:tr w:rsidR="00AC40FC" w:rsidRPr="006B3BEA" w:rsidTr="004966B1">
        <w:trPr>
          <w:trHeight w:hRule="exact" w:val="492"/>
          <w:jc w:val="center"/>
        </w:trPr>
        <w:tc>
          <w:tcPr>
            <w:tcW w:w="5059" w:type="dxa"/>
            <w:shd w:val="clear" w:color="auto" w:fill="A5CD7E"/>
          </w:tcPr>
          <w:p w:rsidR="00AC40FC" w:rsidRPr="006B3BEA" w:rsidRDefault="00AC40FC" w:rsidP="00A21EC8">
            <w:pPr>
              <w:widowControl w:val="0"/>
              <w:spacing w:before="122" w:after="0"/>
              <w:ind w:left="28"/>
              <w:rPr>
                <w:rFonts w:eastAsia="Arial" w:cs="Arial"/>
                <w:b/>
                <w:sz w:val="20"/>
              </w:rPr>
            </w:pPr>
            <w:r w:rsidRPr="006B3BEA">
              <w:rPr>
                <w:rFonts w:eastAsia="Arial" w:cs="Arial"/>
                <w:b/>
                <w:sz w:val="20"/>
              </w:rPr>
              <w:t xml:space="preserve">PPL Electric </w:t>
            </w:r>
            <w:r>
              <w:rPr>
                <w:rFonts w:eastAsia="Arial" w:cs="Arial"/>
                <w:b/>
                <w:sz w:val="20"/>
              </w:rPr>
              <w:t>Utilities Corporation</w:t>
            </w:r>
            <w:r w:rsidRPr="006B3BEA">
              <w:rPr>
                <w:rFonts w:eastAsia="Arial" w:cs="Arial"/>
                <w:b/>
                <w:sz w:val="20"/>
              </w:rPr>
              <w:t xml:space="preserve"> Balance Sheet</w:t>
            </w:r>
          </w:p>
        </w:tc>
        <w:tc>
          <w:tcPr>
            <w:tcW w:w="1740" w:type="dxa"/>
            <w:shd w:val="clear" w:color="auto" w:fill="A5CD7E"/>
          </w:tcPr>
          <w:p w:rsidR="00AC40FC" w:rsidRPr="006B3BEA" w:rsidRDefault="00AC40FC" w:rsidP="00A51C66">
            <w:pPr>
              <w:widowControl w:val="0"/>
              <w:spacing w:before="122" w:after="0"/>
              <w:ind w:left="625" w:right="609"/>
              <w:jc w:val="center"/>
              <w:rPr>
                <w:rFonts w:eastAsia="Arial" w:cs="Arial"/>
                <w:b/>
                <w:sz w:val="20"/>
              </w:rPr>
            </w:pPr>
            <w:r w:rsidRPr="006B3BEA">
              <w:rPr>
                <w:rFonts w:eastAsia="Arial" w:cs="Arial"/>
                <w:b/>
                <w:sz w:val="20"/>
              </w:rPr>
              <w:t>2010</w:t>
            </w:r>
          </w:p>
        </w:tc>
        <w:tc>
          <w:tcPr>
            <w:tcW w:w="1740" w:type="dxa"/>
            <w:shd w:val="clear" w:color="auto" w:fill="A5CD7E"/>
          </w:tcPr>
          <w:p w:rsidR="00AC40FC" w:rsidRPr="006B3BEA" w:rsidRDefault="00AC40FC" w:rsidP="00A51C66">
            <w:pPr>
              <w:widowControl w:val="0"/>
              <w:spacing w:before="122" w:after="0"/>
              <w:ind w:left="625" w:right="609"/>
              <w:jc w:val="center"/>
              <w:rPr>
                <w:rFonts w:eastAsia="Arial" w:cs="Arial"/>
                <w:b/>
                <w:sz w:val="20"/>
              </w:rPr>
            </w:pPr>
            <w:r w:rsidRPr="006B3BEA">
              <w:rPr>
                <w:rFonts w:eastAsia="Arial" w:cs="Arial"/>
                <w:b/>
                <w:sz w:val="20"/>
              </w:rPr>
              <w:t>2011</w:t>
            </w:r>
          </w:p>
        </w:tc>
        <w:tc>
          <w:tcPr>
            <w:tcW w:w="1740" w:type="dxa"/>
            <w:shd w:val="clear" w:color="auto" w:fill="A5CD7E"/>
          </w:tcPr>
          <w:p w:rsidR="00AC40FC" w:rsidRPr="006B3BEA" w:rsidRDefault="00AC40FC" w:rsidP="00A51C66">
            <w:pPr>
              <w:widowControl w:val="0"/>
              <w:spacing w:before="122" w:after="0"/>
              <w:ind w:left="625" w:right="609"/>
              <w:jc w:val="center"/>
              <w:rPr>
                <w:rFonts w:eastAsia="Arial" w:cs="Arial"/>
                <w:b/>
                <w:sz w:val="20"/>
              </w:rPr>
            </w:pPr>
            <w:r w:rsidRPr="006B3BEA">
              <w:rPr>
                <w:rFonts w:eastAsia="Arial" w:cs="Arial"/>
                <w:b/>
                <w:sz w:val="20"/>
              </w:rPr>
              <w:t>2012</w:t>
            </w:r>
          </w:p>
        </w:tc>
        <w:tc>
          <w:tcPr>
            <w:tcW w:w="1627" w:type="dxa"/>
            <w:shd w:val="clear" w:color="auto" w:fill="A5CD7E"/>
          </w:tcPr>
          <w:p w:rsidR="00AC40FC" w:rsidRPr="006B3BEA" w:rsidRDefault="00AC40FC" w:rsidP="00A51C66">
            <w:pPr>
              <w:widowControl w:val="0"/>
              <w:spacing w:before="122" w:after="0"/>
              <w:ind w:left="571" w:right="552"/>
              <w:jc w:val="center"/>
              <w:rPr>
                <w:rFonts w:eastAsia="Arial" w:cs="Arial"/>
                <w:b/>
                <w:sz w:val="20"/>
              </w:rPr>
            </w:pPr>
            <w:r w:rsidRPr="006B3BEA">
              <w:rPr>
                <w:rFonts w:eastAsia="Arial" w:cs="Arial"/>
                <w:b/>
                <w:sz w:val="20"/>
              </w:rPr>
              <w:t>2013</w:t>
            </w:r>
          </w:p>
        </w:tc>
        <w:tc>
          <w:tcPr>
            <w:tcW w:w="1627" w:type="dxa"/>
            <w:shd w:val="clear" w:color="auto" w:fill="A5CD7E"/>
          </w:tcPr>
          <w:p w:rsidR="00AC40FC" w:rsidRPr="006B3BEA" w:rsidRDefault="00AC40FC" w:rsidP="00A51C66">
            <w:pPr>
              <w:widowControl w:val="0"/>
              <w:spacing w:before="122" w:after="0"/>
              <w:ind w:left="571" w:right="552"/>
              <w:jc w:val="center"/>
              <w:rPr>
                <w:rFonts w:eastAsia="Arial" w:cs="Arial"/>
                <w:b/>
                <w:sz w:val="20"/>
              </w:rPr>
            </w:pPr>
            <w:r w:rsidRPr="006B3BEA">
              <w:rPr>
                <w:rFonts w:eastAsia="Arial" w:cs="Arial"/>
                <w:b/>
                <w:sz w:val="20"/>
              </w:rPr>
              <w:t>2014</w:t>
            </w:r>
          </w:p>
        </w:tc>
        <w:tc>
          <w:tcPr>
            <w:tcW w:w="1225" w:type="dxa"/>
            <w:shd w:val="clear" w:color="auto" w:fill="A5CD7E"/>
          </w:tcPr>
          <w:p w:rsidR="00AC40FC" w:rsidRPr="006B3BEA" w:rsidRDefault="00AC40FC" w:rsidP="00A51C66">
            <w:pPr>
              <w:widowControl w:val="0"/>
              <w:spacing w:after="0" w:line="268" w:lineRule="auto"/>
              <w:ind w:left="254" w:right="53" w:hanging="178"/>
              <w:rPr>
                <w:rFonts w:eastAsia="Arial" w:cs="Arial"/>
                <w:b/>
                <w:sz w:val="20"/>
              </w:rPr>
            </w:pPr>
            <w:r w:rsidRPr="006B3BEA">
              <w:rPr>
                <w:rFonts w:eastAsia="Arial" w:cs="Arial"/>
                <w:b/>
                <w:sz w:val="20"/>
              </w:rPr>
              <w:t>Compound Growth</w:t>
            </w:r>
          </w:p>
        </w:tc>
      </w:tr>
      <w:tr w:rsidR="00AC40FC" w:rsidRPr="006B3BEA" w:rsidTr="004966B1">
        <w:trPr>
          <w:trHeight w:hRule="exact" w:val="245"/>
          <w:jc w:val="center"/>
        </w:trPr>
        <w:tc>
          <w:tcPr>
            <w:tcW w:w="14758" w:type="dxa"/>
            <w:gridSpan w:val="7"/>
          </w:tcPr>
          <w:p w:rsidR="00AC40FC" w:rsidRPr="006B3BEA" w:rsidRDefault="00AC40FC" w:rsidP="00A51C66">
            <w:pPr>
              <w:widowControl w:val="0"/>
              <w:spacing w:after="0" w:line="220" w:lineRule="exact"/>
              <w:ind w:left="28"/>
              <w:rPr>
                <w:rFonts w:eastAsia="Arial" w:cs="Arial"/>
                <w:b/>
                <w:sz w:val="20"/>
              </w:rPr>
            </w:pPr>
            <w:r w:rsidRPr="006B3BEA">
              <w:rPr>
                <w:rFonts w:eastAsia="Arial" w:cs="Arial"/>
                <w:b/>
                <w:sz w:val="20"/>
              </w:rPr>
              <w:t>UTILITY PLANT</w:t>
            </w:r>
          </w:p>
        </w:tc>
      </w:tr>
      <w:tr w:rsidR="00AC40FC" w:rsidRPr="006B3BEA" w:rsidTr="004966B1">
        <w:trPr>
          <w:trHeight w:hRule="exact" w:val="245"/>
          <w:jc w:val="center"/>
        </w:trPr>
        <w:tc>
          <w:tcPr>
            <w:tcW w:w="5059" w:type="dxa"/>
          </w:tcPr>
          <w:p w:rsidR="00AC40FC" w:rsidRPr="006B3BEA" w:rsidRDefault="00AC40FC" w:rsidP="00A51C66">
            <w:pPr>
              <w:widowControl w:val="0"/>
              <w:spacing w:after="0" w:line="220" w:lineRule="exact"/>
              <w:ind w:left="180"/>
              <w:rPr>
                <w:rFonts w:eastAsia="Arial" w:cs="Arial"/>
                <w:sz w:val="20"/>
              </w:rPr>
            </w:pPr>
            <w:r w:rsidRPr="006B3BEA">
              <w:rPr>
                <w:rFonts w:eastAsia="Arial" w:cs="Arial"/>
                <w:sz w:val="20"/>
              </w:rPr>
              <w:t>101.0 Electric Plant in Service</w:t>
            </w:r>
          </w:p>
        </w:tc>
        <w:tc>
          <w:tcPr>
            <w:tcW w:w="1740" w:type="dxa"/>
          </w:tcPr>
          <w:p w:rsidR="00AC40FC" w:rsidRPr="006B3BEA" w:rsidRDefault="00AC40FC" w:rsidP="00A51C66">
            <w:pPr>
              <w:widowControl w:val="0"/>
              <w:spacing w:after="0" w:line="220" w:lineRule="exact"/>
              <w:ind w:left="244"/>
              <w:rPr>
                <w:rFonts w:eastAsia="Arial" w:cs="Arial"/>
                <w:sz w:val="20"/>
              </w:rPr>
            </w:pPr>
            <w:r w:rsidRPr="006B3BEA">
              <w:rPr>
                <w:rFonts w:eastAsia="Arial" w:cs="Arial"/>
                <w:sz w:val="20"/>
              </w:rPr>
              <w:t>$5,463,992,510</w:t>
            </w:r>
          </w:p>
        </w:tc>
        <w:tc>
          <w:tcPr>
            <w:tcW w:w="1740" w:type="dxa"/>
          </w:tcPr>
          <w:p w:rsidR="00AC40FC" w:rsidRPr="006B3BEA" w:rsidRDefault="00AC40FC" w:rsidP="00A51C66">
            <w:pPr>
              <w:widowControl w:val="0"/>
              <w:spacing w:after="0" w:line="220" w:lineRule="exact"/>
              <w:ind w:left="244"/>
              <w:rPr>
                <w:rFonts w:eastAsia="Arial" w:cs="Arial"/>
                <w:sz w:val="20"/>
              </w:rPr>
            </w:pPr>
            <w:r w:rsidRPr="006B3BEA">
              <w:rPr>
                <w:rFonts w:eastAsia="Arial" w:cs="Arial"/>
                <w:sz w:val="20"/>
              </w:rPr>
              <w:t>$5,783,441,699</w:t>
            </w:r>
          </w:p>
        </w:tc>
        <w:tc>
          <w:tcPr>
            <w:tcW w:w="1740" w:type="dxa"/>
          </w:tcPr>
          <w:p w:rsidR="00AC40FC" w:rsidRPr="006B3BEA" w:rsidRDefault="00AC40FC" w:rsidP="00A51C66">
            <w:pPr>
              <w:widowControl w:val="0"/>
              <w:spacing w:after="0" w:line="220" w:lineRule="exact"/>
              <w:ind w:left="244"/>
              <w:rPr>
                <w:rFonts w:eastAsia="Arial" w:cs="Arial"/>
                <w:sz w:val="20"/>
              </w:rPr>
            </w:pPr>
            <w:r w:rsidRPr="006B3BEA">
              <w:rPr>
                <w:rFonts w:eastAsia="Arial" w:cs="Arial"/>
                <w:sz w:val="20"/>
              </w:rPr>
              <w:t>$6,132,756,388</w:t>
            </w:r>
          </w:p>
        </w:tc>
        <w:tc>
          <w:tcPr>
            <w:tcW w:w="1627" w:type="dxa"/>
          </w:tcPr>
          <w:p w:rsidR="00AC40FC" w:rsidRPr="006B3BEA" w:rsidRDefault="00AC40FC" w:rsidP="00A51C66">
            <w:pPr>
              <w:widowControl w:val="0"/>
              <w:spacing w:after="0" w:line="220" w:lineRule="exact"/>
              <w:ind w:left="132"/>
              <w:rPr>
                <w:rFonts w:eastAsia="Arial" w:cs="Arial"/>
                <w:sz w:val="20"/>
              </w:rPr>
            </w:pPr>
            <w:r w:rsidRPr="006B3BEA">
              <w:rPr>
                <w:rFonts w:eastAsia="Arial" w:cs="Arial"/>
                <w:sz w:val="20"/>
              </w:rPr>
              <w:t>$6,471,063,944</w:t>
            </w:r>
          </w:p>
        </w:tc>
        <w:tc>
          <w:tcPr>
            <w:tcW w:w="1627" w:type="dxa"/>
          </w:tcPr>
          <w:p w:rsidR="00AC40FC" w:rsidRPr="006B3BEA" w:rsidRDefault="00AC40FC" w:rsidP="00A51C66">
            <w:pPr>
              <w:widowControl w:val="0"/>
              <w:spacing w:after="0" w:line="220" w:lineRule="exact"/>
              <w:ind w:right="94"/>
              <w:jc w:val="right"/>
              <w:rPr>
                <w:rFonts w:eastAsia="Arial" w:cs="Arial"/>
                <w:sz w:val="20"/>
              </w:rPr>
            </w:pPr>
            <w:r w:rsidRPr="006B3BEA">
              <w:rPr>
                <w:rFonts w:eastAsia="Arial" w:cs="Arial"/>
                <w:w w:val="95"/>
                <w:sz w:val="20"/>
              </w:rPr>
              <w:t>$6,862,257,827</w:t>
            </w:r>
          </w:p>
        </w:tc>
        <w:tc>
          <w:tcPr>
            <w:tcW w:w="1225" w:type="dxa"/>
          </w:tcPr>
          <w:p w:rsidR="00AC40FC" w:rsidRPr="006B3BEA" w:rsidRDefault="00AC40FC" w:rsidP="00A51C66">
            <w:pPr>
              <w:widowControl w:val="0"/>
              <w:spacing w:after="0" w:line="220" w:lineRule="exact"/>
              <w:ind w:left="160" w:right="144"/>
              <w:jc w:val="center"/>
              <w:rPr>
                <w:rFonts w:eastAsia="Arial" w:cs="Arial"/>
                <w:sz w:val="20"/>
              </w:rPr>
            </w:pPr>
            <w:r w:rsidRPr="006B3BEA">
              <w:rPr>
                <w:rFonts w:eastAsia="Arial" w:cs="Arial"/>
                <w:sz w:val="20"/>
              </w:rPr>
              <w:t>5.86%</w:t>
            </w:r>
          </w:p>
        </w:tc>
      </w:tr>
      <w:tr w:rsidR="00AC40FC" w:rsidRPr="006B3BEA" w:rsidTr="004966B1">
        <w:trPr>
          <w:trHeight w:hRule="exact" w:val="245"/>
          <w:jc w:val="center"/>
        </w:trPr>
        <w:tc>
          <w:tcPr>
            <w:tcW w:w="5059" w:type="dxa"/>
          </w:tcPr>
          <w:p w:rsidR="00AC40FC" w:rsidRPr="006B3BEA" w:rsidRDefault="00AC40FC" w:rsidP="00A51C66">
            <w:pPr>
              <w:widowControl w:val="0"/>
              <w:spacing w:after="0" w:line="220" w:lineRule="exact"/>
              <w:ind w:left="180"/>
              <w:rPr>
                <w:rFonts w:eastAsia="Arial" w:cs="Arial"/>
                <w:sz w:val="20"/>
              </w:rPr>
            </w:pPr>
            <w:r w:rsidRPr="006B3BEA">
              <w:rPr>
                <w:rFonts w:eastAsia="Arial" w:cs="Arial"/>
                <w:sz w:val="20"/>
              </w:rPr>
              <w:t>106.0 Completed Construction Not Classified-Electric</w:t>
            </w:r>
          </w:p>
        </w:tc>
        <w:tc>
          <w:tcPr>
            <w:tcW w:w="1740" w:type="dxa"/>
          </w:tcPr>
          <w:p w:rsidR="00AC40FC" w:rsidRPr="006B3BEA" w:rsidRDefault="00AC40FC" w:rsidP="00A51C66">
            <w:pPr>
              <w:widowControl w:val="0"/>
              <w:spacing w:after="0" w:line="220" w:lineRule="exact"/>
              <w:ind w:right="26"/>
              <w:jc w:val="right"/>
              <w:rPr>
                <w:rFonts w:eastAsia="Arial" w:cs="Arial"/>
                <w:sz w:val="20"/>
              </w:rPr>
            </w:pPr>
            <w:r w:rsidRPr="006B3BEA">
              <w:rPr>
                <w:rFonts w:eastAsia="Arial" w:cs="Arial"/>
                <w:w w:val="95"/>
                <w:sz w:val="20"/>
              </w:rPr>
              <w:t>214,606,027</w:t>
            </w:r>
          </w:p>
        </w:tc>
        <w:tc>
          <w:tcPr>
            <w:tcW w:w="1740" w:type="dxa"/>
          </w:tcPr>
          <w:p w:rsidR="00AC40FC" w:rsidRPr="006B3BEA" w:rsidRDefault="00AC40FC" w:rsidP="00A51C66">
            <w:pPr>
              <w:widowControl w:val="0"/>
              <w:spacing w:after="0" w:line="220" w:lineRule="exact"/>
              <w:ind w:right="26"/>
              <w:jc w:val="right"/>
              <w:rPr>
                <w:rFonts w:eastAsia="Arial" w:cs="Arial"/>
                <w:sz w:val="20"/>
              </w:rPr>
            </w:pPr>
            <w:r w:rsidRPr="006B3BEA">
              <w:rPr>
                <w:rFonts w:eastAsia="Arial" w:cs="Arial"/>
                <w:w w:val="95"/>
                <w:sz w:val="20"/>
              </w:rPr>
              <w:t>236,469,705</w:t>
            </w:r>
          </w:p>
        </w:tc>
        <w:tc>
          <w:tcPr>
            <w:tcW w:w="1740" w:type="dxa"/>
          </w:tcPr>
          <w:p w:rsidR="00AC40FC" w:rsidRPr="006B3BEA" w:rsidRDefault="00AC40FC" w:rsidP="00A51C66">
            <w:pPr>
              <w:widowControl w:val="0"/>
              <w:spacing w:after="0" w:line="220" w:lineRule="exact"/>
              <w:ind w:right="26"/>
              <w:jc w:val="right"/>
              <w:rPr>
                <w:rFonts w:eastAsia="Arial" w:cs="Arial"/>
                <w:sz w:val="20"/>
              </w:rPr>
            </w:pPr>
            <w:r w:rsidRPr="006B3BEA">
              <w:rPr>
                <w:rFonts w:eastAsia="Arial" w:cs="Arial"/>
                <w:w w:val="95"/>
                <w:sz w:val="20"/>
              </w:rPr>
              <w:t>369,131,408</w:t>
            </w:r>
          </w:p>
        </w:tc>
        <w:tc>
          <w:tcPr>
            <w:tcW w:w="1627" w:type="dxa"/>
          </w:tcPr>
          <w:p w:rsidR="00AC40FC" w:rsidRPr="006B3BEA" w:rsidRDefault="00AC40FC" w:rsidP="00A51C66">
            <w:pPr>
              <w:widowControl w:val="0"/>
              <w:spacing w:after="0" w:line="220" w:lineRule="exact"/>
              <w:ind w:right="26"/>
              <w:jc w:val="right"/>
              <w:rPr>
                <w:rFonts w:eastAsia="Arial" w:cs="Arial"/>
                <w:sz w:val="20"/>
              </w:rPr>
            </w:pPr>
            <w:r w:rsidRPr="006B3BEA">
              <w:rPr>
                <w:rFonts w:eastAsia="Arial" w:cs="Arial"/>
                <w:w w:val="95"/>
                <w:sz w:val="20"/>
              </w:rPr>
              <w:t>660,175,598</w:t>
            </w:r>
          </w:p>
        </w:tc>
        <w:tc>
          <w:tcPr>
            <w:tcW w:w="1627" w:type="dxa"/>
          </w:tcPr>
          <w:p w:rsidR="00AC40FC" w:rsidRPr="006B3BEA" w:rsidRDefault="00AC40FC" w:rsidP="00A51C66">
            <w:pPr>
              <w:widowControl w:val="0"/>
              <w:spacing w:after="0" w:line="220" w:lineRule="exact"/>
              <w:ind w:right="26"/>
              <w:jc w:val="right"/>
              <w:rPr>
                <w:rFonts w:eastAsia="Arial" w:cs="Arial"/>
                <w:sz w:val="20"/>
              </w:rPr>
            </w:pPr>
            <w:r w:rsidRPr="006B3BEA">
              <w:rPr>
                <w:rFonts w:eastAsia="Arial" w:cs="Arial"/>
                <w:w w:val="95"/>
                <w:sz w:val="20"/>
              </w:rPr>
              <w:t>1,003,552,585</w:t>
            </w:r>
          </w:p>
        </w:tc>
        <w:tc>
          <w:tcPr>
            <w:tcW w:w="1225" w:type="dxa"/>
          </w:tcPr>
          <w:p w:rsidR="00AC40FC" w:rsidRPr="006B3BEA" w:rsidRDefault="00AC40FC" w:rsidP="00A51C66">
            <w:pPr>
              <w:widowControl w:val="0"/>
              <w:spacing w:after="0" w:line="220" w:lineRule="exact"/>
              <w:ind w:left="160" w:right="144"/>
              <w:jc w:val="center"/>
              <w:rPr>
                <w:rFonts w:eastAsia="Arial" w:cs="Arial"/>
                <w:sz w:val="20"/>
              </w:rPr>
            </w:pPr>
            <w:r w:rsidRPr="006B3BEA">
              <w:rPr>
                <w:rFonts w:eastAsia="Arial" w:cs="Arial"/>
                <w:sz w:val="20"/>
              </w:rPr>
              <w:t>47.05%</w:t>
            </w:r>
          </w:p>
        </w:tc>
      </w:tr>
      <w:tr w:rsidR="00AC40FC" w:rsidRPr="006B3BEA" w:rsidTr="004966B1">
        <w:trPr>
          <w:trHeight w:hRule="exact" w:val="245"/>
          <w:jc w:val="center"/>
        </w:trPr>
        <w:tc>
          <w:tcPr>
            <w:tcW w:w="5059" w:type="dxa"/>
          </w:tcPr>
          <w:p w:rsidR="00AC40FC" w:rsidRPr="006B3BEA" w:rsidRDefault="00AC40FC" w:rsidP="00A51C66">
            <w:pPr>
              <w:widowControl w:val="0"/>
              <w:spacing w:after="0" w:line="220" w:lineRule="exact"/>
              <w:ind w:left="2299"/>
              <w:rPr>
                <w:rFonts w:eastAsia="Arial" w:cs="Arial"/>
                <w:b/>
                <w:sz w:val="20"/>
              </w:rPr>
            </w:pPr>
            <w:r w:rsidRPr="006B3BEA">
              <w:rPr>
                <w:rFonts w:eastAsia="Arial" w:cs="Arial"/>
                <w:b/>
                <w:sz w:val="20"/>
              </w:rPr>
              <w:t>TOTAL PLANT IN SERVICE</w:t>
            </w:r>
          </w:p>
        </w:tc>
        <w:tc>
          <w:tcPr>
            <w:tcW w:w="1740" w:type="dxa"/>
          </w:tcPr>
          <w:p w:rsidR="00AC40FC" w:rsidRPr="006B3BEA" w:rsidRDefault="00AC40FC" w:rsidP="00A51C66">
            <w:pPr>
              <w:widowControl w:val="0"/>
              <w:spacing w:after="0" w:line="220" w:lineRule="exact"/>
              <w:ind w:left="244"/>
              <w:rPr>
                <w:rFonts w:eastAsia="Arial" w:cs="Arial"/>
                <w:b/>
                <w:sz w:val="20"/>
              </w:rPr>
            </w:pPr>
            <w:r w:rsidRPr="006B3BEA">
              <w:rPr>
                <w:rFonts w:eastAsia="Arial" w:cs="Arial"/>
                <w:b/>
                <w:sz w:val="20"/>
              </w:rPr>
              <w:t>$5,678,598,537</w:t>
            </w:r>
          </w:p>
        </w:tc>
        <w:tc>
          <w:tcPr>
            <w:tcW w:w="1740" w:type="dxa"/>
          </w:tcPr>
          <w:p w:rsidR="00AC40FC" w:rsidRPr="006B3BEA" w:rsidRDefault="00AC40FC" w:rsidP="00A51C66">
            <w:pPr>
              <w:widowControl w:val="0"/>
              <w:spacing w:after="0" w:line="220" w:lineRule="exact"/>
              <w:ind w:left="244"/>
              <w:rPr>
                <w:rFonts w:eastAsia="Arial" w:cs="Arial"/>
                <w:b/>
                <w:sz w:val="20"/>
              </w:rPr>
            </w:pPr>
            <w:r w:rsidRPr="006B3BEA">
              <w:rPr>
                <w:rFonts w:eastAsia="Arial" w:cs="Arial"/>
                <w:b/>
                <w:sz w:val="20"/>
              </w:rPr>
              <w:t>$6,019,911,404</w:t>
            </w:r>
          </w:p>
        </w:tc>
        <w:tc>
          <w:tcPr>
            <w:tcW w:w="1740" w:type="dxa"/>
          </w:tcPr>
          <w:p w:rsidR="00AC40FC" w:rsidRPr="006B3BEA" w:rsidRDefault="00AC40FC" w:rsidP="00A51C66">
            <w:pPr>
              <w:widowControl w:val="0"/>
              <w:spacing w:after="0" w:line="220" w:lineRule="exact"/>
              <w:ind w:left="244"/>
              <w:rPr>
                <w:rFonts w:eastAsia="Arial" w:cs="Arial"/>
                <w:b/>
                <w:sz w:val="20"/>
              </w:rPr>
            </w:pPr>
            <w:r w:rsidRPr="006B3BEA">
              <w:rPr>
                <w:rFonts w:eastAsia="Arial" w:cs="Arial"/>
                <w:b/>
                <w:sz w:val="20"/>
              </w:rPr>
              <w:t>$6,501,887,796</w:t>
            </w:r>
          </w:p>
        </w:tc>
        <w:tc>
          <w:tcPr>
            <w:tcW w:w="1627" w:type="dxa"/>
          </w:tcPr>
          <w:p w:rsidR="00AC40FC" w:rsidRPr="006B3BEA" w:rsidRDefault="00AC40FC" w:rsidP="00A51C66">
            <w:pPr>
              <w:widowControl w:val="0"/>
              <w:spacing w:after="0" w:line="220" w:lineRule="exact"/>
              <w:ind w:left="132"/>
              <w:rPr>
                <w:rFonts w:eastAsia="Arial" w:cs="Arial"/>
                <w:b/>
                <w:sz w:val="20"/>
              </w:rPr>
            </w:pPr>
            <w:r w:rsidRPr="006B3BEA">
              <w:rPr>
                <w:rFonts w:eastAsia="Arial" w:cs="Arial"/>
                <w:b/>
                <w:sz w:val="20"/>
              </w:rPr>
              <w:t>$7,131,239,542</w:t>
            </w:r>
          </w:p>
        </w:tc>
        <w:tc>
          <w:tcPr>
            <w:tcW w:w="1627" w:type="dxa"/>
          </w:tcPr>
          <w:p w:rsidR="00AC40FC" w:rsidRPr="006B3BEA" w:rsidRDefault="00AC40FC" w:rsidP="00A51C66">
            <w:pPr>
              <w:widowControl w:val="0"/>
              <w:spacing w:after="0" w:line="220" w:lineRule="exact"/>
              <w:ind w:right="94"/>
              <w:jc w:val="right"/>
              <w:rPr>
                <w:rFonts w:eastAsia="Arial" w:cs="Arial"/>
                <w:b/>
                <w:sz w:val="20"/>
              </w:rPr>
            </w:pPr>
            <w:r w:rsidRPr="006B3BEA">
              <w:rPr>
                <w:rFonts w:eastAsia="Arial" w:cs="Arial"/>
                <w:b/>
                <w:w w:val="95"/>
                <w:sz w:val="20"/>
              </w:rPr>
              <w:t>$7,865,810,412</w:t>
            </w:r>
          </w:p>
        </w:tc>
        <w:tc>
          <w:tcPr>
            <w:tcW w:w="1225" w:type="dxa"/>
          </w:tcPr>
          <w:p w:rsidR="00AC40FC" w:rsidRPr="006B3BEA" w:rsidRDefault="00AC40FC" w:rsidP="00A51C66">
            <w:pPr>
              <w:widowControl w:val="0"/>
              <w:spacing w:after="0" w:line="220" w:lineRule="exact"/>
              <w:ind w:left="159" w:right="144"/>
              <w:jc w:val="center"/>
              <w:rPr>
                <w:rFonts w:eastAsia="Arial" w:cs="Arial"/>
                <w:sz w:val="20"/>
              </w:rPr>
            </w:pPr>
            <w:r w:rsidRPr="006B3BEA">
              <w:rPr>
                <w:rFonts w:eastAsia="Arial" w:cs="Arial"/>
                <w:sz w:val="20"/>
              </w:rPr>
              <w:t>8.49%</w:t>
            </w:r>
          </w:p>
        </w:tc>
      </w:tr>
      <w:tr w:rsidR="00AC40FC" w:rsidRPr="006B3BEA" w:rsidTr="004966B1">
        <w:trPr>
          <w:trHeight w:hRule="exact" w:val="245"/>
          <w:jc w:val="center"/>
        </w:trPr>
        <w:tc>
          <w:tcPr>
            <w:tcW w:w="5059" w:type="dxa"/>
          </w:tcPr>
          <w:p w:rsidR="00AC40FC" w:rsidRPr="006B3BEA" w:rsidRDefault="00AC40FC" w:rsidP="00A51C66">
            <w:pPr>
              <w:widowControl w:val="0"/>
              <w:spacing w:after="0" w:line="220" w:lineRule="exact"/>
              <w:ind w:left="180"/>
              <w:rPr>
                <w:rFonts w:eastAsia="Arial" w:cs="Arial"/>
                <w:sz w:val="20"/>
              </w:rPr>
            </w:pPr>
            <w:r w:rsidRPr="006B3BEA">
              <w:rPr>
                <w:rFonts w:eastAsia="Arial" w:cs="Arial"/>
                <w:sz w:val="20"/>
              </w:rPr>
              <w:t>105.0 Electric Plant Held for Future Use</w:t>
            </w:r>
          </w:p>
        </w:tc>
        <w:tc>
          <w:tcPr>
            <w:tcW w:w="1740" w:type="dxa"/>
          </w:tcPr>
          <w:p w:rsidR="00AC40FC" w:rsidRPr="006B3BEA" w:rsidRDefault="00AC40FC" w:rsidP="00A51C66">
            <w:pPr>
              <w:widowControl w:val="0"/>
              <w:spacing w:after="0" w:line="220" w:lineRule="exact"/>
              <w:ind w:right="27"/>
              <w:jc w:val="right"/>
              <w:rPr>
                <w:rFonts w:eastAsia="Arial" w:cs="Arial"/>
                <w:sz w:val="20"/>
              </w:rPr>
            </w:pPr>
            <w:r w:rsidRPr="006B3BEA">
              <w:rPr>
                <w:rFonts w:eastAsia="Arial" w:cs="Arial"/>
                <w:w w:val="95"/>
                <w:sz w:val="20"/>
              </w:rPr>
              <w:t>36,267,188</w:t>
            </w:r>
          </w:p>
        </w:tc>
        <w:tc>
          <w:tcPr>
            <w:tcW w:w="1740" w:type="dxa"/>
          </w:tcPr>
          <w:p w:rsidR="00AC40FC" w:rsidRPr="006B3BEA" w:rsidRDefault="00AC40FC" w:rsidP="00A51C66">
            <w:pPr>
              <w:widowControl w:val="0"/>
              <w:spacing w:after="0" w:line="220" w:lineRule="exact"/>
              <w:ind w:right="27"/>
              <w:jc w:val="right"/>
              <w:rPr>
                <w:rFonts w:eastAsia="Arial" w:cs="Arial"/>
                <w:sz w:val="20"/>
              </w:rPr>
            </w:pPr>
            <w:r w:rsidRPr="006B3BEA">
              <w:rPr>
                <w:rFonts w:eastAsia="Arial" w:cs="Arial"/>
                <w:w w:val="95"/>
                <w:sz w:val="20"/>
              </w:rPr>
              <w:t>38,910,622</w:t>
            </w:r>
          </w:p>
        </w:tc>
        <w:tc>
          <w:tcPr>
            <w:tcW w:w="1740" w:type="dxa"/>
          </w:tcPr>
          <w:p w:rsidR="00AC40FC" w:rsidRPr="006B3BEA" w:rsidRDefault="00AC40FC" w:rsidP="00A51C66">
            <w:pPr>
              <w:widowControl w:val="0"/>
              <w:spacing w:after="0" w:line="220" w:lineRule="exact"/>
              <w:ind w:right="27"/>
              <w:jc w:val="right"/>
              <w:rPr>
                <w:rFonts w:eastAsia="Arial" w:cs="Arial"/>
                <w:sz w:val="20"/>
              </w:rPr>
            </w:pPr>
            <w:r w:rsidRPr="006B3BEA">
              <w:rPr>
                <w:rFonts w:eastAsia="Arial" w:cs="Arial"/>
                <w:w w:val="95"/>
                <w:sz w:val="20"/>
              </w:rPr>
              <w:t>40,353,116</w:t>
            </w:r>
          </w:p>
        </w:tc>
        <w:tc>
          <w:tcPr>
            <w:tcW w:w="1627" w:type="dxa"/>
          </w:tcPr>
          <w:p w:rsidR="00AC40FC" w:rsidRPr="006B3BEA" w:rsidRDefault="00AC40FC" w:rsidP="00A51C66">
            <w:pPr>
              <w:widowControl w:val="0"/>
              <w:spacing w:after="0" w:line="220" w:lineRule="exact"/>
              <w:ind w:right="27"/>
              <w:jc w:val="right"/>
              <w:rPr>
                <w:rFonts w:eastAsia="Arial" w:cs="Arial"/>
                <w:sz w:val="20"/>
              </w:rPr>
            </w:pPr>
            <w:r w:rsidRPr="006B3BEA">
              <w:rPr>
                <w:rFonts w:eastAsia="Arial" w:cs="Arial"/>
                <w:w w:val="95"/>
                <w:sz w:val="20"/>
              </w:rPr>
              <w:t>42,908,419</w:t>
            </w:r>
          </w:p>
        </w:tc>
        <w:tc>
          <w:tcPr>
            <w:tcW w:w="1627" w:type="dxa"/>
          </w:tcPr>
          <w:p w:rsidR="00AC40FC" w:rsidRPr="006B3BEA" w:rsidRDefault="00AC40FC" w:rsidP="00A51C66">
            <w:pPr>
              <w:widowControl w:val="0"/>
              <w:spacing w:after="0" w:line="220" w:lineRule="exact"/>
              <w:ind w:right="28"/>
              <w:jc w:val="right"/>
              <w:rPr>
                <w:rFonts w:eastAsia="Arial" w:cs="Arial"/>
                <w:sz w:val="20"/>
              </w:rPr>
            </w:pPr>
            <w:r w:rsidRPr="006B3BEA">
              <w:rPr>
                <w:rFonts w:eastAsia="Arial" w:cs="Arial"/>
                <w:w w:val="95"/>
                <w:sz w:val="20"/>
              </w:rPr>
              <w:t>47,962,529</w:t>
            </w:r>
          </w:p>
        </w:tc>
        <w:tc>
          <w:tcPr>
            <w:tcW w:w="1225" w:type="dxa"/>
          </w:tcPr>
          <w:p w:rsidR="00AC40FC" w:rsidRPr="006B3BEA" w:rsidRDefault="00AC40FC" w:rsidP="00A51C66">
            <w:pPr>
              <w:widowControl w:val="0"/>
              <w:spacing w:after="0" w:line="220" w:lineRule="exact"/>
              <w:ind w:left="160" w:right="144"/>
              <w:jc w:val="center"/>
              <w:rPr>
                <w:rFonts w:eastAsia="Arial" w:cs="Arial"/>
                <w:sz w:val="20"/>
              </w:rPr>
            </w:pPr>
            <w:r w:rsidRPr="006B3BEA">
              <w:rPr>
                <w:rFonts w:eastAsia="Arial" w:cs="Arial"/>
                <w:sz w:val="20"/>
              </w:rPr>
              <w:t>7.24%</w:t>
            </w:r>
          </w:p>
        </w:tc>
      </w:tr>
      <w:tr w:rsidR="00AC40FC" w:rsidRPr="006B3BEA" w:rsidTr="004966B1">
        <w:trPr>
          <w:trHeight w:hRule="exact" w:val="245"/>
          <w:jc w:val="center"/>
        </w:trPr>
        <w:tc>
          <w:tcPr>
            <w:tcW w:w="5059" w:type="dxa"/>
          </w:tcPr>
          <w:p w:rsidR="00AC40FC" w:rsidRPr="006B3BEA" w:rsidRDefault="00AC40FC" w:rsidP="00A51C66">
            <w:pPr>
              <w:widowControl w:val="0"/>
              <w:spacing w:after="0" w:line="220" w:lineRule="exact"/>
              <w:ind w:left="180"/>
              <w:rPr>
                <w:rFonts w:eastAsia="Arial" w:cs="Arial"/>
                <w:sz w:val="20"/>
              </w:rPr>
            </w:pPr>
            <w:r w:rsidRPr="006B3BEA">
              <w:rPr>
                <w:rFonts w:eastAsia="Arial" w:cs="Arial"/>
                <w:sz w:val="20"/>
              </w:rPr>
              <w:t>105.1 Production Properties Held For Future Use</w:t>
            </w:r>
          </w:p>
        </w:tc>
        <w:tc>
          <w:tcPr>
            <w:tcW w:w="1740" w:type="dxa"/>
          </w:tcPr>
          <w:p w:rsidR="00AC40FC" w:rsidRPr="006B3BEA" w:rsidRDefault="00AC40FC" w:rsidP="00A51C66">
            <w:pPr>
              <w:widowControl w:val="0"/>
              <w:spacing w:after="0" w:line="220" w:lineRule="exact"/>
              <w:ind w:right="26"/>
              <w:jc w:val="right"/>
              <w:rPr>
                <w:rFonts w:eastAsia="Arial" w:cs="Arial"/>
                <w:sz w:val="20"/>
              </w:rPr>
            </w:pPr>
            <w:r w:rsidRPr="006B3BEA">
              <w:rPr>
                <w:rFonts w:eastAsia="Arial" w:cs="Arial"/>
                <w:w w:val="99"/>
                <w:sz w:val="20"/>
              </w:rPr>
              <w:t>0</w:t>
            </w:r>
          </w:p>
        </w:tc>
        <w:tc>
          <w:tcPr>
            <w:tcW w:w="1740" w:type="dxa"/>
          </w:tcPr>
          <w:p w:rsidR="00AC40FC" w:rsidRPr="006B3BEA" w:rsidRDefault="00AC40FC" w:rsidP="00A51C66">
            <w:pPr>
              <w:widowControl w:val="0"/>
              <w:spacing w:after="0" w:line="220" w:lineRule="exact"/>
              <w:ind w:right="26"/>
              <w:jc w:val="right"/>
              <w:rPr>
                <w:rFonts w:eastAsia="Arial" w:cs="Arial"/>
                <w:sz w:val="20"/>
              </w:rPr>
            </w:pPr>
            <w:r w:rsidRPr="006B3BEA">
              <w:rPr>
                <w:rFonts w:eastAsia="Arial" w:cs="Arial"/>
                <w:w w:val="99"/>
                <w:sz w:val="20"/>
              </w:rPr>
              <w:t>0</w:t>
            </w:r>
          </w:p>
        </w:tc>
        <w:tc>
          <w:tcPr>
            <w:tcW w:w="1740" w:type="dxa"/>
          </w:tcPr>
          <w:p w:rsidR="00AC40FC" w:rsidRPr="006B3BEA" w:rsidRDefault="00AC40FC" w:rsidP="00A51C66">
            <w:pPr>
              <w:widowControl w:val="0"/>
              <w:spacing w:after="0" w:line="220" w:lineRule="exact"/>
              <w:ind w:right="26"/>
              <w:jc w:val="right"/>
              <w:rPr>
                <w:rFonts w:eastAsia="Arial" w:cs="Arial"/>
                <w:sz w:val="20"/>
              </w:rPr>
            </w:pPr>
            <w:r w:rsidRPr="006B3BEA">
              <w:rPr>
                <w:rFonts w:eastAsia="Arial" w:cs="Arial"/>
                <w:w w:val="99"/>
                <w:sz w:val="20"/>
              </w:rPr>
              <w:t>0</w:t>
            </w:r>
          </w:p>
        </w:tc>
        <w:tc>
          <w:tcPr>
            <w:tcW w:w="1627" w:type="dxa"/>
          </w:tcPr>
          <w:p w:rsidR="00AC40FC" w:rsidRPr="006B3BEA" w:rsidRDefault="00AC40FC" w:rsidP="00A51C66">
            <w:pPr>
              <w:widowControl w:val="0"/>
              <w:spacing w:after="0" w:line="220" w:lineRule="exact"/>
              <w:ind w:right="26"/>
              <w:jc w:val="right"/>
              <w:rPr>
                <w:rFonts w:eastAsia="Arial" w:cs="Arial"/>
                <w:sz w:val="20"/>
              </w:rPr>
            </w:pPr>
            <w:r w:rsidRPr="006B3BEA">
              <w:rPr>
                <w:rFonts w:eastAsia="Arial" w:cs="Arial"/>
                <w:w w:val="99"/>
                <w:sz w:val="20"/>
              </w:rPr>
              <w:t>0</w:t>
            </w:r>
          </w:p>
        </w:tc>
        <w:tc>
          <w:tcPr>
            <w:tcW w:w="1627" w:type="dxa"/>
          </w:tcPr>
          <w:p w:rsidR="00AC40FC" w:rsidRPr="006B3BEA" w:rsidRDefault="00AC40FC" w:rsidP="00A51C66">
            <w:pPr>
              <w:widowControl w:val="0"/>
              <w:spacing w:after="0" w:line="220" w:lineRule="exact"/>
              <w:ind w:right="26"/>
              <w:jc w:val="right"/>
              <w:rPr>
                <w:rFonts w:eastAsia="Arial" w:cs="Arial"/>
                <w:sz w:val="20"/>
              </w:rPr>
            </w:pPr>
            <w:r w:rsidRPr="006B3BEA">
              <w:rPr>
                <w:rFonts w:eastAsia="Arial" w:cs="Arial"/>
                <w:w w:val="99"/>
                <w:sz w:val="20"/>
              </w:rPr>
              <w:t>0</w:t>
            </w:r>
          </w:p>
        </w:tc>
        <w:tc>
          <w:tcPr>
            <w:tcW w:w="1225" w:type="dxa"/>
          </w:tcPr>
          <w:p w:rsidR="00AC40FC" w:rsidRPr="006B3BEA" w:rsidRDefault="00AC40FC" w:rsidP="00A51C66">
            <w:pPr>
              <w:widowControl w:val="0"/>
              <w:spacing w:after="0"/>
              <w:rPr>
                <w:rFonts w:eastAsia="Arial" w:cs="Arial"/>
              </w:rPr>
            </w:pPr>
          </w:p>
        </w:tc>
      </w:tr>
      <w:tr w:rsidR="00AC40FC" w:rsidRPr="006B3BEA" w:rsidTr="004966B1">
        <w:trPr>
          <w:trHeight w:hRule="exact" w:val="245"/>
          <w:jc w:val="center"/>
        </w:trPr>
        <w:tc>
          <w:tcPr>
            <w:tcW w:w="5059" w:type="dxa"/>
          </w:tcPr>
          <w:p w:rsidR="00AC40FC" w:rsidRPr="006B3BEA" w:rsidRDefault="00AC40FC" w:rsidP="00A51C66">
            <w:pPr>
              <w:widowControl w:val="0"/>
              <w:spacing w:after="0" w:line="220" w:lineRule="exact"/>
              <w:ind w:left="180"/>
              <w:rPr>
                <w:rFonts w:eastAsia="Arial" w:cs="Arial"/>
                <w:sz w:val="20"/>
              </w:rPr>
            </w:pPr>
            <w:r w:rsidRPr="006B3BEA">
              <w:rPr>
                <w:rFonts w:eastAsia="Arial" w:cs="Arial"/>
                <w:sz w:val="20"/>
              </w:rPr>
              <w:t>107.0 Construction Work in Progress-Electric</w:t>
            </w:r>
          </w:p>
        </w:tc>
        <w:tc>
          <w:tcPr>
            <w:tcW w:w="1740" w:type="dxa"/>
          </w:tcPr>
          <w:p w:rsidR="00AC40FC" w:rsidRPr="006B3BEA" w:rsidRDefault="00AC40FC" w:rsidP="00A51C66">
            <w:pPr>
              <w:widowControl w:val="0"/>
              <w:spacing w:after="0" w:line="220" w:lineRule="exact"/>
              <w:ind w:right="26"/>
              <w:jc w:val="right"/>
              <w:rPr>
                <w:rFonts w:eastAsia="Arial" w:cs="Arial"/>
                <w:sz w:val="20"/>
              </w:rPr>
            </w:pPr>
            <w:r w:rsidRPr="006B3BEA">
              <w:rPr>
                <w:rFonts w:eastAsia="Arial" w:cs="Arial"/>
                <w:w w:val="95"/>
                <w:sz w:val="20"/>
              </w:rPr>
              <w:t>195,701,548</w:t>
            </w:r>
          </w:p>
        </w:tc>
        <w:tc>
          <w:tcPr>
            <w:tcW w:w="1740" w:type="dxa"/>
          </w:tcPr>
          <w:p w:rsidR="00AC40FC" w:rsidRPr="006B3BEA" w:rsidRDefault="00AC40FC" w:rsidP="00A51C66">
            <w:pPr>
              <w:widowControl w:val="0"/>
              <w:spacing w:after="0" w:line="220" w:lineRule="exact"/>
              <w:ind w:right="26"/>
              <w:jc w:val="right"/>
              <w:rPr>
                <w:rFonts w:eastAsia="Arial" w:cs="Arial"/>
                <w:sz w:val="20"/>
              </w:rPr>
            </w:pPr>
            <w:r w:rsidRPr="006B3BEA">
              <w:rPr>
                <w:rFonts w:eastAsia="Arial" w:cs="Arial"/>
                <w:w w:val="95"/>
                <w:sz w:val="20"/>
              </w:rPr>
              <w:t>263,133,101</w:t>
            </w:r>
          </w:p>
        </w:tc>
        <w:tc>
          <w:tcPr>
            <w:tcW w:w="1740" w:type="dxa"/>
          </w:tcPr>
          <w:p w:rsidR="00AC40FC" w:rsidRPr="006B3BEA" w:rsidRDefault="00AC40FC" w:rsidP="00A51C66">
            <w:pPr>
              <w:widowControl w:val="0"/>
              <w:spacing w:after="0" w:line="220" w:lineRule="exact"/>
              <w:ind w:right="26"/>
              <w:jc w:val="right"/>
              <w:rPr>
                <w:rFonts w:eastAsia="Arial" w:cs="Arial"/>
                <w:sz w:val="20"/>
              </w:rPr>
            </w:pPr>
            <w:r w:rsidRPr="006B3BEA">
              <w:rPr>
                <w:rFonts w:eastAsia="Arial" w:cs="Arial"/>
                <w:w w:val="95"/>
                <w:sz w:val="20"/>
              </w:rPr>
              <w:t>382,541,040</w:t>
            </w:r>
          </w:p>
        </w:tc>
        <w:tc>
          <w:tcPr>
            <w:tcW w:w="1627" w:type="dxa"/>
          </w:tcPr>
          <w:p w:rsidR="00AC40FC" w:rsidRPr="006B3BEA" w:rsidRDefault="00AC40FC" w:rsidP="00A51C66">
            <w:pPr>
              <w:widowControl w:val="0"/>
              <w:spacing w:after="0" w:line="220" w:lineRule="exact"/>
              <w:ind w:right="26"/>
              <w:jc w:val="right"/>
              <w:rPr>
                <w:rFonts w:eastAsia="Arial" w:cs="Arial"/>
                <w:sz w:val="20"/>
              </w:rPr>
            </w:pPr>
            <w:r w:rsidRPr="006B3BEA">
              <w:rPr>
                <w:rFonts w:eastAsia="Arial" w:cs="Arial"/>
                <w:w w:val="95"/>
                <w:sz w:val="20"/>
              </w:rPr>
              <w:t>613,584,298</w:t>
            </w:r>
          </w:p>
        </w:tc>
        <w:tc>
          <w:tcPr>
            <w:tcW w:w="1627" w:type="dxa"/>
          </w:tcPr>
          <w:p w:rsidR="00AC40FC" w:rsidRPr="006B3BEA" w:rsidRDefault="00AC40FC" w:rsidP="00A51C66">
            <w:pPr>
              <w:widowControl w:val="0"/>
              <w:spacing w:after="0" w:line="220" w:lineRule="exact"/>
              <w:ind w:right="26"/>
              <w:jc w:val="right"/>
              <w:rPr>
                <w:rFonts w:eastAsia="Arial" w:cs="Arial"/>
                <w:sz w:val="20"/>
              </w:rPr>
            </w:pPr>
            <w:r w:rsidRPr="006B3BEA">
              <w:rPr>
                <w:rFonts w:eastAsia="Arial" w:cs="Arial"/>
                <w:w w:val="95"/>
                <w:sz w:val="20"/>
              </w:rPr>
              <w:t>749,902,092</w:t>
            </w:r>
          </w:p>
        </w:tc>
        <w:tc>
          <w:tcPr>
            <w:tcW w:w="1225" w:type="dxa"/>
          </w:tcPr>
          <w:p w:rsidR="00AC40FC" w:rsidRPr="006B3BEA" w:rsidRDefault="00AC40FC" w:rsidP="00A51C66">
            <w:pPr>
              <w:widowControl w:val="0"/>
              <w:spacing w:after="0" w:line="220" w:lineRule="exact"/>
              <w:ind w:left="161" w:right="144"/>
              <w:jc w:val="center"/>
              <w:rPr>
                <w:rFonts w:eastAsia="Arial" w:cs="Arial"/>
                <w:sz w:val="20"/>
              </w:rPr>
            </w:pPr>
            <w:r w:rsidRPr="006B3BEA">
              <w:rPr>
                <w:rFonts w:eastAsia="Arial" w:cs="Arial"/>
                <w:sz w:val="20"/>
              </w:rPr>
              <w:t>39.91%</w:t>
            </w:r>
          </w:p>
        </w:tc>
      </w:tr>
      <w:tr w:rsidR="00AC40FC" w:rsidRPr="006B3BEA" w:rsidTr="004966B1">
        <w:trPr>
          <w:trHeight w:hRule="exact" w:val="245"/>
          <w:jc w:val="center"/>
        </w:trPr>
        <w:tc>
          <w:tcPr>
            <w:tcW w:w="5059" w:type="dxa"/>
          </w:tcPr>
          <w:p w:rsidR="00AC40FC" w:rsidRPr="006B3BEA" w:rsidRDefault="00AC40FC" w:rsidP="00A51C66">
            <w:pPr>
              <w:widowControl w:val="0"/>
              <w:spacing w:after="0" w:line="220" w:lineRule="exact"/>
              <w:ind w:left="180"/>
              <w:rPr>
                <w:rFonts w:eastAsia="Arial" w:cs="Arial"/>
                <w:sz w:val="20"/>
              </w:rPr>
            </w:pPr>
            <w:r w:rsidRPr="006B3BEA">
              <w:rPr>
                <w:rFonts w:eastAsia="Arial" w:cs="Arial"/>
                <w:sz w:val="20"/>
              </w:rPr>
              <w:t>Accum</w:t>
            </w:r>
            <w:r>
              <w:rPr>
                <w:rFonts w:eastAsia="Arial" w:cs="Arial"/>
                <w:sz w:val="20"/>
              </w:rPr>
              <w:t>ulated</w:t>
            </w:r>
            <w:r w:rsidRPr="006B3BEA">
              <w:rPr>
                <w:rFonts w:eastAsia="Arial" w:cs="Arial"/>
                <w:sz w:val="20"/>
              </w:rPr>
              <w:t>. Depreciation and Amortization</w:t>
            </w:r>
          </w:p>
        </w:tc>
        <w:tc>
          <w:tcPr>
            <w:tcW w:w="1740" w:type="dxa"/>
          </w:tcPr>
          <w:p w:rsidR="00AC40FC" w:rsidRPr="006B3BEA" w:rsidRDefault="00AC40FC" w:rsidP="00A51C66">
            <w:pPr>
              <w:widowControl w:val="0"/>
              <w:spacing w:after="0" w:line="220" w:lineRule="exact"/>
              <w:ind w:right="27"/>
              <w:jc w:val="right"/>
              <w:rPr>
                <w:rFonts w:eastAsia="Arial" w:cs="Arial"/>
                <w:sz w:val="20"/>
              </w:rPr>
            </w:pPr>
            <w:r w:rsidRPr="006B3BEA">
              <w:rPr>
                <w:rFonts w:eastAsia="Arial" w:cs="Arial"/>
                <w:color w:val="FF0000"/>
                <w:w w:val="95"/>
                <w:sz w:val="20"/>
              </w:rPr>
              <w:t>(2,181,387,701)</w:t>
            </w:r>
          </w:p>
        </w:tc>
        <w:tc>
          <w:tcPr>
            <w:tcW w:w="1740" w:type="dxa"/>
          </w:tcPr>
          <w:p w:rsidR="00AC40FC" w:rsidRPr="006B3BEA" w:rsidRDefault="00AC40FC" w:rsidP="00A51C66">
            <w:pPr>
              <w:widowControl w:val="0"/>
              <w:spacing w:after="0" w:line="220" w:lineRule="exact"/>
              <w:ind w:right="27"/>
              <w:jc w:val="right"/>
              <w:rPr>
                <w:rFonts w:eastAsia="Arial" w:cs="Arial"/>
                <w:sz w:val="20"/>
              </w:rPr>
            </w:pPr>
            <w:r w:rsidRPr="006B3BEA">
              <w:rPr>
                <w:rFonts w:eastAsia="Arial" w:cs="Arial"/>
                <w:color w:val="FF0000"/>
                <w:w w:val="95"/>
                <w:sz w:val="20"/>
              </w:rPr>
              <w:t>(2,259,928,380)</w:t>
            </w:r>
          </w:p>
        </w:tc>
        <w:tc>
          <w:tcPr>
            <w:tcW w:w="1740" w:type="dxa"/>
          </w:tcPr>
          <w:p w:rsidR="00AC40FC" w:rsidRPr="006B3BEA" w:rsidRDefault="00AC40FC" w:rsidP="00A51C66">
            <w:pPr>
              <w:widowControl w:val="0"/>
              <w:spacing w:after="0" w:line="220" w:lineRule="exact"/>
              <w:ind w:right="27"/>
              <w:jc w:val="right"/>
              <w:rPr>
                <w:rFonts w:eastAsia="Arial" w:cs="Arial"/>
                <w:sz w:val="20"/>
              </w:rPr>
            </w:pPr>
            <w:r w:rsidRPr="006B3BEA">
              <w:rPr>
                <w:rFonts w:eastAsia="Arial" w:cs="Arial"/>
                <w:color w:val="FF0000"/>
                <w:w w:val="95"/>
                <w:sz w:val="20"/>
              </w:rPr>
              <w:t>(2,344,558,066)</w:t>
            </w:r>
          </w:p>
        </w:tc>
        <w:tc>
          <w:tcPr>
            <w:tcW w:w="1627" w:type="dxa"/>
          </w:tcPr>
          <w:p w:rsidR="00AC40FC" w:rsidRPr="006B3BEA" w:rsidRDefault="00AC40FC" w:rsidP="00A51C66">
            <w:pPr>
              <w:widowControl w:val="0"/>
              <w:spacing w:after="0" w:line="220" w:lineRule="exact"/>
              <w:ind w:right="27"/>
              <w:jc w:val="right"/>
              <w:rPr>
                <w:rFonts w:eastAsia="Arial" w:cs="Arial"/>
                <w:sz w:val="20"/>
              </w:rPr>
            </w:pPr>
            <w:r w:rsidRPr="006B3BEA">
              <w:rPr>
                <w:rFonts w:eastAsia="Arial" w:cs="Arial"/>
                <w:color w:val="FF0000"/>
                <w:w w:val="95"/>
                <w:sz w:val="20"/>
              </w:rPr>
              <w:t>(2,421,150,691)</w:t>
            </w:r>
          </w:p>
        </w:tc>
        <w:tc>
          <w:tcPr>
            <w:tcW w:w="1627" w:type="dxa"/>
          </w:tcPr>
          <w:p w:rsidR="00AC40FC" w:rsidRPr="006B3BEA" w:rsidRDefault="00AC40FC" w:rsidP="00A51C66">
            <w:pPr>
              <w:widowControl w:val="0"/>
              <w:spacing w:after="0" w:line="220" w:lineRule="exact"/>
              <w:ind w:right="27"/>
              <w:jc w:val="right"/>
              <w:rPr>
                <w:rFonts w:eastAsia="Arial" w:cs="Arial"/>
                <w:sz w:val="20"/>
              </w:rPr>
            </w:pPr>
            <w:r w:rsidRPr="006B3BEA">
              <w:rPr>
                <w:rFonts w:eastAsia="Arial" w:cs="Arial"/>
                <w:color w:val="FF0000"/>
                <w:w w:val="95"/>
                <w:sz w:val="20"/>
              </w:rPr>
              <w:t>(2,508,381,025)</w:t>
            </w:r>
          </w:p>
        </w:tc>
        <w:tc>
          <w:tcPr>
            <w:tcW w:w="1225" w:type="dxa"/>
          </w:tcPr>
          <w:p w:rsidR="00AC40FC" w:rsidRPr="006B3BEA" w:rsidRDefault="00AC40FC" w:rsidP="00A51C66">
            <w:pPr>
              <w:widowControl w:val="0"/>
              <w:spacing w:after="0" w:line="220" w:lineRule="exact"/>
              <w:ind w:left="161" w:right="144"/>
              <w:jc w:val="center"/>
              <w:rPr>
                <w:rFonts w:eastAsia="Arial" w:cs="Arial"/>
                <w:sz w:val="20"/>
              </w:rPr>
            </w:pPr>
            <w:r w:rsidRPr="006B3BEA">
              <w:rPr>
                <w:rFonts w:eastAsia="Arial" w:cs="Arial"/>
                <w:sz w:val="20"/>
              </w:rPr>
              <w:t>3.55%</w:t>
            </w:r>
          </w:p>
        </w:tc>
      </w:tr>
      <w:tr w:rsidR="00AC40FC" w:rsidRPr="006B3BEA" w:rsidTr="004966B1">
        <w:trPr>
          <w:trHeight w:hRule="exact" w:val="245"/>
          <w:jc w:val="center"/>
        </w:trPr>
        <w:tc>
          <w:tcPr>
            <w:tcW w:w="5059" w:type="dxa"/>
          </w:tcPr>
          <w:p w:rsidR="00AC40FC" w:rsidRPr="006B3BEA" w:rsidRDefault="00AC40FC" w:rsidP="00A51C66">
            <w:pPr>
              <w:widowControl w:val="0"/>
              <w:spacing w:after="0" w:line="220" w:lineRule="exact"/>
              <w:ind w:left="28"/>
              <w:rPr>
                <w:rFonts w:eastAsia="Arial" w:cs="Arial"/>
                <w:b/>
                <w:sz w:val="20"/>
              </w:rPr>
            </w:pPr>
            <w:r w:rsidRPr="006B3BEA">
              <w:rPr>
                <w:rFonts w:eastAsia="Arial" w:cs="Arial"/>
                <w:b/>
                <w:sz w:val="20"/>
              </w:rPr>
              <w:t>NET UTILITY PLANT (excl</w:t>
            </w:r>
            <w:r>
              <w:rPr>
                <w:rFonts w:eastAsia="Arial" w:cs="Arial"/>
                <w:b/>
                <w:sz w:val="20"/>
              </w:rPr>
              <w:t>uding</w:t>
            </w:r>
            <w:r w:rsidRPr="006B3BEA">
              <w:rPr>
                <w:rFonts w:eastAsia="Arial" w:cs="Arial"/>
                <w:b/>
                <w:sz w:val="20"/>
              </w:rPr>
              <w:t xml:space="preserve"> nuclear fuel)</w:t>
            </w:r>
          </w:p>
        </w:tc>
        <w:tc>
          <w:tcPr>
            <w:tcW w:w="1740" w:type="dxa"/>
          </w:tcPr>
          <w:p w:rsidR="00AC40FC" w:rsidRPr="006B3BEA" w:rsidRDefault="00AC40FC" w:rsidP="00A51C66">
            <w:pPr>
              <w:widowControl w:val="0"/>
              <w:spacing w:after="0" w:line="220" w:lineRule="exact"/>
              <w:ind w:left="244"/>
              <w:rPr>
                <w:rFonts w:eastAsia="Arial" w:cs="Arial"/>
                <w:b/>
                <w:sz w:val="20"/>
              </w:rPr>
            </w:pPr>
            <w:r w:rsidRPr="006B3BEA">
              <w:rPr>
                <w:rFonts w:eastAsia="Arial" w:cs="Arial"/>
                <w:b/>
                <w:sz w:val="20"/>
              </w:rPr>
              <w:t>$3,729,179,572</w:t>
            </w:r>
          </w:p>
        </w:tc>
        <w:tc>
          <w:tcPr>
            <w:tcW w:w="1740" w:type="dxa"/>
          </w:tcPr>
          <w:p w:rsidR="00AC40FC" w:rsidRPr="006B3BEA" w:rsidRDefault="00AC40FC" w:rsidP="00A51C66">
            <w:pPr>
              <w:widowControl w:val="0"/>
              <w:spacing w:after="0" w:line="220" w:lineRule="exact"/>
              <w:ind w:left="244"/>
              <w:rPr>
                <w:rFonts w:eastAsia="Arial" w:cs="Arial"/>
                <w:b/>
                <w:sz w:val="20"/>
              </w:rPr>
            </w:pPr>
            <w:r w:rsidRPr="006B3BEA">
              <w:rPr>
                <w:rFonts w:eastAsia="Arial" w:cs="Arial"/>
                <w:b/>
                <w:sz w:val="20"/>
              </w:rPr>
              <w:t>$4,062,026,747</w:t>
            </w:r>
          </w:p>
        </w:tc>
        <w:tc>
          <w:tcPr>
            <w:tcW w:w="1740" w:type="dxa"/>
          </w:tcPr>
          <w:p w:rsidR="00AC40FC" w:rsidRPr="006B3BEA" w:rsidRDefault="00AC40FC" w:rsidP="00A51C66">
            <w:pPr>
              <w:widowControl w:val="0"/>
              <w:spacing w:after="0" w:line="220" w:lineRule="exact"/>
              <w:ind w:left="244"/>
              <w:rPr>
                <w:rFonts w:eastAsia="Arial" w:cs="Arial"/>
                <w:b/>
                <w:sz w:val="20"/>
              </w:rPr>
            </w:pPr>
            <w:r w:rsidRPr="006B3BEA">
              <w:rPr>
                <w:rFonts w:eastAsia="Arial" w:cs="Arial"/>
                <w:b/>
                <w:sz w:val="20"/>
              </w:rPr>
              <w:t>$4,580,223,886</w:t>
            </w:r>
          </w:p>
        </w:tc>
        <w:tc>
          <w:tcPr>
            <w:tcW w:w="1627" w:type="dxa"/>
          </w:tcPr>
          <w:p w:rsidR="00AC40FC" w:rsidRPr="006B3BEA" w:rsidRDefault="00AC40FC" w:rsidP="00A51C66">
            <w:pPr>
              <w:widowControl w:val="0"/>
              <w:spacing w:after="0" w:line="220" w:lineRule="exact"/>
              <w:ind w:left="132"/>
              <w:rPr>
                <w:rFonts w:eastAsia="Arial" w:cs="Arial"/>
                <w:b/>
                <w:sz w:val="20"/>
              </w:rPr>
            </w:pPr>
            <w:r w:rsidRPr="006B3BEA">
              <w:rPr>
                <w:rFonts w:eastAsia="Arial" w:cs="Arial"/>
                <w:b/>
                <w:sz w:val="20"/>
              </w:rPr>
              <w:t>$5,366,581,568</w:t>
            </w:r>
          </w:p>
        </w:tc>
        <w:tc>
          <w:tcPr>
            <w:tcW w:w="1627" w:type="dxa"/>
          </w:tcPr>
          <w:p w:rsidR="00AC40FC" w:rsidRPr="006B3BEA" w:rsidRDefault="00AC40FC" w:rsidP="00A51C66">
            <w:pPr>
              <w:widowControl w:val="0"/>
              <w:spacing w:after="0" w:line="220" w:lineRule="exact"/>
              <w:ind w:right="94"/>
              <w:jc w:val="right"/>
              <w:rPr>
                <w:rFonts w:eastAsia="Arial" w:cs="Arial"/>
                <w:b/>
                <w:sz w:val="20"/>
              </w:rPr>
            </w:pPr>
            <w:r w:rsidRPr="006B3BEA">
              <w:rPr>
                <w:rFonts w:eastAsia="Arial" w:cs="Arial"/>
                <w:b/>
                <w:w w:val="95"/>
                <w:sz w:val="20"/>
              </w:rPr>
              <w:t>$6,155,294,008</w:t>
            </w:r>
          </w:p>
        </w:tc>
        <w:tc>
          <w:tcPr>
            <w:tcW w:w="1225" w:type="dxa"/>
          </w:tcPr>
          <w:p w:rsidR="00AC40FC" w:rsidRPr="006B3BEA" w:rsidRDefault="00AC40FC" w:rsidP="00A51C66">
            <w:pPr>
              <w:widowControl w:val="0"/>
              <w:spacing w:after="0" w:line="220" w:lineRule="exact"/>
              <w:ind w:left="159" w:right="144"/>
              <w:jc w:val="center"/>
              <w:rPr>
                <w:rFonts w:eastAsia="Arial" w:cs="Arial"/>
                <w:sz w:val="20"/>
              </w:rPr>
            </w:pPr>
            <w:r w:rsidRPr="006B3BEA">
              <w:rPr>
                <w:rFonts w:eastAsia="Arial" w:cs="Arial"/>
                <w:sz w:val="20"/>
              </w:rPr>
              <w:t>13.35%</w:t>
            </w:r>
          </w:p>
        </w:tc>
      </w:tr>
      <w:tr w:rsidR="00AC40FC" w:rsidRPr="006B3BEA" w:rsidTr="004966B1">
        <w:trPr>
          <w:trHeight w:hRule="exact" w:val="245"/>
          <w:jc w:val="center"/>
        </w:trPr>
        <w:tc>
          <w:tcPr>
            <w:tcW w:w="5059" w:type="dxa"/>
          </w:tcPr>
          <w:p w:rsidR="00AC40FC" w:rsidRPr="006B3BEA" w:rsidRDefault="00AC40FC" w:rsidP="00A51C66">
            <w:pPr>
              <w:widowControl w:val="0"/>
              <w:spacing w:after="0" w:line="220" w:lineRule="exact"/>
              <w:ind w:left="180"/>
              <w:rPr>
                <w:rFonts w:eastAsia="Arial" w:cs="Arial"/>
                <w:sz w:val="20"/>
              </w:rPr>
            </w:pPr>
            <w:r w:rsidRPr="006B3BEA">
              <w:rPr>
                <w:rFonts w:eastAsia="Arial" w:cs="Arial"/>
                <w:sz w:val="20"/>
              </w:rPr>
              <w:t>Nuclear Fuel</w:t>
            </w:r>
          </w:p>
        </w:tc>
        <w:tc>
          <w:tcPr>
            <w:tcW w:w="1740"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w w:val="99"/>
                <w:sz w:val="20"/>
              </w:rPr>
              <w:t>0</w:t>
            </w:r>
          </w:p>
        </w:tc>
        <w:tc>
          <w:tcPr>
            <w:tcW w:w="1740"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w w:val="99"/>
                <w:sz w:val="20"/>
              </w:rPr>
              <w:t>0</w:t>
            </w:r>
          </w:p>
        </w:tc>
        <w:tc>
          <w:tcPr>
            <w:tcW w:w="1740"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w w:val="99"/>
                <w:sz w:val="20"/>
              </w:rPr>
              <w:t>0</w:t>
            </w:r>
          </w:p>
        </w:tc>
        <w:tc>
          <w:tcPr>
            <w:tcW w:w="1627"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w w:val="99"/>
                <w:sz w:val="20"/>
              </w:rPr>
              <w:t>0</w:t>
            </w:r>
          </w:p>
        </w:tc>
        <w:tc>
          <w:tcPr>
            <w:tcW w:w="1627"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w w:val="99"/>
                <w:sz w:val="20"/>
              </w:rPr>
              <w:t>0</w:t>
            </w:r>
          </w:p>
        </w:tc>
        <w:tc>
          <w:tcPr>
            <w:tcW w:w="1225" w:type="dxa"/>
          </w:tcPr>
          <w:p w:rsidR="00AC40FC" w:rsidRPr="006B3BEA" w:rsidRDefault="00AC40FC" w:rsidP="00A51C66">
            <w:pPr>
              <w:widowControl w:val="0"/>
              <w:spacing w:after="0" w:line="220" w:lineRule="exact"/>
              <w:ind w:left="161" w:right="144"/>
              <w:jc w:val="center"/>
              <w:rPr>
                <w:rFonts w:eastAsia="Arial" w:cs="Arial"/>
                <w:sz w:val="20"/>
              </w:rPr>
            </w:pPr>
            <w:r w:rsidRPr="006B3BEA">
              <w:rPr>
                <w:rFonts w:eastAsia="Arial" w:cs="Arial"/>
                <w:sz w:val="20"/>
              </w:rPr>
              <w:t>NM</w:t>
            </w:r>
          </w:p>
        </w:tc>
      </w:tr>
      <w:tr w:rsidR="00AC40FC" w:rsidRPr="006B3BEA" w:rsidTr="004966B1">
        <w:trPr>
          <w:trHeight w:hRule="exact" w:val="245"/>
          <w:jc w:val="center"/>
        </w:trPr>
        <w:tc>
          <w:tcPr>
            <w:tcW w:w="5059" w:type="dxa"/>
          </w:tcPr>
          <w:p w:rsidR="00AC40FC" w:rsidRPr="006B3BEA" w:rsidRDefault="00AC40FC" w:rsidP="00BB665B">
            <w:pPr>
              <w:widowControl w:val="0"/>
              <w:spacing w:after="0" w:line="220" w:lineRule="exact"/>
              <w:ind w:left="180"/>
              <w:rPr>
                <w:rFonts w:eastAsia="Arial" w:cs="Arial"/>
                <w:sz w:val="20"/>
              </w:rPr>
            </w:pPr>
            <w:r w:rsidRPr="006B3BEA">
              <w:rPr>
                <w:rFonts w:eastAsia="Arial" w:cs="Arial"/>
                <w:sz w:val="20"/>
              </w:rPr>
              <w:t>Accum</w:t>
            </w:r>
            <w:r>
              <w:rPr>
                <w:rFonts w:eastAsia="Arial" w:cs="Arial"/>
                <w:sz w:val="20"/>
              </w:rPr>
              <w:t>ulated</w:t>
            </w:r>
            <w:r w:rsidRPr="006B3BEA">
              <w:rPr>
                <w:rFonts w:eastAsia="Arial" w:cs="Arial"/>
                <w:sz w:val="20"/>
              </w:rPr>
              <w:t xml:space="preserve"> Amortization for Nuclear</w:t>
            </w:r>
          </w:p>
        </w:tc>
        <w:tc>
          <w:tcPr>
            <w:tcW w:w="1740"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w w:val="99"/>
                <w:sz w:val="20"/>
              </w:rPr>
              <w:t>0</w:t>
            </w:r>
          </w:p>
        </w:tc>
        <w:tc>
          <w:tcPr>
            <w:tcW w:w="1740"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w w:val="99"/>
                <w:sz w:val="20"/>
              </w:rPr>
              <w:t>0</w:t>
            </w:r>
          </w:p>
        </w:tc>
        <w:tc>
          <w:tcPr>
            <w:tcW w:w="1740"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w w:val="99"/>
                <w:sz w:val="20"/>
              </w:rPr>
              <w:t>0</w:t>
            </w:r>
          </w:p>
        </w:tc>
        <w:tc>
          <w:tcPr>
            <w:tcW w:w="1627"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w w:val="99"/>
                <w:sz w:val="20"/>
              </w:rPr>
              <w:t>0</w:t>
            </w:r>
          </w:p>
        </w:tc>
        <w:tc>
          <w:tcPr>
            <w:tcW w:w="1627"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w w:val="99"/>
                <w:sz w:val="20"/>
              </w:rPr>
              <w:t>0</w:t>
            </w:r>
          </w:p>
        </w:tc>
        <w:tc>
          <w:tcPr>
            <w:tcW w:w="1225" w:type="dxa"/>
          </w:tcPr>
          <w:p w:rsidR="00AC40FC" w:rsidRPr="006B3BEA" w:rsidRDefault="00AC40FC" w:rsidP="00A51C66">
            <w:pPr>
              <w:widowControl w:val="0"/>
              <w:spacing w:after="0" w:line="220" w:lineRule="exact"/>
              <w:ind w:left="161" w:right="143"/>
              <w:jc w:val="center"/>
              <w:rPr>
                <w:rFonts w:eastAsia="Arial" w:cs="Arial"/>
                <w:sz w:val="20"/>
              </w:rPr>
            </w:pPr>
            <w:r w:rsidRPr="006B3BEA">
              <w:rPr>
                <w:rFonts w:eastAsia="Arial" w:cs="Arial"/>
                <w:sz w:val="20"/>
              </w:rPr>
              <w:t>NM</w:t>
            </w:r>
          </w:p>
        </w:tc>
      </w:tr>
      <w:tr w:rsidR="00AC40FC" w:rsidRPr="006B3BEA" w:rsidTr="004966B1">
        <w:trPr>
          <w:trHeight w:hRule="exact" w:val="245"/>
          <w:jc w:val="center"/>
        </w:trPr>
        <w:tc>
          <w:tcPr>
            <w:tcW w:w="5059" w:type="dxa"/>
          </w:tcPr>
          <w:p w:rsidR="00AC40FC" w:rsidRPr="006B3BEA" w:rsidRDefault="00AC40FC" w:rsidP="00A51C66">
            <w:pPr>
              <w:widowControl w:val="0"/>
              <w:spacing w:after="0" w:line="220" w:lineRule="exact"/>
              <w:ind w:left="28"/>
              <w:rPr>
                <w:rFonts w:eastAsia="Arial" w:cs="Arial"/>
                <w:b/>
                <w:sz w:val="20"/>
              </w:rPr>
            </w:pPr>
            <w:r w:rsidRPr="006B3BEA">
              <w:rPr>
                <w:rFonts w:eastAsia="Arial" w:cs="Arial"/>
                <w:b/>
                <w:sz w:val="20"/>
              </w:rPr>
              <w:t>NET NUCLEAR FUEL</w:t>
            </w:r>
          </w:p>
        </w:tc>
        <w:tc>
          <w:tcPr>
            <w:tcW w:w="1740" w:type="dxa"/>
          </w:tcPr>
          <w:p w:rsidR="00AC40FC" w:rsidRPr="006B3BEA" w:rsidRDefault="00AC40FC" w:rsidP="00A51C66">
            <w:pPr>
              <w:widowControl w:val="0"/>
              <w:spacing w:after="0" w:line="220" w:lineRule="exact"/>
              <w:ind w:right="94"/>
              <w:jc w:val="right"/>
              <w:rPr>
                <w:rFonts w:eastAsia="Arial" w:cs="Arial"/>
                <w:b/>
                <w:sz w:val="20"/>
              </w:rPr>
            </w:pPr>
            <w:r w:rsidRPr="006B3BEA">
              <w:rPr>
                <w:rFonts w:eastAsia="Arial" w:cs="Arial"/>
                <w:b/>
                <w:sz w:val="20"/>
              </w:rPr>
              <w:t>$0</w:t>
            </w:r>
          </w:p>
        </w:tc>
        <w:tc>
          <w:tcPr>
            <w:tcW w:w="1740" w:type="dxa"/>
          </w:tcPr>
          <w:p w:rsidR="00AC40FC" w:rsidRPr="006B3BEA" w:rsidRDefault="00AC40FC" w:rsidP="00A51C66">
            <w:pPr>
              <w:widowControl w:val="0"/>
              <w:spacing w:after="0" w:line="220" w:lineRule="exact"/>
              <w:ind w:right="94"/>
              <w:jc w:val="right"/>
              <w:rPr>
                <w:rFonts w:eastAsia="Arial" w:cs="Arial"/>
                <w:b/>
                <w:sz w:val="20"/>
              </w:rPr>
            </w:pPr>
            <w:r w:rsidRPr="006B3BEA">
              <w:rPr>
                <w:rFonts w:eastAsia="Arial" w:cs="Arial"/>
                <w:b/>
                <w:sz w:val="20"/>
              </w:rPr>
              <w:t>$0</w:t>
            </w:r>
          </w:p>
        </w:tc>
        <w:tc>
          <w:tcPr>
            <w:tcW w:w="1740" w:type="dxa"/>
          </w:tcPr>
          <w:p w:rsidR="00AC40FC" w:rsidRPr="006B3BEA" w:rsidRDefault="00AC40FC" w:rsidP="00A51C66">
            <w:pPr>
              <w:widowControl w:val="0"/>
              <w:spacing w:after="0" w:line="220" w:lineRule="exact"/>
              <w:ind w:right="94"/>
              <w:jc w:val="right"/>
              <w:rPr>
                <w:rFonts w:eastAsia="Arial" w:cs="Arial"/>
                <w:b/>
                <w:sz w:val="20"/>
              </w:rPr>
            </w:pPr>
            <w:r w:rsidRPr="006B3BEA">
              <w:rPr>
                <w:rFonts w:eastAsia="Arial" w:cs="Arial"/>
                <w:b/>
                <w:sz w:val="20"/>
              </w:rPr>
              <w:t>$0</w:t>
            </w:r>
          </w:p>
        </w:tc>
        <w:tc>
          <w:tcPr>
            <w:tcW w:w="1627" w:type="dxa"/>
          </w:tcPr>
          <w:p w:rsidR="00AC40FC" w:rsidRPr="006B3BEA" w:rsidRDefault="00AC40FC" w:rsidP="00A51C66">
            <w:pPr>
              <w:widowControl w:val="0"/>
              <w:spacing w:after="0" w:line="220" w:lineRule="exact"/>
              <w:ind w:right="94"/>
              <w:jc w:val="right"/>
              <w:rPr>
                <w:rFonts w:eastAsia="Arial" w:cs="Arial"/>
                <w:b/>
                <w:sz w:val="20"/>
              </w:rPr>
            </w:pPr>
            <w:r w:rsidRPr="006B3BEA">
              <w:rPr>
                <w:rFonts w:eastAsia="Arial" w:cs="Arial"/>
                <w:b/>
                <w:sz w:val="20"/>
              </w:rPr>
              <w:t>$0</w:t>
            </w:r>
          </w:p>
        </w:tc>
        <w:tc>
          <w:tcPr>
            <w:tcW w:w="1627" w:type="dxa"/>
          </w:tcPr>
          <w:p w:rsidR="00AC40FC" w:rsidRPr="006B3BEA" w:rsidRDefault="00AC40FC" w:rsidP="00A51C66">
            <w:pPr>
              <w:widowControl w:val="0"/>
              <w:spacing w:after="0" w:line="220" w:lineRule="exact"/>
              <w:ind w:right="94"/>
              <w:jc w:val="right"/>
              <w:rPr>
                <w:rFonts w:eastAsia="Arial" w:cs="Arial"/>
                <w:b/>
                <w:sz w:val="20"/>
              </w:rPr>
            </w:pPr>
            <w:r w:rsidRPr="006B3BEA">
              <w:rPr>
                <w:rFonts w:eastAsia="Arial" w:cs="Arial"/>
                <w:b/>
                <w:sz w:val="20"/>
              </w:rPr>
              <w:t>$0</w:t>
            </w:r>
          </w:p>
        </w:tc>
        <w:tc>
          <w:tcPr>
            <w:tcW w:w="1225" w:type="dxa"/>
          </w:tcPr>
          <w:p w:rsidR="00AC40FC" w:rsidRPr="006B3BEA" w:rsidRDefault="00AC40FC" w:rsidP="00A51C66">
            <w:pPr>
              <w:widowControl w:val="0"/>
              <w:spacing w:after="0" w:line="220" w:lineRule="exact"/>
              <w:ind w:left="161" w:right="144"/>
              <w:jc w:val="center"/>
              <w:rPr>
                <w:rFonts w:eastAsia="Arial" w:cs="Arial"/>
                <w:sz w:val="20"/>
              </w:rPr>
            </w:pPr>
            <w:r w:rsidRPr="006B3BEA">
              <w:rPr>
                <w:rFonts w:eastAsia="Arial" w:cs="Arial"/>
                <w:sz w:val="20"/>
              </w:rPr>
              <w:t>NM</w:t>
            </w:r>
          </w:p>
        </w:tc>
      </w:tr>
      <w:tr w:rsidR="00AC40FC" w:rsidRPr="006B3BEA" w:rsidTr="004966B1">
        <w:trPr>
          <w:trHeight w:hRule="exact" w:val="245"/>
          <w:jc w:val="center"/>
        </w:trPr>
        <w:tc>
          <w:tcPr>
            <w:tcW w:w="5059" w:type="dxa"/>
          </w:tcPr>
          <w:p w:rsidR="00AC40FC" w:rsidRPr="006B3BEA" w:rsidRDefault="00AC40FC" w:rsidP="00A51C66">
            <w:pPr>
              <w:widowControl w:val="0"/>
              <w:spacing w:after="0" w:line="220" w:lineRule="exact"/>
              <w:ind w:right="29"/>
              <w:jc w:val="right"/>
              <w:rPr>
                <w:rFonts w:eastAsia="Arial" w:cs="Arial"/>
                <w:b/>
                <w:sz w:val="20"/>
              </w:rPr>
            </w:pPr>
            <w:r w:rsidRPr="006B3BEA">
              <w:rPr>
                <w:rFonts w:eastAsia="Arial" w:cs="Arial"/>
                <w:b/>
                <w:sz w:val="20"/>
              </w:rPr>
              <w:t>TOTAL UTILITY PLANT</w:t>
            </w:r>
          </w:p>
        </w:tc>
        <w:tc>
          <w:tcPr>
            <w:tcW w:w="1740" w:type="dxa"/>
          </w:tcPr>
          <w:p w:rsidR="00AC40FC" w:rsidRPr="006B3BEA" w:rsidRDefault="00AC40FC" w:rsidP="00A51C66">
            <w:pPr>
              <w:widowControl w:val="0"/>
              <w:spacing w:after="0" w:line="220" w:lineRule="exact"/>
              <w:ind w:left="244"/>
              <w:rPr>
                <w:rFonts w:eastAsia="Arial" w:cs="Arial"/>
                <w:b/>
                <w:sz w:val="20"/>
              </w:rPr>
            </w:pPr>
            <w:r w:rsidRPr="006B3BEA">
              <w:rPr>
                <w:rFonts w:eastAsia="Arial" w:cs="Arial"/>
                <w:b/>
                <w:sz w:val="20"/>
              </w:rPr>
              <w:t>$3,729,179,572</w:t>
            </w:r>
          </w:p>
        </w:tc>
        <w:tc>
          <w:tcPr>
            <w:tcW w:w="1740" w:type="dxa"/>
          </w:tcPr>
          <w:p w:rsidR="00AC40FC" w:rsidRPr="006B3BEA" w:rsidRDefault="00AC40FC" w:rsidP="00A51C66">
            <w:pPr>
              <w:widowControl w:val="0"/>
              <w:spacing w:after="0" w:line="220" w:lineRule="exact"/>
              <w:ind w:left="244"/>
              <w:rPr>
                <w:rFonts w:eastAsia="Arial" w:cs="Arial"/>
                <w:b/>
                <w:sz w:val="20"/>
              </w:rPr>
            </w:pPr>
            <w:r w:rsidRPr="006B3BEA">
              <w:rPr>
                <w:rFonts w:eastAsia="Arial" w:cs="Arial"/>
                <w:b/>
                <w:sz w:val="20"/>
              </w:rPr>
              <w:t>$4,062,026,747</w:t>
            </w:r>
          </w:p>
        </w:tc>
        <w:tc>
          <w:tcPr>
            <w:tcW w:w="1740" w:type="dxa"/>
          </w:tcPr>
          <w:p w:rsidR="00AC40FC" w:rsidRPr="006B3BEA" w:rsidRDefault="00AC40FC" w:rsidP="00A51C66">
            <w:pPr>
              <w:widowControl w:val="0"/>
              <w:spacing w:after="0" w:line="220" w:lineRule="exact"/>
              <w:ind w:left="244"/>
              <w:rPr>
                <w:rFonts w:eastAsia="Arial" w:cs="Arial"/>
                <w:b/>
                <w:sz w:val="20"/>
              </w:rPr>
            </w:pPr>
            <w:r w:rsidRPr="006B3BEA">
              <w:rPr>
                <w:rFonts w:eastAsia="Arial" w:cs="Arial"/>
                <w:b/>
                <w:sz w:val="20"/>
              </w:rPr>
              <w:t>$4,580,223,886</w:t>
            </w:r>
          </w:p>
        </w:tc>
        <w:tc>
          <w:tcPr>
            <w:tcW w:w="1627" w:type="dxa"/>
          </w:tcPr>
          <w:p w:rsidR="00AC40FC" w:rsidRPr="006B3BEA" w:rsidRDefault="00AC40FC" w:rsidP="00A51C66">
            <w:pPr>
              <w:widowControl w:val="0"/>
              <w:spacing w:after="0" w:line="220" w:lineRule="exact"/>
              <w:ind w:left="132"/>
              <w:rPr>
                <w:rFonts w:eastAsia="Arial" w:cs="Arial"/>
                <w:b/>
                <w:sz w:val="20"/>
              </w:rPr>
            </w:pPr>
            <w:r w:rsidRPr="006B3BEA">
              <w:rPr>
                <w:rFonts w:eastAsia="Arial" w:cs="Arial"/>
                <w:b/>
                <w:sz w:val="20"/>
              </w:rPr>
              <w:t>$5,366,581,568</w:t>
            </w:r>
          </w:p>
        </w:tc>
        <w:tc>
          <w:tcPr>
            <w:tcW w:w="1627" w:type="dxa"/>
          </w:tcPr>
          <w:p w:rsidR="00AC40FC" w:rsidRPr="006B3BEA" w:rsidRDefault="00AC40FC" w:rsidP="00A51C66">
            <w:pPr>
              <w:widowControl w:val="0"/>
              <w:spacing w:after="0" w:line="220" w:lineRule="exact"/>
              <w:ind w:right="94"/>
              <w:jc w:val="right"/>
              <w:rPr>
                <w:rFonts w:eastAsia="Arial" w:cs="Arial"/>
                <w:b/>
                <w:sz w:val="20"/>
              </w:rPr>
            </w:pPr>
            <w:r w:rsidRPr="006B3BEA">
              <w:rPr>
                <w:rFonts w:eastAsia="Arial" w:cs="Arial"/>
                <w:b/>
                <w:w w:val="95"/>
                <w:sz w:val="20"/>
              </w:rPr>
              <w:t>$6,155,294,008</w:t>
            </w:r>
          </w:p>
        </w:tc>
        <w:tc>
          <w:tcPr>
            <w:tcW w:w="1225" w:type="dxa"/>
          </w:tcPr>
          <w:p w:rsidR="00AC40FC" w:rsidRPr="006B3BEA" w:rsidRDefault="00AC40FC" w:rsidP="00A51C66">
            <w:pPr>
              <w:widowControl w:val="0"/>
              <w:spacing w:after="0" w:line="220" w:lineRule="exact"/>
              <w:ind w:left="161" w:right="141"/>
              <w:jc w:val="center"/>
              <w:rPr>
                <w:rFonts w:eastAsia="Arial" w:cs="Arial"/>
                <w:b/>
                <w:sz w:val="20"/>
              </w:rPr>
            </w:pPr>
            <w:r w:rsidRPr="006B3BEA">
              <w:rPr>
                <w:rFonts w:eastAsia="Arial" w:cs="Arial"/>
                <w:b/>
                <w:sz w:val="20"/>
              </w:rPr>
              <w:t>13.35%</w:t>
            </w:r>
          </w:p>
        </w:tc>
      </w:tr>
      <w:tr w:rsidR="00AC40FC" w:rsidRPr="006B3BEA" w:rsidTr="004966B1">
        <w:trPr>
          <w:trHeight w:hRule="exact" w:val="245"/>
          <w:jc w:val="center"/>
        </w:trPr>
        <w:tc>
          <w:tcPr>
            <w:tcW w:w="14758" w:type="dxa"/>
            <w:gridSpan w:val="7"/>
          </w:tcPr>
          <w:p w:rsidR="00AC40FC" w:rsidRPr="006B3BEA" w:rsidRDefault="00AC40FC" w:rsidP="00A51C66">
            <w:pPr>
              <w:widowControl w:val="0"/>
              <w:spacing w:after="0" w:line="220" w:lineRule="exact"/>
              <w:ind w:left="28"/>
              <w:rPr>
                <w:rFonts w:eastAsia="Arial" w:cs="Arial"/>
                <w:b/>
                <w:sz w:val="20"/>
              </w:rPr>
            </w:pPr>
            <w:r w:rsidRPr="006B3BEA">
              <w:rPr>
                <w:rFonts w:eastAsia="Arial" w:cs="Arial"/>
                <w:b/>
                <w:sz w:val="20"/>
              </w:rPr>
              <w:t>OTHER PROPERTY AND INVESTMENTS</w:t>
            </w:r>
          </w:p>
        </w:tc>
      </w:tr>
      <w:tr w:rsidR="00AC40FC" w:rsidRPr="006B3BEA" w:rsidTr="004966B1">
        <w:trPr>
          <w:trHeight w:hRule="exact" w:val="245"/>
          <w:jc w:val="center"/>
        </w:trPr>
        <w:tc>
          <w:tcPr>
            <w:tcW w:w="5059" w:type="dxa"/>
          </w:tcPr>
          <w:p w:rsidR="00AC40FC" w:rsidRPr="006B3BEA" w:rsidRDefault="00AC40FC" w:rsidP="00A51C66">
            <w:pPr>
              <w:widowControl w:val="0"/>
              <w:spacing w:after="0" w:line="220" w:lineRule="exact"/>
              <w:ind w:left="180"/>
              <w:rPr>
                <w:rFonts w:eastAsia="Arial" w:cs="Arial"/>
                <w:sz w:val="20"/>
              </w:rPr>
            </w:pPr>
            <w:r w:rsidRPr="006B3BEA">
              <w:rPr>
                <w:rFonts w:eastAsia="Arial" w:cs="Arial"/>
                <w:sz w:val="20"/>
              </w:rPr>
              <w:t>121.0 Non-Utility Property</w:t>
            </w:r>
          </w:p>
        </w:tc>
        <w:tc>
          <w:tcPr>
            <w:tcW w:w="1740" w:type="dxa"/>
          </w:tcPr>
          <w:p w:rsidR="00AC40FC" w:rsidRPr="006B3BEA" w:rsidRDefault="00AC40FC" w:rsidP="00A51C66">
            <w:pPr>
              <w:widowControl w:val="0"/>
              <w:spacing w:after="0" w:line="220" w:lineRule="exact"/>
              <w:ind w:right="94"/>
              <w:jc w:val="right"/>
              <w:rPr>
                <w:rFonts w:eastAsia="Arial" w:cs="Arial"/>
                <w:sz w:val="20"/>
              </w:rPr>
            </w:pPr>
            <w:r w:rsidRPr="006B3BEA">
              <w:rPr>
                <w:rFonts w:eastAsia="Arial" w:cs="Arial"/>
                <w:w w:val="95"/>
                <w:sz w:val="20"/>
              </w:rPr>
              <w:t>$3,728,964</w:t>
            </w:r>
          </w:p>
        </w:tc>
        <w:tc>
          <w:tcPr>
            <w:tcW w:w="1740" w:type="dxa"/>
          </w:tcPr>
          <w:p w:rsidR="00AC40FC" w:rsidRPr="006B3BEA" w:rsidRDefault="00AC40FC" w:rsidP="00A51C66">
            <w:pPr>
              <w:widowControl w:val="0"/>
              <w:spacing w:after="0" w:line="220" w:lineRule="exact"/>
              <w:ind w:right="94"/>
              <w:jc w:val="right"/>
              <w:rPr>
                <w:rFonts w:eastAsia="Arial" w:cs="Arial"/>
                <w:sz w:val="20"/>
              </w:rPr>
            </w:pPr>
            <w:r w:rsidRPr="006B3BEA">
              <w:rPr>
                <w:rFonts w:eastAsia="Arial" w:cs="Arial"/>
                <w:w w:val="95"/>
                <w:sz w:val="20"/>
              </w:rPr>
              <w:t>$3,558,134</w:t>
            </w:r>
          </w:p>
        </w:tc>
        <w:tc>
          <w:tcPr>
            <w:tcW w:w="1740" w:type="dxa"/>
          </w:tcPr>
          <w:p w:rsidR="00AC40FC" w:rsidRPr="006B3BEA" w:rsidRDefault="00AC40FC" w:rsidP="00A51C66">
            <w:pPr>
              <w:widowControl w:val="0"/>
              <w:spacing w:after="0" w:line="220" w:lineRule="exact"/>
              <w:ind w:right="94"/>
              <w:jc w:val="right"/>
              <w:rPr>
                <w:rFonts w:eastAsia="Arial" w:cs="Arial"/>
                <w:sz w:val="20"/>
              </w:rPr>
            </w:pPr>
            <w:r w:rsidRPr="006B3BEA">
              <w:rPr>
                <w:rFonts w:eastAsia="Arial" w:cs="Arial"/>
                <w:w w:val="95"/>
                <w:sz w:val="20"/>
              </w:rPr>
              <w:t>$3,558,183</w:t>
            </w:r>
          </w:p>
        </w:tc>
        <w:tc>
          <w:tcPr>
            <w:tcW w:w="1627" w:type="dxa"/>
          </w:tcPr>
          <w:p w:rsidR="00AC40FC" w:rsidRPr="006B3BEA" w:rsidRDefault="00AC40FC" w:rsidP="00A51C66">
            <w:pPr>
              <w:widowControl w:val="0"/>
              <w:spacing w:after="0" w:line="220" w:lineRule="exact"/>
              <w:ind w:right="94"/>
              <w:jc w:val="right"/>
              <w:rPr>
                <w:rFonts w:eastAsia="Arial" w:cs="Arial"/>
                <w:sz w:val="20"/>
              </w:rPr>
            </w:pPr>
            <w:r w:rsidRPr="006B3BEA">
              <w:rPr>
                <w:rFonts w:eastAsia="Arial" w:cs="Arial"/>
                <w:w w:val="95"/>
                <w:sz w:val="20"/>
              </w:rPr>
              <w:t>$3,544,040</w:t>
            </w:r>
          </w:p>
        </w:tc>
        <w:tc>
          <w:tcPr>
            <w:tcW w:w="1627" w:type="dxa"/>
          </w:tcPr>
          <w:p w:rsidR="00AC40FC" w:rsidRPr="006B3BEA" w:rsidRDefault="00AC40FC" w:rsidP="00A51C66">
            <w:pPr>
              <w:widowControl w:val="0"/>
              <w:spacing w:after="0" w:line="220" w:lineRule="exact"/>
              <w:ind w:right="94"/>
              <w:jc w:val="right"/>
              <w:rPr>
                <w:rFonts w:eastAsia="Arial" w:cs="Arial"/>
                <w:sz w:val="20"/>
              </w:rPr>
            </w:pPr>
            <w:r w:rsidRPr="006B3BEA">
              <w:rPr>
                <w:rFonts w:eastAsia="Arial" w:cs="Arial"/>
                <w:w w:val="95"/>
                <w:sz w:val="20"/>
              </w:rPr>
              <w:t>$3,543,774</w:t>
            </w:r>
          </w:p>
        </w:tc>
        <w:tc>
          <w:tcPr>
            <w:tcW w:w="1225" w:type="dxa"/>
          </w:tcPr>
          <w:p w:rsidR="00AC40FC" w:rsidRPr="006B3BEA" w:rsidRDefault="00AC40FC" w:rsidP="00A51C66">
            <w:pPr>
              <w:widowControl w:val="0"/>
              <w:spacing w:after="0" w:line="220" w:lineRule="exact"/>
              <w:ind w:left="160" w:right="144"/>
              <w:jc w:val="center"/>
              <w:rPr>
                <w:rFonts w:eastAsia="Arial" w:cs="Arial"/>
                <w:sz w:val="20"/>
              </w:rPr>
            </w:pPr>
            <w:r w:rsidRPr="006B3BEA">
              <w:rPr>
                <w:rFonts w:eastAsia="Arial" w:cs="Arial"/>
                <w:sz w:val="20"/>
              </w:rPr>
              <w:t>-1.27%</w:t>
            </w:r>
          </w:p>
        </w:tc>
      </w:tr>
      <w:tr w:rsidR="00AC40FC" w:rsidRPr="006B3BEA" w:rsidTr="004966B1">
        <w:trPr>
          <w:trHeight w:hRule="exact" w:val="245"/>
          <w:jc w:val="center"/>
        </w:trPr>
        <w:tc>
          <w:tcPr>
            <w:tcW w:w="5059" w:type="dxa"/>
          </w:tcPr>
          <w:p w:rsidR="00AC40FC" w:rsidRPr="006B3BEA" w:rsidRDefault="00AC40FC" w:rsidP="00A51C66">
            <w:pPr>
              <w:widowControl w:val="0"/>
              <w:spacing w:after="0" w:line="220" w:lineRule="exact"/>
              <w:ind w:left="180"/>
              <w:rPr>
                <w:rFonts w:eastAsia="Arial" w:cs="Arial"/>
                <w:sz w:val="20"/>
              </w:rPr>
            </w:pPr>
            <w:r w:rsidRPr="006B3BEA">
              <w:rPr>
                <w:rFonts w:eastAsia="Arial" w:cs="Arial"/>
                <w:sz w:val="20"/>
              </w:rPr>
              <w:t>122.0 Accum</w:t>
            </w:r>
            <w:r>
              <w:rPr>
                <w:rFonts w:eastAsia="Arial" w:cs="Arial"/>
                <w:sz w:val="20"/>
              </w:rPr>
              <w:t>ulated</w:t>
            </w:r>
            <w:r w:rsidRPr="006B3BEA">
              <w:rPr>
                <w:rFonts w:eastAsia="Arial" w:cs="Arial"/>
                <w:sz w:val="20"/>
              </w:rPr>
              <w:t xml:space="preserve"> Depreciation and Amortization</w:t>
            </w:r>
          </w:p>
        </w:tc>
        <w:tc>
          <w:tcPr>
            <w:tcW w:w="1740" w:type="dxa"/>
          </w:tcPr>
          <w:p w:rsidR="00AC40FC" w:rsidRPr="006B3BEA" w:rsidRDefault="00AC40FC" w:rsidP="00A51C66">
            <w:pPr>
              <w:widowControl w:val="0"/>
              <w:spacing w:after="0" w:line="220" w:lineRule="exact"/>
              <w:ind w:right="28"/>
              <w:jc w:val="right"/>
              <w:rPr>
                <w:rFonts w:eastAsia="Arial" w:cs="Arial"/>
                <w:sz w:val="20"/>
              </w:rPr>
            </w:pPr>
            <w:r w:rsidRPr="006B3BEA">
              <w:rPr>
                <w:rFonts w:eastAsia="Arial" w:cs="Arial"/>
                <w:color w:val="FF0000"/>
                <w:w w:val="95"/>
                <w:sz w:val="20"/>
              </w:rPr>
              <w:t>(736,260)</w:t>
            </w:r>
          </w:p>
        </w:tc>
        <w:tc>
          <w:tcPr>
            <w:tcW w:w="1740" w:type="dxa"/>
          </w:tcPr>
          <w:p w:rsidR="00AC40FC" w:rsidRPr="006B3BEA" w:rsidRDefault="00AC40FC" w:rsidP="00A51C66">
            <w:pPr>
              <w:widowControl w:val="0"/>
              <w:spacing w:after="0" w:line="220" w:lineRule="exact"/>
              <w:ind w:right="28"/>
              <w:jc w:val="right"/>
              <w:rPr>
                <w:rFonts w:eastAsia="Arial" w:cs="Arial"/>
                <w:sz w:val="20"/>
              </w:rPr>
            </w:pPr>
            <w:r w:rsidRPr="006B3BEA">
              <w:rPr>
                <w:rFonts w:eastAsia="Arial" w:cs="Arial"/>
                <w:color w:val="FF0000"/>
                <w:w w:val="95"/>
                <w:sz w:val="20"/>
              </w:rPr>
              <w:t>(779,113)</w:t>
            </w:r>
          </w:p>
        </w:tc>
        <w:tc>
          <w:tcPr>
            <w:tcW w:w="1740" w:type="dxa"/>
          </w:tcPr>
          <w:p w:rsidR="00AC40FC" w:rsidRPr="006B3BEA" w:rsidRDefault="00AC40FC" w:rsidP="00A51C66">
            <w:pPr>
              <w:widowControl w:val="0"/>
              <w:spacing w:after="0" w:line="220" w:lineRule="exact"/>
              <w:ind w:right="28"/>
              <w:jc w:val="right"/>
              <w:rPr>
                <w:rFonts w:eastAsia="Arial" w:cs="Arial"/>
                <w:sz w:val="20"/>
              </w:rPr>
            </w:pPr>
            <w:r w:rsidRPr="006B3BEA">
              <w:rPr>
                <w:rFonts w:eastAsia="Arial" w:cs="Arial"/>
                <w:color w:val="FF0000"/>
                <w:w w:val="95"/>
                <w:sz w:val="20"/>
              </w:rPr>
              <w:t>(821,966)</w:t>
            </w:r>
          </w:p>
        </w:tc>
        <w:tc>
          <w:tcPr>
            <w:tcW w:w="1627" w:type="dxa"/>
          </w:tcPr>
          <w:p w:rsidR="00AC40FC" w:rsidRPr="006B3BEA" w:rsidRDefault="00AC40FC" w:rsidP="00A51C66">
            <w:pPr>
              <w:widowControl w:val="0"/>
              <w:spacing w:after="0" w:line="220" w:lineRule="exact"/>
              <w:ind w:right="28"/>
              <w:jc w:val="right"/>
              <w:rPr>
                <w:rFonts w:eastAsia="Arial" w:cs="Arial"/>
                <w:sz w:val="20"/>
              </w:rPr>
            </w:pPr>
            <w:r w:rsidRPr="006B3BEA">
              <w:rPr>
                <w:rFonts w:eastAsia="Arial" w:cs="Arial"/>
                <w:color w:val="FF0000"/>
                <w:w w:val="95"/>
                <w:sz w:val="20"/>
              </w:rPr>
              <w:t>(863,896)</w:t>
            </w:r>
          </w:p>
        </w:tc>
        <w:tc>
          <w:tcPr>
            <w:tcW w:w="1627" w:type="dxa"/>
          </w:tcPr>
          <w:p w:rsidR="00AC40FC" w:rsidRPr="006B3BEA" w:rsidRDefault="00AC40FC" w:rsidP="00A51C66">
            <w:pPr>
              <w:widowControl w:val="0"/>
              <w:spacing w:after="0" w:line="220" w:lineRule="exact"/>
              <w:ind w:right="27"/>
              <w:jc w:val="right"/>
              <w:rPr>
                <w:rFonts w:eastAsia="Arial" w:cs="Arial"/>
                <w:sz w:val="20"/>
              </w:rPr>
            </w:pPr>
            <w:r w:rsidRPr="006B3BEA">
              <w:rPr>
                <w:rFonts w:eastAsia="Arial" w:cs="Arial"/>
                <w:color w:val="FF0000"/>
                <w:w w:val="95"/>
                <w:sz w:val="20"/>
              </w:rPr>
              <w:t>(906,748)</w:t>
            </w:r>
          </w:p>
        </w:tc>
        <w:tc>
          <w:tcPr>
            <w:tcW w:w="1225" w:type="dxa"/>
          </w:tcPr>
          <w:p w:rsidR="00AC40FC" w:rsidRPr="006B3BEA" w:rsidRDefault="00AC40FC" w:rsidP="00A51C66">
            <w:pPr>
              <w:widowControl w:val="0"/>
              <w:spacing w:after="0" w:line="220" w:lineRule="exact"/>
              <w:ind w:left="160" w:right="144"/>
              <w:jc w:val="center"/>
              <w:rPr>
                <w:rFonts w:eastAsia="Arial" w:cs="Arial"/>
                <w:sz w:val="20"/>
              </w:rPr>
            </w:pPr>
            <w:r w:rsidRPr="006B3BEA">
              <w:rPr>
                <w:rFonts w:eastAsia="Arial" w:cs="Arial"/>
                <w:sz w:val="20"/>
              </w:rPr>
              <w:t>5.34%</w:t>
            </w:r>
          </w:p>
        </w:tc>
      </w:tr>
      <w:tr w:rsidR="00AC40FC" w:rsidRPr="006B3BEA" w:rsidTr="004966B1">
        <w:trPr>
          <w:trHeight w:hRule="exact" w:val="245"/>
          <w:jc w:val="center"/>
        </w:trPr>
        <w:tc>
          <w:tcPr>
            <w:tcW w:w="5059" w:type="dxa"/>
          </w:tcPr>
          <w:p w:rsidR="00AC40FC" w:rsidRPr="006B3BEA" w:rsidRDefault="00AC40FC" w:rsidP="00A51C66">
            <w:pPr>
              <w:widowControl w:val="0"/>
              <w:spacing w:after="0" w:line="220" w:lineRule="exact"/>
              <w:ind w:left="180"/>
              <w:rPr>
                <w:rFonts w:eastAsia="Arial" w:cs="Arial"/>
                <w:sz w:val="20"/>
              </w:rPr>
            </w:pPr>
            <w:r w:rsidRPr="006B3BEA">
              <w:rPr>
                <w:rFonts w:eastAsia="Arial" w:cs="Arial"/>
                <w:sz w:val="20"/>
              </w:rPr>
              <w:t>123.0 Investments in Associated Companies</w:t>
            </w:r>
          </w:p>
        </w:tc>
        <w:tc>
          <w:tcPr>
            <w:tcW w:w="1740"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w w:val="99"/>
                <w:sz w:val="20"/>
              </w:rPr>
              <w:t>0</w:t>
            </w:r>
          </w:p>
        </w:tc>
        <w:tc>
          <w:tcPr>
            <w:tcW w:w="1740" w:type="dxa"/>
          </w:tcPr>
          <w:p w:rsidR="00AC40FC" w:rsidRPr="006B3BEA" w:rsidRDefault="00AC40FC" w:rsidP="00A51C66">
            <w:pPr>
              <w:widowControl w:val="0"/>
              <w:spacing w:after="0"/>
              <w:rPr>
                <w:rFonts w:eastAsia="Arial" w:cs="Arial"/>
              </w:rPr>
            </w:pPr>
          </w:p>
        </w:tc>
        <w:tc>
          <w:tcPr>
            <w:tcW w:w="1740"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w w:val="99"/>
                <w:sz w:val="20"/>
              </w:rPr>
              <w:t>0</w:t>
            </w:r>
          </w:p>
        </w:tc>
        <w:tc>
          <w:tcPr>
            <w:tcW w:w="1627"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w w:val="99"/>
                <w:sz w:val="20"/>
              </w:rPr>
              <w:t>0</w:t>
            </w:r>
          </w:p>
        </w:tc>
        <w:tc>
          <w:tcPr>
            <w:tcW w:w="1627"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w w:val="99"/>
                <w:sz w:val="20"/>
              </w:rPr>
              <w:t>0</w:t>
            </w:r>
          </w:p>
        </w:tc>
        <w:tc>
          <w:tcPr>
            <w:tcW w:w="1225" w:type="dxa"/>
          </w:tcPr>
          <w:p w:rsidR="00AC40FC" w:rsidRPr="006B3BEA" w:rsidRDefault="00AC40FC" w:rsidP="00A51C66">
            <w:pPr>
              <w:widowControl w:val="0"/>
              <w:spacing w:after="0" w:line="220" w:lineRule="exact"/>
              <w:ind w:left="161" w:right="143"/>
              <w:jc w:val="center"/>
              <w:rPr>
                <w:rFonts w:eastAsia="Arial" w:cs="Arial"/>
                <w:sz w:val="20"/>
              </w:rPr>
            </w:pPr>
            <w:r w:rsidRPr="006B3BEA">
              <w:rPr>
                <w:rFonts w:eastAsia="Arial" w:cs="Arial"/>
                <w:sz w:val="20"/>
              </w:rPr>
              <w:t>NM</w:t>
            </w:r>
          </w:p>
        </w:tc>
      </w:tr>
      <w:tr w:rsidR="00AC40FC" w:rsidRPr="006B3BEA" w:rsidTr="004966B1">
        <w:trPr>
          <w:trHeight w:hRule="exact" w:val="245"/>
          <w:jc w:val="center"/>
        </w:trPr>
        <w:tc>
          <w:tcPr>
            <w:tcW w:w="5059" w:type="dxa"/>
          </w:tcPr>
          <w:p w:rsidR="00AC40FC" w:rsidRPr="006B3BEA" w:rsidRDefault="00AC40FC" w:rsidP="00A51C66">
            <w:pPr>
              <w:widowControl w:val="0"/>
              <w:spacing w:after="0" w:line="220" w:lineRule="exact"/>
              <w:ind w:left="180"/>
              <w:rPr>
                <w:rFonts w:eastAsia="Arial" w:cs="Arial"/>
                <w:sz w:val="20"/>
              </w:rPr>
            </w:pPr>
            <w:r w:rsidRPr="006B3BEA">
              <w:rPr>
                <w:rFonts w:eastAsia="Arial" w:cs="Arial"/>
                <w:sz w:val="20"/>
              </w:rPr>
              <w:t>123.1 Investment in Subsidiary Companies</w:t>
            </w:r>
          </w:p>
        </w:tc>
        <w:tc>
          <w:tcPr>
            <w:tcW w:w="1740"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w w:val="95"/>
                <w:sz w:val="20"/>
              </w:rPr>
              <w:t>153,809,590</w:t>
            </w:r>
          </w:p>
        </w:tc>
        <w:tc>
          <w:tcPr>
            <w:tcW w:w="1740"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w w:val="95"/>
                <w:sz w:val="20"/>
              </w:rPr>
              <w:t>306,056,846</w:t>
            </w:r>
          </w:p>
        </w:tc>
        <w:tc>
          <w:tcPr>
            <w:tcW w:w="1740"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w w:val="95"/>
                <w:sz w:val="20"/>
              </w:rPr>
              <w:t>7,276,018</w:t>
            </w:r>
          </w:p>
        </w:tc>
        <w:tc>
          <w:tcPr>
            <w:tcW w:w="1627"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w w:val="95"/>
                <w:sz w:val="20"/>
              </w:rPr>
              <w:t>498,729,940</w:t>
            </w:r>
          </w:p>
        </w:tc>
        <w:tc>
          <w:tcPr>
            <w:tcW w:w="1627"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w w:val="95"/>
                <w:sz w:val="20"/>
              </w:rPr>
              <w:t>570,914,225</w:t>
            </w:r>
          </w:p>
        </w:tc>
        <w:tc>
          <w:tcPr>
            <w:tcW w:w="1225" w:type="dxa"/>
          </w:tcPr>
          <w:p w:rsidR="00AC40FC" w:rsidRPr="006B3BEA" w:rsidRDefault="00AC40FC" w:rsidP="00A51C66">
            <w:pPr>
              <w:widowControl w:val="0"/>
              <w:spacing w:after="0" w:line="220" w:lineRule="exact"/>
              <w:ind w:left="160" w:right="144"/>
              <w:jc w:val="center"/>
              <w:rPr>
                <w:rFonts w:eastAsia="Arial" w:cs="Arial"/>
                <w:sz w:val="20"/>
              </w:rPr>
            </w:pPr>
            <w:r w:rsidRPr="006B3BEA">
              <w:rPr>
                <w:rFonts w:eastAsia="Arial" w:cs="Arial"/>
                <w:sz w:val="20"/>
              </w:rPr>
              <w:t>38.80%</w:t>
            </w:r>
          </w:p>
        </w:tc>
      </w:tr>
      <w:tr w:rsidR="00AC40FC" w:rsidRPr="006B3BEA" w:rsidTr="004966B1">
        <w:trPr>
          <w:trHeight w:hRule="exact" w:val="245"/>
          <w:jc w:val="center"/>
        </w:trPr>
        <w:tc>
          <w:tcPr>
            <w:tcW w:w="5059" w:type="dxa"/>
          </w:tcPr>
          <w:p w:rsidR="00AC40FC" w:rsidRPr="006B3BEA" w:rsidRDefault="00AC40FC" w:rsidP="00A51C66">
            <w:pPr>
              <w:widowControl w:val="0"/>
              <w:spacing w:after="0" w:line="220" w:lineRule="exact"/>
              <w:ind w:left="180"/>
              <w:rPr>
                <w:rFonts w:eastAsia="Arial" w:cs="Arial"/>
                <w:sz w:val="20"/>
              </w:rPr>
            </w:pPr>
            <w:r w:rsidRPr="006B3BEA">
              <w:rPr>
                <w:rFonts w:eastAsia="Arial" w:cs="Arial"/>
                <w:sz w:val="20"/>
              </w:rPr>
              <w:t>Noncurrent Portion of Allowances</w:t>
            </w:r>
          </w:p>
        </w:tc>
        <w:tc>
          <w:tcPr>
            <w:tcW w:w="1740" w:type="dxa"/>
          </w:tcPr>
          <w:p w:rsidR="00AC40FC" w:rsidRPr="006B3BEA" w:rsidRDefault="00AC40FC" w:rsidP="00A51C66">
            <w:pPr>
              <w:widowControl w:val="0"/>
              <w:spacing w:after="0"/>
              <w:rPr>
                <w:rFonts w:eastAsia="Arial" w:cs="Arial"/>
              </w:rPr>
            </w:pPr>
          </w:p>
        </w:tc>
        <w:tc>
          <w:tcPr>
            <w:tcW w:w="1740" w:type="dxa"/>
          </w:tcPr>
          <w:p w:rsidR="00AC40FC" w:rsidRPr="006B3BEA" w:rsidRDefault="00AC40FC" w:rsidP="00A51C66">
            <w:pPr>
              <w:widowControl w:val="0"/>
              <w:spacing w:after="0"/>
              <w:rPr>
                <w:rFonts w:eastAsia="Arial" w:cs="Arial"/>
              </w:rPr>
            </w:pPr>
          </w:p>
        </w:tc>
        <w:tc>
          <w:tcPr>
            <w:tcW w:w="1740"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w w:val="99"/>
                <w:sz w:val="20"/>
              </w:rPr>
              <w:t>0</w:t>
            </w:r>
          </w:p>
        </w:tc>
        <w:tc>
          <w:tcPr>
            <w:tcW w:w="1627"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w w:val="99"/>
                <w:sz w:val="20"/>
              </w:rPr>
              <w:t>0</w:t>
            </w:r>
          </w:p>
        </w:tc>
        <w:tc>
          <w:tcPr>
            <w:tcW w:w="1627"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w w:val="99"/>
                <w:sz w:val="20"/>
              </w:rPr>
              <w:t>0</w:t>
            </w:r>
          </w:p>
        </w:tc>
        <w:tc>
          <w:tcPr>
            <w:tcW w:w="1225" w:type="dxa"/>
          </w:tcPr>
          <w:p w:rsidR="00AC40FC" w:rsidRPr="006B3BEA" w:rsidRDefault="00AC40FC" w:rsidP="00A51C66">
            <w:pPr>
              <w:widowControl w:val="0"/>
              <w:spacing w:after="0" w:line="220" w:lineRule="exact"/>
              <w:ind w:left="161" w:right="143"/>
              <w:jc w:val="center"/>
              <w:rPr>
                <w:rFonts w:eastAsia="Arial" w:cs="Arial"/>
                <w:sz w:val="20"/>
              </w:rPr>
            </w:pPr>
            <w:r w:rsidRPr="006B3BEA">
              <w:rPr>
                <w:rFonts w:eastAsia="Arial" w:cs="Arial"/>
                <w:sz w:val="20"/>
              </w:rPr>
              <w:t>NM</w:t>
            </w:r>
          </w:p>
        </w:tc>
      </w:tr>
      <w:tr w:rsidR="00AC40FC" w:rsidRPr="006B3BEA" w:rsidTr="004966B1">
        <w:trPr>
          <w:trHeight w:hRule="exact" w:val="245"/>
          <w:jc w:val="center"/>
        </w:trPr>
        <w:tc>
          <w:tcPr>
            <w:tcW w:w="5059" w:type="dxa"/>
          </w:tcPr>
          <w:p w:rsidR="00AC40FC" w:rsidRPr="006B3BEA" w:rsidRDefault="00AC40FC" w:rsidP="00A51C66">
            <w:pPr>
              <w:widowControl w:val="0"/>
              <w:spacing w:after="0" w:line="220" w:lineRule="exact"/>
              <w:ind w:left="180"/>
              <w:rPr>
                <w:rFonts w:eastAsia="Arial" w:cs="Arial"/>
                <w:sz w:val="20"/>
              </w:rPr>
            </w:pPr>
            <w:r w:rsidRPr="006B3BEA">
              <w:rPr>
                <w:rFonts w:eastAsia="Arial" w:cs="Arial"/>
                <w:sz w:val="20"/>
              </w:rPr>
              <w:t>124.0 Other Investments</w:t>
            </w:r>
          </w:p>
        </w:tc>
        <w:tc>
          <w:tcPr>
            <w:tcW w:w="1740"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w w:val="95"/>
                <w:sz w:val="20"/>
              </w:rPr>
              <w:t>1,021,626</w:t>
            </w:r>
          </w:p>
        </w:tc>
        <w:tc>
          <w:tcPr>
            <w:tcW w:w="1740"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w w:val="95"/>
                <w:sz w:val="20"/>
              </w:rPr>
              <w:t>988,124</w:t>
            </w:r>
          </w:p>
        </w:tc>
        <w:tc>
          <w:tcPr>
            <w:tcW w:w="1740"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w w:val="95"/>
                <w:sz w:val="20"/>
              </w:rPr>
              <w:t>1,011,783</w:t>
            </w:r>
          </w:p>
        </w:tc>
        <w:tc>
          <w:tcPr>
            <w:tcW w:w="1627"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w w:val="95"/>
                <w:sz w:val="20"/>
              </w:rPr>
              <w:t>443,138</w:t>
            </w:r>
          </w:p>
        </w:tc>
        <w:tc>
          <w:tcPr>
            <w:tcW w:w="1627"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w w:val="95"/>
                <w:sz w:val="20"/>
              </w:rPr>
              <w:t>343,790</w:t>
            </w:r>
          </w:p>
        </w:tc>
        <w:tc>
          <w:tcPr>
            <w:tcW w:w="1225" w:type="dxa"/>
          </w:tcPr>
          <w:p w:rsidR="00AC40FC" w:rsidRPr="006B3BEA" w:rsidRDefault="00AC40FC" w:rsidP="00A51C66">
            <w:pPr>
              <w:widowControl w:val="0"/>
              <w:spacing w:after="0" w:line="220" w:lineRule="exact"/>
              <w:ind w:left="161" w:right="144"/>
              <w:jc w:val="center"/>
              <w:rPr>
                <w:rFonts w:eastAsia="Arial" w:cs="Arial"/>
                <w:sz w:val="20"/>
              </w:rPr>
            </w:pPr>
            <w:r w:rsidRPr="006B3BEA">
              <w:rPr>
                <w:rFonts w:eastAsia="Arial" w:cs="Arial"/>
                <w:sz w:val="20"/>
              </w:rPr>
              <w:t>-23.84%</w:t>
            </w:r>
          </w:p>
        </w:tc>
      </w:tr>
      <w:tr w:rsidR="00AC40FC" w:rsidRPr="006B3BEA" w:rsidTr="004966B1">
        <w:trPr>
          <w:trHeight w:hRule="exact" w:val="245"/>
          <w:jc w:val="center"/>
        </w:trPr>
        <w:tc>
          <w:tcPr>
            <w:tcW w:w="5059" w:type="dxa"/>
          </w:tcPr>
          <w:p w:rsidR="00AC40FC" w:rsidRPr="006B3BEA" w:rsidRDefault="00AC40FC" w:rsidP="00A51C66">
            <w:pPr>
              <w:widowControl w:val="0"/>
              <w:spacing w:after="0" w:line="220" w:lineRule="exact"/>
              <w:ind w:left="180"/>
              <w:rPr>
                <w:rFonts w:eastAsia="Arial" w:cs="Arial"/>
                <w:sz w:val="20"/>
              </w:rPr>
            </w:pPr>
            <w:r w:rsidRPr="006B3BEA">
              <w:rPr>
                <w:rFonts w:eastAsia="Arial" w:cs="Arial"/>
                <w:sz w:val="20"/>
              </w:rPr>
              <w:t>128.0 Special Funds</w:t>
            </w:r>
          </w:p>
        </w:tc>
        <w:tc>
          <w:tcPr>
            <w:tcW w:w="1740"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w w:val="95"/>
                <w:sz w:val="20"/>
              </w:rPr>
              <w:t>12,187,219</w:t>
            </w:r>
          </w:p>
        </w:tc>
        <w:tc>
          <w:tcPr>
            <w:tcW w:w="1740"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w w:val="95"/>
                <w:sz w:val="20"/>
              </w:rPr>
              <w:t>11,428,331</w:t>
            </w:r>
          </w:p>
        </w:tc>
        <w:tc>
          <w:tcPr>
            <w:tcW w:w="1740"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w w:val="95"/>
                <w:sz w:val="20"/>
              </w:rPr>
              <w:t>10,669,444</w:t>
            </w:r>
          </w:p>
        </w:tc>
        <w:tc>
          <w:tcPr>
            <w:tcW w:w="1627" w:type="dxa"/>
          </w:tcPr>
          <w:p w:rsidR="00AC40FC" w:rsidRPr="006B3BEA" w:rsidRDefault="00AC40FC" w:rsidP="00A51C66">
            <w:pPr>
              <w:widowControl w:val="0"/>
              <w:spacing w:after="0" w:line="220" w:lineRule="exact"/>
              <w:ind w:right="92"/>
              <w:jc w:val="right"/>
              <w:rPr>
                <w:rFonts w:eastAsia="Arial" w:cs="Arial"/>
                <w:sz w:val="20"/>
              </w:rPr>
            </w:pPr>
            <w:r w:rsidRPr="006B3BEA">
              <w:rPr>
                <w:rFonts w:eastAsia="Arial" w:cs="Arial"/>
                <w:w w:val="99"/>
                <w:sz w:val="20"/>
              </w:rPr>
              <w:t>0</w:t>
            </w:r>
          </w:p>
        </w:tc>
        <w:tc>
          <w:tcPr>
            <w:tcW w:w="1627" w:type="dxa"/>
          </w:tcPr>
          <w:p w:rsidR="00AC40FC" w:rsidRPr="006B3BEA" w:rsidRDefault="00AC40FC" w:rsidP="00A51C66">
            <w:pPr>
              <w:widowControl w:val="0"/>
              <w:spacing w:after="0" w:line="220" w:lineRule="exact"/>
              <w:ind w:right="92"/>
              <w:jc w:val="right"/>
              <w:rPr>
                <w:rFonts w:eastAsia="Arial" w:cs="Arial"/>
                <w:sz w:val="20"/>
              </w:rPr>
            </w:pPr>
            <w:r w:rsidRPr="006B3BEA">
              <w:rPr>
                <w:rFonts w:eastAsia="Arial" w:cs="Arial"/>
                <w:w w:val="99"/>
                <w:sz w:val="20"/>
              </w:rPr>
              <w:t>0</w:t>
            </w:r>
          </w:p>
        </w:tc>
        <w:tc>
          <w:tcPr>
            <w:tcW w:w="1225" w:type="dxa"/>
          </w:tcPr>
          <w:p w:rsidR="00AC40FC" w:rsidRPr="006B3BEA" w:rsidRDefault="00AC40FC" w:rsidP="00A51C66">
            <w:pPr>
              <w:widowControl w:val="0"/>
              <w:spacing w:after="0" w:line="220" w:lineRule="exact"/>
              <w:ind w:left="161" w:right="144"/>
              <w:jc w:val="center"/>
              <w:rPr>
                <w:rFonts w:eastAsia="Arial" w:cs="Arial"/>
                <w:sz w:val="20"/>
              </w:rPr>
            </w:pPr>
            <w:r w:rsidRPr="006B3BEA">
              <w:rPr>
                <w:rFonts w:eastAsia="Arial" w:cs="Arial"/>
                <w:sz w:val="20"/>
              </w:rPr>
              <w:t>-100.00%</w:t>
            </w:r>
          </w:p>
        </w:tc>
      </w:tr>
      <w:tr w:rsidR="00AC40FC" w:rsidRPr="006B3BEA" w:rsidTr="004966B1">
        <w:trPr>
          <w:trHeight w:hRule="exact" w:val="245"/>
          <w:jc w:val="center"/>
        </w:trPr>
        <w:tc>
          <w:tcPr>
            <w:tcW w:w="5059" w:type="dxa"/>
          </w:tcPr>
          <w:p w:rsidR="00AC40FC" w:rsidRPr="006B3BEA" w:rsidRDefault="00AC40FC" w:rsidP="00A51C66">
            <w:pPr>
              <w:widowControl w:val="0"/>
              <w:spacing w:after="0" w:line="220" w:lineRule="exact"/>
              <w:ind w:right="25"/>
              <w:jc w:val="right"/>
              <w:rPr>
                <w:rFonts w:eastAsia="Arial" w:cs="Arial"/>
                <w:b/>
                <w:sz w:val="20"/>
              </w:rPr>
            </w:pPr>
            <w:r w:rsidRPr="006B3BEA">
              <w:rPr>
                <w:rFonts w:eastAsia="Arial" w:cs="Arial"/>
                <w:b/>
                <w:sz w:val="20"/>
              </w:rPr>
              <w:t>TOTAL OTHER PROPERTY &amp; INVESTMENTS</w:t>
            </w:r>
          </w:p>
        </w:tc>
        <w:tc>
          <w:tcPr>
            <w:tcW w:w="1740" w:type="dxa"/>
          </w:tcPr>
          <w:p w:rsidR="00AC40FC" w:rsidRPr="006B3BEA" w:rsidRDefault="00AC40FC" w:rsidP="00A51C66">
            <w:pPr>
              <w:widowControl w:val="0"/>
              <w:spacing w:after="0" w:line="220" w:lineRule="exact"/>
              <w:ind w:right="94"/>
              <w:jc w:val="right"/>
              <w:rPr>
                <w:rFonts w:eastAsia="Arial" w:cs="Arial"/>
                <w:b/>
                <w:sz w:val="20"/>
              </w:rPr>
            </w:pPr>
            <w:r w:rsidRPr="006B3BEA">
              <w:rPr>
                <w:rFonts w:eastAsia="Arial" w:cs="Arial"/>
                <w:b/>
                <w:w w:val="95"/>
                <w:sz w:val="20"/>
              </w:rPr>
              <w:t>$170,011,139</w:t>
            </w:r>
          </w:p>
        </w:tc>
        <w:tc>
          <w:tcPr>
            <w:tcW w:w="1740" w:type="dxa"/>
          </w:tcPr>
          <w:p w:rsidR="00AC40FC" w:rsidRPr="006B3BEA" w:rsidRDefault="00AC40FC" w:rsidP="00A51C66">
            <w:pPr>
              <w:widowControl w:val="0"/>
              <w:spacing w:after="0" w:line="220" w:lineRule="exact"/>
              <w:ind w:right="94"/>
              <w:jc w:val="right"/>
              <w:rPr>
                <w:rFonts w:eastAsia="Arial" w:cs="Arial"/>
                <w:b/>
                <w:sz w:val="20"/>
              </w:rPr>
            </w:pPr>
            <w:r w:rsidRPr="006B3BEA">
              <w:rPr>
                <w:rFonts w:eastAsia="Arial" w:cs="Arial"/>
                <w:b/>
                <w:w w:val="95"/>
                <w:sz w:val="20"/>
              </w:rPr>
              <w:t>$321,252,322</w:t>
            </w:r>
          </w:p>
        </w:tc>
        <w:tc>
          <w:tcPr>
            <w:tcW w:w="1740" w:type="dxa"/>
          </w:tcPr>
          <w:p w:rsidR="00AC40FC" w:rsidRPr="006B3BEA" w:rsidRDefault="00AC40FC" w:rsidP="00A51C66">
            <w:pPr>
              <w:widowControl w:val="0"/>
              <w:spacing w:after="0" w:line="220" w:lineRule="exact"/>
              <w:ind w:right="94"/>
              <w:jc w:val="right"/>
              <w:rPr>
                <w:rFonts w:eastAsia="Arial" w:cs="Arial"/>
                <w:b/>
                <w:sz w:val="20"/>
              </w:rPr>
            </w:pPr>
            <w:r w:rsidRPr="006B3BEA">
              <w:rPr>
                <w:rFonts w:eastAsia="Arial" w:cs="Arial"/>
                <w:b/>
                <w:w w:val="95"/>
                <w:sz w:val="20"/>
              </w:rPr>
              <w:t>$21,693,462</w:t>
            </w:r>
          </w:p>
        </w:tc>
        <w:tc>
          <w:tcPr>
            <w:tcW w:w="1627" w:type="dxa"/>
          </w:tcPr>
          <w:p w:rsidR="00AC40FC" w:rsidRPr="006B3BEA" w:rsidRDefault="00AC40FC" w:rsidP="00A51C66">
            <w:pPr>
              <w:widowControl w:val="0"/>
              <w:spacing w:after="0" w:line="220" w:lineRule="exact"/>
              <w:ind w:left="297"/>
              <w:rPr>
                <w:rFonts w:eastAsia="Arial" w:cs="Arial"/>
                <w:b/>
                <w:sz w:val="20"/>
              </w:rPr>
            </w:pPr>
            <w:r w:rsidRPr="006B3BEA">
              <w:rPr>
                <w:rFonts w:eastAsia="Arial" w:cs="Arial"/>
                <w:b/>
                <w:sz w:val="20"/>
              </w:rPr>
              <w:t>$501,853,222</w:t>
            </w:r>
          </w:p>
        </w:tc>
        <w:tc>
          <w:tcPr>
            <w:tcW w:w="1627" w:type="dxa"/>
          </w:tcPr>
          <w:p w:rsidR="00AC40FC" w:rsidRPr="006B3BEA" w:rsidRDefault="00AC40FC" w:rsidP="00A51C66">
            <w:pPr>
              <w:widowControl w:val="0"/>
              <w:spacing w:after="0" w:line="220" w:lineRule="exact"/>
              <w:ind w:right="94"/>
              <w:jc w:val="right"/>
              <w:rPr>
                <w:rFonts w:eastAsia="Arial" w:cs="Arial"/>
                <w:b/>
                <w:sz w:val="20"/>
              </w:rPr>
            </w:pPr>
            <w:r w:rsidRPr="006B3BEA">
              <w:rPr>
                <w:rFonts w:eastAsia="Arial" w:cs="Arial"/>
                <w:b/>
                <w:w w:val="95"/>
                <w:sz w:val="20"/>
              </w:rPr>
              <w:t>$573,895,041</w:t>
            </w:r>
          </w:p>
        </w:tc>
        <w:tc>
          <w:tcPr>
            <w:tcW w:w="1225" w:type="dxa"/>
          </w:tcPr>
          <w:p w:rsidR="00AC40FC" w:rsidRPr="006B3BEA" w:rsidRDefault="00AC40FC" w:rsidP="00A51C66">
            <w:pPr>
              <w:widowControl w:val="0"/>
              <w:spacing w:after="0" w:line="220" w:lineRule="exact"/>
              <w:ind w:left="161" w:right="141"/>
              <w:jc w:val="center"/>
              <w:rPr>
                <w:rFonts w:eastAsia="Arial" w:cs="Arial"/>
                <w:b/>
                <w:sz w:val="20"/>
              </w:rPr>
            </w:pPr>
            <w:r w:rsidRPr="006B3BEA">
              <w:rPr>
                <w:rFonts w:eastAsia="Arial" w:cs="Arial"/>
                <w:b/>
                <w:sz w:val="20"/>
              </w:rPr>
              <w:t>35.55%</w:t>
            </w:r>
          </w:p>
        </w:tc>
      </w:tr>
      <w:tr w:rsidR="00AC40FC" w:rsidRPr="006B3BEA" w:rsidTr="004966B1">
        <w:trPr>
          <w:trHeight w:hRule="exact" w:val="245"/>
          <w:jc w:val="center"/>
        </w:trPr>
        <w:tc>
          <w:tcPr>
            <w:tcW w:w="14758" w:type="dxa"/>
            <w:gridSpan w:val="7"/>
          </w:tcPr>
          <w:p w:rsidR="00AC40FC" w:rsidRPr="006B3BEA" w:rsidRDefault="00AC40FC" w:rsidP="00A51C66">
            <w:pPr>
              <w:widowControl w:val="0"/>
              <w:spacing w:after="0" w:line="220" w:lineRule="exact"/>
              <w:ind w:left="28"/>
              <w:rPr>
                <w:rFonts w:eastAsia="Arial" w:cs="Arial"/>
                <w:b/>
                <w:sz w:val="20"/>
              </w:rPr>
            </w:pPr>
            <w:r w:rsidRPr="006B3BEA">
              <w:rPr>
                <w:rFonts w:eastAsia="Arial" w:cs="Arial"/>
                <w:b/>
                <w:sz w:val="20"/>
              </w:rPr>
              <w:t>CURRENT AND ACCRUED ASSETS</w:t>
            </w:r>
          </w:p>
        </w:tc>
      </w:tr>
      <w:tr w:rsidR="00AC40FC" w:rsidRPr="006B3BEA" w:rsidTr="004966B1">
        <w:trPr>
          <w:trHeight w:hRule="exact" w:val="245"/>
          <w:jc w:val="center"/>
        </w:trPr>
        <w:tc>
          <w:tcPr>
            <w:tcW w:w="5059" w:type="dxa"/>
          </w:tcPr>
          <w:p w:rsidR="00AC40FC" w:rsidRPr="006B3BEA" w:rsidRDefault="00AC40FC" w:rsidP="00A51C66">
            <w:pPr>
              <w:widowControl w:val="0"/>
              <w:spacing w:after="0" w:line="220" w:lineRule="exact"/>
              <w:ind w:left="180"/>
              <w:rPr>
                <w:rFonts w:eastAsia="Arial" w:cs="Arial"/>
                <w:sz w:val="20"/>
              </w:rPr>
            </w:pPr>
            <w:r w:rsidRPr="006B3BEA">
              <w:rPr>
                <w:rFonts w:eastAsia="Arial" w:cs="Arial"/>
                <w:sz w:val="20"/>
              </w:rPr>
              <w:t>131.0 Cash</w:t>
            </w:r>
          </w:p>
        </w:tc>
        <w:tc>
          <w:tcPr>
            <w:tcW w:w="1740" w:type="dxa"/>
          </w:tcPr>
          <w:p w:rsidR="00AC40FC" w:rsidRPr="006B3BEA" w:rsidRDefault="00AC40FC" w:rsidP="00A51C66">
            <w:pPr>
              <w:widowControl w:val="0"/>
              <w:spacing w:after="0" w:line="220" w:lineRule="exact"/>
              <w:ind w:right="94"/>
              <w:jc w:val="right"/>
              <w:rPr>
                <w:rFonts w:eastAsia="Arial" w:cs="Arial"/>
                <w:sz w:val="20"/>
              </w:rPr>
            </w:pPr>
            <w:r w:rsidRPr="006B3BEA">
              <w:rPr>
                <w:rFonts w:eastAsia="Arial" w:cs="Arial"/>
                <w:w w:val="95"/>
                <w:sz w:val="20"/>
              </w:rPr>
              <w:t>$8,615,347</w:t>
            </w:r>
          </w:p>
        </w:tc>
        <w:tc>
          <w:tcPr>
            <w:tcW w:w="1740" w:type="dxa"/>
          </w:tcPr>
          <w:p w:rsidR="00AC40FC" w:rsidRPr="006B3BEA" w:rsidRDefault="00AC40FC" w:rsidP="00A51C66">
            <w:pPr>
              <w:widowControl w:val="0"/>
              <w:spacing w:after="0" w:line="220" w:lineRule="exact"/>
              <w:ind w:right="94"/>
              <w:jc w:val="right"/>
              <w:rPr>
                <w:rFonts w:eastAsia="Arial" w:cs="Arial"/>
                <w:sz w:val="20"/>
              </w:rPr>
            </w:pPr>
            <w:r w:rsidRPr="006B3BEA">
              <w:rPr>
                <w:rFonts w:eastAsia="Arial" w:cs="Arial"/>
                <w:w w:val="95"/>
                <w:sz w:val="20"/>
              </w:rPr>
              <w:t>$235,903</w:t>
            </w:r>
          </w:p>
        </w:tc>
        <w:tc>
          <w:tcPr>
            <w:tcW w:w="1740" w:type="dxa"/>
          </w:tcPr>
          <w:p w:rsidR="00AC40FC" w:rsidRPr="006B3BEA" w:rsidRDefault="00AC40FC" w:rsidP="00A51C66">
            <w:pPr>
              <w:widowControl w:val="0"/>
              <w:spacing w:after="0" w:line="220" w:lineRule="exact"/>
              <w:ind w:right="94"/>
              <w:jc w:val="right"/>
              <w:rPr>
                <w:rFonts w:eastAsia="Arial" w:cs="Arial"/>
                <w:sz w:val="20"/>
              </w:rPr>
            </w:pPr>
            <w:r w:rsidRPr="006B3BEA">
              <w:rPr>
                <w:rFonts w:eastAsia="Arial" w:cs="Arial"/>
                <w:w w:val="95"/>
                <w:sz w:val="20"/>
              </w:rPr>
              <w:t>$8,977,284</w:t>
            </w:r>
          </w:p>
        </w:tc>
        <w:tc>
          <w:tcPr>
            <w:tcW w:w="1627" w:type="dxa"/>
          </w:tcPr>
          <w:p w:rsidR="00AC40FC" w:rsidRPr="006B3BEA" w:rsidRDefault="00AC40FC" w:rsidP="00A51C66">
            <w:pPr>
              <w:widowControl w:val="0"/>
              <w:spacing w:after="0" w:line="220" w:lineRule="exact"/>
              <w:ind w:right="94"/>
              <w:jc w:val="right"/>
              <w:rPr>
                <w:rFonts w:eastAsia="Arial" w:cs="Arial"/>
                <w:sz w:val="20"/>
              </w:rPr>
            </w:pPr>
            <w:r w:rsidRPr="006B3BEA">
              <w:rPr>
                <w:rFonts w:eastAsia="Arial" w:cs="Arial"/>
                <w:w w:val="95"/>
                <w:sz w:val="20"/>
              </w:rPr>
              <w:t>$4,850,465</w:t>
            </w:r>
          </w:p>
        </w:tc>
        <w:tc>
          <w:tcPr>
            <w:tcW w:w="1627" w:type="dxa"/>
          </w:tcPr>
          <w:p w:rsidR="00AC40FC" w:rsidRPr="006B3BEA" w:rsidRDefault="00AC40FC" w:rsidP="00A51C66">
            <w:pPr>
              <w:widowControl w:val="0"/>
              <w:spacing w:after="0" w:line="220" w:lineRule="exact"/>
              <w:ind w:right="94"/>
              <w:jc w:val="right"/>
              <w:rPr>
                <w:rFonts w:eastAsia="Arial" w:cs="Arial"/>
                <w:sz w:val="20"/>
              </w:rPr>
            </w:pPr>
            <w:r w:rsidRPr="006B3BEA">
              <w:rPr>
                <w:rFonts w:eastAsia="Arial" w:cs="Arial"/>
                <w:w w:val="95"/>
                <w:sz w:val="20"/>
              </w:rPr>
              <w:t>$3,831,830</w:t>
            </w:r>
          </w:p>
        </w:tc>
        <w:tc>
          <w:tcPr>
            <w:tcW w:w="1225" w:type="dxa"/>
          </w:tcPr>
          <w:p w:rsidR="00AC40FC" w:rsidRPr="006B3BEA" w:rsidRDefault="00AC40FC" w:rsidP="00A51C66">
            <w:pPr>
              <w:widowControl w:val="0"/>
              <w:spacing w:after="0" w:line="220" w:lineRule="exact"/>
              <w:ind w:left="160" w:right="144"/>
              <w:jc w:val="center"/>
              <w:rPr>
                <w:rFonts w:eastAsia="Arial" w:cs="Arial"/>
                <w:sz w:val="20"/>
              </w:rPr>
            </w:pPr>
            <w:r w:rsidRPr="006B3BEA">
              <w:rPr>
                <w:rFonts w:eastAsia="Arial" w:cs="Arial"/>
                <w:sz w:val="20"/>
              </w:rPr>
              <w:t>-18.34%</w:t>
            </w:r>
          </w:p>
        </w:tc>
      </w:tr>
      <w:tr w:rsidR="00AC40FC" w:rsidRPr="006B3BEA" w:rsidTr="004966B1">
        <w:trPr>
          <w:trHeight w:hRule="exact" w:val="245"/>
          <w:jc w:val="center"/>
        </w:trPr>
        <w:tc>
          <w:tcPr>
            <w:tcW w:w="5059" w:type="dxa"/>
          </w:tcPr>
          <w:p w:rsidR="00AC40FC" w:rsidRPr="006B3BEA" w:rsidRDefault="00AC40FC" w:rsidP="00A51C66">
            <w:pPr>
              <w:widowControl w:val="0"/>
              <w:spacing w:after="0" w:line="220" w:lineRule="exact"/>
              <w:ind w:left="180"/>
              <w:rPr>
                <w:rFonts w:eastAsia="Arial" w:cs="Arial"/>
                <w:sz w:val="20"/>
              </w:rPr>
            </w:pPr>
            <w:r w:rsidRPr="006B3BEA">
              <w:rPr>
                <w:rFonts w:eastAsia="Arial" w:cs="Arial"/>
                <w:sz w:val="20"/>
              </w:rPr>
              <w:t>Special Deposits</w:t>
            </w:r>
          </w:p>
        </w:tc>
        <w:tc>
          <w:tcPr>
            <w:tcW w:w="1740"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w w:val="99"/>
                <w:sz w:val="20"/>
              </w:rPr>
              <w:t>0</w:t>
            </w:r>
          </w:p>
        </w:tc>
        <w:tc>
          <w:tcPr>
            <w:tcW w:w="1740"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w w:val="99"/>
                <w:sz w:val="20"/>
              </w:rPr>
              <w:t>0</w:t>
            </w:r>
          </w:p>
        </w:tc>
        <w:tc>
          <w:tcPr>
            <w:tcW w:w="1740"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w w:val="99"/>
                <w:sz w:val="20"/>
              </w:rPr>
              <w:t>0</w:t>
            </w:r>
          </w:p>
        </w:tc>
        <w:tc>
          <w:tcPr>
            <w:tcW w:w="1627"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w w:val="99"/>
                <w:sz w:val="20"/>
              </w:rPr>
              <w:t>0</w:t>
            </w:r>
          </w:p>
        </w:tc>
        <w:tc>
          <w:tcPr>
            <w:tcW w:w="1627"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w w:val="99"/>
                <w:sz w:val="20"/>
              </w:rPr>
              <w:t>0</w:t>
            </w:r>
          </w:p>
        </w:tc>
        <w:tc>
          <w:tcPr>
            <w:tcW w:w="1225" w:type="dxa"/>
          </w:tcPr>
          <w:p w:rsidR="00AC40FC" w:rsidRPr="006B3BEA" w:rsidRDefault="00AC40FC" w:rsidP="00A51C66">
            <w:pPr>
              <w:widowControl w:val="0"/>
              <w:spacing w:after="0" w:line="220" w:lineRule="exact"/>
              <w:ind w:left="161" w:right="143"/>
              <w:jc w:val="center"/>
              <w:rPr>
                <w:rFonts w:eastAsia="Arial" w:cs="Arial"/>
                <w:sz w:val="20"/>
              </w:rPr>
            </w:pPr>
            <w:r w:rsidRPr="006B3BEA">
              <w:rPr>
                <w:rFonts w:eastAsia="Arial" w:cs="Arial"/>
                <w:sz w:val="20"/>
              </w:rPr>
              <w:t>NM</w:t>
            </w:r>
          </w:p>
        </w:tc>
      </w:tr>
      <w:tr w:rsidR="00AC40FC" w:rsidRPr="006B3BEA" w:rsidTr="004966B1">
        <w:trPr>
          <w:trHeight w:hRule="exact" w:val="245"/>
          <w:jc w:val="center"/>
        </w:trPr>
        <w:tc>
          <w:tcPr>
            <w:tcW w:w="5059" w:type="dxa"/>
          </w:tcPr>
          <w:p w:rsidR="00AC40FC" w:rsidRPr="006B3BEA" w:rsidRDefault="00AC40FC" w:rsidP="00A51C66">
            <w:pPr>
              <w:widowControl w:val="0"/>
              <w:spacing w:after="0" w:line="220" w:lineRule="exact"/>
              <w:ind w:left="180"/>
              <w:rPr>
                <w:rFonts w:eastAsia="Arial" w:cs="Arial"/>
                <w:sz w:val="20"/>
              </w:rPr>
            </w:pPr>
            <w:r w:rsidRPr="006B3BEA">
              <w:rPr>
                <w:rFonts w:eastAsia="Arial" w:cs="Arial"/>
                <w:sz w:val="20"/>
              </w:rPr>
              <w:t>135.0 Working Fund</w:t>
            </w:r>
          </w:p>
        </w:tc>
        <w:tc>
          <w:tcPr>
            <w:tcW w:w="1740"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w w:val="95"/>
                <w:sz w:val="20"/>
              </w:rPr>
              <w:t>188,832</w:t>
            </w:r>
          </w:p>
        </w:tc>
        <w:tc>
          <w:tcPr>
            <w:tcW w:w="1740"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sz w:val="20"/>
              </w:rPr>
              <w:t>93,857</w:t>
            </w:r>
          </w:p>
        </w:tc>
        <w:tc>
          <w:tcPr>
            <w:tcW w:w="1740"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sz w:val="20"/>
              </w:rPr>
              <w:t>8,625</w:t>
            </w:r>
          </w:p>
        </w:tc>
        <w:tc>
          <w:tcPr>
            <w:tcW w:w="1627"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w w:val="99"/>
                <w:sz w:val="20"/>
              </w:rPr>
              <w:t>0</w:t>
            </w:r>
          </w:p>
        </w:tc>
        <w:tc>
          <w:tcPr>
            <w:tcW w:w="1627"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w w:val="99"/>
                <w:sz w:val="20"/>
              </w:rPr>
              <w:t>0</w:t>
            </w:r>
          </w:p>
        </w:tc>
        <w:tc>
          <w:tcPr>
            <w:tcW w:w="1225" w:type="dxa"/>
          </w:tcPr>
          <w:p w:rsidR="00AC40FC" w:rsidRPr="006B3BEA" w:rsidRDefault="00AC40FC" w:rsidP="00A51C66">
            <w:pPr>
              <w:widowControl w:val="0"/>
              <w:spacing w:after="0" w:line="220" w:lineRule="exact"/>
              <w:ind w:left="160" w:right="144"/>
              <w:jc w:val="center"/>
              <w:rPr>
                <w:rFonts w:eastAsia="Arial" w:cs="Arial"/>
                <w:sz w:val="20"/>
              </w:rPr>
            </w:pPr>
            <w:r w:rsidRPr="006B3BEA">
              <w:rPr>
                <w:rFonts w:eastAsia="Arial" w:cs="Arial"/>
                <w:sz w:val="20"/>
              </w:rPr>
              <w:t>-100.00%</w:t>
            </w:r>
          </w:p>
        </w:tc>
      </w:tr>
      <w:tr w:rsidR="00AC40FC" w:rsidRPr="006B3BEA" w:rsidTr="004966B1">
        <w:trPr>
          <w:trHeight w:hRule="exact" w:val="245"/>
          <w:jc w:val="center"/>
        </w:trPr>
        <w:tc>
          <w:tcPr>
            <w:tcW w:w="5059" w:type="dxa"/>
          </w:tcPr>
          <w:p w:rsidR="00AC40FC" w:rsidRPr="006B3BEA" w:rsidRDefault="00AC40FC" w:rsidP="00A51C66">
            <w:pPr>
              <w:widowControl w:val="0"/>
              <w:spacing w:after="0" w:line="220" w:lineRule="exact"/>
              <w:ind w:left="180"/>
              <w:rPr>
                <w:rFonts w:eastAsia="Arial" w:cs="Arial"/>
                <w:sz w:val="20"/>
              </w:rPr>
            </w:pPr>
            <w:r w:rsidRPr="006B3BEA">
              <w:rPr>
                <w:rFonts w:eastAsia="Arial" w:cs="Arial"/>
                <w:sz w:val="20"/>
              </w:rPr>
              <w:t>136.0 Temporary Cash Investments</w:t>
            </w:r>
          </w:p>
        </w:tc>
        <w:tc>
          <w:tcPr>
            <w:tcW w:w="1740" w:type="dxa"/>
          </w:tcPr>
          <w:p w:rsidR="00AC40FC" w:rsidRPr="006B3BEA" w:rsidRDefault="00AC40FC" w:rsidP="00A51C66">
            <w:pPr>
              <w:widowControl w:val="0"/>
              <w:spacing w:after="0" w:line="220" w:lineRule="exact"/>
              <w:ind w:right="94"/>
              <w:jc w:val="right"/>
              <w:rPr>
                <w:rFonts w:eastAsia="Arial" w:cs="Arial"/>
                <w:sz w:val="20"/>
              </w:rPr>
            </w:pPr>
            <w:r w:rsidRPr="006B3BEA">
              <w:rPr>
                <w:rFonts w:eastAsia="Arial" w:cs="Arial"/>
                <w:w w:val="95"/>
                <w:sz w:val="20"/>
              </w:rPr>
              <w:t>42,735,111</w:t>
            </w:r>
          </w:p>
        </w:tc>
        <w:tc>
          <w:tcPr>
            <w:tcW w:w="1740" w:type="dxa"/>
          </w:tcPr>
          <w:p w:rsidR="00AC40FC" w:rsidRPr="006B3BEA" w:rsidRDefault="00AC40FC" w:rsidP="00A51C66">
            <w:pPr>
              <w:widowControl w:val="0"/>
              <w:spacing w:after="0" w:line="220" w:lineRule="exact"/>
              <w:ind w:right="94"/>
              <w:jc w:val="right"/>
              <w:rPr>
                <w:rFonts w:eastAsia="Arial" w:cs="Arial"/>
                <w:sz w:val="20"/>
              </w:rPr>
            </w:pPr>
            <w:r w:rsidRPr="006B3BEA">
              <w:rPr>
                <w:rFonts w:eastAsia="Arial" w:cs="Arial"/>
                <w:w w:val="95"/>
                <w:sz w:val="20"/>
              </w:rPr>
              <w:t>14,582,077</w:t>
            </w:r>
          </w:p>
        </w:tc>
        <w:tc>
          <w:tcPr>
            <w:tcW w:w="1740" w:type="dxa"/>
          </w:tcPr>
          <w:p w:rsidR="00AC40FC" w:rsidRPr="006B3BEA" w:rsidRDefault="00AC40FC" w:rsidP="00A51C66">
            <w:pPr>
              <w:widowControl w:val="0"/>
              <w:spacing w:after="0" w:line="220" w:lineRule="exact"/>
              <w:ind w:right="94"/>
              <w:jc w:val="right"/>
              <w:rPr>
                <w:rFonts w:eastAsia="Arial" w:cs="Arial"/>
                <w:sz w:val="20"/>
              </w:rPr>
            </w:pPr>
            <w:r w:rsidRPr="006B3BEA">
              <w:rPr>
                <w:rFonts w:eastAsia="Arial" w:cs="Arial"/>
                <w:w w:val="95"/>
                <w:sz w:val="20"/>
              </w:rPr>
              <w:t>123,345,817</w:t>
            </w:r>
          </w:p>
        </w:tc>
        <w:tc>
          <w:tcPr>
            <w:tcW w:w="1627" w:type="dxa"/>
          </w:tcPr>
          <w:p w:rsidR="00AC40FC" w:rsidRPr="006B3BEA" w:rsidRDefault="00AC40FC" w:rsidP="00A51C66">
            <w:pPr>
              <w:widowControl w:val="0"/>
              <w:spacing w:after="0" w:line="220" w:lineRule="exact"/>
              <w:ind w:right="95"/>
              <w:jc w:val="right"/>
              <w:rPr>
                <w:rFonts w:eastAsia="Arial" w:cs="Arial"/>
                <w:sz w:val="20"/>
              </w:rPr>
            </w:pPr>
            <w:r w:rsidRPr="006B3BEA">
              <w:rPr>
                <w:rFonts w:eastAsia="Arial" w:cs="Arial"/>
                <w:w w:val="95"/>
                <w:sz w:val="20"/>
              </w:rPr>
              <w:t>19,602,041</w:t>
            </w:r>
          </w:p>
        </w:tc>
        <w:tc>
          <w:tcPr>
            <w:tcW w:w="1627"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w w:val="95"/>
                <w:sz w:val="20"/>
              </w:rPr>
              <w:t>29,978,647</w:t>
            </w:r>
          </w:p>
        </w:tc>
        <w:tc>
          <w:tcPr>
            <w:tcW w:w="1225" w:type="dxa"/>
          </w:tcPr>
          <w:p w:rsidR="00AC40FC" w:rsidRPr="006B3BEA" w:rsidRDefault="00AC40FC" w:rsidP="00A51C66">
            <w:pPr>
              <w:widowControl w:val="0"/>
              <w:spacing w:after="0" w:line="220" w:lineRule="exact"/>
              <w:ind w:left="160" w:right="144"/>
              <w:jc w:val="center"/>
              <w:rPr>
                <w:rFonts w:eastAsia="Arial" w:cs="Arial"/>
                <w:sz w:val="20"/>
              </w:rPr>
            </w:pPr>
            <w:r w:rsidRPr="006B3BEA">
              <w:rPr>
                <w:rFonts w:eastAsia="Arial" w:cs="Arial"/>
                <w:sz w:val="20"/>
              </w:rPr>
              <w:t>-8.48%</w:t>
            </w:r>
          </w:p>
        </w:tc>
      </w:tr>
      <w:tr w:rsidR="00AC40FC" w:rsidRPr="006B3BEA" w:rsidTr="004966B1">
        <w:trPr>
          <w:trHeight w:hRule="exact" w:val="245"/>
          <w:jc w:val="center"/>
        </w:trPr>
        <w:tc>
          <w:tcPr>
            <w:tcW w:w="5059" w:type="dxa"/>
          </w:tcPr>
          <w:p w:rsidR="00AC40FC" w:rsidRPr="006B3BEA" w:rsidRDefault="00AC40FC" w:rsidP="00A51C66">
            <w:pPr>
              <w:widowControl w:val="0"/>
              <w:spacing w:after="0" w:line="220" w:lineRule="exact"/>
              <w:ind w:left="180"/>
              <w:rPr>
                <w:rFonts w:eastAsia="Arial" w:cs="Arial"/>
                <w:sz w:val="20"/>
              </w:rPr>
            </w:pPr>
            <w:r w:rsidRPr="006B3BEA">
              <w:rPr>
                <w:rFonts w:eastAsia="Arial" w:cs="Arial"/>
                <w:sz w:val="20"/>
              </w:rPr>
              <w:t>141.0 Notes Receivable</w:t>
            </w:r>
          </w:p>
        </w:tc>
        <w:tc>
          <w:tcPr>
            <w:tcW w:w="1740"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w w:val="99"/>
                <w:sz w:val="20"/>
              </w:rPr>
              <w:t>0</w:t>
            </w:r>
          </w:p>
        </w:tc>
        <w:tc>
          <w:tcPr>
            <w:tcW w:w="1740"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w w:val="99"/>
                <w:sz w:val="20"/>
              </w:rPr>
              <w:t>0</w:t>
            </w:r>
          </w:p>
        </w:tc>
        <w:tc>
          <w:tcPr>
            <w:tcW w:w="1740"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w w:val="99"/>
                <w:sz w:val="20"/>
              </w:rPr>
              <w:t>0</w:t>
            </w:r>
          </w:p>
        </w:tc>
        <w:tc>
          <w:tcPr>
            <w:tcW w:w="1627"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w w:val="99"/>
                <w:sz w:val="20"/>
              </w:rPr>
              <w:t>0</w:t>
            </w:r>
          </w:p>
        </w:tc>
        <w:tc>
          <w:tcPr>
            <w:tcW w:w="1627"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w w:val="99"/>
                <w:sz w:val="20"/>
              </w:rPr>
              <w:t>0</w:t>
            </w:r>
          </w:p>
        </w:tc>
        <w:tc>
          <w:tcPr>
            <w:tcW w:w="1225" w:type="dxa"/>
          </w:tcPr>
          <w:p w:rsidR="00AC40FC" w:rsidRPr="006B3BEA" w:rsidRDefault="00AC40FC" w:rsidP="00A51C66">
            <w:pPr>
              <w:widowControl w:val="0"/>
              <w:spacing w:after="0" w:line="220" w:lineRule="exact"/>
              <w:ind w:left="161" w:right="143"/>
              <w:jc w:val="center"/>
              <w:rPr>
                <w:rFonts w:eastAsia="Arial" w:cs="Arial"/>
                <w:sz w:val="20"/>
              </w:rPr>
            </w:pPr>
            <w:r w:rsidRPr="006B3BEA">
              <w:rPr>
                <w:rFonts w:eastAsia="Arial" w:cs="Arial"/>
                <w:sz w:val="20"/>
              </w:rPr>
              <w:t>NM</w:t>
            </w:r>
          </w:p>
        </w:tc>
      </w:tr>
      <w:tr w:rsidR="00AC40FC" w:rsidRPr="006B3BEA" w:rsidTr="004966B1">
        <w:trPr>
          <w:trHeight w:hRule="exact" w:val="245"/>
          <w:jc w:val="center"/>
        </w:trPr>
        <w:tc>
          <w:tcPr>
            <w:tcW w:w="5059" w:type="dxa"/>
          </w:tcPr>
          <w:p w:rsidR="00AC40FC" w:rsidRPr="006B3BEA" w:rsidRDefault="00AC40FC" w:rsidP="00A51C66">
            <w:pPr>
              <w:widowControl w:val="0"/>
              <w:spacing w:after="0" w:line="220" w:lineRule="exact"/>
              <w:ind w:left="180"/>
              <w:rPr>
                <w:rFonts w:eastAsia="Arial" w:cs="Arial"/>
                <w:sz w:val="20"/>
              </w:rPr>
            </w:pPr>
            <w:r w:rsidRPr="006B3BEA">
              <w:rPr>
                <w:rFonts w:eastAsia="Arial" w:cs="Arial"/>
                <w:sz w:val="20"/>
              </w:rPr>
              <w:t>142.0 Customer Accounts Receivable</w:t>
            </w:r>
          </w:p>
        </w:tc>
        <w:tc>
          <w:tcPr>
            <w:tcW w:w="1740"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w w:val="95"/>
                <w:sz w:val="20"/>
              </w:rPr>
              <w:t>267,476,462</w:t>
            </w:r>
          </w:p>
        </w:tc>
        <w:tc>
          <w:tcPr>
            <w:tcW w:w="1740"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w w:val="95"/>
                <w:sz w:val="20"/>
              </w:rPr>
              <w:t>272,960,212</w:t>
            </w:r>
          </w:p>
        </w:tc>
        <w:tc>
          <w:tcPr>
            <w:tcW w:w="1740"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w w:val="95"/>
                <w:sz w:val="20"/>
              </w:rPr>
              <w:t>255,835,511</w:t>
            </w:r>
          </w:p>
        </w:tc>
        <w:tc>
          <w:tcPr>
            <w:tcW w:w="1627"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w w:val="95"/>
                <w:sz w:val="20"/>
              </w:rPr>
              <w:t>5,268,132</w:t>
            </w:r>
          </w:p>
        </w:tc>
        <w:tc>
          <w:tcPr>
            <w:tcW w:w="1627"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w w:val="95"/>
                <w:sz w:val="20"/>
              </w:rPr>
              <w:t>2,247,559</w:t>
            </w:r>
          </w:p>
        </w:tc>
        <w:tc>
          <w:tcPr>
            <w:tcW w:w="1225" w:type="dxa"/>
          </w:tcPr>
          <w:p w:rsidR="00AC40FC" w:rsidRPr="006B3BEA" w:rsidRDefault="00AC40FC" w:rsidP="00A51C66">
            <w:pPr>
              <w:widowControl w:val="0"/>
              <w:spacing w:after="0" w:line="220" w:lineRule="exact"/>
              <w:ind w:left="160" w:right="144"/>
              <w:jc w:val="center"/>
              <w:rPr>
                <w:rFonts w:eastAsia="Arial" w:cs="Arial"/>
                <w:sz w:val="20"/>
              </w:rPr>
            </w:pPr>
            <w:r w:rsidRPr="006B3BEA">
              <w:rPr>
                <w:rFonts w:eastAsia="Arial" w:cs="Arial"/>
                <w:sz w:val="20"/>
              </w:rPr>
              <w:t>-69.72%</w:t>
            </w:r>
          </w:p>
        </w:tc>
      </w:tr>
      <w:tr w:rsidR="00AC40FC" w:rsidRPr="006B3BEA" w:rsidTr="004966B1">
        <w:trPr>
          <w:trHeight w:hRule="exact" w:val="245"/>
          <w:jc w:val="center"/>
        </w:trPr>
        <w:tc>
          <w:tcPr>
            <w:tcW w:w="5059" w:type="dxa"/>
          </w:tcPr>
          <w:p w:rsidR="00AC40FC" w:rsidRPr="006B3BEA" w:rsidRDefault="00AC40FC" w:rsidP="00A51C66">
            <w:pPr>
              <w:widowControl w:val="0"/>
              <w:spacing w:after="0" w:line="220" w:lineRule="exact"/>
              <w:ind w:left="180"/>
              <w:rPr>
                <w:rFonts w:eastAsia="Arial" w:cs="Arial"/>
                <w:sz w:val="20"/>
              </w:rPr>
            </w:pPr>
            <w:r w:rsidRPr="006B3BEA">
              <w:rPr>
                <w:rFonts w:eastAsia="Arial" w:cs="Arial"/>
                <w:sz w:val="20"/>
              </w:rPr>
              <w:t>143.0 Other Accounts Receivable</w:t>
            </w:r>
          </w:p>
        </w:tc>
        <w:tc>
          <w:tcPr>
            <w:tcW w:w="1740"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w w:val="95"/>
                <w:sz w:val="20"/>
              </w:rPr>
              <w:t>38,336,224</w:t>
            </w:r>
          </w:p>
        </w:tc>
        <w:tc>
          <w:tcPr>
            <w:tcW w:w="1740"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w w:val="95"/>
                <w:sz w:val="20"/>
              </w:rPr>
              <w:t>21,944,482</w:t>
            </w:r>
          </w:p>
        </w:tc>
        <w:tc>
          <w:tcPr>
            <w:tcW w:w="1740"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w w:val="95"/>
                <w:sz w:val="20"/>
              </w:rPr>
              <w:t>18,110,996</w:t>
            </w:r>
          </w:p>
        </w:tc>
        <w:tc>
          <w:tcPr>
            <w:tcW w:w="1627"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w w:val="95"/>
                <w:sz w:val="20"/>
              </w:rPr>
              <w:t>24,077,025</w:t>
            </w:r>
          </w:p>
        </w:tc>
        <w:tc>
          <w:tcPr>
            <w:tcW w:w="1627"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w w:val="95"/>
                <w:sz w:val="20"/>
              </w:rPr>
              <w:t>49,567,368</w:t>
            </w:r>
          </w:p>
        </w:tc>
        <w:tc>
          <w:tcPr>
            <w:tcW w:w="1225" w:type="dxa"/>
          </w:tcPr>
          <w:p w:rsidR="00AC40FC" w:rsidRPr="006B3BEA" w:rsidRDefault="00AC40FC" w:rsidP="00A51C66">
            <w:pPr>
              <w:widowControl w:val="0"/>
              <w:spacing w:after="0" w:line="220" w:lineRule="exact"/>
              <w:ind w:left="161" w:right="144"/>
              <w:jc w:val="center"/>
              <w:rPr>
                <w:rFonts w:eastAsia="Arial" w:cs="Arial"/>
                <w:sz w:val="20"/>
              </w:rPr>
            </w:pPr>
            <w:r w:rsidRPr="006B3BEA">
              <w:rPr>
                <w:rFonts w:eastAsia="Arial" w:cs="Arial"/>
                <w:sz w:val="20"/>
              </w:rPr>
              <w:t>6.63%</w:t>
            </w:r>
          </w:p>
        </w:tc>
      </w:tr>
      <w:tr w:rsidR="00AC40FC" w:rsidRPr="006B3BEA" w:rsidTr="004966B1">
        <w:trPr>
          <w:trHeight w:hRule="exact" w:val="245"/>
          <w:jc w:val="center"/>
        </w:trPr>
        <w:tc>
          <w:tcPr>
            <w:tcW w:w="5059" w:type="dxa"/>
          </w:tcPr>
          <w:p w:rsidR="00AC40FC" w:rsidRPr="006B3BEA" w:rsidRDefault="00AC40FC" w:rsidP="00BB665B">
            <w:pPr>
              <w:widowControl w:val="0"/>
              <w:spacing w:after="0" w:line="220" w:lineRule="exact"/>
              <w:ind w:left="180"/>
              <w:rPr>
                <w:rFonts w:eastAsia="Arial" w:cs="Arial"/>
                <w:sz w:val="20"/>
              </w:rPr>
            </w:pPr>
            <w:r w:rsidRPr="006B3BEA">
              <w:rPr>
                <w:rFonts w:eastAsia="Arial" w:cs="Arial"/>
                <w:sz w:val="20"/>
              </w:rPr>
              <w:t>144.0 Accum</w:t>
            </w:r>
            <w:r>
              <w:rPr>
                <w:rFonts w:eastAsia="Arial" w:cs="Arial"/>
                <w:sz w:val="20"/>
              </w:rPr>
              <w:t>ulated</w:t>
            </w:r>
            <w:r w:rsidRPr="006B3BEA">
              <w:rPr>
                <w:rFonts w:eastAsia="Arial" w:cs="Arial"/>
                <w:sz w:val="20"/>
              </w:rPr>
              <w:t xml:space="preserve"> for Uncollectible Accounts</w:t>
            </w:r>
          </w:p>
        </w:tc>
        <w:tc>
          <w:tcPr>
            <w:tcW w:w="1740" w:type="dxa"/>
          </w:tcPr>
          <w:p w:rsidR="00AC40FC" w:rsidRPr="006B3BEA" w:rsidRDefault="00AC40FC" w:rsidP="00A51C66">
            <w:pPr>
              <w:widowControl w:val="0"/>
              <w:spacing w:after="0" w:line="220" w:lineRule="exact"/>
              <w:ind w:right="27"/>
              <w:jc w:val="right"/>
              <w:rPr>
                <w:rFonts w:eastAsia="Arial" w:cs="Arial"/>
                <w:sz w:val="20"/>
              </w:rPr>
            </w:pPr>
            <w:r w:rsidRPr="006B3BEA">
              <w:rPr>
                <w:rFonts w:eastAsia="Arial" w:cs="Arial"/>
                <w:color w:val="FF0000"/>
                <w:w w:val="95"/>
                <w:sz w:val="20"/>
              </w:rPr>
              <w:t>(19,920,957)</w:t>
            </w:r>
          </w:p>
        </w:tc>
        <w:tc>
          <w:tcPr>
            <w:tcW w:w="1740" w:type="dxa"/>
          </w:tcPr>
          <w:p w:rsidR="00AC40FC" w:rsidRPr="006B3BEA" w:rsidRDefault="00AC40FC" w:rsidP="00A51C66">
            <w:pPr>
              <w:widowControl w:val="0"/>
              <w:spacing w:after="0" w:line="220" w:lineRule="exact"/>
              <w:ind w:right="27"/>
              <w:jc w:val="right"/>
              <w:rPr>
                <w:rFonts w:eastAsia="Arial" w:cs="Arial"/>
                <w:sz w:val="20"/>
              </w:rPr>
            </w:pPr>
            <w:r w:rsidRPr="006B3BEA">
              <w:rPr>
                <w:rFonts w:eastAsia="Arial" w:cs="Arial"/>
                <w:color w:val="FF0000"/>
                <w:w w:val="95"/>
                <w:sz w:val="20"/>
              </w:rPr>
              <w:t>(21,049,996)</w:t>
            </w:r>
          </w:p>
        </w:tc>
        <w:tc>
          <w:tcPr>
            <w:tcW w:w="1740" w:type="dxa"/>
          </w:tcPr>
          <w:p w:rsidR="00AC40FC" w:rsidRPr="006B3BEA" w:rsidRDefault="00AC40FC" w:rsidP="00A51C66">
            <w:pPr>
              <w:widowControl w:val="0"/>
              <w:spacing w:after="0" w:line="220" w:lineRule="exact"/>
              <w:ind w:right="27"/>
              <w:jc w:val="right"/>
              <w:rPr>
                <w:rFonts w:eastAsia="Arial" w:cs="Arial"/>
                <w:sz w:val="20"/>
              </w:rPr>
            </w:pPr>
            <w:r w:rsidRPr="006B3BEA">
              <w:rPr>
                <w:rFonts w:eastAsia="Arial" w:cs="Arial"/>
                <w:color w:val="FF0000"/>
                <w:w w:val="95"/>
                <w:sz w:val="20"/>
              </w:rPr>
              <w:t>(22,291,961)</w:t>
            </w:r>
          </w:p>
        </w:tc>
        <w:tc>
          <w:tcPr>
            <w:tcW w:w="1627" w:type="dxa"/>
          </w:tcPr>
          <w:p w:rsidR="00AC40FC" w:rsidRPr="006B3BEA" w:rsidRDefault="00AC40FC" w:rsidP="00A51C66">
            <w:pPr>
              <w:widowControl w:val="0"/>
              <w:spacing w:after="0" w:line="220" w:lineRule="exact"/>
              <w:ind w:right="27"/>
              <w:jc w:val="right"/>
              <w:rPr>
                <w:rFonts w:eastAsia="Arial" w:cs="Arial"/>
                <w:sz w:val="20"/>
              </w:rPr>
            </w:pPr>
            <w:r w:rsidRPr="006B3BEA">
              <w:rPr>
                <w:rFonts w:eastAsia="Arial" w:cs="Arial"/>
                <w:color w:val="FF0000"/>
                <w:w w:val="95"/>
                <w:sz w:val="20"/>
              </w:rPr>
              <w:t>(3,751,846)</w:t>
            </w:r>
          </w:p>
        </w:tc>
        <w:tc>
          <w:tcPr>
            <w:tcW w:w="1627" w:type="dxa"/>
          </w:tcPr>
          <w:p w:rsidR="00AC40FC" w:rsidRPr="006B3BEA" w:rsidRDefault="00AC40FC" w:rsidP="00A51C66">
            <w:pPr>
              <w:widowControl w:val="0"/>
              <w:spacing w:after="0" w:line="220" w:lineRule="exact"/>
              <w:ind w:right="27"/>
              <w:jc w:val="right"/>
              <w:rPr>
                <w:rFonts w:eastAsia="Arial" w:cs="Arial"/>
                <w:sz w:val="20"/>
              </w:rPr>
            </w:pPr>
            <w:r w:rsidRPr="006B3BEA">
              <w:rPr>
                <w:rFonts w:eastAsia="Arial" w:cs="Arial"/>
                <w:color w:val="FF0000"/>
                <w:w w:val="95"/>
                <w:sz w:val="20"/>
              </w:rPr>
              <w:t>(3,399,885)</w:t>
            </w:r>
          </w:p>
        </w:tc>
        <w:tc>
          <w:tcPr>
            <w:tcW w:w="1225" w:type="dxa"/>
          </w:tcPr>
          <w:p w:rsidR="00AC40FC" w:rsidRPr="006B3BEA" w:rsidRDefault="00AC40FC" w:rsidP="00A51C66">
            <w:pPr>
              <w:widowControl w:val="0"/>
              <w:spacing w:after="0" w:line="220" w:lineRule="exact"/>
              <w:ind w:left="161" w:right="144"/>
              <w:jc w:val="center"/>
              <w:rPr>
                <w:rFonts w:eastAsia="Arial" w:cs="Arial"/>
                <w:sz w:val="20"/>
              </w:rPr>
            </w:pPr>
            <w:r w:rsidRPr="006B3BEA">
              <w:rPr>
                <w:rFonts w:eastAsia="Arial" w:cs="Arial"/>
                <w:sz w:val="20"/>
              </w:rPr>
              <w:t>-35.73%</w:t>
            </w:r>
          </w:p>
        </w:tc>
      </w:tr>
      <w:tr w:rsidR="00AC40FC" w:rsidRPr="006B3BEA" w:rsidTr="004966B1">
        <w:trPr>
          <w:trHeight w:hRule="exact" w:val="245"/>
          <w:jc w:val="center"/>
        </w:trPr>
        <w:tc>
          <w:tcPr>
            <w:tcW w:w="5059" w:type="dxa"/>
          </w:tcPr>
          <w:p w:rsidR="00AC40FC" w:rsidRPr="006B3BEA" w:rsidRDefault="00AC40FC" w:rsidP="00A51C66">
            <w:pPr>
              <w:widowControl w:val="0"/>
              <w:spacing w:after="0" w:line="220" w:lineRule="exact"/>
              <w:ind w:left="180"/>
              <w:rPr>
                <w:rFonts w:eastAsia="Arial" w:cs="Arial"/>
                <w:sz w:val="20"/>
              </w:rPr>
            </w:pPr>
            <w:r w:rsidRPr="006B3BEA">
              <w:rPr>
                <w:rFonts w:eastAsia="Arial" w:cs="Arial"/>
                <w:sz w:val="20"/>
              </w:rPr>
              <w:t>145.0 Notes Receivable from Assoc</w:t>
            </w:r>
            <w:r>
              <w:rPr>
                <w:rFonts w:eastAsia="Arial" w:cs="Arial"/>
                <w:sz w:val="20"/>
              </w:rPr>
              <w:t>iated</w:t>
            </w:r>
            <w:r w:rsidRPr="006B3BEA">
              <w:rPr>
                <w:rFonts w:eastAsia="Arial" w:cs="Arial"/>
                <w:sz w:val="20"/>
              </w:rPr>
              <w:t xml:space="preserve"> Companies</w:t>
            </w:r>
          </w:p>
        </w:tc>
        <w:tc>
          <w:tcPr>
            <w:tcW w:w="1740" w:type="dxa"/>
          </w:tcPr>
          <w:p w:rsidR="00AC40FC" w:rsidRPr="006B3BEA" w:rsidRDefault="00AC40FC" w:rsidP="00A51C66">
            <w:pPr>
              <w:widowControl w:val="0"/>
              <w:spacing w:after="0" w:line="220" w:lineRule="exact"/>
              <w:ind w:right="92"/>
              <w:jc w:val="right"/>
              <w:rPr>
                <w:rFonts w:eastAsia="Arial" w:cs="Arial"/>
                <w:sz w:val="20"/>
              </w:rPr>
            </w:pPr>
            <w:r w:rsidRPr="006B3BEA">
              <w:rPr>
                <w:rFonts w:eastAsia="Arial" w:cs="Arial"/>
                <w:w w:val="99"/>
                <w:sz w:val="20"/>
              </w:rPr>
              <w:t>0</w:t>
            </w:r>
          </w:p>
        </w:tc>
        <w:tc>
          <w:tcPr>
            <w:tcW w:w="1740" w:type="dxa"/>
          </w:tcPr>
          <w:p w:rsidR="00AC40FC" w:rsidRPr="006B3BEA" w:rsidRDefault="00AC40FC" w:rsidP="00A51C66">
            <w:pPr>
              <w:widowControl w:val="0"/>
              <w:spacing w:after="0" w:line="220" w:lineRule="exact"/>
              <w:ind w:right="92"/>
              <w:jc w:val="right"/>
              <w:rPr>
                <w:rFonts w:eastAsia="Arial" w:cs="Arial"/>
                <w:sz w:val="20"/>
              </w:rPr>
            </w:pPr>
            <w:r w:rsidRPr="006B3BEA">
              <w:rPr>
                <w:rFonts w:eastAsia="Arial" w:cs="Arial"/>
                <w:w w:val="99"/>
                <w:sz w:val="20"/>
              </w:rPr>
              <w:t>0</w:t>
            </w:r>
          </w:p>
        </w:tc>
        <w:tc>
          <w:tcPr>
            <w:tcW w:w="1740" w:type="dxa"/>
          </w:tcPr>
          <w:p w:rsidR="00AC40FC" w:rsidRPr="006B3BEA" w:rsidRDefault="00AC40FC" w:rsidP="00A51C66">
            <w:pPr>
              <w:widowControl w:val="0"/>
              <w:spacing w:after="0" w:line="220" w:lineRule="exact"/>
              <w:ind w:right="92"/>
              <w:jc w:val="right"/>
              <w:rPr>
                <w:rFonts w:eastAsia="Arial" w:cs="Arial"/>
                <w:sz w:val="20"/>
              </w:rPr>
            </w:pPr>
            <w:r w:rsidRPr="006B3BEA">
              <w:rPr>
                <w:rFonts w:eastAsia="Arial" w:cs="Arial"/>
                <w:w w:val="99"/>
                <w:sz w:val="20"/>
              </w:rPr>
              <w:t>0</w:t>
            </w:r>
          </w:p>
        </w:tc>
        <w:tc>
          <w:tcPr>
            <w:tcW w:w="1627" w:type="dxa"/>
          </w:tcPr>
          <w:p w:rsidR="00AC40FC" w:rsidRPr="006B3BEA" w:rsidRDefault="00AC40FC" w:rsidP="00A51C66">
            <w:pPr>
              <w:widowControl w:val="0"/>
              <w:spacing w:after="0" w:line="220" w:lineRule="exact"/>
              <w:ind w:right="92"/>
              <w:jc w:val="right"/>
              <w:rPr>
                <w:rFonts w:eastAsia="Arial" w:cs="Arial"/>
                <w:sz w:val="20"/>
              </w:rPr>
            </w:pPr>
            <w:r w:rsidRPr="006B3BEA">
              <w:rPr>
                <w:rFonts w:eastAsia="Arial" w:cs="Arial"/>
                <w:w w:val="99"/>
                <w:sz w:val="20"/>
              </w:rPr>
              <w:t>0</w:t>
            </w:r>
          </w:p>
        </w:tc>
        <w:tc>
          <w:tcPr>
            <w:tcW w:w="1627" w:type="dxa"/>
          </w:tcPr>
          <w:p w:rsidR="00AC40FC" w:rsidRPr="006B3BEA" w:rsidRDefault="00AC40FC" w:rsidP="00A51C66">
            <w:pPr>
              <w:widowControl w:val="0"/>
              <w:spacing w:after="0" w:line="220" w:lineRule="exact"/>
              <w:ind w:right="92"/>
              <w:jc w:val="right"/>
              <w:rPr>
                <w:rFonts w:eastAsia="Arial" w:cs="Arial"/>
                <w:sz w:val="20"/>
              </w:rPr>
            </w:pPr>
            <w:r w:rsidRPr="006B3BEA">
              <w:rPr>
                <w:rFonts w:eastAsia="Arial" w:cs="Arial"/>
                <w:w w:val="99"/>
                <w:sz w:val="20"/>
              </w:rPr>
              <w:t>0</w:t>
            </w:r>
          </w:p>
        </w:tc>
        <w:tc>
          <w:tcPr>
            <w:tcW w:w="1225" w:type="dxa"/>
          </w:tcPr>
          <w:p w:rsidR="00AC40FC" w:rsidRPr="006B3BEA" w:rsidRDefault="00AC40FC" w:rsidP="00A51C66">
            <w:pPr>
              <w:widowControl w:val="0"/>
              <w:spacing w:after="0" w:line="220" w:lineRule="exact"/>
              <w:ind w:left="161" w:right="142"/>
              <w:jc w:val="center"/>
              <w:rPr>
                <w:rFonts w:eastAsia="Arial" w:cs="Arial"/>
                <w:sz w:val="20"/>
              </w:rPr>
            </w:pPr>
            <w:r w:rsidRPr="006B3BEA">
              <w:rPr>
                <w:rFonts w:eastAsia="Arial" w:cs="Arial"/>
                <w:sz w:val="20"/>
              </w:rPr>
              <w:t>NM</w:t>
            </w:r>
          </w:p>
        </w:tc>
      </w:tr>
      <w:tr w:rsidR="00AC40FC" w:rsidRPr="006B3BEA" w:rsidTr="004966B1">
        <w:trPr>
          <w:trHeight w:hRule="exact" w:val="245"/>
          <w:jc w:val="center"/>
        </w:trPr>
        <w:tc>
          <w:tcPr>
            <w:tcW w:w="5059" w:type="dxa"/>
          </w:tcPr>
          <w:p w:rsidR="00AC40FC" w:rsidRPr="006B3BEA" w:rsidRDefault="00AC40FC" w:rsidP="00A51C66">
            <w:pPr>
              <w:widowControl w:val="0"/>
              <w:spacing w:after="0" w:line="220" w:lineRule="exact"/>
              <w:ind w:left="181"/>
              <w:rPr>
                <w:rFonts w:eastAsia="Arial" w:cs="Arial"/>
                <w:sz w:val="20"/>
              </w:rPr>
            </w:pPr>
            <w:r w:rsidRPr="006B3BEA">
              <w:rPr>
                <w:rFonts w:eastAsia="Arial" w:cs="Arial"/>
                <w:sz w:val="20"/>
              </w:rPr>
              <w:t>146.0 Accts Receivable from Assoc</w:t>
            </w:r>
            <w:r>
              <w:rPr>
                <w:rFonts w:eastAsia="Arial" w:cs="Arial"/>
                <w:sz w:val="20"/>
              </w:rPr>
              <w:t>iated</w:t>
            </w:r>
            <w:r w:rsidRPr="006B3BEA">
              <w:rPr>
                <w:rFonts w:eastAsia="Arial" w:cs="Arial"/>
                <w:sz w:val="20"/>
              </w:rPr>
              <w:t xml:space="preserve"> Companies</w:t>
            </w:r>
          </w:p>
        </w:tc>
        <w:tc>
          <w:tcPr>
            <w:tcW w:w="1740"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w w:val="95"/>
                <w:sz w:val="20"/>
              </w:rPr>
              <w:t>7,584,810</w:t>
            </w:r>
          </w:p>
        </w:tc>
        <w:tc>
          <w:tcPr>
            <w:tcW w:w="1740"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w w:val="95"/>
                <w:sz w:val="20"/>
              </w:rPr>
              <w:t>33,609,389</w:t>
            </w:r>
          </w:p>
        </w:tc>
        <w:tc>
          <w:tcPr>
            <w:tcW w:w="1740"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w w:val="95"/>
                <w:sz w:val="20"/>
              </w:rPr>
              <w:t>29,210,880</w:t>
            </w:r>
          </w:p>
        </w:tc>
        <w:tc>
          <w:tcPr>
            <w:tcW w:w="1627"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w w:val="95"/>
                <w:sz w:val="20"/>
              </w:rPr>
              <w:t>26,767,222</w:t>
            </w:r>
          </w:p>
        </w:tc>
        <w:tc>
          <w:tcPr>
            <w:tcW w:w="1627" w:type="dxa"/>
          </w:tcPr>
          <w:p w:rsidR="00AC40FC" w:rsidRPr="006B3BEA" w:rsidRDefault="00AC40FC" w:rsidP="00A51C66">
            <w:pPr>
              <w:widowControl w:val="0"/>
              <w:spacing w:after="0" w:line="220" w:lineRule="exact"/>
              <w:ind w:right="93"/>
              <w:jc w:val="right"/>
              <w:rPr>
                <w:rFonts w:eastAsia="Arial" w:cs="Arial"/>
                <w:sz w:val="20"/>
              </w:rPr>
            </w:pPr>
            <w:r w:rsidRPr="006B3BEA">
              <w:rPr>
                <w:rFonts w:eastAsia="Arial" w:cs="Arial"/>
                <w:w w:val="95"/>
                <w:sz w:val="20"/>
              </w:rPr>
              <w:t>6,867,282</w:t>
            </w:r>
          </w:p>
        </w:tc>
        <w:tc>
          <w:tcPr>
            <w:tcW w:w="1225" w:type="dxa"/>
          </w:tcPr>
          <w:p w:rsidR="00AC40FC" w:rsidRPr="006B3BEA" w:rsidRDefault="00AC40FC" w:rsidP="00A51C66">
            <w:pPr>
              <w:widowControl w:val="0"/>
              <w:spacing w:after="0" w:line="220" w:lineRule="exact"/>
              <w:ind w:left="161" w:right="143"/>
              <w:jc w:val="center"/>
              <w:rPr>
                <w:rFonts w:eastAsia="Arial" w:cs="Arial"/>
                <w:sz w:val="20"/>
              </w:rPr>
            </w:pPr>
            <w:r w:rsidRPr="006B3BEA">
              <w:rPr>
                <w:rFonts w:eastAsia="Arial" w:cs="Arial"/>
                <w:sz w:val="20"/>
              </w:rPr>
              <w:t>-2.45%</w:t>
            </w:r>
          </w:p>
        </w:tc>
      </w:tr>
      <w:tr w:rsidR="00AC40FC" w:rsidRPr="006B3BEA" w:rsidTr="004966B1">
        <w:trPr>
          <w:trHeight w:hRule="exact" w:val="245"/>
          <w:jc w:val="center"/>
        </w:trPr>
        <w:tc>
          <w:tcPr>
            <w:tcW w:w="5059" w:type="dxa"/>
          </w:tcPr>
          <w:p w:rsidR="00AC40FC" w:rsidRPr="006B3BEA" w:rsidRDefault="00AC40FC" w:rsidP="00A51C66">
            <w:pPr>
              <w:widowControl w:val="0"/>
              <w:spacing w:after="0" w:line="220" w:lineRule="exact"/>
              <w:ind w:left="181"/>
              <w:rPr>
                <w:rFonts w:eastAsia="Arial" w:cs="Arial"/>
                <w:sz w:val="20"/>
              </w:rPr>
            </w:pPr>
            <w:r w:rsidRPr="006B3BEA">
              <w:rPr>
                <w:rFonts w:eastAsia="Arial" w:cs="Arial"/>
                <w:sz w:val="20"/>
              </w:rPr>
              <w:t>151.0 Fuel Stock</w:t>
            </w:r>
          </w:p>
        </w:tc>
        <w:tc>
          <w:tcPr>
            <w:tcW w:w="1740" w:type="dxa"/>
          </w:tcPr>
          <w:p w:rsidR="00AC40FC" w:rsidRPr="006B3BEA" w:rsidRDefault="00AC40FC" w:rsidP="00A51C66">
            <w:pPr>
              <w:widowControl w:val="0"/>
              <w:spacing w:after="0" w:line="220" w:lineRule="exact"/>
              <w:ind w:right="92"/>
              <w:jc w:val="right"/>
              <w:rPr>
                <w:rFonts w:eastAsia="Arial" w:cs="Arial"/>
                <w:sz w:val="20"/>
              </w:rPr>
            </w:pPr>
            <w:r w:rsidRPr="006B3BEA">
              <w:rPr>
                <w:rFonts w:eastAsia="Arial" w:cs="Arial"/>
                <w:w w:val="99"/>
                <w:sz w:val="20"/>
              </w:rPr>
              <w:t>0</w:t>
            </w:r>
          </w:p>
        </w:tc>
        <w:tc>
          <w:tcPr>
            <w:tcW w:w="1740" w:type="dxa"/>
          </w:tcPr>
          <w:p w:rsidR="00AC40FC" w:rsidRPr="006B3BEA" w:rsidRDefault="00AC40FC" w:rsidP="00A51C66">
            <w:pPr>
              <w:widowControl w:val="0"/>
              <w:spacing w:after="0" w:line="220" w:lineRule="exact"/>
              <w:ind w:right="92"/>
              <w:jc w:val="right"/>
              <w:rPr>
                <w:rFonts w:eastAsia="Arial" w:cs="Arial"/>
                <w:sz w:val="20"/>
              </w:rPr>
            </w:pPr>
            <w:r w:rsidRPr="006B3BEA">
              <w:rPr>
                <w:rFonts w:eastAsia="Arial" w:cs="Arial"/>
                <w:w w:val="99"/>
                <w:sz w:val="20"/>
              </w:rPr>
              <w:t>0</w:t>
            </w:r>
          </w:p>
        </w:tc>
        <w:tc>
          <w:tcPr>
            <w:tcW w:w="1740" w:type="dxa"/>
          </w:tcPr>
          <w:p w:rsidR="00AC40FC" w:rsidRPr="006B3BEA" w:rsidRDefault="00AC40FC" w:rsidP="00A51C66">
            <w:pPr>
              <w:widowControl w:val="0"/>
              <w:spacing w:after="0" w:line="220" w:lineRule="exact"/>
              <w:ind w:right="92"/>
              <w:jc w:val="right"/>
              <w:rPr>
                <w:rFonts w:eastAsia="Arial" w:cs="Arial"/>
                <w:sz w:val="20"/>
              </w:rPr>
            </w:pPr>
            <w:r w:rsidRPr="006B3BEA">
              <w:rPr>
                <w:rFonts w:eastAsia="Arial" w:cs="Arial"/>
                <w:w w:val="99"/>
                <w:sz w:val="20"/>
              </w:rPr>
              <w:t>0</w:t>
            </w:r>
          </w:p>
        </w:tc>
        <w:tc>
          <w:tcPr>
            <w:tcW w:w="1627" w:type="dxa"/>
          </w:tcPr>
          <w:p w:rsidR="00AC40FC" w:rsidRPr="006B3BEA" w:rsidRDefault="00AC40FC" w:rsidP="00A51C66">
            <w:pPr>
              <w:widowControl w:val="0"/>
              <w:spacing w:after="0" w:line="220" w:lineRule="exact"/>
              <w:ind w:right="92"/>
              <w:jc w:val="right"/>
              <w:rPr>
                <w:rFonts w:eastAsia="Arial" w:cs="Arial"/>
                <w:sz w:val="20"/>
              </w:rPr>
            </w:pPr>
            <w:r w:rsidRPr="006B3BEA">
              <w:rPr>
                <w:rFonts w:eastAsia="Arial" w:cs="Arial"/>
                <w:w w:val="99"/>
                <w:sz w:val="20"/>
              </w:rPr>
              <w:t>0</w:t>
            </w:r>
          </w:p>
        </w:tc>
        <w:tc>
          <w:tcPr>
            <w:tcW w:w="1627" w:type="dxa"/>
          </w:tcPr>
          <w:p w:rsidR="00AC40FC" w:rsidRPr="006B3BEA" w:rsidRDefault="00AC40FC" w:rsidP="00A51C66">
            <w:pPr>
              <w:widowControl w:val="0"/>
              <w:spacing w:after="0" w:line="220" w:lineRule="exact"/>
              <w:ind w:right="92"/>
              <w:jc w:val="right"/>
              <w:rPr>
                <w:rFonts w:eastAsia="Arial" w:cs="Arial"/>
                <w:sz w:val="20"/>
              </w:rPr>
            </w:pPr>
            <w:r w:rsidRPr="006B3BEA">
              <w:rPr>
                <w:rFonts w:eastAsia="Arial" w:cs="Arial"/>
                <w:w w:val="99"/>
                <w:sz w:val="20"/>
              </w:rPr>
              <w:t>0</w:t>
            </w:r>
          </w:p>
        </w:tc>
        <w:tc>
          <w:tcPr>
            <w:tcW w:w="1225" w:type="dxa"/>
          </w:tcPr>
          <w:p w:rsidR="00AC40FC" w:rsidRPr="006B3BEA" w:rsidRDefault="00AC40FC" w:rsidP="00A51C66">
            <w:pPr>
              <w:widowControl w:val="0"/>
              <w:spacing w:after="0" w:line="220" w:lineRule="exact"/>
              <w:ind w:left="161" w:right="141"/>
              <w:jc w:val="center"/>
              <w:rPr>
                <w:rFonts w:eastAsia="Arial" w:cs="Arial"/>
                <w:sz w:val="20"/>
              </w:rPr>
            </w:pPr>
            <w:r w:rsidRPr="006B3BEA">
              <w:rPr>
                <w:rFonts w:eastAsia="Arial" w:cs="Arial"/>
                <w:sz w:val="20"/>
              </w:rPr>
              <w:t>NM</w:t>
            </w:r>
          </w:p>
        </w:tc>
      </w:tr>
      <w:tr w:rsidR="00AC40FC" w:rsidRPr="006B3BEA" w:rsidTr="004966B1">
        <w:trPr>
          <w:trHeight w:hRule="exact" w:val="245"/>
          <w:jc w:val="center"/>
        </w:trPr>
        <w:tc>
          <w:tcPr>
            <w:tcW w:w="5059" w:type="dxa"/>
          </w:tcPr>
          <w:p w:rsidR="00AC40FC" w:rsidRPr="006B3BEA" w:rsidRDefault="00AC40FC" w:rsidP="00A51C66">
            <w:pPr>
              <w:widowControl w:val="0"/>
              <w:spacing w:after="0" w:line="220" w:lineRule="exact"/>
              <w:ind w:left="181"/>
              <w:rPr>
                <w:rFonts w:eastAsia="Arial" w:cs="Arial"/>
                <w:sz w:val="20"/>
              </w:rPr>
            </w:pPr>
            <w:r w:rsidRPr="006B3BEA">
              <w:rPr>
                <w:rFonts w:eastAsia="Arial" w:cs="Arial"/>
                <w:sz w:val="20"/>
              </w:rPr>
              <w:t>152.0 Fuel Stock Expenses Undistributed</w:t>
            </w:r>
          </w:p>
        </w:tc>
        <w:tc>
          <w:tcPr>
            <w:tcW w:w="1740" w:type="dxa"/>
          </w:tcPr>
          <w:p w:rsidR="00AC40FC" w:rsidRPr="006B3BEA" w:rsidRDefault="00AC40FC" w:rsidP="00A51C66">
            <w:pPr>
              <w:widowControl w:val="0"/>
              <w:spacing w:after="0" w:line="220" w:lineRule="exact"/>
              <w:ind w:right="92"/>
              <w:jc w:val="right"/>
              <w:rPr>
                <w:rFonts w:eastAsia="Arial" w:cs="Arial"/>
                <w:sz w:val="20"/>
              </w:rPr>
            </w:pPr>
            <w:r w:rsidRPr="006B3BEA">
              <w:rPr>
                <w:rFonts w:eastAsia="Arial" w:cs="Arial"/>
                <w:w w:val="99"/>
                <w:sz w:val="20"/>
              </w:rPr>
              <w:t>0</w:t>
            </w:r>
          </w:p>
        </w:tc>
        <w:tc>
          <w:tcPr>
            <w:tcW w:w="1740" w:type="dxa"/>
          </w:tcPr>
          <w:p w:rsidR="00AC40FC" w:rsidRDefault="00AC40FC" w:rsidP="00A51C66">
            <w:pPr>
              <w:widowControl w:val="0"/>
              <w:spacing w:after="0" w:line="220" w:lineRule="exact"/>
              <w:ind w:right="92"/>
              <w:jc w:val="right"/>
              <w:rPr>
                <w:rFonts w:eastAsia="Arial" w:cs="Arial"/>
                <w:sz w:val="20"/>
              </w:rPr>
            </w:pPr>
            <w:r w:rsidRPr="006B3BEA">
              <w:rPr>
                <w:rFonts w:eastAsia="Arial" w:cs="Arial"/>
                <w:w w:val="99"/>
                <w:sz w:val="20"/>
              </w:rPr>
              <w:t>0</w:t>
            </w:r>
          </w:p>
          <w:p w:rsidR="00AC40FC" w:rsidRPr="009E3132" w:rsidRDefault="00AC40FC" w:rsidP="009E3132">
            <w:pPr>
              <w:jc w:val="center"/>
              <w:rPr>
                <w:rFonts w:eastAsia="Arial" w:cs="Arial"/>
                <w:sz w:val="20"/>
              </w:rPr>
            </w:pPr>
          </w:p>
        </w:tc>
        <w:tc>
          <w:tcPr>
            <w:tcW w:w="1740" w:type="dxa"/>
          </w:tcPr>
          <w:p w:rsidR="00AC40FC" w:rsidRPr="006B3BEA" w:rsidRDefault="00AC40FC" w:rsidP="00A51C66">
            <w:pPr>
              <w:widowControl w:val="0"/>
              <w:spacing w:after="0" w:line="220" w:lineRule="exact"/>
              <w:ind w:right="92"/>
              <w:jc w:val="right"/>
              <w:rPr>
                <w:rFonts w:eastAsia="Arial" w:cs="Arial"/>
                <w:sz w:val="20"/>
              </w:rPr>
            </w:pPr>
            <w:r w:rsidRPr="006B3BEA">
              <w:rPr>
                <w:rFonts w:eastAsia="Arial" w:cs="Arial"/>
                <w:w w:val="99"/>
                <w:sz w:val="20"/>
              </w:rPr>
              <w:t>0</w:t>
            </w:r>
          </w:p>
        </w:tc>
        <w:tc>
          <w:tcPr>
            <w:tcW w:w="1627" w:type="dxa"/>
          </w:tcPr>
          <w:p w:rsidR="00AC40FC" w:rsidRPr="006B3BEA" w:rsidRDefault="00AC40FC" w:rsidP="00A51C66">
            <w:pPr>
              <w:widowControl w:val="0"/>
              <w:spacing w:after="0" w:line="220" w:lineRule="exact"/>
              <w:ind w:right="92"/>
              <w:jc w:val="right"/>
              <w:rPr>
                <w:rFonts w:eastAsia="Arial" w:cs="Arial"/>
                <w:sz w:val="20"/>
              </w:rPr>
            </w:pPr>
            <w:r w:rsidRPr="006B3BEA">
              <w:rPr>
                <w:rFonts w:eastAsia="Arial" w:cs="Arial"/>
                <w:w w:val="99"/>
                <w:sz w:val="20"/>
              </w:rPr>
              <w:t>0</w:t>
            </w:r>
          </w:p>
        </w:tc>
        <w:tc>
          <w:tcPr>
            <w:tcW w:w="1627" w:type="dxa"/>
          </w:tcPr>
          <w:p w:rsidR="00AC40FC" w:rsidRPr="006B3BEA" w:rsidRDefault="00AC40FC" w:rsidP="00A51C66">
            <w:pPr>
              <w:widowControl w:val="0"/>
              <w:spacing w:after="0" w:line="220" w:lineRule="exact"/>
              <w:ind w:right="92"/>
              <w:jc w:val="right"/>
              <w:rPr>
                <w:rFonts w:eastAsia="Arial" w:cs="Arial"/>
                <w:sz w:val="20"/>
              </w:rPr>
            </w:pPr>
            <w:r w:rsidRPr="006B3BEA">
              <w:rPr>
                <w:rFonts w:eastAsia="Arial" w:cs="Arial"/>
                <w:w w:val="99"/>
                <w:sz w:val="20"/>
              </w:rPr>
              <w:t>0</w:t>
            </w:r>
          </w:p>
        </w:tc>
        <w:tc>
          <w:tcPr>
            <w:tcW w:w="1225" w:type="dxa"/>
          </w:tcPr>
          <w:p w:rsidR="00AC40FC" w:rsidRPr="006B3BEA" w:rsidRDefault="00AC40FC" w:rsidP="00A51C66">
            <w:pPr>
              <w:widowControl w:val="0"/>
              <w:spacing w:after="0" w:line="220" w:lineRule="exact"/>
              <w:ind w:left="161" w:right="141"/>
              <w:jc w:val="center"/>
              <w:rPr>
                <w:rFonts w:eastAsia="Arial" w:cs="Arial"/>
                <w:sz w:val="20"/>
              </w:rPr>
            </w:pPr>
            <w:r w:rsidRPr="006B3BEA">
              <w:rPr>
                <w:rFonts w:eastAsia="Arial" w:cs="Arial"/>
                <w:sz w:val="20"/>
              </w:rPr>
              <w:t>NM</w:t>
            </w:r>
          </w:p>
        </w:tc>
      </w:tr>
      <w:tr w:rsidR="00AC40FC" w:rsidRPr="006B3BEA" w:rsidTr="004966B1">
        <w:trPr>
          <w:trHeight w:hRule="exact" w:val="245"/>
          <w:jc w:val="center"/>
        </w:trPr>
        <w:tc>
          <w:tcPr>
            <w:tcW w:w="5059" w:type="dxa"/>
          </w:tcPr>
          <w:p w:rsidR="00AC40FC" w:rsidRPr="006B3BEA" w:rsidRDefault="00AC40FC" w:rsidP="00A51C66">
            <w:pPr>
              <w:widowControl w:val="0"/>
              <w:spacing w:after="0" w:line="220" w:lineRule="exact"/>
              <w:ind w:left="181"/>
              <w:rPr>
                <w:rFonts w:eastAsia="Arial" w:cs="Arial"/>
                <w:sz w:val="20"/>
              </w:rPr>
            </w:pPr>
            <w:r w:rsidRPr="006B3BEA">
              <w:rPr>
                <w:rFonts w:eastAsia="Arial" w:cs="Arial"/>
                <w:sz w:val="20"/>
              </w:rPr>
              <w:t>153.0 Residuals and Extracted Products</w:t>
            </w:r>
          </w:p>
        </w:tc>
        <w:tc>
          <w:tcPr>
            <w:tcW w:w="1740" w:type="dxa"/>
          </w:tcPr>
          <w:p w:rsidR="00AC40FC" w:rsidRPr="006B3BEA" w:rsidRDefault="00AC40FC" w:rsidP="00A51C66">
            <w:pPr>
              <w:widowControl w:val="0"/>
              <w:spacing w:after="0" w:line="220" w:lineRule="exact"/>
              <w:ind w:right="92"/>
              <w:jc w:val="right"/>
              <w:rPr>
                <w:rFonts w:eastAsia="Arial" w:cs="Arial"/>
                <w:sz w:val="20"/>
              </w:rPr>
            </w:pPr>
            <w:r w:rsidRPr="006B3BEA">
              <w:rPr>
                <w:rFonts w:eastAsia="Arial" w:cs="Arial"/>
                <w:w w:val="99"/>
                <w:sz w:val="20"/>
              </w:rPr>
              <w:t>0</w:t>
            </w:r>
          </w:p>
        </w:tc>
        <w:tc>
          <w:tcPr>
            <w:tcW w:w="1740" w:type="dxa"/>
          </w:tcPr>
          <w:p w:rsidR="00AC40FC" w:rsidRPr="006B3BEA" w:rsidRDefault="00AC40FC" w:rsidP="00A51C66">
            <w:pPr>
              <w:widowControl w:val="0"/>
              <w:spacing w:after="0" w:line="220" w:lineRule="exact"/>
              <w:ind w:right="92"/>
              <w:jc w:val="right"/>
              <w:rPr>
                <w:rFonts w:eastAsia="Arial" w:cs="Arial"/>
                <w:sz w:val="20"/>
              </w:rPr>
            </w:pPr>
            <w:r w:rsidRPr="006B3BEA">
              <w:rPr>
                <w:rFonts w:eastAsia="Arial" w:cs="Arial"/>
                <w:w w:val="99"/>
                <w:sz w:val="20"/>
              </w:rPr>
              <w:t>0</w:t>
            </w:r>
          </w:p>
        </w:tc>
        <w:tc>
          <w:tcPr>
            <w:tcW w:w="1740" w:type="dxa"/>
          </w:tcPr>
          <w:p w:rsidR="00AC40FC" w:rsidRPr="006B3BEA" w:rsidRDefault="00AC40FC" w:rsidP="00A51C66">
            <w:pPr>
              <w:widowControl w:val="0"/>
              <w:spacing w:after="0" w:line="220" w:lineRule="exact"/>
              <w:ind w:right="92"/>
              <w:jc w:val="right"/>
              <w:rPr>
                <w:rFonts w:eastAsia="Arial" w:cs="Arial"/>
                <w:sz w:val="20"/>
              </w:rPr>
            </w:pPr>
            <w:r w:rsidRPr="006B3BEA">
              <w:rPr>
                <w:rFonts w:eastAsia="Arial" w:cs="Arial"/>
                <w:w w:val="99"/>
                <w:sz w:val="20"/>
              </w:rPr>
              <w:t>0</w:t>
            </w:r>
          </w:p>
        </w:tc>
        <w:tc>
          <w:tcPr>
            <w:tcW w:w="1627" w:type="dxa"/>
          </w:tcPr>
          <w:p w:rsidR="00AC40FC" w:rsidRPr="006B3BEA" w:rsidRDefault="00AC40FC" w:rsidP="00A51C66">
            <w:pPr>
              <w:widowControl w:val="0"/>
              <w:spacing w:after="0" w:line="220" w:lineRule="exact"/>
              <w:ind w:right="92"/>
              <w:jc w:val="right"/>
              <w:rPr>
                <w:rFonts w:eastAsia="Arial" w:cs="Arial"/>
                <w:sz w:val="20"/>
              </w:rPr>
            </w:pPr>
            <w:r w:rsidRPr="006B3BEA">
              <w:rPr>
                <w:rFonts w:eastAsia="Arial" w:cs="Arial"/>
                <w:w w:val="99"/>
                <w:sz w:val="20"/>
              </w:rPr>
              <w:t>0</w:t>
            </w:r>
          </w:p>
        </w:tc>
        <w:tc>
          <w:tcPr>
            <w:tcW w:w="1627" w:type="dxa"/>
          </w:tcPr>
          <w:p w:rsidR="00AC40FC" w:rsidRPr="006B3BEA" w:rsidRDefault="00AC40FC" w:rsidP="00A51C66">
            <w:pPr>
              <w:widowControl w:val="0"/>
              <w:spacing w:after="0" w:line="220" w:lineRule="exact"/>
              <w:ind w:right="91"/>
              <w:jc w:val="right"/>
              <w:rPr>
                <w:rFonts w:eastAsia="Arial" w:cs="Arial"/>
                <w:sz w:val="20"/>
              </w:rPr>
            </w:pPr>
            <w:r w:rsidRPr="006B3BEA">
              <w:rPr>
                <w:rFonts w:eastAsia="Arial" w:cs="Arial"/>
                <w:w w:val="99"/>
                <w:sz w:val="20"/>
              </w:rPr>
              <w:t>0</w:t>
            </w:r>
          </w:p>
        </w:tc>
        <w:tc>
          <w:tcPr>
            <w:tcW w:w="1225" w:type="dxa"/>
          </w:tcPr>
          <w:p w:rsidR="00AC40FC" w:rsidRPr="006B3BEA" w:rsidRDefault="00AC40FC" w:rsidP="00A51C66">
            <w:pPr>
              <w:widowControl w:val="0"/>
              <w:spacing w:after="0" w:line="220" w:lineRule="exact"/>
              <w:ind w:left="161" w:right="141"/>
              <w:jc w:val="center"/>
              <w:rPr>
                <w:rFonts w:eastAsia="Arial" w:cs="Arial"/>
                <w:sz w:val="20"/>
              </w:rPr>
            </w:pPr>
            <w:r w:rsidRPr="006B3BEA">
              <w:rPr>
                <w:rFonts w:eastAsia="Arial" w:cs="Arial"/>
                <w:sz w:val="20"/>
              </w:rPr>
              <w:t>NM</w:t>
            </w:r>
          </w:p>
        </w:tc>
      </w:tr>
      <w:tr w:rsidR="00AC40FC" w:rsidTr="004966B1">
        <w:trPr>
          <w:trHeight w:hRule="exact" w:val="492"/>
          <w:jc w:val="center"/>
        </w:trPr>
        <w:tc>
          <w:tcPr>
            <w:tcW w:w="5059" w:type="dxa"/>
            <w:shd w:val="clear" w:color="auto" w:fill="A5CD7E"/>
          </w:tcPr>
          <w:p w:rsidR="00AC40FC" w:rsidRDefault="00AC40FC" w:rsidP="00A51C66">
            <w:pPr>
              <w:pStyle w:val="TableParagraph"/>
              <w:spacing w:before="122" w:line="240" w:lineRule="auto"/>
              <w:ind w:left="28" w:right="0"/>
              <w:jc w:val="left"/>
              <w:rPr>
                <w:b/>
                <w:sz w:val="20"/>
              </w:rPr>
            </w:pPr>
            <w:r>
              <w:rPr>
                <w:b/>
                <w:sz w:val="20"/>
              </w:rPr>
              <w:lastRenderedPageBreak/>
              <w:t>PPL Electric Utilities Corporation</w:t>
            </w:r>
            <w:r w:rsidRPr="006B3BEA">
              <w:rPr>
                <w:b/>
                <w:sz w:val="20"/>
              </w:rPr>
              <w:t xml:space="preserve"> </w:t>
            </w:r>
            <w:r>
              <w:rPr>
                <w:b/>
                <w:sz w:val="20"/>
              </w:rPr>
              <w:t>Balance Sheet</w:t>
            </w:r>
          </w:p>
        </w:tc>
        <w:tc>
          <w:tcPr>
            <w:tcW w:w="1740" w:type="dxa"/>
            <w:shd w:val="clear" w:color="auto" w:fill="A5CD7E"/>
          </w:tcPr>
          <w:p w:rsidR="00AC40FC" w:rsidRDefault="00AC40FC" w:rsidP="00A51C66">
            <w:pPr>
              <w:pStyle w:val="TableParagraph"/>
              <w:spacing w:before="122" w:line="240" w:lineRule="auto"/>
              <w:ind w:left="625" w:right="609"/>
              <w:jc w:val="center"/>
              <w:rPr>
                <w:b/>
                <w:sz w:val="20"/>
              </w:rPr>
            </w:pPr>
            <w:r>
              <w:rPr>
                <w:b/>
                <w:sz w:val="20"/>
              </w:rPr>
              <w:t>2010</w:t>
            </w:r>
          </w:p>
        </w:tc>
        <w:tc>
          <w:tcPr>
            <w:tcW w:w="1740" w:type="dxa"/>
            <w:shd w:val="clear" w:color="auto" w:fill="A5CD7E"/>
          </w:tcPr>
          <w:p w:rsidR="00AC40FC" w:rsidRDefault="00AC40FC" w:rsidP="00A51C66">
            <w:pPr>
              <w:pStyle w:val="TableParagraph"/>
              <w:spacing w:before="122" w:line="240" w:lineRule="auto"/>
              <w:ind w:left="625" w:right="609"/>
              <w:jc w:val="center"/>
              <w:rPr>
                <w:b/>
                <w:sz w:val="20"/>
              </w:rPr>
            </w:pPr>
            <w:r>
              <w:rPr>
                <w:b/>
                <w:sz w:val="20"/>
              </w:rPr>
              <w:t>2011</w:t>
            </w:r>
          </w:p>
        </w:tc>
        <w:tc>
          <w:tcPr>
            <w:tcW w:w="1740" w:type="dxa"/>
            <w:shd w:val="clear" w:color="auto" w:fill="A5CD7E"/>
          </w:tcPr>
          <w:p w:rsidR="00AC40FC" w:rsidRDefault="00AC40FC" w:rsidP="00A51C66">
            <w:pPr>
              <w:pStyle w:val="TableParagraph"/>
              <w:spacing w:before="122" w:line="240" w:lineRule="auto"/>
              <w:ind w:left="625" w:right="609"/>
              <w:jc w:val="center"/>
              <w:rPr>
                <w:b/>
                <w:sz w:val="20"/>
              </w:rPr>
            </w:pPr>
            <w:r>
              <w:rPr>
                <w:b/>
                <w:sz w:val="20"/>
              </w:rPr>
              <w:t>2012</w:t>
            </w:r>
          </w:p>
        </w:tc>
        <w:tc>
          <w:tcPr>
            <w:tcW w:w="1627" w:type="dxa"/>
            <w:shd w:val="clear" w:color="auto" w:fill="A5CD7E"/>
          </w:tcPr>
          <w:p w:rsidR="00AC40FC" w:rsidRDefault="00AC40FC" w:rsidP="00A51C66">
            <w:pPr>
              <w:pStyle w:val="TableParagraph"/>
              <w:spacing w:before="122" w:line="240" w:lineRule="auto"/>
              <w:ind w:left="571" w:right="552"/>
              <w:jc w:val="center"/>
              <w:rPr>
                <w:b/>
                <w:sz w:val="20"/>
              </w:rPr>
            </w:pPr>
            <w:r>
              <w:rPr>
                <w:b/>
                <w:sz w:val="20"/>
              </w:rPr>
              <w:t>2013</w:t>
            </w:r>
          </w:p>
        </w:tc>
        <w:tc>
          <w:tcPr>
            <w:tcW w:w="1627" w:type="dxa"/>
            <w:shd w:val="clear" w:color="auto" w:fill="A5CD7E"/>
          </w:tcPr>
          <w:p w:rsidR="00AC40FC" w:rsidRDefault="00AC40FC" w:rsidP="00A51C66">
            <w:pPr>
              <w:pStyle w:val="TableParagraph"/>
              <w:spacing w:before="122" w:line="240" w:lineRule="auto"/>
              <w:ind w:left="571" w:right="552"/>
              <w:jc w:val="center"/>
              <w:rPr>
                <w:b/>
                <w:sz w:val="20"/>
              </w:rPr>
            </w:pPr>
            <w:r>
              <w:rPr>
                <w:b/>
                <w:sz w:val="20"/>
              </w:rPr>
              <w:t>2014</w:t>
            </w:r>
          </w:p>
        </w:tc>
        <w:tc>
          <w:tcPr>
            <w:tcW w:w="1225" w:type="dxa"/>
            <w:shd w:val="clear" w:color="auto" w:fill="A5CD7E"/>
          </w:tcPr>
          <w:p w:rsidR="00AC40FC" w:rsidRDefault="00AC40FC" w:rsidP="00A51C66">
            <w:pPr>
              <w:pStyle w:val="TableParagraph"/>
              <w:spacing w:line="268" w:lineRule="auto"/>
              <w:ind w:left="254" w:right="53" w:hanging="178"/>
              <w:jc w:val="left"/>
              <w:rPr>
                <w:b/>
                <w:sz w:val="20"/>
              </w:rPr>
            </w:pPr>
            <w:r>
              <w:rPr>
                <w:b/>
                <w:sz w:val="20"/>
              </w:rPr>
              <w:t>Compound Growth</w:t>
            </w:r>
          </w:p>
        </w:tc>
      </w:tr>
      <w:tr w:rsidR="00AC40FC" w:rsidTr="004966B1">
        <w:trPr>
          <w:trHeight w:hRule="exact" w:val="245"/>
          <w:jc w:val="center"/>
        </w:trPr>
        <w:tc>
          <w:tcPr>
            <w:tcW w:w="5059" w:type="dxa"/>
          </w:tcPr>
          <w:p w:rsidR="00AC40FC" w:rsidRDefault="00AC40FC" w:rsidP="00A51C66">
            <w:pPr>
              <w:pStyle w:val="TableParagraph"/>
              <w:ind w:left="180" w:right="0"/>
              <w:jc w:val="left"/>
              <w:rPr>
                <w:sz w:val="20"/>
              </w:rPr>
            </w:pPr>
            <w:r>
              <w:rPr>
                <w:sz w:val="20"/>
              </w:rPr>
              <w:t>154.0 Plant Materials and Operating Supplies</w:t>
            </w:r>
          </w:p>
        </w:tc>
        <w:tc>
          <w:tcPr>
            <w:tcW w:w="1740" w:type="dxa"/>
          </w:tcPr>
          <w:p w:rsidR="00AC40FC" w:rsidRDefault="00AC40FC" w:rsidP="00A51C66">
            <w:pPr>
              <w:pStyle w:val="TableParagraph"/>
              <w:ind w:right="94"/>
              <w:rPr>
                <w:sz w:val="20"/>
              </w:rPr>
            </w:pPr>
            <w:r>
              <w:rPr>
                <w:w w:val="95"/>
                <w:sz w:val="20"/>
              </w:rPr>
              <w:t>42,595,942</w:t>
            </w:r>
          </w:p>
        </w:tc>
        <w:tc>
          <w:tcPr>
            <w:tcW w:w="1740" w:type="dxa"/>
          </w:tcPr>
          <w:p w:rsidR="00AC40FC" w:rsidRDefault="00AC40FC" w:rsidP="00A51C66">
            <w:pPr>
              <w:pStyle w:val="TableParagraph"/>
              <w:ind w:right="94"/>
              <w:rPr>
                <w:sz w:val="20"/>
              </w:rPr>
            </w:pPr>
            <w:r>
              <w:rPr>
                <w:w w:val="95"/>
                <w:sz w:val="20"/>
              </w:rPr>
              <w:t>38,868,515</w:t>
            </w:r>
          </w:p>
        </w:tc>
        <w:tc>
          <w:tcPr>
            <w:tcW w:w="1740" w:type="dxa"/>
          </w:tcPr>
          <w:p w:rsidR="00AC40FC" w:rsidRDefault="00AC40FC" w:rsidP="00A51C66">
            <w:pPr>
              <w:pStyle w:val="TableParagraph"/>
              <w:ind w:right="94"/>
              <w:rPr>
                <w:sz w:val="20"/>
              </w:rPr>
            </w:pPr>
            <w:r>
              <w:rPr>
                <w:w w:val="95"/>
                <w:sz w:val="20"/>
              </w:rPr>
              <w:t>36,105,068</w:t>
            </w:r>
          </w:p>
        </w:tc>
        <w:tc>
          <w:tcPr>
            <w:tcW w:w="1627" w:type="dxa"/>
          </w:tcPr>
          <w:p w:rsidR="00AC40FC" w:rsidRDefault="00AC40FC" w:rsidP="00A51C66">
            <w:pPr>
              <w:pStyle w:val="TableParagraph"/>
              <w:ind w:right="94"/>
              <w:rPr>
                <w:sz w:val="20"/>
              </w:rPr>
            </w:pPr>
            <w:r>
              <w:rPr>
                <w:w w:val="95"/>
                <w:sz w:val="20"/>
              </w:rPr>
              <w:t>32,752,765</w:t>
            </w:r>
          </w:p>
        </w:tc>
        <w:tc>
          <w:tcPr>
            <w:tcW w:w="1627" w:type="dxa"/>
          </w:tcPr>
          <w:p w:rsidR="00AC40FC" w:rsidRDefault="00AC40FC" w:rsidP="00A51C66">
            <w:pPr>
              <w:pStyle w:val="TableParagraph"/>
              <w:ind w:right="94"/>
              <w:rPr>
                <w:sz w:val="20"/>
              </w:rPr>
            </w:pPr>
            <w:r>
              <w:rPr>
                <w:w w:val="95"/>
                <w:sz w:val="20"/>
              </w:rPr>
              <w:t>39,742,258</w:t>
            </w:r>
          </w:p>
        </w:tc>
        <w:tc>
          <w:tcPr>
            <w:tcW w:w="1225" w:type="dxa"/>
          </w:tcPr>
          <w:p w:rsidR="00AC40FC" w:rsidRDefault="00AC40FC" w:rsidP="00A51C66">
            <w:pPr>
              <w:pStyle w:val="TableParagraph"/>
              <w:ind w:left="159" w:right="144"/>
              <w:jc w:val="center"/>
              <w:rPr>
                <w:sz w:val="20"/>
              </w:rPr>
            </w:pPr>
            <w:r>
              <w:rPr>
                <w:sz w:val="20"/>
              </w:rPr>
              <w:t>-1.72%</w:t>
            </w:r>
          </w:p>
        </w:tc>
      </w:tr>
      <w:tr w:rsidR="00AC40FC" w:rsidTr="004966B1">
        <w:trPr>
          <w:trHeight w:hRule="exact" w:val="245"/>
          <w:jc w:val="center"/>
        </w:trPr>
        <w:tc>
          <w:tcPr>
            <w:tcW w:w="5059" w:type="dxa"/>
          </w:tcPr>
          <w:p w:rsidR="00AC40FC" w:rsidRDefault="00AC40FC" w:rsidP="00A51C66">
            <w:pPr>
              <w:pStyle w:val="TableParagraph"/>
              <w:ind w:left="180" w:right="0"/>
              <w:jc w:val="left"/>
              <w:rPr>
                <w:sz w:val="20"/>
              </w:rPr>
            </w:pPr>
            <w:r>
              <w:rPr>
                <w:sz w:val="20"/>
              </w:rPr>
              <w:t>155.0 Merchandise</w:t>
            </w:r>
          </w:p>
        </w:tc>
        <w:tc>
          <w:tcPr>
            <w:tcW w:w="1740" w:type="dxa"/>
          </w:tcPr>
          <w:p w:rsidR="00AC40FC" w:rsidRDefault="00AC40FC" w:rsidP="00A51C66">
            <w:pPr>
              <w:pStyle w:val="TableParagraph"/>
              <w:rPr>
                <w:sz w:val="20"/>
              </w:rPr>
            </w:pPr>
            <w:r>
              <w:rPr>
                <w:w w:val="99"/>
                <w:sz w:val="20"/>
              </w:rPr>
              <w:t>0</w:t>
            </w:r>
          </w:p>
        </w:tc>
        <w:tc>
          <w:tcPr>
            <w:tcW w:w="1740" w:type="dxa"/>
          </w:tcPr>
          <w:p w:rsidR="00AC40FC" w:rsidRDefault="00AC40FC" w:rsidP="00A51C66">
            <w:pPr>
              <w:pStyle w:val="TableParagraph"/>
              <w:rPr>
                <w:sz w:val="20"/>
              </w:rPr>
            </w:pPr>
            <w:r>
              <w:rPr>
                <w:w w:val="99"/>
                <w:sz w:val="20"/>
              </w:rPr>
              <w:t>0</w:t>
            </w:r>
          </w:p>
        </w:tc>
        <w:tc>
          <w:tcPr>
            <w:tcW w:w="1740" w:type="dxa"/>
          </w:tcPr>
          <w:p w:rsidR="00AC40FC" w:rsidRDefault="00AC40FC" w:rsidP="00A51C66">
            <w:pPr>
              <w:pStyle w:val="TableParagraph"/>
              <w:rPr>
                <w:sz w:val="20"/>
              </w:rPr>
            </w:pPr>
            <w:r>
              <w:rPr>
                <w:w w:val="99"/>
                <w:sz w:val="20"/>
              </w:rPr>
              <w:t>0</w:t>
            </w:r>
          </w:p>
        </w:tc>
        <w:tc>
          <w:tcPr>
            <w:tcW w:w="1627" w:type="dxa"/>
          </w:tcPr>
          <w:p w:rsidR="00AC40FC" w:rsidRDefault="00AC40FC" w:rsidP="00A51C66">
            <w:pPr>
              <w:pStyle w:val="TableParagraph"/>
              <w:rPr>
                <w:sz w:val="20"/>
              </w:rPr>
            </w:pPr>
            <w:r>
              <w:rPr>
                <w:w w:val="99"/>
                <w:sz w:val="20"/>
              </w:rPr>
              <w:t>0</w:t>
            </w:r>
          </w:p>
        </w:tc>
        <w:tc>
          <w:tcPr>
            <w:tcW w:w="1627" w:type="dxa"/>
          </w:tcPr>
          <w:p w:rsidR="00AC40FC" w:rsidRDefault="00AC40FC" w:rsidP="00A51C66">
            <w:pPr>
              <w:pStyle w:val="TableParagraph"/>
              <w:rPr>
                <w:sz w:val="20"/>
              </w:rPr>
            </w:pPr>
            <w:r>
              <w:rPr>
                <w:w w:val="99"/>
                <w:sz w:val="20"/>
              </w:rPr>
              <w:t>0</w:t>
            </w:r>
          </w:p>
        </w:tc>
        <w:tc>
          <w:tcPr>
            <w:tcW w:w="1225" w:type="dxa"/>
          </w:tcPr>
          <w:p w:rsidR="00AC40FC" w:rsidRDefault="00AC40FC" w:rsidP="00A51C66">
            <w:pPr>
              <w:pStyle w:val="TableParagraph"/>
              <w:ind w:left="161" w:right="144"/>
              <w:jc w:val="center"/>
              <w:rPr>
                <w:sz w:val="20"/>
              </w:rPr>
            </w:pPr>
            <w:r>
              <w:rPr>
                <w:sz w:val="20"/>
              </w:rPr>
              <w:t>NM</w:t>
            </w:r>
          </w:p>
        </w:tc>
      </w:tr>
      <w:tr w:rsidR="00AC40FC" w:rsidTr="004966B1">
        <w:trPr>
          <w:trHeight w:hRule="exact" w:val="245"/>
          <w:jc w:val="center"/>
        </w:trPr>
        <w:tc>
          <w:tcPr>
            <w:tcW w:w="5059" w:type="dxa"/>
          </w:tcPr>
          <w:p w:rsidR="00AC40FC" w:rsidRDefault="00AC40FC" w:rsidP="00A51C66">
            <w:pPr>
              <w:pStyle w:val="TableParagraph"/>
              <w:ind w:left="180" w:right="0"/>
              <w:jc w:val="left"/>
              <w:rPr>
                <w:sz w:val="20"/>
              </w:rPr>
            </w:pPr>
            <w:r>
              <w:rPr>
                <w:sz w:val="20"/>
              </w:rPr>
              <w:t>156.0 Other Materials and Supplies</w:t>
            </w:r>
          </w:p>
        </w:tc>
        <w:tc>
          <w:tcPr>
            <w:tcW w:w="1740" w:type="dxa"/>
          </w:tcPr>
          <w:p w:rsidR="00AC40FC" w:rsidRDefault="00AC40FC" w:rsidP="00A51C66">
            <w:pPr>
              <w:pStyle w:val="TableParagraph"/>
              <w:rPr>
                <w:sz w:val="20"/>
              </w:rPr>
            </w:pPr>
            <w:r>
              <w:rPr>
                <w:w w:val="99"/>
                <w:sz w:val="20"/>
              </w:rPr>
              <w:t>0</w:t>
            </w:r>
          </w:p>
        </w:tc>
        <w:tc>
          <w:tcPr>
            <w:tcW w:w="1740" w:type="dxa"/>
          </w:tcPr>
          <w:p w:rsidR="00AC40FC" w:rsidRDefault="00AC40FC" w:rsidP="00A51C66">
            <w:pPr>
              <w:pStyle w:val="TableParagraph"/>
              <w:rPr>
                <w:sz w:val="20"/>
              </w:rPr>
            </w:pPr>
            <w:r>
              <w:rPr>
                <w:w w:val="99"/>
                <w:sz w:val="20"/>
              </w:rPr>
              <w:t>0</w:t>
            </w:r>
          </w:p>
        </w:tc>
        <w:tc>
          <w:tcPr>
            <w:tcW w:w="1740" w:type="dxa"/>
          </w:tcPr>
          <w:p w:rsidR="00AC40FC" w:rsidRDefault="00AC40FC" w:rsidP="00A51C66">
            <w:pPr>
              <w:pStyle w:val="TableParagraph"/>
              <w:rPr>
                <w:sz w:val="20"/>
              </w:rPr>
            </w:pPr>
            <w:r>
              <w:rPr>
                <w:w w:val="99"/>
                <w:sz w:val="20"/>
              </w:rPr>
              <w:t>0</w:t>
            </w:r>
          </w:p>
        </w:tc>
        <w:tc>
          <w:tcPr>
            <w:tcW w:w="1627" w:type="dxa"/>
          </w:tcPr>
          <w:p w:rsidR="00AC40FC" w:rsidRDefault="00AC40FC" w:rsidP="00A51C66">
            <w:pPr>
              <w:pStyle w:val="TableParagraph"/>
              <w:rPr>
                <w:sz w:val="20"/>
              </w:rPr>
            </w:pPr>
            <w:r>
              <w:rPr>
                <w:w w:val="99"/>
                <w:sz w:val="20"/>
              </w:rPr>
              <w:t>0</w:t>
            </w:r>
          </w:p>
        </w:tc>
        <w:tc>
          <w:tcPr>
            <w:tcW w:w="1627" w:type="dxa"/>
          </w:tcPr>
          <w:p w:rsidR="00AC40FC" w:rsidRDefault="00AC40FC" w:rsidP="00A51C66">
            <w:pPr>
              <w:pStyle w:val="TableParagraph"/>
              <w:rPr>
                <w:sz w:val="20"/>
              </w:rPr>
            </w:pPr>
            <w:r>
              <w:rPr>
                <w:w w:val="99"/>
                <w:sz w:val="20"/>
              </w:rPr>
              <w:t>0</w:t>
            </w:r>
          </w:p>
        </w:tc>
        <w:tc>
          <w:tcPr>
            <w:tcW w:w="1225" w:type="dxa"/>
          </w:tcPr>
          <w:p w:rsidR="00AC40FC" w:rsidRDefault="00AC40FC" w:rsidP="00A51C66">
            <w:pPr>
              <w:pStyle w:val="TableParagraph"/>
              <w:ind w:left="161" w:right="143"/>
              <w:jc w:val="center"/>
              <w:rPr>
                <w:sz w:val="20"/>
              </w:rPr>
            </w:pPr>
            <w:r>
              <w:rPr>
                <w:sz w:val="20"/>
              </w:rPr>
              <w:t>NM</w:t>
            </w:r>
          </w:p>
        </w:tc>
      </w:tr>
      <w:tr w:rsidR="00AC40FC" w:rsidTr="004966B1">
        <w:trPr>
          <w:trHeight w:hRule="exact" w:val="245"/>
          <w:jc w:val="center"/>
        </w:trPr>
        <w:tc>
          <w:tcPr>
            <w:tcW w:w="5059" w:type="dxa"/>
          </w:tcPr>
          <w:p w:rsidR="00AC40FC" w:rsidRDefault="00AC40FC" w:rsidP="00A51C66">
            <w:pPr>
              <w:pStyle w:val="TableParagraph"/>
              <w:ind w:left="180" w:right="0"/>
              <w:jc w:val="left"/>
              <w:rPr>
                <w:sz w:val="20"/>
              </w:rPr>
            </w:pPr>
            <w:r>
              <w:rPr>
                <w:sz w:val="20"/>
              </w:rPr>
              <w:t>157.0 Nuclear Materials Held for Sales</w:t>
            </w:r>
          </w:p>
        </w:tc>
        <w:tc>
          <w:tcPr>
            <w:tcW w:w="1740" w:type="dxa"/>
          </w:tcPr>
          <w:p w:rsidR="00AC40FC" w:rsidRDefault="00AC40FC" w:rsidP="00A51C66">
            <w:pPr>
              <w:pStyle w:val="TableParagraph"/>
              <w:rPr>
                <w:sz w:val="20"/>
              </w:rPr>
            </w:pPr>
            <w:r>
              <w:rPr>
                <w:w w:val="99"/>
                <w:sz w:val="20"/>
              </w:rPr>
              <w:t>0</w:t>
            </w:r>
          </w:p>
        </w:tc>
        <w:tc>
          <w:tcPr>
            <w:tcW w:w="1740" w:type="dxa"/>
          </w:tcPr>
          <w:p w:rsidR="00AC40FC" w:rsidRDefault="00AC40FC" w:rsidP="00A51C66">
            <w:pPr>
              <w:pStyle w:val="TableParagraph"/>
              <w:rPr>
                <w:sz w:val="20"/>
              </w:rPr>
            </w:pPr>
            <w:r>
              <w:rPr>
                <w:w w:val="99"/>
                <w:sz w:val="20"/>
              </w:rPr>
              <w:t>0</w:t>
            </w:r>
          </w:p>
        </w:tc>
        <w:tc>
          <w:tcPr>
            <w:tcW w:w="1740" w:type="dxa"/>
          </w:tcPr>
          <w:p w:rsidR="00AC40FC" w:rsidRDefault="00AC40FC" w:rsidP="00A51C66">
            <w:pPr>
              <w:pStyle w:val="TableParagraph"/>
              <w:rPr>
                <w:sz w:val="20"/>
              </w:rPr>
            </w:pPr>
            <w:r>
              <w:rPr>
                <w:w w:val="99"/>
                <w:sz w:val="20"/>
              </w:rPr>
              <w:t>0</w:t>
            </w:r>
          </w:p>
        </w:tc>
        <w:tc>
          <w:tcPr>
            <w:tcW w:w="1627" w:type="dxa"/>
          </w:tcPr>
          <w:p w:rsidR="00AC40FC" w:rsidRDefault="00AC40FC" w:rsidP="00A51C66">
            <w:pPr>
              <w:pStyle w:val="TableParagraph"/>
              <w:rPr>
                <w:sz w:val="20"/>
              </w:rPr>
            </w:pPr>
            <w:r>
              <w:rPr>
                <w:w w:val="99"/>
                <w:sz w:val="20"/>
              </w:rPr>
              <w:t>0</w:t>
            </w:r>
          </w:p>
        </w:tc>
        <w:tc>
          <w:tcPr>
            <w:tcW w:w="1627" w:type="dxa"/>
          </w:tcPr>
          <w:p w:rsidR="00AC40FC" w:rsidRDefault="00AC40FC" w:rsidP="00A51C66">
            <w:pPr>
              <w:pStyle w:val="TableParagraph"/>
              <w:rPr>
                <w:sz w:val="20"/>
              </w:rPr>
            </w:pPr>
            <w:r>
              <w:rPr>
                <w:w w:val="99"/>
                <w:sz w:val="20"/>
              </w:rPr>
              <w:t>0</w:t>
            </w:r>
          </w:p>
        </w:tc>
        <w:tc>
          <w:tcPr>
            <w:tcW w:w="1225" w:type="dxa"/>
          </w:tcPr>
          <w:p w:rsidR="00AC40FC" w:rsidRDefault="00AC40FC" w:rsidP="00A51C66">
            <w:pPr>
              <w:pStyle w:val="TableParagraph"/>
              <w:ind w:left="161" w:right="143"/>
              <w:jc w:val="center"/>
              <w:rPr>
                <w:sz w:val="20"/>
              </w:rPr>
            </w:pPr>
            <w:r>
              <w:rPr>
                <w:sz w:val="20"/>
              </w:rPr>
              <w:t>NM</w:t>
            </w:r>
          </w:p>
        </w:tc>
      </w:tr>
      <w:tr w:rsidR="00AC40FC" w:rsidTr="004966B1">
        <w:trPr>
          <w:trHeight w:hRule="exact" w:val="245"/>
          <w:jc w:val="center"/>
        </w:trPr>
        <w:tc>
          <w:tcPr>
            <w:tcW w:w="5059" w:type="dxa"/>
          </w:tcPr>
          <w:p w:rsidR="00AC40FC" w:rsidRDefault="00AC40FC" w:rsidP="00A51C66">
            <w:pPr>
              <w:pStyle w:val="TableParagraph"/>
              <w:ind w:left="180" w:right="0"/>
              <w:jc w:val="left"/>
              <w:rPr>
                <w:sz w:val="20"/>
              </w:rPr>
            </w:pPr>
            <w:r>
              <w:rPr>
                <w:sz w:val="20"/>
              </w:rPr>
              <w:t>158.1 Allowances</w:t>
            </w:r>
          </w:p>
        </w:tc>
        <w:tc>
          <w:tcPr>
            <w:tcW w:w="1740" w:type="dxa"/>
          </w:tcPr>
          <w:p w:rsidR="00AC40FC" w:rsidRDefault="00AC40FC" w:rsidP="00A51C66">
            <w:pPr>
              <w:pStyle w:val="TableParagraph"/>
              <w:rPr>
                <w:sz w:val="20"/>
              </w:rPr>
            </w:pPr>
            <w:r>
              <w:rPr>
                <w:w w:val="99"/>
                <w:sz w:val="20"/>
              </w:rPr>
              <w:t>0</w:t>
            </w:r>
          </w:p>
        </w:tc>
        <w:tc>
          <w:tcPr>
            <w:tcW w:w="1740" w:type="dxa"/>
          </w:tcPr>
          <w:p w:rsidR="00AC40FC" w:rsidRDefault="00AC40FC" w:rsidP="00A51C66">
            <w:pPr>
              <w:pStyle w:val="TableParagraph"/>
              <w:rPr>
                <w:sz w:val="20"/>
              </w:rPr>
            </w:pPr>
            <w:r>
              <w:rPr>
                <w:w w:val="99"/>
                <w:sz w:val="20"/>
              </w:rPr>
              <w:t>0</w:t>
            </w:r>
          </w:p>
        </w:tc>
        <w:tc>
          <w:tcPr>
            <w:tcW w:w="1740" w:type="dxa"/>
          </w:tcPr>
          <w:p w:rsidR="00AC40FC" w:rsidRDefault="00AC40FC" w:rsidP="00A51C66">
            <w:pPr>
              <w:pStyle w:val="TableParagraph"/>
              <w:rPr>
                <w:sz w:val="20"/>
              </w:rPr>
            </w:pPr>
            <w:r>
              <w:rPr>
                <w:w w:val="99"/>
                <w:sz w:val="20"/>
              </w:rPr>
              <w:t>0</w:t>
            </w:r>
          </w:p>
        </w:tc>
        <w:tc>
          <w:tcPr>
            <w:tcW w:w="1627" w:type="dxa"/>
          </w:tcPr>
          <w:p w:rsidR="00AC40FC" w:rsidRDefault="00AC40FC" w:rsidP="00A51C66">
            <w:pPr>
              <w:pStyle w:val="TableParagraph"/>
              <w:rPr>
                <w:sz w:val="20"/>
              </w:rPr>
            </w:pPr>
            <w:r>
              <w:rPr>
                <w:w w:val="99"/>
                <w:sz w:val="20"/>
              </w:rPr>
              <w:t>0</w:t>
            </w:r>
          </w:p>
        </w:tc>
        <w:tc>
          <w:tcPr>
            <w:tcW w:w="1627" w:type="dxa"/>
          </w:tcPr>
          <w:p w:rsidR="00AC40FC" w:rsidRDefault="00AC40FC" w:rsidP="00A51C66">
            <w:pPr>
              <w:pStyle w:val="TableParagraph"/>
              <w:ind w:right="92"/>
              <w:rPr>
                <w:sz w:val="20"/>
              </w:rPr>
            </w:pPr>
            <w:r>
              <w:rPr>
                <w:w w:val="99"/>
                <w:sz w:val="20"/>
              </w:rPr>
              <w:t>0</w:t>
            </w:r>
          </w:p>
        </w:tc>
        <w:tc>
          <w:tcPr>
            <w:tcW w:w="1225" w:type="dxa"/>
          </w:tcPr>
          <w:p w:rsidR="00AC40FC" w:rsidRDefault="00AC40FC" w:rsidP="00A51C66">
            <w:pPr>
              <w:pStyle w:val="TableParagraph"/>
              <w:ind w:left="161" w:right="143"/>
              <w:jc w:val="center"/>
              <w:rPr>
                <w:sz w:val="20"/>
              </w:rPr>
            </w:pPr>
            <w:r>
              <w:rPr>
                <w:sz w:val="20"/>
              </w:rPr>
              <w:t>NM</w:t>
            </w:r>
          </w:p>
        </w:tc>
      </w:tr>
      <w:tr w:rsidR="00AC40FC" w:rsidTr="004966B1">
        <w:trPr>
          <w:trHeight w:hRule="exact" w:val="245"/>
          <w:jc w:val="center"/>
        </w:trPr>
        <w:tc>
          <w:tcPr>
            <w:tcW w:w="5059" w:type="dxa"/>
          </w:tcPr>
          <w:p w:rsidR="00AC40FC" w:rsidRDefault="00AC40FC" w:rsidP="00A51C66">
            <w:pPr>
              <w:pStyle w:val="TableParagraph"/>
              <w:ind w:left="180" w:right="0"/>
              <w:jc w:val="left"/>
              <w:rPr>
                <w:sz w:val="20"/>
              </w:rPr>
            </w:pPr>
            <w:r>
              <w:rPr>
                <w:sz w:val="20"/>
              </w:rPr>
              <w:t>158.2 Noncurrent Portion of Allowances</w:t>
            </w:r>
          </w:p>
        </w:tc>
        <w:tc>
          <w:tcPr>
            <w:tcW w:w="1740" w:type="dxa"/>
          </w:tcPr>
          <w:p w:rsidR="00AC40FC" w:rsidRDefault="00AC40FC" w:rsidP="00A51C66">
            <w:pPr>
              <w:pStyle w:val="TableParagraph"/>
              <w:ind w:right="92"/>
              <w:rPr>
                <w:sz w:val="20"/>
              </w:rPr>
            </w:pPr>
            <w:r>
              <w:rPr>
                <w:w w:val="99"/>
                <w:sz w:val="20"/>
              </w:rPr>
              <w:t>0</w:t>
            </w:r>
          </w:p>
        </w:tc>
        <w:tc>
          <w:tcPr>
            <w:tcW w:w="1740" w:type="dxa"/>
          </w:tcPr>
          <w:p w:rsidR="00AC40FC" w:rsidRDefault="00AC40FC" w:rsidP="00A51C66">
            <w:pPr>
              <w:pStyle w:val="TableParagraph"/>
              <w:ind w:right="92"/>
              <w:rPr>
                <w:sz w:val="20"/>
              </w:rPr>
            </w:pPr>
            <w:r>
              <w:rPr>
                <w:w w:val="99"/>
                <w:sz w:val="20"/>
              </w:rPr>
              <w:t>0</w:t>
            </w:r>
          </w:p>
        </w:tc>
        <w:tc>
          <w:tcPr>
            <w:tcW w:w="1740" w:type="dxa"/>
          </w:tcPr>
          <w:p w:rsidR="00AC40FC" w:rsidRDefault="00AC40FC" w:rsidP="00A51C66">
            <w:pPr>
              <w:pStyle w:val="TableParagraph"/>
              <w:ind w:right="92"/>
              <w:rPr>
                <w:sz w:val="20"/>
              </w:rPr>
            </w:pPr>
            <w:r>
              <w:rPr>
                <w:w w:val="99"/>
                <w:sz w:val="20"/>
              </w:rPr>
              <w:t>0</w:t>
            </w:r>
          </w:p>
        </w:tc>
        <w:tc>
          <w:tcPr>
            <w:tcW w:w="1627" w:type="dxa"/>
          </w:tcPr>
          <w:p w:rsidR="00AC40FC" w:rsidRDefault="00AC40FC" w:rsidP="00A51C66">
            <w:pPr>
              <w:pStyle w:val="TableParagraph"/>
              <w:ind w:right="92"/>
              <w:rPr>
                <w:sz w:val="20"/>
              </w:rPr>
            </w:pPr>
            <w:r>
              <w:rPr>
                <w:w w:val="99"/>
                <w:sz w:val="20"/>
              </w:rPr>
              <w:t>0</w:t>
            </w:r>
          </w:p>
        </w:tc>
        <w:tc>
          <w:tcPr>
            <w:tcW w:w="1627" w:type="dxa"/>
          </w:tcPr>
          <w:p w:rsidR="00AC40FC" w:rsidRDefault="00AC40FC" w:rsidP="00A51C66">
            <w:pPr>
              <w:pStyle w:val="TableParagraph"/>
              <w:ind w:right="92"/>
              <w:rPr>
                <w:sz w:val="20"/>
              </w:rPr>
            </w:pPr>
            <w:r>
              <w:rPr>
                <w:w w:val="99"/>
                <w:sz w:val="20"/>
              </w:rPr>
              <w:t>0</w:t>
            </w:r>
          </w:p>
        </w:tc>
        <w:tc>
          <w:tcPr>
            <w:tcW w:w="1225" w:type="dxa"/>
          </w:tcPr>
          <w:p w:rsidR="00AC40FC" w:rsidRDefault="00AC40FC" w:rsidP="00A51C66">
            <w:pPr>
              <w:pStyle w:val="TableParagraph"/>
              <w:ind w:left="161" w:right="142"/>
              <w:jc w:val="center"/>
              <w:rPr>
                <w:sz w:val="20"/>
              </w:rPr>
            </w:pPr>
            <w:r>
              <w:rPr>
                <w:sz w:val="20"/>
              </w:rPr>
              <w:t>NM</w:t>
            </w:r>
          </w:p>
        </w:tc>
      </w:tr>
      <w:tr w:rsidR="00AC40FC" w:rsidTr="004966B1">
        <w:trPr>
          <w:trHeight w:hRule="exact" w:val="245"/>
          <w:jc w:val="center"/>
        </w:trPr>
        <w:tc>
          <w:tcPr>
            <w:tcW w:w="5059" w:type="dxa"/>
          </w:tcPr>
          <w:p w:rsidR="00AC40FC" w:rsidRDefault="00AC40FC" w:rsidP="00A51C66">
            <w:pPr>
              <w:pStyle w:val="TableParagraph"/>
              <w:ind w:left="181" w:right="0"/>
              <w:jc w:val="left"/>
              <w:rPr>
                <w:sz w:val="20"/>
              </w:rPr>
            </w:pPr>
            <w:r>
              <w:rPr>
                <w:sz w:val="20"/>
              </w:rPr>
              <w:t>163.0 Stores Expense Undistributed</w:t>
            </w:r>
          </w:p>
        </w:tc>
        <w:tc>
          <w:tcPr>
            <w:tcW w:w="1740" w:type="dxa"/>
          </w:tcPr>
          <w:p w:rsidR="00AC40FC" w:rsidRDefault="00AC40FC" w:rsidP="00A51C66">
            <w:pPr>
              <w:pStyle w:val="TableParagraph"/>
              <w:rPr>
                <w:sz w:val="20"/>
              </w:rPr>
            </w:pPr>
            <w:r>
              <w:rPr>
                <w:w w:val="95"/>
                <w:sz w:val="20"/>
              </w:rPr>
              <w:t>4,151,545</w:t>
            </w:r>
          </w:p>
        </w:tc>
        <w:tc>
          <w:tcPr>
            <w:tcW w:w="1740" w:type="dxa"/>
          </w:tcPr>
          <w:p w:rsidR="00AC40FC" w:rsidRDefault="00AC40FC" w:rsidP="00A51C66">
            <w:pPr>
              <w:pStyle w:val="TableParagraph"/>
              <w:rPr>
                <w:sz w:val="20"/>
              </w:rPr>
            </w:pPr>
            <w:r>
              <w:rPr>
                <w:w w:val="95"/>
                <w:sz w:val="20"/>
              </w:rPr>
              <w:t>2,992,877</w:t>
            </w:r>
          </w:p>
        </w:tc>
        <w:tc>
          <w:tcPr>
            <w:tcW w:w="1740" w:type="dxa"/>
          </w:tcPr>
          <w:p w:rsidR="00AC40FC" w:rsidRDefault="00AC40FC" w:rsidP="00A51C66">
            <w:pPr>
              <w:pStyle w:val="TableParagraph"/>
              <w:rPr>
                <w:sz w:val="20"/>
              </w:rPr>
            </w:pPr>
            <w:r>
              <w:rPr>
                <w:w w:val="95"/>
                <w:sz w:val="20"/>
              </w:rPr>
              <w:t>2,837,814</w:t>
            </w:r>
          </w:p>
        </w:tc>
        <w:tc>
          <w:tcPr>
            <w:tcW w:w="1627" w:type="dxa"/>
          </w:tcPr>
          <w:p w:rsidR="00AC40FC" w:rsidRDefault="00AC40FC" w:rsidP="00A51C66">
            <w:pPr>
              <w:pStyle w:val="TableParagraph"/>
              <w:rPr>
                <w:sz w:val="20"/>
              </w:rPr>
            </w:pPr>
            <w:r>
              <w:rPr>
                <w:w w:val="95"/>
                <w:sz w:val="20"/>
              </w:rPr>
              <w:t>2,720,786</w:t>
            </w:r>
          </w:p>
        </w:tc>
        <w:tc>
          <w:tcPr>
            <w:tcW w:w="1627" w:type="dxa"/>
          </w:tcPr>
          <w:p w:rsidR="00AC40FC" w:rsidRDefault="00AC40FC" w:rsidP="00A51C66">
            <w:pPr>
              <w:pStyle w:val="TableParagraph"/>
              <w:rPr>
                <w:sz w:val="20"/>
              </w:rPr>
            </w:pPr>
            <w:r>
              <w:rPr>
                <w:w w:val="95"/>
                <w:sz w:val="20"/>
              </w:rPr>
              <w:t>3,087,009</w:t>
            </w:r>
          </w:p>
        </w:tc>
        <w:tc>
          <w:tcPr>
            <w:tcW w:w="1225" w:type="dxa"/>
          </w:tcPr>
          <w:p w:rsidR="00AC40FC" w:rsidRDefault="00AC40FC" w:rsidP="00A51C66">
            <w:pPr>
              <w:pStyle w:val="TableParagraph"/>
              <w:ind w:left="161" w:right="143"/>
              <w:jc w:val="center"/>
              <w:rPr>
                <w:sz w:val="20"/>
              </w:rPr>
            </w:pPr>
            <w:r>
              <w:rPr>
                <w:sz w:val="20"/>
              </w:rPr>
              <w:t>-7.14%</w:t>
            </w:r>
          </w:p>
        </w:tc>
      </w:tr>
      <w:tr w:rsidR="00AC40FC" w:rsidTr="004966B1">
        <w:trPr>
          <w:trHeight w:hRule="exact" w:val="245"/>
          <w:jc w:val="center"/>
        </w:trPr>
        <w:tc>
          <w:tcPr>
            <w:tcW w:w="5059" w:type="dxa"/>
          </w:tcPr>
          <w:p w:rsidR="00AC40FC" w:rsidRDefault="00AC40FC" w:rsidP="00A51C66">
            <w:pPr>
              <w:pStyle w:val="TableParagraph"/>
              <w:ind w:left="181" w:right="0"/>
              <w:jc w:val="left"/>
              <w:rPr>
                <w:sz w:val="20"/>
              </w:rPr>
            </w:pPr>
            <w:r>
              <w:rPr>
                <w:sz w:val="20"/>
              </w:rPr>
              <w:t>Gas Stored Underground-Current</w:t>
            </w:r>
          </w:p>
        </w:tc>
        <w:tc>
          <w:tcPr>
            <w:tcW w:w="1740" w:type="dxa"/>
          </w:tcPr>
          <w:p w:rsidR="00AC40FC" w:rsidRDefault="00AC40FC" w:rsidP="00A51C66">
            <w:pPr>
              <w:pStyle w:val="TableParagraph"/>
              <w:ind w:right="92"/>
              <w:rPr>
                <w:sz w:val="20"/>
              </w:rPr>
            </w:pPr>
            <w:r>
              <w:rPr>
                <w:w w:val="99"/>
                <w:sz w:val="20"/>
              </w:rPr>
              <w:t>0</w:t>
            </w:r>
          </w:p>
        </w:tc>
        <w:tc>
          <w:tcPr>
            <w:tcW w:w="1740" w:type="dxa"/>
          </w:tcPr>
          <w:p w:rsidR="00AC40FC" w:rsidRDefault="00AC40FC" w:rsidP="00A51C66">
            <w:pPr>
              <w:pStyle w:val="TableParagraph"/>
              <w:ind w:right="92"/>
              <w:rPr>
                <w:sz w:val="20"/>
              </w:rPr>
            </w:pPr>
            <w:r>
              <w:rPr>
                <w:w w:val="99"/>
                <w:sz w:val="20"/>
              </w:rPr>
              <w:t>0</w:t>
            </w:r>
          </w:p>
        </w:tc>
        <w:tc>
          <w:tcPr>
            <w:tcW w:w="1740" w:type="dxa"/>
          </w:tcPr>
          <w:p w:rsidR="00AC40FC" w:rsidRDefault="00AC40FC" w:rsidP="00A51C66">
            <w:pPr>
              <w:pStyle w:val="TableParagraph"/>
              <w:ind w:right="92"/>
              <w:rPr>
                <w:sz w:val="20"/>
              </w:rPr>
            </w:pPr>
            <w:r>
              <w:rPr>
                <w:w w:val="99"/>
                <w:sz w:val="20"/>
              </w:rPr>
              <w:t>0</w:t>
            </w:r>
          </w:p>
        </w:tc>
        <w:tc>
          <w:tcPr>
            <w:tcW w:w="1627" w:type="dxa"/>
          </w:tcPr>
          <w:p w:rsidR="00AC40FC" w:rsidRDefault="00AC40FC" w:rsidP="00A51C66">
            <w:pPr>
              <w:pStyle w:val="TableParagraph"/>
              <w:ind w:right="92"/>
              <w:rPr>
                <w:sz w:val="20"/>
              </w:rPr>
            </w:pPr>
            <w:r>
              <w:rPr>
                <w:w w:val="99"/>
                <w:sz w:val="20"/>
              </w:rPr>
              <w:t>0</w:t>
            </w:r>
          </w:p>
        </w:tc>
        <w:tc>
          <w:tcPr>
            <w:tcW w:w="1627" w:type="dxa"/>
          </w:tcPr>
          <w:p w:rsidR="00AC40FC" w:rsidRDefault="00AC40FC" w:rsidP="00A51C66">
            <w:pPr>
              <w:pStyle w:val="TableParagraph"/>
              <w:ind w:right="92"/>
              <w:rPr>
                <w:sz w:val="20"/>
              </w:rPr>
            </w:pPr>
            <w:r>
              <w:rPr>
                <w:w w:val="99"/>
                <w:sz w:val="20"/>
              </w:rPr>
              <w:t>0</w:t>
            </w:r>
          </w:p>
        </w:tc>
        <w:tc>
          <w:tcPr>
            <w:tcW w:w="1225" w:type="dxa"/>
          </w:tcPr>
          <w:p w:rsidR="00AC40FC" w:rsidRDefault="00AC40FC" w:rsidP="00A51C66">
            <w:pPr>
              <w:pStyle w:val="TableParagraph"/>
              <w:ind w:left="161" w:right="141"/>
              <w:jc w:val="center"/>
              <w:rPr>
                <w:sz w:val="20"/>
              </w:rPr>
            </w:pPr>
            <w:r>
              <w:rPr>
                <w:sz w:val="20"/>
              </w:rPr>
              <w:t>NM</w:t>
            </w:r>
          </w:p>
        </w:tc>
      </w:tr>
      <w:tr w:rsidR="00AC40FC" w:rsidTr="004966B1">
        <w:trPr>
          <w:trHeight w:hRule="exact" w:val="245"/>
          <w:jc w:val="center"/>
        </w:trPr>
        <w:tc>
          <w:tcPr>
            <w:tcW w:w="5059" w:type="dxa"/>
          </w:tcPr>
          <w:p w:rsidR="00AC40FC" w:rsidRDefault="00AC40FC" w:rsidP="00A51C66">
            <w:pPr>
              <w:pStyle w:val="TableParagraph"/>
              <w:ind w:left="181" w:right="0"/>
              <w:jc w:val="left"/>
              <w:rPr>
                <w:sz w:val="20"/>
              </w:rPr>
            </w:pPr>
            <w:r>
              <w:rPr>
                <w:sz w:val="20"/>
              </w:rPr>
              <w:t>Liquefied Gas Stored and Held for Proc.</w:t>
            </w:r>
          </w:p>
        </w:tc>
        <w:tc>
          <w:tcPr>
            <w:tcW w:w="1740" w:type="dxa"/>
          </w:tcPr>
          <w:p w:rsidR="00AC40FC" w:rsidRDefault="00AC40FC" w:rsidP="00A51C66">
            <w:pPr>
              <w:pStyle w:val="TableParagraph"/>
              <w:ind w:right="92"/>
              <w:rPr>
                <w:sz w:val="20"/>
              </w:rPr>
            </w:pPr>
            <w:r>
              <w:rPr>
                <w:w w:val="99"/>
                <w:sz w:val="20"/>
              </w:rPr>
              <w:t>0</w:t>
            </w:r>
          </w:p>
        </w:tc>
        <w:tc>
          <w:tcPr>
            <w:tcW w:w="1740" w:type="dxa"/>
          </w:tcPr>
          <w:p w:rsidR="00AC40FC" w:rsidRDefault="00AC40FC" w:rsidP="00A51C66">
            <w:pPr>
              <w:pStyle w:val="TableParagraph"/>
              <w:ind w:right="92"/>
              <w:rPr>
                <w:sz w:val="20"/>
              </w:rPr>
            </w:pPr>
            <w:r>
              <w:rPr>
                <w:w w:val="99"/>
                <w:sz w:val="20"/>
              </w:rPr>
              <w:t>0</w:t>
            </w:r>
          </w:p>
        </w:tc>
        <w:tc>
          <w:tcPr>
            <w:tcW w:w="1740" w:type="dxa"/>
          </w:tcPr>
          <w:p w:rsidR="00AC40FC" w:rsidRDefault="00AC40FC" w:rsidP="00A51C66">
            <w:pPr>
              <w:pStyle w:val="TableParagraph"/>
              <w:ind w:right="92"/>
              <w:rPr>
                <w:sz w:val="20"/>
              </w:rPr>
            </w:pPr>
            <w:r>
              <w:rPr>
                <w:w w:val="99"/>
                <w:sz w:val="20"/>
              </w:rPr>
              <w:t>0</w:t>
            </w:r>
          </w:p>
        </w:tc>
        <w:tc>
          <w:tcPr>
            <w:tcW w:w="1627" w:type="dxa"/>
          </w:tcPr>
          <w:p w:rsidR="00AC40FC" w:rsidRDefault="00AC40FC" w:rsidP="00A51C66">
            <w:pPr>
              <w:pStyle w:val="TableParagraph"/>
              <w:ind w:right="92"/>
              <w:rPr>
                <w:sz w:val="20"/>
              </w:rPr>
            </w:pPr>
            <w:r>
              <w:rPr>
                <w:w w:val="99"/>
                <w:sz w:val="20"/>
              </w:rPr>
              <w:t>0</w:t>
            </w:r>
          </w:p>
        </w:tc>
        <w:tc>
          <w:tcPr>
            <w:tcW w:w="1627" w:type="dxa"/>
          </w:tcPr>
          <w:p w:rsidR="00AC40FC" w:rsidRDefault="00AC40FC" w:rsidP="00A51C66">
            <w:pPr>
              <w:pStyle w:val="TableParagraph"/>
              <w:ind w:right="92"/>
              <w:rPr>
                <w:sz w:val="20"/>
              </w:rPr>
            </w:pPr>
            <w:r>
              <w:rPr>
                <w:w w:val="99"/>
                <w:sz w:val="20"/>
              </w:rPr>
              <w:t>0</w:t>
            </w:r>
          </w:p>
        </w:tc>
        <w:tc>
          <w:tcPr>
            <w:tcW w:w="1225" w:type="dxa"/>
          </w:tcPr>
          <w:p w:rsidR="00AC40FC" w:rsidRDefault="00AC40FC" w:rsidP="00A51C66">
            <w:pPr>
              <w:pStyle w:val="TableParagraph"/>
              <w:ind w:left="161" w:right="141"/>
              <w:jc w:val="center"/>
              <w:rPr>
                <w:sz w:val="20"/>
              </w:rPr>
            </w:pPr>
            <w:r>
              <w:rPr>
                <w:sz w:val="20"/>
              </w:rPr>
              <w:t>NM</w:t>
            </w:r>
          </w:p>
        </w:tc>
      </w:tr>
      <w:tr w:rsidR="00AC40FC" w:rsidTr="004966B1">
        <w:trPr>
          <w:trHeight w:hRule="exact" w:val="245"/>
          <w:jc w:val="center"/>
        </w:trPr>
        <w:tc>
          <w:tcPr>
            <w:tcW w:w="5059" w:type="dxa"/>
          </w:tcPr>
          <w:p w:rsidR="00AC40FC" w:rsidRDefault="00AC40FC" w:rsidP="00A51C66">
            <w:pPr>
              <w:pStyle w:val="TableParagraph"/>
              <w:ind w:left="181" w:right="0"/>
              <w:jc w:val="left"/>
              <w:rPr>
                <w:sz w:val="20"/>
              </w:rPr>
            </w:pPr>
            <w:r>
              <w:rPr>
                <w:sz w:val="20"/>
              </w:rPr>
              <w:t>165.0 Prepayments</w:t>
            </w:r>
          </w:p>
        </w:tc>
        <w:tc>
          <w:tcPr>
            <w:tcW w:w="1740" w:type="dxa"/>
          </w:tcPr>
          <w:p w:rsidR="00AC40FC" w:rsidRDefault="00AC40FC" w:rsidP="00A51C66">
            <w:pPr>
              <w:pStyle w:val="TableParagraph"/>
              <w:ind w:right="92"/>
              <w:rPr>
                <w:sz w:val="20"/>
              </w:rPr>
            </w:pPr>
            <w:r>
              <w:rPr>
                <w:w w:val="95"/>
                <w:sz w:val="20"/>
              </w:rPr>
              <w:t>136,559,252</w:t>
            </w:r>
          </w:p>
        </w:tc>
        <w:tc>
          <w:tcPr>
            <w:tcW w:w="1740" w:type="dxa"/>
          </w:tcPr>
          <w:p w:rsidR="00AC40FC" w:rsidRDefault="00AC40FC" w:rsidP="00A51C66">
            <w:pPr>
              <w:pStyle w:val="TableParagraph"/>
              <w:ind w:right="92"/>
              <w:rPr>
                <w:sz w:val="20"/>
              </w:rPr>
            </w:pPr>
            <w:r>
              <w:rPr>
                <w:w w:val="95"/>
                <w:sz w:val="20"/>
              </w:rPr>
              <w:t>78,961,656</w:t>
            </w:r>
          </w:p>
        </w:tc>
        <w:tc>
          <w:tcPr>
            <w:tcW w:w="1740" w:type="dxa"/>
          </w:tcPr>
          <w:p w:rsidR="00AC40FC" w:rsidRDefault="00AC40FC" w:rsidP="00A51C66">
            <w:pPr>
              <w:pStyle w:val="TableParagraph"/>
              <w:ind w:right="92"/>
              <w:rPr>
                <w:sz w:val="20"/>
              </w:rPr>
            </w:pPr>
            <w:r>
              <w:rPr>
                <w:w w:val="95"/>
                <w:sz w:val="20"/>
              </w:rPr>
              <w:t>75,766,213</w:t>
            </w:r>
          </w:p>
        </w:tc>
        <w:tc>
          <w:tcPr>
            <w:tcW w:w="1627" w:type="dxa"/>
          </w:tcPr>
          <w:p w:rsidR="00AC40FC" w:rsidRDefault="00AC40FC" w:rsidP="00A51C66">
            <w:pPr>
              <w:pStyle w:val="TableParagraph"/>
              <w:ind w:right="92"/>
              <w:rPr>
                <w:sz w:val="20"/>
              </w:rPr>
            </w:pPr>
            <w:r>
              <w:rPr>
                <w:w w:val="95"/>
                <w:sz w:val="20"/>
              </w:rPr>
              <w:t>40,070,906</w:t>
            </w:r>
          </w:p>
        </w:tc>
        <w:tc>
          <w:tcPr>
            <w:tcW w:w="1627" w:type="dxa"/>
          </w:tcPr>
          <w:p w:rsidR="00AC40FC" w:rsidRDefault="00AC40FC" w:rsidP="00A51C66">
            <w:pPr>
              <w:pStyle w:val="TableParagraph"/>
              <w:ind w:right="92"/>
              <w:rPr>
                <w:sz w:val="20"/>
              </w:rPr>
            </w:pPr>
            <w:r>
              <w:rPr>
                <w:w w:val="95"/>
                <w:sz w:val="20"/>
              </w:rPr>
              <w:t>9,795,107</w:t>
            </w:r>
          </w:p>
        </w:tc>
        <w:tc>
          <w:tcPr>
            <w:tcW w:w="1225" w:type="dxa"/>
          </w:tcPr>
          <w:p w:rsidR="00AC40FC" w:rsidRDefault="00AC40FC" w:rsidP="00A51C66">
            <w:pPr>
              <w:pStyle w:val="TableParagraph"/>
              <w:ind w:left="161" w:right="143"/>
              <w:jc w:val="center"/>
              <w:rPr>
                <w:sz w:val="20"/>
              </w:rPr>
            </w:pPr>
            <w:r>
              <w:rPr>
                <w:sz w:val="20"/>
              </w:rPr>
              <w:t>-48.25%</w:t>
            </w:r>
          </w:p>
        </w:tc>
      </w:tr>
      <w:tr w:rsidR="00AC40FC" w:rsidTr="004966B1">
        <w:trPr>
          <w:trHeight w:hRule="exact" w:val="245"/>
          <w:jc w:val="center"/>
        </w:trPr>
        <w:tc>
          <w:tcPr>
            <w:tcW w:w="5059" w:type="dxa"/>
          </w:tcPr>
          <w:p w:rsidR="00AC40FC" w:rsidRDefault="00AC40FC" w:rsidP="00A51C66">
            <w:pPr>
              <w:pStyle w:val="TableParagraph"/>
              <w:ind w:left="181" w:right="0"/>
              <w:jc w:val="left"/>
              <w:rPr>
                <w:sz w:val="20"/>
              </w:rPr>
            </w:pPr>
            <w:r>
              <w:rPr>
                <w:sz w:val="20"/>
              </w:rPr>
              <w:t>Advances for Gas</w:t>
            </w:r>
          </w:p>
        </w:tc>
        <w:tc>
          <w:tcPr>
            <w:tcW w:w="1740" w:type="dxa"/>
          </w:tcPr>
          <w:p w:rsidR="00AC40FC" w:rsidRDefault="00AC40FC" w:rsidP="00A51C66">
            <w:pPr>
              <w:pStyle w:val="TableParagraph"/>
              <w:ind w:right="92"/>
              <w:rPr>
                <w:sz w:val="20"/>
              </w:rPr>
            </w:pPr>
            <w:r>
              <w:rPr>
                <w:w w:val="99"/>
                <w:sz w:val="20"/>
              </w:rPr>
              <w:t>0</w:t>
            </w:r>
          </w:p>
        </w:tc>
        <w:tc>
          <w:tcPr>
            <w:tcW w:w="1740" w:type="dxa"/>
          </w:tcPr>
          <w:p w:rsidR="00AC40FC" w:rsidRDefault="00AC40FC" w:rsidP="00A51C66">
            <w:pPr>
              <w:pStyle w:val="TableParagraph"/>
              <w:ind w:right="92"/>
              <w:rPr>
                <w:sz w:val="20"/>
              </w:rPr>
            </w:pPr>
            <w:r>
              <w:rPr>
                <w:w w:val="99"/>
                <w:sz w:val="20"/>
              </w:rPr>
              <w:t>0</w:t>
            </w:r>
          </w:p>
        </w:tc>
        <w:tc>
          <w:tcPr>
            <w:tcW w:w="1740" w:type="dxa"/>
          </w:tcPr>
          <w:p w:rsidR="00AC40FC" w:rsidRDefault="00AC40FC" w:rsidP="00A51C66">
            <w:pPr>
              <w:pStyle w:val="TableParagraph"/>
              <w:ind w:right="92"/>
              <w:rPr>
                <w:sz w:val="20"/>
              </w:rPr>
            </w:pPr>
            <w:r>
              <w:rPr>
                <w:w w:val="99"/>
                <w:sz w:val="20"/>
              </w:rPr>
              <w:t>0</w:t>
            </w:r>
          </w:p>
        </w:tc>
        <w:tc>
          <w:tcPr>
            <w:tcW w:w="1627" w:type="dxa"/>
          </w:tcPr>
          <w:p w:rsidR="00AC40FC" w:rsidRDefault="00AC40FC" w:rsidP="00A51C66">
            <w:pPr>
              <w:pStyle w:val="TableParagraph"/>
              <w:ind w:right="92"/>
              <w:rPr>
                <w:sz w:val="20"/>
              </w:rPr>
            </w:pPr>
            <w:r>
              <w:rPr>
                <w:w w:val="99"/>
                <w:sz w:val="20"/>
              </w:rPr>
              <w:t>0</w:t>
            </w:r>
          </w:p>
        </w:tc>
        <w:tc>
          <w:tcPr>
            <w:tcW w:w="1627" w:type="dxa"/>
          </w:tcPr>
          <w:p w:rsidR="00AC40FC" w:rsidRDefault="00AC40FC" w:rsidP="00A51C66">
            <w:pPr>
              <w:pStyle w:val="TableParagraph"/>
              <w:ind w:right="91"/>
              <w:rPr>
                <w:sz w:val="20"/>
              </w:rPr>
            </w:pPr>
            <w:r>
              <w:rPr>
                <w:w w:val="99"/>
                <w:sz w:val="20"/>
              </w:rPr>
              <w:t>0</w:t>
            </w:r>
          </w:p>
        </w:tc>
        <w:tc>
          <w:tcPr>
            <w:tcW w:w="1225" w:type="dxa"/>
          </w:tcPr>
          <w:p w:rsidR="00AC40FC" w:rsidRDefault="00AC40FC" w:rsidP="00A51C66">
            <w:pPr>
              <w:pStyle w:val="TableParagraph"/>
              <w:ind w:left="161" w:right="141"/>
              <w:jc w:val="center"/>
              <w:rPr>
                <w:sz w:val="20"/>
              </w:rPr>
            </w:pPr>
            <w:r>
              <w:rPr>
                <w:sz w:val="20"/>
              </w:rPr>
              <w:t>NM</w:t>
            </w:r>
          </w:p>
        </w:tc>
      </w:tr>
      <w:tr w:rsidR="00AC40FC" w:rsidTr="004966B1">
        <w:trPr>
          <w:trHeight w:hRule="exact" w:val="245"/>
          <w:jc w:val="center"/>
        </w:trPr>
        <w:tc>
          <w:tcPr>
            <w:tcW w:w="5059" w:type="dxa"/>
          </w:tcPr>
          <w:p w:rsidR="00AC40FC" w:rsidRDefault="00AC40FC" w:rsidP="00A51C66">
            <w:pPr>
              <w:pStyle w:val="TableParagraph"/>
              <w:ind w:left="181" w:right="0"/>
              <w:jc w:val="left"/>
              <w:rPr>
                <w:sz w:val="20"/>
              </w:rPr>
            </w:pPr>
            <w:r>
              <w:rPr>
                <w:sz w:val="20"/>
              </w:rPr>
              <w:t>171.0 Interest and Dividends Receivable</w:t>
            </w:r>
          </w:p>
        </w:tc>
        <w:tc>
          <w:tcPr>
            <w:tcW w:w="1740" w:type="dxa"/>
          </w:tcPr>
          <w:p w:rsidR="00AC40FC" w:rsidRDefault="00AC40FC" w:rsidP="00A51C66">
            <w:pPr>
              <w:pStyle w:val="TableParagraph"/>
              <w:ind w:right="92"/>
              <w:rPr>
                <w:sz w:val="20"/>
              </w:rPr>
            </w:pPr>
            <w:r>
              <w:rPr>
                <w:sz w:val="20"/>
              </w:rPr>
              <w:t>5,879</w:t>
            </w:r>
          </w:p>
        </w:tc>
        <w:tc>
          <w:tcPr>
            <w:tcW w:w="1740" w:type="dxa"/>
          </w:tcPr>
          <w:p w:rsidR="00AC40FC" w:rsidRDefault="00AC40FC" w:rsidP="00A51C66">
            <w:pPr>
              <w:pStyle w:val="TableParagraph"/>
              <w:ind w:right="92"/>
              <w:rPr>
                <w:sz w:val="20"/>
              </w:rPr>
            </w:pPr>
            <w:r>
              <w:rPr>
                <w:sz w:val="20"/>
              </w:rPr>
              <w:t>1,573</w:t>
            </w:r>
          </w:p>
        </w:tc>
        <w:tc>
          <w:tcPr>
            <w:tcW w:w="1740" w:type="dxa"/>
          </w:tcPr>
          <w:p w:rsidR="00AC40FC" w:rsidRDefault="00AC40FC" w:rsidP="00A51C66">
            <w:pPr>
              <w:pStyle w:val="TableParagraph"/>
              <w:ind w:right="92"/>
              <w:rPr>
                <w:sz w:val="20"/>
              </w:rPr>
            </w:pPr>
            <w:r>
              <w:rPr>
                <w:sz w:val="20"/>
              </w:rPr>
              <w:t>13,646</w:t>
            </w:r>
          </w:p>
        </w:tc>
        <w:tc>
          <w:tcPr>
            <w:tcW w:w="1627" w:type="dxa"/>
          </w:tcPr>
          <w:p w:rsidR="00AC40FC" w:rsidRDefault="00AC40FC" w:rsidP="00A51C66">
            <w:pPr>
              <w:pStyle w:val="TableParagraph"/>
              <w:ind w:right="92"/>
              <w:rPr>
                <w:sz w:val="20"/>
              </w:rPr>
            </w:pPr>
            <w:r>
              <w:rPr>
                <w:sz w:val="20"/>
              </w:rPr>
              <w:t>3,425</w:t>
            </w:r>
          </w:p>
        </w:tc>
        <w:tc>
          <w:tcPr>
            <w:tcW w:w="1627" w:type="dxa"/>
          </w:tcPr>
          <w:p w:rsidR="00AC40FC" w:rsidRDefault="00AC40FC" w:rsidP="00A51C66">
            <w:pPr>
              <w:pStyle w:val="TableParagraph"/>
              <w:ind w:right="92"/>
              <w:rPr>
                <w:sz w:val="20"/>
              </w:rPr>
            </w:pPr>
            <w:r>
              <w:rPr>
                <w:sz w:val="20"/>
              </w:rPr>
              <w:t>10,281</w:t>
            </w:r>
          </w:p>
        </w:tc>
        <w:tc>
          <w:tcPr>
            <w:tcW w:w="1225" w:type="dxa"/>
          </w:tcPr>
          <w:p w:rsidR="00AC40FC" w:rsidRDefault="00AC40FC" w:rsidP="00A51C66">
            <w:pPr>
              <w:pStyle w:val="TableParagraph"/>
              <w:ind w:left="161" w:right="142"/>
              <w:jc w:val="center"/>
              <w:rPr>
                <w:sz w:val="20"/>
              </w:rPr>
            </w:pPr>
            <w:r>
              <w:rPr>
                <w:sz w:val="20"/>
              </w:rPr>
              <w:t>15.00%</w:t>
            </w:r>
          </w:p>
        </w:tc>
      </w:tr>
      <w:tr w:rsidR="00AC40FC" w:rsidTr="004966B1">
        <w:trPr>
          <w:trHeight w:hRule="exact" w:val="245"/>
          <w:jc w:val="center"/>
        </w:trPr>
        <w:tc>
          <w:tcPr>
            <w:tcW w:w="5059" w:type="dxa"/>
          </w:tcPr>
          <w:p w:rsidR="00AC40FC" w:rsidRDefault="00AC40FC" w:rsidP="00A51C66">
            <w:pPr>
              <w:pStyle w:val="TableParagraph"/>
              <w:ind w:left="181" w:right="0"/>
              <w:jc w:val="left"/>
              <w:rPr>
                <w:sz w:val="20"/>
              </w:rPr>
            </w:pPr>
            <w:r>
              <w:rPr>
                <w:sz w:val="20"/>
              </w:rPr>
              <w:t>172.0 Rents Receivable</w:t>
            </w:r>
          </w:p>
        </w:tc>
        <w:tc>
          <w:tcPr>
            <w:tcW w:w="1740" w:type="dxa"/>
          </w:tcPr>
          <w:p w:rsidR="00AC40FC" w:rsidRDefault="00AC40FC" w:rsidP="00A51C66">
            <w:pPr>
              <w:pStyle w:val="TableParagraph"/>
              <w:ind w:right="92"/>
              <w:rPr>
                <w:sz w:val="20"/>
              </w:rPr>
            </w:pPr>
            <w:r>
              <w:rPr>
                <w:w w:val="95"/>
                <w:sz w:val="20"/>
              </w:rPr>
              <w:t>5,779,151</w:t>
            </w:r>
          </w:p>
        </w:tc>
        <w:tc>
          <w:tcPr>
            <w:tcW w:w="1740" w:type="dxa"/>
          </w:tcPr>
          <w:p w:rsidR="00AC40FC" w:rsidRDefault="00AC40FC" w:rsidP="00A51C66">
            <w:pPr>
              <w:pStyle w:val="TableParagraph"/>
              <w:ind w:right="92"/>
              <w:rPr>
                <w:sz w:val="20"/>
              </w:rPr>
            </w:pPr>
            <w:r>
              <w:rPr>
                <w:w w:val="95"/>
                <w:sz w:val="20"/>
              </w:rPr>
              <w:t>6,187,031</w:t>
            </w:r>
          </w:p>
        </w:tc>
        <w:tc>
          <w:tcPr>
            <w:tcW w:w="1740" w:type="dxa"/>
          </w:tcPr>
          <w:p w:rsidR="00AC40FC" w:rsidRDefault="00AC40FC" w:rsidP="00A51C66">
            <w:pPr>
              <w:pStyle w:val="TableParagraph"/>
              <w:ind w:right="92"/>
              <w:rPr>
                <w:sz w:val="20"/>
              </w:rPr>
            </w:pPr>
            <w:r>
              <w:rPr>
                <w:w w:val="95"/>
                <w:sz w:val="20"/>
              </w:rPr>
              <w:t>6,183,054</w:t>
            </w:r>
          </w:p>
        </w:tc>
        <w:tc>
          <w:tcPr>
            <w:tcW w:w="1627" w:type="dxa"/>
          </w:tcPr>
          <w:p w:rsidR="00AC40FC" w:rsidRDefault="00AC40FC" w:rsidP="00A51C66">
            <w:pPr>
              <w:pStyle w:val="TableParagraph"/>
              <w:ind w:right="92"/>
              <w:rPr>
                <w:sz w:val="20"/>
              </w:rPr>
            </w:pPr>
            <w:r>
              <w:rPr>
                <w:w w:val="95"/>
                <w:sz w:val="20"/>
              </w:rPr>
              <w:t>6,308,626</w:t>
            </w:r>
          </w:p>
        </w:tc>
        <w:tc>
          <w:tcPr>
            <w:tcW w:w="1627" w:type="dxa"/>
          </w:tcPr>
          <w:p w:rsidR="00AC40FC" w:rsidRDefault="00AC40FC" w:rsidP="00A51C66">
            <w:pPr>
              <w:pStyle w:val="TableParagraph"/>
              <w:ind w:right="92"/>
              <w:rPr>
                <w:sz w:val="20"/>
              </w:rPr>
            </w:pPr>
            <w:r>
              <w:rPr>
                <w:w w:val="95"/>
                <w:sz w:val="20"/>
              </w:rPr>
              <w:t>6,551,281</w:t>
            </w:r>
          </w:p>
        </w:tc>
        <w:tc>
          <w:tcPr>
            <w:tcW w:w="1225" w:type="dxa"/>
          </w:tcPr>
          <w:p w:rsidR="00AC40FC" w:rsidRDefault="00AC40FC" w:rsidP="00A51C66">
            <w:pPr>
              <w:pStyle w:val="TableParagraph"/>
              <w:ind w:left="161" w:right="142"/>
              <w:jc w:val="center"/>
              <w:rPr>
                <w:sz w:val="20"/>
              </w:rPr>
            </w:pPr>
            <w:r>
              <w:rPr>
                <w:sz w:val="20"/>
              </w:rPr>
              <w:t>3.18%</w:t>
            </w:r>
          </w:p>
        </w:tc>
      </w:tr>
      <w:tr w:rsidR="00AC40FC" w:rsidTr="004966B1">
        <w:trPr>
          <w:trHeight w:hRule="exact" w:val="245"/>
          <w:jc w:val="center"/>
        </w:trPr>
        <w:tc>
          <w:tcPr>
            <w:tcW w:w="5059" w:type="dxa"/>
          </w:tcPr>
          <w:p w:rsidR="00AC40FC" w:rsidRDefault="00AC40FC" w:rsidP="00A51C66">
            <w:pPr>
              <w:pStyle w:val="TableParagraph"/>
              <w:ind w:left="182" w:right="0"/>
              <w:jc w:val="left"/>
              <w:rPr>
                <w:sz w:val="20"/>
              </w:rPr>
            </w:pPr>
            <w:r>
              <w:rPr>
                <w:sz w:val="20"/>
              </w:rPr>
              <w:t>173.0 Accrued Utility Revenues</w:t>
            </w:r>
          </w:p>
        </w:tc>
        <w:tc>
          <w:tcPr>
            <w:tcW w:w="1740" w:type="dxa"/>
          </w:tcPr>
          <w:p w:rsidR="00AC40FC" w:rsidRDefault="00AC40FC" w:rsidP="00A51C66">
            <w:pPr>
              <w:pStyle w:val="TableParagraph"/>
              <w:ind w:right="92"/>
              <w:rPr>
                <w:sz w:val="20"/>
              </w:rPr>
            </w:pPr>
            <w:r>
              <w:rPr>
                <w:w w:val="95"/>
                <w:sz w:val="20"/>
              </w:rPr>
              <w:t>133,428,927</w:t>
            </w:r>
          </w:p>
        </w:tc>
        <w:tc>
          <w:tcPr>
            <w:tcW w:w="1740" w:type="dxa"/>
          </w:tcPr>
          <w:p w:rsidR="00AC40FC" w:rsidRDefault="00AC40FC" w:rsidP="00A51C66">
            <w:pPr>
              <w:pStyle w:val="TableParagraph"/>
              <w:ind w:right="92"/>
              <w:rPr>
                <w:sz w:val="20"/>
              </w:rPr>
            </w:pPr>
            <w:r>
              <w:rPr>
                <w:w w:val="95"/>
                <w:sz w:val="20"/>
              </w:rPr>
              <w:t>97,803,046</w:t>
            </w:r>
          </w:p>
        </w:tc>
        <w:tc>
          <w:tcPr>
            <w:tcW w:w="1740" w:type="dxa"/>
          </w:tcPr>
          <w:p w:rsidR="00AC40FC" w:rsidRDefault="00AC40FC" w:rsidP="00A51C66">
            <w:pPr>
              <w:pStyle w:val="TableParagraph"/>
              <w:ind w:right="92"/>
              <w:rPr>
                <w:sz w:val="20"/>
              </w:rPr>
            </w:pPr>
            <w:r>
              <w:rPr>
                <w:w w:val="95"/>
                <w:sz w:val="20"/>
              </w:rPr>
              <w:t>106,351,925</w:t>
            </w:r>
          </w:p>
        </w:tc>
        <w:tc>
          <w:tcPr>
            <w:tcW w:w="1627" w:type="dxa"/>
          </w:tcPr>
          <w:p w:rsidR="00AC40FC" w:rsidRDefault="00AC40FC" w:rsidP="00A51C66">
            <w:pPr>
              <w:pStyle w:val="TableParagraph"/>
              <w:ind w:right="91"/>
              <w:rPr>
                <w:sz w:val="20"/>
              </w:rPr>
            </w:pPr>
            <w:r>
              <w:rPr>
                <w:w w:val="99"/>
                <w:sz w:val="20"/>
              </w:rPr>
              <w:t>0</w:t>
            </w:r>
          </w:p>
        </w:tc>
        <w:tc>
          <w:tcPr>
            <w:tcW w:w="1627" w:type="dxa"/>
          </w:tcPr>
          <w:p w:rsidR="00AC40FC" w:rsidRDefault="00AC40FC" w:rsidP="00A51C66">
            <w:pPr>
              <w:pStyle w:val="TableParagraph"/>
              <w:ind w:right="91"/>
              <w:rPr>
                <w:sz w:val="20"/>
              </w:rPr>
            </w:pPr>
            <w:r>
              <w:rPr>
                <w:w w:val="99"/>
                <w:sz w:val="20"/>
              </w:rPr>
              <w:t>0</w:t>
            </w:r>
          </w:p>
        </w:tc>
        <w:tc>
          <w:tcPr>
            <w:tcW w:w="1225" w:type="dxa"/>
          </w:tcPr>
          <w:p w:rsidR="00AC40FC" w:rsidRDefault="00AC40FC" w:rsidP="00A51C66">
            <w:pPr>
              <w:pStyle w:val="TableParagraph"/>
              <w:ind w:left="161" w:right="142"/>
              <w:jc w:val="center"/>
              <w:rPr>
                <w:sz w:val="20"/>
              </w:rPr>
            </w:pPr>
            <w:r>
              <w:rPr>
                <w:sz w:val="20"/>
              </w:rPr>
              <w:t>-100.00%</w:t>
            </w:r>
          </w:p>
        </w:tc>
      </w:tr>
      <w:tr w:rsidR="00AC40FC" w:rsidTr="004966B1">
        <w:trPr>
          <w:trHeight w:hRule="exact" w:val="245"/>
          <w:jc w:val="center"/>
        </w:trPr>
        <w:tc>
          <w:tcPr>
            <w:tcW w:w="5059" w:type="dxa"/>
          </w:tcPr>
          <w:p w:rsidR="00AC40FC" w:rsidRDefault="00AC40FC" w:rsidP="00A51C66">
            <w:pPr>
              <w:pStyle w:val="TableParagraph"/>
              <w:ind w:left="182" w:right="0"/>
              <w:jc w:val="left"/>
              <w:rPr>
                <w:sz w:val="20"/>
              </w:rPr>
            </w:pPr>
            <w:r>
              <w:rPr>
                <w:sz w:val="20"/>
              </w:rPr>
              <w:t>174.0 Miscellaneous Current and Accrued Assets</w:t>
            </w:r>
          </w:p>
        </w:tc>
        <w:tc>
          <w:tcPr>
            <w:tcW w:w="1740" w:type="dxa"/>
          </w:tcPr>
          <w:p w:rsidR="00AC40FC" w:rsidRDefault="00AC40FC" w:rsidP="00A51C66">
            <w:pPr>
              <w:pStyle w:val="TableParagraph"/>
              <w:ind w:right="92"/>
              <w:rPr>
                <w:sz w:val="20"/>
              </w:rPr>
            </w:pPr>
            <w:r>
              <w:rPr>
                <w:w w:val="95"/>
                <w:sz w:val="20"/>
              </w:rPr>
              <w:t>4,220,270</w:t>
            </w:r>
          </w:p>
        </w:tc>
        <w:tc>
          <w:tcPr>
            <w:tcW w:w="1740" w:type="dxa"/>
          </w:tcPr>
          <w:p w:rsidR="00AC40FC" w:rsidRDefault="00AC40FC" w:rsidP="00A51C66">
            <w:pPr>
              <w:pStyle w:val="TableParagraph"/>
              <w:ind w:right="92"/>
              <w:rPr>
                <w:sz w:val="20"/>
              </w:rPr>
            </w:pPr>
            <w:r>
              <w:rPr>
                <w:w w:val="95"/>
                <w:sz w:val="20"/>
              </w:rPr>
              <w:t>5,023,271</w:t>
            </w:r>
          </w:p>
        </w:tc>
        <w:tc>
          <w:tcPr>
            <w:tcW w:w="1740" w:type="dxa"/>
          </w:tcPr>
          <w:p w:rsidR="00AC40FC" w:rsidRDefault="00AC40FC" w:rsidP="00A51C66">
            <w:pPr>
              <w:pStyle w:val="TableParagraph"/>
              <w:ind w:right="92"/>
              <w:rPr>
                <w:sz w:val="20"/>
              </w:rPr>
            </w:pPr>
            <w:r>
              <w:rPr>
                <w:w w:val="95"/>
                <w:sz w:val="20"/>
              </w:rPr>
              <w:t>4,269,480</w:t>
            </w:r>
          </w:p>
        </w:tc>
        <w:tc>
          <w:tcPr>
            <w:tcW w:w="1627" w:type="dxa"/>
          </w:tcPr>
          <w:p w:rsidR="00AC40FC" w:rsidRDefault="00AC40FC" w:rsidP="00A51C66">
            <w:pPr>
              <w:pStyle w:val="TableParagraph"/>
              <w:ind w:right="92"/>
              <w:rPr>
                <w:sz w:val="20"/>
              </w:rPr>
            </w:pPr>
            <w:r>
              <w:rPr>
                <w:w w:val="95"/>
                <w:sz w:val="20"/>
              </w:rPr>
              <w:t>16,985,550</w:t>
            </w:r>
          </w:p>
        </w:tc>
        <w:tc>
          <w:tcPr>
            <w:tcW w:w="1627" w:type="dxa"/>
          </w:tcPr>
          <w:p w:rsidR="00AC40FC" w:rsidRDefault="00AC40FC" w:rsidP="00A51C66">
            <w:pPr>
              <w:pStyle w:val="TableParagraph"/>
              <w:ind w:right="92"/>
              <w:rPr>
                <w:sz w:val="20"/>
              </w:rPr>
            </w:pPr>
            <w:r>
              <w:rPr>
                <w:w w:val="95"/>
                <w:sz w:val="20"/>
              </w:rPr>
              <w:t>11,226,718</w:t>
            </w:r>
          </w:p>
        </w:tc>
        <w:tc>
          <w:tcPr>
            <w:tcW w:w="1225" w:type="dxa"/>
          </w:tcPr>
          <w:p w:rsidR="00AC40FC" w:rsidRDefault="00AC40FC" w:rsidP="00A51C66">
            <w:pPr>
              <w:pStyle w:val="TableParagraph"/>
              <w:ind w:left="161" w:right="142"/>
              <w:jc w:val="center"/>
              <w:rPr>
                <w:sz w:val="20"/>
              </w:rPr>
            </w:pPr>
            <w:r>
              <w:rPr>
                <w:sz w:val="20"/>
              </w:rPr>
              <w:t>27.71%</w:t>
            </w:r>
          </w:p>
        </w:tc>
      </w:tr>
      <w:tr w:rsidR="00AC40FC" w:rsidTr="004966B1">
        <w:trPr>
          <w:trHeight w:hRule="exact" w:val="245"/>
          <w:jc w:val="center"/>
        </w:trPr>
        <w:tc>
          <w:tcPr>
            <w:tcW w:w="5059" w:type="dxa"/>
          </w:tcPr>
          <w:p w:rsidR="00AC40FC" w:rsidRDefault="00AC40FC" w:rsidP="00A51C66">
            <w:pPr>
              <w:pStyle w:val="TableParagraph"/>
              <w:ind w:right="25"/>
              <w:rPr>
                <w:b/>
                <w:sz w:val="20"/>
              </w:rPr>
            </w:pPr>
            <w:r>
              <w:rPr>
                <w:b/>
                <w:sz w:val="20"/>
              </w:rPr>
              <w:t>TOTAL CURRENT &amp; ACCRUED ASSETS</w:t>
            </w:r>
          </w:p>
        </w:tc>
        <w:tc>
          <w:tcPr>
            <w:tcW w:w="1740" w:type="dxa"/>
          </w:tcPr>
          <w:p w:rsidR="00AC40FC" w:rsidRDefault="00AC40FC" w:rsidP="00A51C66">
            <w:pPr>
              <w:pStyle w:val="TableParagraph"/>
              <w:ind w:right="94"/>
              <w:rPr>
                <w:b/>
                <w:sz w:val="20"/>
              </w:rPr>
            </w:pPr>
            <w:r>
              <w:rPr>
                <w:b/>
                <w:w w:val="95"/>
                <w:sz w:val="20"/>
              </w:rPr>
              <w:t>$671,756,795</w:t>
            </w:r>
          </w:p>
        </w:tc>
        <w:tc>
          <w:tcPr>
            <w:tcW w:w="1740" w:type="dxa"/>
          </w:tcPr>
          <w:p w:rsidR="00AC40FC" w:rsidRDefault="00AC40FC" w:rsidP="00A51C66">
            <w:pPr>
              <w:pStyle w:val="TableParagraph"/>
              <w:ind w:right="94"/>
              <w:rPr>
                <w:b/>
                <w:sz w:val="20"/>
              </w:rPr>
            </w:pPr>
            <w:r>
              <w:rPr>
                <w:b/>
                <w:w w:val="95"/>
                <w:sz w:val="20"/>
              </w:rPr>
              <w:t>$552,213,893</w:t>
            </w:r>
          </w:p>
        </w:tc>
        <w:tc>
          <w:tcPr>
            <w:tcW w:w="1740" w:type="dxa"/>
          </w:tcPr>
          <w:p w:rsidR="00AC40FC" w:rsidRDefault="00AC40FC" w:rsidP="00A51C66">
            <w:pPr>
              <w:pStyle w:val="TableParagraph"/>
              <w:ind w:right="94"/>
              <w:rPr>
                <w:b/>
                <w:sz w:val="20"/>
              </w:rPr>
            </w:pPr>
            <w:r>
              <w:rPr>
                <w:b/>
                <w:w w:val="95"/>
                <w:sz w:val="20"/>
              </w:rPr>
              <w:t>$644,724,352</w:t>
            </w:r>
          </w:p>
        </w:tc>
        <w:tc>
          <w:tcPr>
            <w:tcW w:w="1627" w:type="dxa"/>
          </w:tcPr>
          <w:p w:rsidR="00AC40FC" w:rsidRDefault="00AC40FC" w:rsidP="00A51C66">
            <w:pPr>
              <w:pStyle w:val="TableParagraph"/>
              <w:ind w:right="94"/>
              <w:rPr>
                <w:b/>
                <w:sz w:val="20"/>
              </w:rPr>
            </w:pPr>
            <w:r>
              <w:rPr>
                <w:b/>
                <w:w w:val="95"/>
                <w:sz w:val="20"/>
              </w:rPr>
              <w:t>$175,655,097</w:t>
            </w:r>
          </w:p>
        </w:tc>
        <w:tc>
          <w:tcPr>
            <w:tcW w:w="1627" w:type="dxa"/>
          </w:tcPr>
          <w:p w:rsidR="00AC40FC" w:rsidRDefault="00AC40FC" w:rsidP="00A51C66">
            <w:pPr>
              <w:pStyle w:val="TableParagraph"/>
              <w:ind w:right="94"/>
              <w:rPr>
                <w:b/>
                <w:sz w:val="20"/>
              </w:rPr>
            </w:pPr>
            <w:r>
              <w:rPr>
                <w:b/>
                <w:w w:val="95"/>
                <w:sz w:val="20"/>
              </w:rPr>
              <w:t>$159,505,455</w:t>
            </w:r>
          </w:p>
        </w:tc>
        <w:tc>
          <w:tcPr>
            <w:tcW w:w="1225" w:type="dxa"/>
          </w:tcPr>
          <w:p w:rsidR="00AC40FC" w:rsidRDefault="00AC40FC" w:rsidP="00A51C66">
            <w:pPr>
              <w:pStyle w:val="TableParagraph"/>
              <w:ind w:left="161" w:right="141"/>
              <w:jc w:val="center"/>
              <w:rPr>
                <w:b/>
                <w:sz w:val="20"/>
              </w:rPr>
            </w:pPr>
            <w:r>
              <w:rPr>
                <w:b/>
                <w:sz w:val="20"/>
              </w:rPr>
              <w:t>-30.19%</w:t>
            </w:r>
          </w:p>
        </w:tc>
      </w:tr>
      <w:tr w:rsidR="00AC40FC" w:rsidTr="004966B1">
        <w:trPr>
          <w:trHeight w:hRule="exact" w:val="245"/>
          <w:jc w:val="center"/>
        </w:trPr>
        <w:tc>
          <w:tcPr>
            <w:tcW w:w="14758" w:type="dxa"/>
            <w:gridSpan w:val="7"/>
          </w:tcPr>
          <w:p w:rsidR="00AC40FC" w:rsidRDefault="00AC40FC" w:rsidP="00A51C66">
            <w:pPr>
              <w:pStyle w:val="TableParagraph"/>
              <w:ind w:left="28" w:right="0"/>
              <w:jc w:val="left"/>
              <w:rPr>
                <w:b/>
                <w:sz w:val="20"/>
              </w:rPr>
            </w:pPr>
            <w:r>
              <w:rPr>
                <w:b/>
                <w:sz w:val="20"/>
              </w:rPr>
              <w:t>DEFERRED DEBITS</w:t>
            </w:r>
          </w:p>
        </w:tc>
      </w:tr>
      <w:tr w:rsidR="00AC40FC" w:rsidTr="004966B1">
        <w:trPr>
          <w:trHeight w:hRule="exact" w:val="245"/>
          <w:jc w:val="center"/>
        </w:trPr>
        <w:tc>
          <w:tcPr>
            <w:tcW w:w="5059" w:type="dxa"/>
          </w:tcPr>
          <w:p w:rsidR="00AC40FC" w:rsidRDefault="00AC40FC" w:rsidP="00A51C66">
            <w:pPr>
              <w:pStyle w:val="TableParagraph"/>
              <w:ind w:left="180" w:right="0"/>
              <w:jc w:val="left"/>
              <w:rPr>
                <w:sz w:val="20"/>
              </w:rPr>
            </w:pPr>
            <w:r>
              <w:rPr>
                <w:sz w:val="20"/>
              </w:rPr>
              <w:t>181.0 Unamortized Debt Expenses</w:t>
            </w:r>
          </w:p>
        </w:tc>
        <w:tc>
          <w:tcPr>
            <w:tcW w:w="1740" w:type="dxa"/>
          </w:tcPr>
          <w:p w:rsidR="00AC40FC" w:rsidRDefault="00AC40FC" w:rsidP="00A51C66">
            <w:pPr>
              <w:pStyle w:val="TableParagraph"/>
              <w:ind w:right="94"/>
              <w:rPr>
                <w:sz w:val="20"/>
              </w:rPr>
            </w:pPr>
            <w:r>
              <w:rPr>
                <w:w w:val="95"/>
                <w:sz w:val="20"/>
              </w:rPr>
              <w:t>$14,304,134</w:t>
            </w:r>
          </w:p>
        </w:tc>
        <w:tc>
          <w:tcPr>
            <w:tcW w:w="1740" w:type="dxa"/>
          </w:tcPr>
          <w:p w:rsidR="00AC40FC" w:rsidRDefault="00AC40FC" w:rsidP="00A51C66">
            <w:pPr>
              <w:pStyle w:val="TableParagraph"/>
              <w:ind w:right="94"/>
              <w:rPr>
                <w:sz w:val="20"/>
              </w:rPr>
            </w:pPr>
            <w:r>
              <w:rPr>
                <w:w w:val="95"/>
                <w:sz w:val="20"/>
              </w:rPr>
              <w:t>$17,598,276</w:t>
            </w:r>
          </w:p>
        </w:tc>
        <w:tc>
          <w:tcPr>
            <w:tcW w:w="1740" w:type="dxa"/>
          </w:tcPr>
          <w:p w:rsidR="00AC40FC" w:rsidRDefault="00AC40FC" w:rsidP="00A51C66">
            <w:pPr>
              <w:pStyle w:val="TableParagraph"/>
              <w:ind w:right="94"/>
              <w:rPr>
                <w:sz w:val="20"/>
              </w:rPr>
            </w:pPr>
            <w:r>
              <w:rPr>
                <w:w w:val="95"/>
                <w:sz w:val="20"/>
              </w:rPr>
              <w:t>$18,271,026</w:t>
            </w:r>
          </w:p>
        </w:tc>
        <w:tc>
          <w:tcPr>
            <w:tcW w:w="1627" w:type="dxa"/>
          </w:tcPr>
          <w:p w:rsidR="00AC40FC" w:rsidRDefault="00AC40FC" w:rsidP="00A51C66">
            <w:pPr>
              <w:pStyle w:val="TableParagraph"/>
              <w:ind w:right="94"/>
              <w:rPr>
                <w:sz w:val="20"/>
              </w:rPr>
            </w:pPr>
            <w:r>
              <w:rPr>
                <w:w w:val="95"/>
                <w:sz w:val="20"/>
              </w:rPr>
              <w:t>$20,474,862</w:t>
            </w:r>
          </w:p>
        </w:tc>
        <w:tc>
          <w:tcPr>
            <w:tcW w:w="1627" w:type="dxa"/>
          </w:tcPr>
          <w:p w:rsidR="00AC40FC" w:rsidRDefault="00AC40FC" w:rsidP="00A51C66">
            <w:pPr>
              <w:pStyle w:val="TableParagraph"/>
              <w:ind w:right="94"/>
              <w:rPr>
                <w:sz w:val="20"/>
              </w:rPr>
            </w:pPr>
            <w:r>
              <w:rPr>
                <w:w w:val="95"/>
                <w:sz w:val="20"/>
              </w:rPr>
              <w:t>$22,541,314</w:t>
            </w:r>
          </w:p>
        </w:tc>
        <w:tc>
          <w:tcPr>
            <w:tcW w:w="1225" w:type="dxa"/>
          </w:tcPr>
          <w:p w:rsidR="00AC40FC" w:rsidRDefault="00AC40FC" w:rsidP="00A51C66">
            <w:pPr>
              <w:pStyle w:val="TableParagraph"/>
              <w:ind w:left="159" w:right="144"/>
              <w:jc w:val="center"/>
              <w:rPr>
                <w:sz w:val="20"/>
              </w:rPr>
            </w:pPr>
            <w:r>
              <w:rPr>
                <w:sz w:val="20"/>
              </w:rPr>
              <w:t>12.04%</w:t>
            </w:r>
          </w:p>
        </w:tc>
      </w:tr>
      <w:tr w:rsidR="00AC40FC" w:rsidTr="004966B1">
        <w:trPr>
          <w:trHeight w:hRule="exact" w:val="245"/>
          <w:jc w:val="center"/>
        </w:trPr>
        <w:tc>
          <w:tcPr>
            <w:tcW w:w="5059" w:type="dxa"/>
          </w:tcPr>
          <w:p w:rsidR="00AC40FC" w:rsidRDefault="00AC40FC" w:rsidP="00A51C66">
            <w:pPr>
              <w:pStyle w:val="TableParagraph"/>
              <w:ind w:left="180" w:right="0"/>
              <w:jc w:val="left"/>
              <w:rPr>
                <w:sz w:val="20"/>
              </w:rPr>
            </w:pPr>
            <w:r>
              <w:rPr>
                <w:sz w:val="20"/>
              </w:rPr>
              <w:t>182.1 Extraordinary Property Losses</w:t>
            </w:r>
          </w:p>
        </w:tc>
        <w:tc>
          <w:tcPr>
            <w:tcW w:w="1740" w:type="dxa"/>
          </w:tcPr>
          <w:p w:rsidR="00AC40FC" w:rsidRDefault="00AC40FC" w:rsidP="00A51C66">
            <w:pPr>
              <w:pStyle w:val="TableParagraph"/>
              <w:rPr>
                <w:sz w:val="20"/>
              </w:rPr>
            </w:pPr>
            <w:r>
              <w:rPr>
                <w:w w:val="99"/>
                <w:sz w:val="20"/>
              </w:rPr>
              <w:t>0</w:t>
            </w:r>
          </w:p>
        </w:tc>
        <w:tc>
          <w:tcPr>
            <w:tcW w:w="1740" w:type="dxa"/>
          </w:tcPr>
          <w:p w:rsidR="00AC40FC" w:rsidRDefault="00AC40FC" w:rsidP="00A51C66">
            <w:pPr>
              <w:pStyle w:val="TableParagraph"/>
              <w:rPr>
                <w:sz w:val="20"/>
              </w:rPr>
            </w:pPr>
            <w:r>
              <w:rPr>
                <w:w w:val="99"/>
                <w:sz w:val="20"/>
              </w:rPr>
              <w:t>0</w:t>
            </w:r>
          </w:p>
        </w:tc>
        <w:tc>
          <w:tcPr>
            <w:tcW w:w="1740" w:type="dxa"/>
          </w:tcPr>
          <w:p w:rsidR="00AC40FC" w:rsidRDefault="00AC40FC" w:rsidP="00A51C66">
            <w:pPr>
              <w:pStyle w:val="TableParagraph"/>
              <w:rPr>
                <w:sz w:val="20"/>
              </w:rPr>
            </w:pPr>
            <w:r>
              <w:rPr>
                <w:w w:val="99"/>
                <w:sz w:val="20"/>
              </w:rPr>
              <w:t>0</w:t>
            </w:r>
          </w:p>
        </w:tc>
        <w:tc>
          <w:tcPr>
            <w:tcW w:w="1627" w:type="dxa"/>
          </w:tcPr>
          <w:p w:rsidR="00AC40FC" w:rsidRDefault="00AC40FC" w:rsidP="00A51C66">
            <w:pPr>
              <w:pStyle w:val="TableParagraph"/>
              <w:rPr>
                <w:sz w:val="20"/>
              </w:rPr>
            </w:pPr>
            <w:r>
              <w:rPr>
                <w:w w:val="99"/>
                <w:sz w:val="20"/>
              </w:rPr>
              <w:t>0</w:t>
            </w:r>
          </w:p>
        </w:tc>
        <w:tc>
          <w:tcPr>
            <w:tcW w:w="1627" w:type="dxa"/>
          </w:tcPr>
          <w:p w:rsidR="00AC40FC" w:rsidRDefault="00AC40FC" w:rsidP="00A51C66">
            <w:pPr>
              <w:pStyle w:val="TableParagraph"/>
              <w:rPr>
                <w:sz w:val="20"/>
              </w:rPr>
            </w:pPr>
            <w:r>
              <w:rPr>
                <w:w w:val="99"/>
                <w:sz w:val="20"/>
              </w:rPr>
              <w:t>0</w:t>
            </w:r>
          </w:p>
        </w:tc>
        <w:tc>
          <w:tcPr>
            <w:tcW w:w="1225" w:type="dxa"/>
          </w:tcPr>
          <w:p w:rsidR="00AC40FC" w:rsidRDefault="00AC40FC" w:rsidP="00A51C66">
            <w:pPr>
              <w:pStyle w:val="TableParagraph"/>
              <w:ind w:left="161" w:right="144"/>
              <w:jc w:val="center"/>
              <w:rPr>
                <w:sz w:val="20"/>
              </w:rPr>
            </w:pPr>
            <w:r>
              <w:rPr>
                <w:sz w:val="20"/>
              </w:rPr>
              <w:t>NM</w:t>
            </w:r>
          </w:p>
        </w:tc>
      </w:tr>
      <w:tr w:rsidR="00AC40FC" w:rsidTr="004966B1">
        <w:trPr>
          <w:trHeight w:hRule="exact" w:val="245"/>
          <w:jc w:val="center"/>
        </w:trPr>
        <w:tc>
          <w:tcPr>
            <w:tcW w:w="5059" w:type="dxa"/>
          </w:tcPr>
          <w:p w:rsidR="00AC40FC" w:rsidRDefault="00AC40FC" w:rsidP="00A51C66">
            <w:pPr>
              <w:pStyle w:val="TableParagraph"/>
              <w:ind w:left="180" w:right="0"/>
              <w:jc w:val="left"/>
              <w:rPr>
                <w:sz w:val="20"/>
              </w:rPr>
            </w:pPr>
            <w:r>
              <w:rPr>
                <w:sz w:val="20"/>
              </w:rPr>
              <w:t>182.2 Unrecovered Plant and Regulatory Study</w:t>
            </w:r>
          </w:p>
        </w:tc>
        <w:tc>
          <w:tcPr>
            <w:tcW w:w="1740" w:type="dxa"/>
          </w:tcPr>
          <w:p w:rsidR="00AC40FC" w:rsidRDefault="00AC40FC" w:rsidP="00A51C66">
            <w:pPr>
              <w:pStyle w:val="TableParagraph"/>
              <w:rPr>
                <w:sz w:val="20"/>
              </w:rPr>
            </w:pPr>
            <w:r>
              <w:rPr>
                <w:w w:val="99"/>
                <w:sz w:val="20"/>
              </w:rPr>
              <w:t>0</w:t>
            </w:r>
          </w:p>
        </w:tc>
        <w:tc>
          <w:tcPr>
            <w:tcW w:w="1740" w:type="dxa"/>
          </w:tcPr>
          <w:p w:rsidR="00AC40FC" w:rsidRDefault="00AC40FC" w:rsidP="00A51C66">
            <w:pPr>
              <w:pStyle w:val="TableParagraph"/>
              <w:rPr>
                <w:sz w:val="20"/>
              </w:rPr>
            </w:pPr>
            <w:r>
              <w:rPr>
                <w:w w:val="99"/>
                <w:sz w:val="20"/>
              </w:rPr>
              <w:t>0</w:t>
            </w:r>
          </w:p>
        </w:tc>
        <w:tc>
          <w:tcPr>
            <w:tcW w:w="1740" w:type="dxa"/>
          </w:tcPr>
          <w:p w:rsidR="00AC40FC" w:rsidRDefault="00AC40FC" w:rsidP="00A51C66">
            <w:pPr>
              <w:pStyle w:val="TableParagraph"/>
              <w:rPr>
                <w:sz w:val="20"/>
              </w:rPr>
            </w:pPr>
            <w:r>
              <w:rPr>
                <w:w w:val="99"/>
                <w:sz w:val="20"/>
              </w:rPr>
              <w:t>0</w:t>
            </w:r>
          </w:p>
        </w:tc>
        <w:tc>
          <w:tcPr>
            <w:tcW w:w="1627" w:type="dxa"/>
          </w:tcPr>
          <w:p w:rsidR="00AC40FC" w:rsidRDefault="00AC40FC" w:rsidP="00A51C66">
            <w:pPr>
              <w:pStyle w:val="TableParagraph"/>
              <w:rPr>
                <w:sz w:val="20"/>
              </w:rPr>
            </w:pPr>
            <w:r>
              <w:rPr>
                <w:w w:val="99"/>
                <w:sz w:val="20"/>
              </w:rPr>
              <w:t>0</w:t>
            </w:r>
          </w:p>
        </w:tc>
        <w:tc>
          <w:tcPr>
            <w:tcW w:w="1627" w:type="dxa"/>
          </w:tcPr>
          <w:p w:rsidR="00AC40FC" w:rsidRDefault="00AC40FC" w:rsidP="00A51C66">
            <w:pPr>
              <w:pStyle w:val="TableParagraph"/>
              <w:rPr>
                <w:sz w:val="20"/>
              </w:rPr>
            </w:pPr>
            <w:r>
              <w:rPr>
                <w:w w:val="99"/>
                <w:sz w:val="20"/>
              </w:rPr>
              <w:t>0</w:t>
            </w:r>
          </w:p>
        </w:tc>
        <w:tc>
          <w:tcPr>
            <w:tcW w:w="1225" w:type="dxa"/>
          </w:tcPr>
          <w:p w:rsidR="00AC40FC" w:rsidRDefault="00AC40FC" w:rsidP="00A51C66">
            <w:pPr>
              <w:pStyle w:val="TableParagraph"/>
              <w:ind w:left="161" w:right="143"/>
              <w:jc w:val="center"/>
              <w:rPr>
                <w:sz w:val="20"/>
              </w:rPr>
            </w:pPr>
            <w:r>
              <w:rPr>
                <w:sz w:val="20"/>
              </w:rPr>
              <w:t>NM</w:t>
            </w:r>
          </w:p>
        </w:tc>
      </w:tr>
      <w:tr w:rsidR="00AC40FC" w:rsidTr="004966B1">
        <w:trPr>
          <w:trHeight w:hRule="exact" w:val="245"/>
          <w:jc w:val="center"/>
        </w:trPr>
        <w:tc>
          <w:tcPr>
            <w:tcW w:w="5059" w:type="dxa"/>
          </w:tcPr>
          <w:p w:rsidR="00AC40FC" w:rsidRDefault="00AC40FC" w:rsidP="00A51C66">
            <w:pPr>
              <w:pStyle w:val="TableParagraph"/>
              <w:ind w:left="180" w:right="0"/>
              <w:jc w:val="left"/>
              <w:rPr>
                <w:sz w:val="20"/>
              </w:rPr>
            </w:pPr>
            <w:r>
              <w:rPr>
                <w:sz w:val="20"/>
              </w:rPr>
              <w:t>182.3 Other Regulatory Assets</w:t>
            </w:r>
          </w:p>
        </w:tc>
        <w:tc>
          <w:tcPr>
            <w:tcW w:w="1740" w:type="dxa"/>
          </w:tcPr>
          <w:p w:rsidR="00AC40FC" w:rsidRDefault="00AC40FC" w:rsidP="00A51C66">
            <w:pPr>
              <w:pStyle w:val="TableParagraph"/>
              <w:ind w:right="94"/>
              <w:rPr>
                <w:sz w:val="20"/>
              </w:rPr>
            </w:pPr>
            <w:r>
              <w:rPr>
                <w:w w:val="95"/>
                <w:sz w:val="20"/>
              </w:rPr>
              <w:t>596,733,553</w:t>
            </w:r>
          </w:p>
        </w:tc>
        <w:tc>
          <w:tcPr>
            <w:tcW w:w="1740" w:type="dxa"/>
          </w:tcPr>
          <w:p w:rsidR="00AC40FC" w:rsidRDefault="00AC40FC" w:rsidP="00A51C66">
            <w:pPr>
              <w:pStyle w:val="TableParagraph"/>
              <w:ind w:right="94"/>
              <w:rPr>
                <w:sz w:val="20"/>
              </w:rPr>
            </w:pPr>
            <w:r>
              <w:rPr>
                <w:w w:val="95"/>
                <w:sz w:val="20"/>
              </w:rPr>
              <w:t>603,594,346</w:t>
            </w:r>
          </w:p>
        </w:tc>
        <w:tc>
          <w:tcPr>
            <w:tcW w:w="1740" w:type="dxa"/>
          </w:tcPr>
          <w:p w:rsidR="00AC40FC" w:rsidRDefault="00AC40FC" w:rsidP="00A51C66">
            <w:pPr>
              <w:pStyle w:val="TableParagraph"/>
              <w:ind w:right="94"/>
              <w:rPr>
                <w:sz w:val="20"/>
              </w:rPr>
            </w:pPr>
            <w:r>
              <w:rPr>
                <w:w w:val="95"/>
                <w:sz w:val="20"/>
              </w:rPr>
              <w:t>719,540,335</w:t>
            </w:r>
          </w:p>
        </w:tc>
        <w:tc>
          <w:tcPr>
            <w:tcW w:w="1627" w:type="dxa"/>
          </w:tcPr>
          <w:p w:rsidR="00AC40FC" w:rsidRDefault="00AC40FC" w:rsidP="00A51C66">
            <w:pPr>
              <w:pStyle w:val="TableParagraph"/>
              <w:rPr>
                <w:sz w:val="20"/>
              </w:rPr>
            </w:pPr>
            <w:r>
              <w:rPr>
                <w:w w:val="95"/>
                <w:sz w:val="20"/>
              </w:rPr>
              <w:t>624,272,555</w:t>
            </w:r>
          </w:p>
        </w:tc>
        <w:tc>
          <w:tcPr>
            <w:tcW w:w="1627" w:type="dxa"/>
          </w:tcPr>
          <w:p w:rsidR="00AC40FC" w:rsidRDefault="00AC40FC" w:rsidP="00A51C66">
            <w:pPr>
              <w:pStyle w:val="TableParagraph"/>
              <w:rPr>
                <w:sz w:val="20"/>
              </w:rPr>
            </w:pPr>
            <w:r>
              <w:rPr>
                <w:w w:val="95"/>
                <w:sz w:val="20"/>
              </w:rPr>
              <w:t>746,458,166</w:t>
            </w:r>
          </w:p>
        </w:tc>
        <w:tc>
          <w:tcPr>
            <w:tcW w:w="1225" w:type="dxa"/>
          </w:tcPr>
          <w:p w:rsidR="00AC40FC" w:rsidRDefault="00AC40FC" w:rsidP="00A51C66">
            <w:pPr>
              <w:pStyle w:val="TableParagraph"/>
              <w:ind w:left="160" w:right="144"/>
              <w:jc w:val="center"/>
              <w:rPr>
                <w:sz w:val="20"/>
              </w:rPr>
            </w:pPr>
            <w:r>
              <w:rPr>
                <w:sz w:val="20"/>
              </w:rPr>
              <w:t>5.76%</w:t>
            </w:r>
          </w:p>
        </w:tc>
      </w:tr>
      <w:tr w:rsidR="00AC40FC" w:rsidTr="004966B1">
        <w:trPr>
          <w:trHeight w:hRule="exact" w:val="245"/>
          <w:jc w:val="center"/>
        </w:trPr>
        <w:tc>
          <w:tcPr>
            <w:tcW w:w="5059" w:type="dxa"/>
          </w:tcPr>
          <w:p w:rsidR="00AC40FC" w:rsidRDefault="00AC40FC" w:rsidP="00A51C66">
            <w:pPr>
              <w:pStyle w:val="TableParagraph"/>
              <w:ind w:left="180" w:right="0"/>
              <w:jc w:val="left"/>
              <w:rPr>
                <w:sz w:val="20"/>
              </w:rPr>
            </w:pPr>
            <w:r>
              <w:rPr>
                <w:sz w:val="20"/>
              </w:rPr>
              <w:t>183.1 Prelim. Survey and Investigation Charges</w:t>
            </w:r>
          </w:p>
        </w:tc>
        <w:tc>
          <w:tcPr>
            <w:tcW w:w="1740" w:type="dxa"/>
          </w:tcPr>
          <w:p w:rsidR="00AC40FC" w:rsidRDefault="00AC40FC" w:rsidP="00A51C66">
            <w:pPr>
              <w:pStyle w:val="TableParagraph"/>
              <w:rPr>
                <w:sz w:val="20"/>
              </w:rPr>
            </w:pPr>
            <w:r>
              <w:rPr>
                <w:w w:val="99"/>
                <w:sz w:val="20"/>
              </w:rPr>
              <w:t>0</w:t>
            </w:r>
          </w:p>
        </w:tc>
        <w:tc>
          <w:tcPr>
            <w:tcW w:w="1740" w:type="dxa"/>
          </w:tcPr>
          <w:p w:rsidR="00AC40FC" w:rsidRDefault="00AC40FC" w:rsidP="00A51C66">
            <w:pPr>
              <w:pStyle w:val="TableParagraph"/>
              <w:rPr>
                <w:sz w:val="20"/>
              </w:rPr>
            </w:pPr>
            <w:r>
              <w:rPr>
                <w:w w:val="99"/>
                <w:sz w:val="20"/>
              </w:rPr>
              <w:t>0</w:t>
            </w:r>
          </w:p>
        </w:tc>
        <w:tc>
          <w:tcPr>
            <w:tcW w:w="1740" w:type="dxa"/>
          </w:tcPr>
          <w:p w:rsidR="00AC40FC" w:rsidRDefault="00AC40FC" w:rsidP="00A51C66">
            <w:pPr>
              <w:pStyle w:val="TableParagraph"/>
              <w:rPr>
                <w:sz w:val="20"/>
              </w:rPr>
            </w:pPr>
            <w:r>
              <w:rPr>
                <w:w w:val="99"/>
                <w:sz w:val="20"/>
              </w:rPr>
              <w:t>0</w:t>
            </w:r>
          </w:p>
        </w:tc>
        <w:tc>
          <w:tcPr>
            <w:tcW w:w="1627" w:type="dxa"/>
          </w:tcPr>
          <w:p w:rsidR="00AC40FC" w:rsidRDefault="00AC40FC" w:rsidP="00A51C66">
            <w:pPr>
              <w:pStyle w:val="TableParagraph"/>
              <w:rPr>
                <w:sz w:val="20"/>
              </w:rPr>
            </w:pPr>
            <w:r>
              <w:rPr>
                <w:w w:val="99"/>
                <w:sz w:val="20"/>
              </w:rPr>
              <w:t>0</w:t>
            </w:r>
          </w:p>
        </w:tc>
        <w:tc>
          <w:tcPr>
            <w:tcW w:w="1627" w:type="dxa"/>
          </w:tcPr>
          <w:p w:rsidR="00AC40FC" w:rsidRDefault="00AC40FC" w:rsidP="00A51C66">
            <w:pPr>
              <w:pStyle w:val="TableParagraph"/>
              <w:rPr>
                <w:sz w:val="20"/>
              </w:rPr>
            </w:pPr>
            <w:r>
              <w:rPr>
                <w:sz w:val="20"/>
              </w:rPr>
              <w:t>16,984</w:t>
            </w:r>
          </w:p>
        </w:tc>
        <w:tc>
          <w:tcPr>
            <w:tcW w:w="1225" w:type="dxa"/>
          </w:tcPr>
          <w:p w:rsidR="00AC40FC" w:rsidRDefault="00AC40FC" w:rsidP="00A51C66">
            <w:pPr>
              <w:pStyle w:val="TableParagraph"/>
              <w:ind w:left="161" w:right="143"/>
              <w:jc w:val="center"/>
              <w:rPr>
                <w:sz w:val="20"/>
              </w:rPr>
            </w:pPr>
            <w:r>
              <w:rPr>
                <w:sz w:val="20"/>
              </w:rPr>
              <w:t>NM</w:t>
            </w:r>
          </w:p>
        </w:tc>
      </w:tr>
      <w:tr w:rsidR="00AC40FC" w:rsidTr="004966B1">
        <w:trPr>
          <w:trHeight w:hRule="exact" w:val="245"/>
          <w:jc w:val="center"/>
        </w:trPr>
        <w:tc>
          <w:tcPr>
            <w:tcW w:w="5059" w:type="dxa"/>
          </w:tcPr>
          <w:p w:rsidR="00AC40FC" w:rsidRDefault="00AC40FC" w:rsidP="00A51C66">
            <w:pPr>
              <w:pStyle w:val="TableParagraph"/>
              <w:ind w:left="180" w:right="0"/>
              <w:jc w:val="left"/>
              <w:rPr>
                <w:sz w:val="20"/>
              </w:rPr>
            </w:pPr>
            <w:r>
              <w:rPr>
                <w:sz w:val="20"/>
              </w:rPr>
              <w:t>184.0 Clearing Accounts</w:t>
            </w:r>
          </w:p>
        </w:tc>
        <w:tc>
          <w:tcPr>
            <w:tcW w:w="1740" w:type="dxa"/>
          </w:tcPr>
          <w:p w:rsidR="00AC40FC" w:rsidRDefault="00AC40FC" w:rsidP="00A51C66">
            <w:pPr>
              <w:pStyle w:val="TableParagraph"/>
              <w:rPr>
                <w:sz w:val="20"/>
              </w:rPr>
            </w:pPr>
            <w:r>
              <w:rPr>
                <w:w w:val="99"/>
                <w:sz w:val="20"/>
              </w:rPr>
              <w:t>0</w:t>
            </w:r>
          </w:p>
        </w:tc>
        <w:tc>
          <w:tcPr>
            <w:tcW w:w="1740" w:type="dxa"/>
          </w:tcPr>
          <w:p w:rsidR="00AC40FC" w:rsidRDefault="00AC40FC" w:rsidP="00A51C66">
            <w:pPr>
              <w:pStyle w:val="TableParagraph"/>
              <w:rPr>
                <w:sz w:val="20"/>
              </w:rPr>
            </w:pPr>
            <w:r>
              <w:rPr>
                <w:w w:val="99"/>
                <w:sz w:val="20"/>
              </w:rPr>
              <w:t>0</w:t>
            </w:r>
          </w:p>
        </w:tc>
        <w:tc>
          <w:tcPr>
            <w:tcW w:w="1740" w:type="dxa"/>
          </w:tcPr>
          <w:p w:rsidR="00AC40FC" w:rsidRDefault="00AC40FC" w:rsidP="00A51C66">
            <w:pPr>
              <w:pStyle w:val="TableParagraph"/>
              <w:rPr>
                <w:sz w:val="20"/>
              </w:rPr>
            </w:pPr>
            <w:r>
              <w:rPr>
                <w:w w:val="99"/>
                <w:sz w:val="20"/>
              </w:rPr>
              <w:t>0</w:t>
            </w:r>
          </w:p>
        </w:tc>
        <w:tc>
          <w:tcPr>
            <w:tcW w:w="1627" w:type="dxa"/>
          </w:tcPr>
          <w:p w:rsidR="00AC40FC" w:rsidRDefault="00AC40FC" w:rsidP="00A51C66">
            <w:pPr>
              <w:pStyle w:val="TableParagraph"/>
              <w:rPr>
                <w:sz w:val="20"/>
              </w:rPr>
            </w:pPr>
            <w:r>
              <w:rPr>
                <w:w w:val="99"/>
                <w:sz w:val="20"/>
              </w:rPr>
              <w:t>0</w:t>
            </w:r>
          </w:p>
        </w:tc>
        <w:tc>
          <w:tcPr>
            <w:tcW w:w="1627" w:type="dxa"/>
          </w:tcPr>
          <w:p w:rsidR="00AC40FC" w:rsidRDefault="00AC40FC" w:rsidP="00A51C66">
            <w:pPr>
              <w:pStyle w:val="TableParagraph"/>
              <w:ind w:right="92"/>
              <w:rPr>
                <w:sz w:val="20"/>
              </w:rPr>
            </w:pPr>
            <w:r>
              <w:rPr>
                <w:w w:val="99"/>
                <w:sz w:val="20"/>
              </w:rPr>
              <w:t>0</w:t>
            </w:r>
          </w:p>
        </w:tc>
        <w:tc>
          <w:tcPr>
            <w:tcW w:w="1225" w:type="dxa"/>
          </w:tcPr>
          <w:p w:rsidR="00AC40FC" w:rsidRDefault="00AC40FC" w:rsidP="00A51C66">
            <w:pPr>
              <w:pStyle w:val="TableParagraph"/>
              <w:ind w:left="161" w:right="143"/>
              <w:jc w:val="center"/>
              <w:rPr>
                <w:sz w:val="20"/>
              </w:rPr>
            </w:pPr>
            <w:r>
              <w:rPr>
                <w:sz w:val="20"/>
              </w:rPr>
              <w:t>NM</w:t>
            </w:r>
          </w:p>
        </w:tc>
      </w:tr>
      <w:tr w:rsidR="00AC40FC" w:rsidTr="004966B1">
        <w:trPr>
          <w:trHeight w:hRule="exact" w:val="245"/>
          <w:jc w:val="center"/>
        </w:trPr>
        <w:tc>
          <w:tcPr>
            <w:tcW w:w="5059" w:type="dxa"/>
          </w:tcPr>
          <w:p w:rsidR="00AC40FC" w:rsidRDefault="00AC40FC" w:rsidP="00A51C66">
            <w:pPr>
              <w:pStyle w:val="TableParagraph"/>
              <w:ind w:left="180" w:right="0"/>
              <w:jc w:val="left"/>
              <w:rPr>
                <w:sz w:val="20"/>
              </w:rPr>
            </w:pPr>
            <w:r>
              <w:rPr>
                <w:sz w:val="20"/>
              </w:rPr>
              <w:t>185.0 Temporary Facilities</w:t>
            </w:r>
          </w:p>
        </w:tc>
        <w:tc>
          <w:tcPr>
            <w:tcW w:w="1740" w:type="dxa"/>
          </w:tcPr>
          <w:p w:rsidR="00AC40FC" w:rsidRDefault="00AC40FC" w:rsidP="00A51C66">
            <w:pPr>
              <w:pStyle w:val="TableParagraph"/>
              <w:rPr>
                <w:sz w:val="20"/>
              </w:rPr>
            </w:pPr>
            <w:r>
              <w:rPr>
                <w:sz w:val="20"/>
              </w:rPr>
              <w:t>26,125</w:t>
            </w:r>
          </w:p>
        </w:tc>
        <w:tc>
          <w:tcPr>
            <w:tcW w:w="1740" w:type="dxa"/>
          </w:tcPr>
          <w:p w:rsidR="00AC40FC" w:rsidRDefault="00AC40FC" w:rsidP="00A51C66">
            <w:pPr>
              <w:pStyle w:val="TableParagraph"/>
              <w:rPr>
                <w:sz w:val="20"/>
              </w:rPr>
            </w:pPr>
            <w:r>
              <w:rPr>
                <w:sz w:val="20"/>
              </w:rPr>
              <w:t>12,112</w:t>
            </w:r>
          </w:p>
        </w:tc>
        <w:tc>
          <w:tcPr>
            <w:tcW w:w="1740" w:type="dxa"/>
          </w:tcPr>
          <w:p w:rsidR="00AC40FC" w:rsidRDefault="00AC40FC" w:rsidP="00A51C66">
            <w:pPr>
              <w:pStyle w:val="TableParagraph"/>
              <w:rPr>
                <w:sz w:val="20"/>
              </w:rPr>
            </w:pPr>
            <w:r>
              <w:rPr>
                <w:sz w:val="20"/>
              </w:rPr>
              <w:t>45,960</w:t>
            </w:r>
          </w:p>
        </w:tc>
        <w:tc>
          <w:tcPr>
            <w:tcW w:w="1627" w:type="dxa"/>
          </w:tcPr>
          <w:p w:rsidR="00AC40FC" w:rsidRDefault="00AC40FC" w:rsidP="00A51C66">
            <w:pPr>
              <w:pStyle w:val="TableParagraph"/>
              <w:rPr>
                <w:sz w:val="20"/>
              </w:rPr>
            </w:pPr>
            <w:r>
              <w:rPr>
                <w:w w:val="95"/>
                <w:sz w:val="20"/>
              </w:rPr>
              <w:t>347,154</w:t>
            </w:r>
          </w:p>
        </w:tc>
        <w:tc>
          <w:tcPr>
            <w:tcW w:w="1627" w:type="dxa"/>
          </w:tcPr>
          <w:p w:rsidR="00AC40FC" w:rsidRDefault="00AC40FC" w:rsidP="00A51C66">
            <w:pPr>
              <w:pStyle w:val="TableParagraph"/>
              <w:ind w:right="92"/>
              <w:rPr>
                <w:sz w:val="20"/>
              </w:rPr>
            </w:pPr>
            <w:r>
              <w:rPr>
                <w:w w:val="99"/>
                <w:sz w:val="20"/>
              </w:rPr>
              <w:t>0</w:t>
            </w:r>
          </w:p>
        </w:tc>
        <w:tc>
          <w:tcPr>
            <w:tcW w:w="1225" w:type="dxa"/>
          </w:tcPr>
          <w:p w:rsidR="00AC40FC" w:rsidRDefault="00AC40FC" w:rsidP="00A51C66">
            <w:pPr>
              <w:pStyle w:val="TableParagraph"/>
              <w:ind w:left="160" w:right="144"/>
              <w:jc w:val="center"/>
              <w:rPr>
                <w:sz w:val="20"/>
              </w:rPr>
            </w:pPr>
            <w:r>
              <w:rPr>
                <w:sz w:val="20"/>
              </w:rPr>
              <w:t>-100.00%</w:t>
            </w:r>
          </w:p>
        </w:tc>
      </w:tr>
      <w:tr w:rsidR="00AC40FC" w:rsidTr="004966B1">
        <w:trPr>
          <w:trHeight w:hRule="exact" w:val="245"/>
          <w:jc w:val="center"/>
        </w:trPr>
        <w:tc>
          <w:tcPr>
            <w:tcW w:w="5059" w:type="dxa"/>
          </w:tcPr>
          <w:p w:rsidR="00AC40FC" w:rsidRDefault="00AC40FC" w:rsidP="00A51C66">
            <w:pPr>
              <w:pStyle w:val="TableParagraph"/>
              <w:ind w:left="180" w:right="0"/>
              <w:jc w:val="left"/>
              <w:rPr>
                <w:sz w:val="20"/>
              </w:rPr>
            </w:pPr>
            <w:r>
              <w:rPr>
                <w:sz w:val="20"/>
              </w:rPr>
              <w:t>186.0 Misc. Deferred Debits</w:t>
            </w:r>
          </w:p>
        </w:tc>
        <w:tc>
          <w:tcPr>
            <w:tcW w:w="1740" w:type="dxa"/>
          </w:tcPr>
          <w:p w:rsidR="00AC40FC" w:rsidRDefault="00AC40FC" w:rsidP="00A51C66">
            <w:pPr>
              <w:pStyle w:val="TableParagraph"/>
              <w:rPr>
                <w:sz w:val="20"/>
              </w:rPr>
            </w:pPr>
            <w:r>
              <w:rPr>
                <w:w w:val="95"/>
                <w:sz w:val="20"/>
              </w:rPr>
              <w:t>48,359,684</w:t>
            </w:r>
          </w:p>
        </w:tc>
        <w:tc>
          <w:tcPr>
            <w:tcW w:w="1740" w:type="dxa"/>
          </w:tcPr>
          <w:p w:rsidR="00AC40FC" w:rsidRDefault="00AC40FC" w:rsidP="00A51C66">
            <w:pPr>
              <w:pStyle w:val="TableParagraph"/>
              <w:rPr>
                <w:sz w:val="20"/>
              </w:rPr>
            </w:pPr>
            <w:r>
              <w:rPr>
                <w:w w:val="95"/>
                <w:sz w:val="20"/>
              </w:rPr>
              <w:t>50,601,529</w:t>
            </w:r>
          </w:p>
        </w:tc>
        <w:tc>
          <w:tcPr>
            <w:tcW w:w="1740" w:type="dxa"/>
          </w:tcPr>
          <w:p w:rsidR="00AC40FC" w:rsidRDefault="00AC40FC" w:rsidP="00A51C66">
            <w:pPr>
              <w:pStyle w:val="TableParagraph"/>
              <w:rPr>
                <w:sz w:val="20"/>
              </w:rPr>
            </w:pPr>
            <w:r>
              <w:rPr>
                <w:w w:val="95"/>
                <w:sz w:val="20"/>
              </w:rPr>
              <w:t>25,362,193</w:t>
            </w:r>
          </w:p>
        </w:tc>
        <w:tc>
          <w:tcPr>
            <w:tcW w:w="1627" w:type="dxa"/>
          </w:tcPr>
          <w:p w:rsidR="00AC40FC" w:rsidRDefault="00AC40FC" w:rsidP="00A51C66">
            <w:pPr>
              <w:pStyle w:val="TableParagraph"/>
              <w:rPr>
                <w:sz w:val="20"/>
              </w:rPr>
            </w:pPr>
            <w:r>
              <w:rPr>
                <w:w w:val="95"/>
                <w:sz w:val="20"/>
              </w:rPr>
              <w:t>14,340,563</w:t>
            </w:r>
          </w:p>
        </w:tc>
        <w:tc>
          <w:tcPr>
            <w:tcW w:w="1627" w:type="dxa"/>
          </w:tcPr>
          <w:p w:rsidR="00AC40FC" w:rsidRDefault="00AC40FC" w:rsidP="00A51C66">
            <w:pPr>
              <w:pStyle w:val="TableParagraph"/>
              <w:rPr>
                <w:sz w:val="20"/>
              </w:rPr>
            </w:pPr>
            <w:r>
              <w:rPr>
                <w:w w:val="95"/>
                <w:sz w:val="20"/>
              </w:rPr>
              <w:t>2,358,178</w:t>
            </w:r>
          </w:p>
        </w:tc>
        <w:tc>
          <w:tcPr>
            <w:tcW w:w="1225" w:type="dxa"/>
          </w:tcPr>
          <w:p w:rsidR="00AC40FC" w:rsidRDefault="00AC40FC" w:rsidP="00A51C66">
            <w:pPr>
              <w:pStyle w:val="TableParagraph"/>
              <w:ind w:left="161" w:right="144"/>
              <w:jc w:val="center"/>
              <w:rPr>
                <w:sz w:val="20"/>
              </w:rPr>
            </w:pPr>
            <w:r>
              <w:rPr>
                <w:sz w:val="20"/>
              </w:rPr>
              <w:t>-53.01%</w:t>
            </w:r>
          </w:p>
        </w:tc>
      </w:tr>
      <w:tr w:rsidR="00AC40FC" w:rsidTr="004966B1">
        <w:trPr>
          <w:trHeight w:hRule="exact" w:val="245"/>
          <w:jc w:val="center"/>
        </w:trPr>
        <w:tc>
          <w:tcPr>
            <w:tcW w:w="5059" w:type="dxa"/>
          </w:tcPr>
          <w:p w:rsidR="00AC40FC" w:rsidRDefault="00AC40FC" w:rsidP="00A51C66">
            <w:pPr>
              <w:pStyle w:val="TableParagraph"/>
              <w:ind w:left="180" w:right="0"/>
              <w:jc w:val="left"/>
              <w:rPr>
                <w:sz w:val="20"/>
              </w:rPr>
            </w:pPr>
            <w:r>
              <w:rPr>
                <w:sz w:val="20"/>
              </w:rPr>
              <w:t>187.0 Def. Losses from Disposition of Plant</w:t>
            </w:r>
          </w:p>
        </w:tc>
        <w:tc>
          <w:tcPr>
            <w:tcW w:w="1740" w:type="dxa"/>
          </w:tcPr>
          <w:p w:rsidR="00AC40FC" w:rsidRDefault="00AC40FC" w:rsidP="00A51C66">
            <w:pPr>
              <w:pStyle w:val="TableParagraph"/>
              <w:ind w:right="92"/>
              <w:rPr>
                <w:sz w:val="20"/>
              </w:rPr>
            </w:pPr>
            <w:r>
              <w:rPr>
                <w:w w:val="99"/>
                <w:sz w:val="20"/>
              </w:rPr>
              <w:t>0</w:t>
            </w:r>
          </w:p>
        </w:tc>
        <w:tc>
          <w:tcPr>
            <w:tcW w:w="1740" w:type="dxa"/>
          </w:tcPr>
          <w:p w:rsidR="00AC40FC" w:rsidRDefault="00AC40FC" w:rsidP="00A51C66">
            <w:pPr>
              <w:pStyle w:val="TableParagraph"/>
              <w:ind w:right="92"/>
              <w:rPr>
                <w:sz w:val="20"/>
              </w:rPr>
            </w:pPr>
            <w:r>
              <w:rPr>
                <w:w w:val="99"/>
                <w:sz w:val="20"/>
              </w:rPr>
              <w:t>0</w:t>
            </w:r>
          </w:p>
        </w:tc>
        <w:tc>
          <w:tcPr>
            <w:tcW w:w="1740" w:type="dxa"/>
          </w:tcPr>
          <w:p w:rsidR="00AC40FC" w:rsidRDefault="00AC40FC" w:rsidP="00A51C66">
            <w:pPr>
              <w:pStyle w:val="TableParagraph"/>
              <w:ind w:right="92"/>
              <w:rPr>
                <w:sz w:val="20"/>
              </w:rPr>
            </w:pPr>
            <w:r>
              <w:rPr>
                <w:w w:val="99"/>
                <w:sz w:val="20"/>
              </w:rPr>
              <w:t>0</w:t>
            </w:r>
          </w:p>
        </w:tc>
        <w:tc>
          <w:tcPr>
            <w:tcW w:w="1627" w:type="dxa"/>
          </w:tcPr>
          <w:p w:rsidR="00AC40FC" w:rsidRDefault="00AC40FC" w:rsidP="00A51C66">
            <w:pPr>
              <w:pStyle w:val="TableParagraph"/>
              <w:ind w:right="92"/>
              <w:rPr>
                <w:sz w:val="20"/>
              </w:rPr>
            </w:pPr>
            <w:r>
              <w:rPr>
                <w:w w:val="99"/>
                <w:sz w:val="20"/>
              </w:rPr>
              <w:t>0</w:t>
            </w:r>
          </w:p>
        </w:tc>
        <w:tc>
          <w:tcPr>
            <w:tcW w:w="1627" w:type="dxa"/>
          </w:tcPr>
          <w:p w:rsidR="00AC40FC" w:rsidRDefault="00AC40FC" w:rsidP="00A51C66">
            <w:pPr>
              <w:pStyle w:val="TableParagraph"/>
              <w:ind w:right="92"/>
              <w:rPr>
                <w:sz w:val="20"/>
              </w:rPr>
            </w:pPr>
            <w:r>
              <w:rPr>
                <w:w w:val="99"/>
                <w:sz w:val="20"/>
              </w:rPr>
              <w:t>0</w:t>
            </w:r>
          </w:p>
        </w:tc>
        <w:tc>
          <w:tcPr>
            <w:tcW w:w="1225" w:type="dxa"/>
          </w:tcPr>
          <w:p w:rsidR="00AC40FC" w:rsidRDefault="00AC40FC" w:rsidP="00A51C66">
            <w:pPr>
              <w:pStyle w:val="TableParagraph"/>
              <w:ind w:left="161" w:right="142"/>
              <w:jc w:val="center"/>
              <w:rPr>
                <w:sz w:val="20"/>
              </w:rPr>
            </w:pPr>
            <w:r>
              <w:rPr>
                <w:sz w:val="20"/>
              </w:rPr>
              <w:t>NM</w:t>
            </w:r>
          </w:p>
        </w:tc>
      </w:tr>
      <w:tr w:rsidR="00AC40FC" w:rsidTr="004966B1">
        <w:trPr>
          <w:trHeight w:hRule="exact" w:val="276"/>
          <w:jc w:val="center"/>
        </w:trPr>
        <w:tc>
          <w:tcPr>
            <w:tcW w:w="5059" w:type="dxa"/>
          </w:tcPr>
          <w:p w:rsidR="00AC40FC" w:rsidRDefault="00AC40FC" w:rsidP="00A51C66">
            <w:pPr>
              <w:pStyle w:val="TableParagraph"/>
              <w:spacing w:before="21" w:line="240" w:lineRule="auto"/>
              <w:ind w:left="181" w:right="0"/>
              <w:jc w:val="left"/>
              <w:rPr>
                <w:sz w:val="20"/>
              </w:rPr>
            </w:pPr>
            <w:r>
              <w:rPr>
                <w:sz w:val="20"/>
              </w:rPr>
              <w:t>188.0 Research, Development and Demonstration</w:t>
            </w:r>
          </w:p>
        </w:tc>
        <w:tc>
          <w:tcPr>
            <w:tcW w:w="1740" w:type="dxa"/>
          </w:tcPr>
          <w:p w:rsidR="00AC40FC" w:rsidRDefault="00AC40FC" w:rsidP="00A51C66">
            <w:pPr>
              <w:pStyle w:val="TableParagraph"/>
              <w:spacing w:before="21" w:line="240" w:lineRule="auto"/>
              <w:ind w:right="92"/>
              <w:rPr>
                <w:sz w:val="20"/>
              </w:rPr>
            </w:pPr>
            <w:r>
              <w:rPr>
                <w:w w:val="99"/>
                <w:sz w:val="20"/>
              </w:rPr>
              <w:t>0</w:t>
            </w:r>
          </w:p>
        </w:tc>
        <w:tc>
          <w:tcPr>
            <w:tcW w:w="1740" w:type="dxa"/>
          </w:tcPr>
          <w:p w:rsidR="00AC40FC" w:rsidRDefault="00AC40FC" w:rsidP="00A51C66">
            <w:pPr>
              <w:pStyle w:val="TableParagraph"/>
              <w:spacing w:before="21" w:line="240" w:lineRule="auto"/>
              <w:ind w:right="92"/>
              <w:rPr>
                <w:sz w:val="20"/>
              </w:rPr>
            </w:pPr>
            <w:r>
              <w:rPr>
                <w:w w:val="99"/>
                <w:sz w:val="20"/>
              </w:rPr>
              <w:t>0</w:t>
            </w:r>
          </w:p>
        </w:tc>
        <w:tc>
          <w:tcPr>
            <w:tcW w:w="1740" w:type="dxa"/>
          </w:tcPr>
          <w:p w:rsidR="00AC40FC" w:rsidRDefault="00AC40FC" w:rsidP="00A51C66">
            <w:pPr>
              <w:pStyle w:val="TableParagraph"/>
              <w:spacing w:before="21" w:line="240" w:lineRule="auto"/>
              <w:ind w:right="92"/>
              <w:rPr>
                <w:sz w:val="20"/>
              </w:rPr>
            </w:pPr>
            <w:r>
              <w:rPr>
                <w:w w:val="99"/>
                <w:sz w:val="20"/>
              </w:rPr>
              <w:t>0</w:t>
            </w:r>
          </w:p>
        </w:tc>
        <w:tc>
          <w:tcPr>
            <w:tcW w:w="1627" w:type="dxa"/>
          </w:tcPr>
          <w:p w:rsidR="00AC40FC" w:rsidRDefault="00AC40FC" w:rsidP="00A51C66">
            <w:pPr>
              <w:pStyle w:val="TableParagraph"/>
              <w:spacing w:before="21" w:line="240" w:lineRule="auto"/>
              <w:ind w:right="92"/>
              <w:rPr>
                <w:sz w:val="20"/>
              </w:rPr>
            </w:pPr>
            <w:r>
              <w:rPr>
                <w:w w:val="99"/>
                <w:sz w:val="20"/>
              </w:rPr>
              <w:t>0</w:t>
            </w:r>
          </w:p>
        </w:tc>
        <w:tc>
          <w:tcPr>
            <w:tcW w:w="1627" w:type="dxa"/>
          </w:tcPr>
          <w:p w:rsidR="00AC40FC" w:rsidRDefault="00AC40FC" w:rsidP="00A51C66">
            <w:pPr>
              <w:pStyle w:val="TableParagraph"/>
              <w:spacing w:before="21" w:line="240" w:lineRule="auto"/>
              <w:ind w:right="92"/>
              <w:rPr>
                <w:sz w:val="20"/>
              </w:rPr>
            </w:pPr>
            <w:r>
              <w:rPr>
                <w:w w:val="99"/>
                <w:sz w:val="20"/>
              </w:rPr>
              <w:t>0</w:t>
            </w:r>
          </w:p>
        </w:tc>
        <w:tc>
          <w:tcPr>
            <w:tcW w:w="1225" w:type="dxa"/>
          </w:tcPr>
          <w:p w:rsidR="00AC40FC" w:rsidRDefault="00AC40FC" w:rsidP="00A51C66">
            <w:pPr>
              <w:pStyle w:val="TableParagraph"/>
              <w:spacing w:before="21" w:line="240" w:lineRule="auto"/>
              <w:ind w:left="161" w:right="142"/>
              <w:jc w:val="center"/>
              <w:rPr>
                <w:sz w:val="20"/>
              </w:rPr>
            </w:pPr>
            <w:r>
              <w:rPr>
                <w:sz w:val="20"/>
              </w:rPr>
              <w:t>NM</w:t>
            </w:r>
          </w:p>
        </w:tc>
      </w:tr>
      <w:tr w:rsidR="00AC40FC" w:rsidTr="004966B1">
        <w:trPr>
          <w:trHeight w:hRule="exact" w:val="276"/>
          <w:jc w:val="center"/>
        </w:trPr>
        <w:tc>
          <w:tcPr>
            <w:tcW w:w="5059" w:type="dxa"/>
          </w:tcPr>
          <w:p w:rsidR="00AC40FC" w:rsidRDefault="00AC40FC" w:rsidP="00A51C66">
            <w:pPr>
              <w:pStyle w:val="TableParagraph"/>
              <w:spacing w:before="21" w:line="240" w:lineRule="auto"/>
              <w:ind w:left="181" w:right="0"/>
              <w:jc w:val="left"/>
              <w:rPr>
                <w:sz w:val="20"/>
              </w:rPr>
            </w:pPr>
            <w:r>
              <w:rPr>
                <w:sz w:val="20"/>
              </w:rPr>
              <w:t>189.0 Unamortized Loss on Reacquired Debt</w:t>
            </w:r>
          </w:p>
        </w:tc>
        <w:tc>
          <w:tcPr>
            <w:tcW w:w="1740" w:type="dxa"/>
          </w:tcPr>
          <w:p w:rsidR="00AC40FC" w:rsidRDefault="00AC40FC" w:rsidP="00A51C66">
            <w:pPr>
              <w:pStyle w:val="TableParagraph"/>
              <w:spacing w:before="21" w:line="240" w:lineRule="auto"/>
              <w:rPr>
                <w:sz w:val="20"/>
              </w:rPr>
            </w:pPr>
            <w:r>
              <w:rPr>
                <w:w w:val="95"/>
                <w:sz w:val="20"/>
              </w:rPr>
              <w:t>27,466,008</w:t>
            </w:r>
          </w:p>
        </w:tc>
        <w:tc>
          <w:tcPr>
            <w:tcW w:w="1740" w:type="dxa"/>
          </w:tcPr>
          <w:p w:rsidR="00AC40FC" w:rsidRDefault="00AC40FC" w:rsidP="00A51C66">
            <w:pPr>
              <w:pStyle w:val="TableParagraph"/>
              <w:spacing w:before="21" w:line="240" w:lineRule="auto"/>
              <w:rPr>
                <w:sz w:val="20"/>
              </w:rPr>
            </w:pPr>
            <w:r>
              <w:rPr>
                <w:w w:val="95"/>
                <w:sz w:val="20"/>
              </w:rPr>
              <w:t>76,632,814</w:t>
            </w:r>
          </w:p>
        </w:tc>
        <w:tc>
          <w:tcPr>
            <w:tcW w:w="1740" w:type="dxa"/>
          </w:tcPr>
          <w:p w:rsidR="00AC40FC" w:rsidRDefault="00AC40FC" w:rsidP="00A51C66">
            <w:pPr>
              <w:pStyle w:val="TableParagraph"/>
              <w:spacing w:before="21" w:line="240" w:lineRule="auto"/>
              <w:rPr>
                <w:sz w:val="20"/>
              </w:rPr>
            </w:pPr>
            <w:r>
              <w:rPr>
                <w:w w:val="95"/>
                <w:sz w:val="20"/>
              </w:rPr>
              <w:t>65,452,319</w:t>
            </w:r>
          </w:p>
        </w:tc>
        <w:tc>
          <w:tcPr>
            <w:tcW w:w="1627" w:type="dxa"/>
          </w:tcPr>
          <w:p w:rsidR="00AC40FC" w:rsidRDefault="00AC40FC" w:rsidP="00A51C66">
            <w:pPr>
              <w:pStyle w:val="TableParagraph"/>
              <w:spacing w:before="21" w:line="240" w:lineRule="auto"/>
              <w:ind w:right="94"/>
              <w:rPr>
                <w:sz w:val="20"/>
              </w:rPr>
            </w:pPr>
            <w:r>
              <w:rPr>
                <w:w w:val="95"/>
                <w:sz w:val="20"/>
              </w:rPr>
              <w:t>56,594,413</w:t>
            </w:r>
          </w:p>
        </w:tc>
        <w:tc>
          <w:tcPr>
            <w:tcW w:w="1627" w:type="dxa"/>
          </w:tcPr>
          <w:p w:rsidR="00AC40FC" w:rsidRDefault="00AC40FC" w:rsidP="00A51C66">
            <w:pPr>
              <w:pStyle w:val="TableParagraph"/>
              <w:spacing w:before="21" w:line="240" w:lineRule="auto"/>
              <w:ind w:right="92"/>
              <w:rPr>
                <w:sz w:val="20"/>
              </w:rPr>
            </w:pPr>
            <w:r>
              <w:rPr>
                <w:w w:val="95"/>
                <w:sz w:val="20"/>
              </w:rPr>
              <w:t>49,403,653</w:t>
            </w:r>
          </w:p>
        </w:tc>
        <w:tc>
          <w:tcPr>
            <w:tcW w:w="1225" w:type="dxa"/>
          </w:tcPr>
          <w:p w:rsidR="00AC40FC" w:rsidRDefault="00AC40FC" w:rsidP="00A51C66">
            <w:pPr>
              <w:pStyle w:val="TableParagraph"/>
              <w:spacing w:before="21" w:line="240" w:lineRule="auto"/>
              <w:ind w:left="161" w:right="143"/>
              <w:jc w:val="center"/>
              <w:rPr>
                <w:sz w:val="20"/>
              </w:rPr>
            </w:pPr>
            <w:r>
              <w:rPr>
                <w:sz w:val="20"/>
              </w:rPr>
              <w:t>15.81%</w:t>
            </w:r>
          </w:p>
        </w:tc>
      </w:tr>
      <w:tr w:rsidR="00AC40FC" w:rsidTr="004966B1">
        <w:trPr>
          <w:trHeight w:hRule="exact" w:val="276"/>
          <w:jc w:val="center"/>
        </w:trPr>
        <w:tc>
          <w:tcPr>
            <w:tcW w:w="5059" w:type="dxa"/>
          </w:tcPr>
          <w:p w:rsidR="00AC40FC" w:rsidRDefault="00AC40FC" w:rsidP="00A51C66">
            <w:pPr>
              <w:pStyle w:val="TableParagraph"/>
              <w:spacing w:before="21" w:line="240" w:lineRule="auto"/>
              <w:ind w:left="181" w:right="0"/>
              <w:jc w:val="left"/>
              <w:rPr>
                <w:sz w:val="20"/>
              </w:rPr>
            </w:pPr>
            <w:r>
              <w:rPr>
                <w:sz w:val="20"/>
              </w:rPr>
              <w:t>190.0 Accumulated Deferred Income Taxes</w:t>
            </w:r>
          </w:p>
        </w:tc>
        <w:tc>
          <w:tcPr>
            <w:tcW w:w="1740" w:type="dxa"/>
          </w:tcPr>
          <w:p w:rsidR="00AC40FC" w:rsidRDefault="00AC40FC" w:rsidP="00A51C66">
            <w:pPr>
              <w:pStyle w:val="TableParagraph"/>
              <w:spacing w:before="21" w:line="240" w:lineRule="auto"/>
              <w:rPr>
                <w:sz w:val="20"/>
              </w:rPr>
            </w:pPr>
            <w:r>
              <w:rPr>
                <w:w w:val="95"/>
                <w:sz w:val="20"/>
              </w:rPr>
              <w:t>263,986,459</w:t>
            </w:r>
          </w:p>
        </w:tc>
        <w:tc>
          <w:tcPr>
            <w:tcW w:w="1740" w:type="dxa"/>
          </w:tcPr>
          <w:p w:rsidR="00AC40FC" w:rsidRDefault="00AC40FC" w:rsidP="00A51C66">
            <w:pPr>
              <w:pStyle w:val="TableParagraph"/>
              <w:spacing w:before="21" w:line="240" w:lineRule="auto"/>
              <w:rPr>
                <w:sz w:val="20"/>
              </w:rPr>
            </w:pPr>
            <w:r>
              <w:rPr>
                <w:w w:val="95"/>
                <w:sz w:val="20"/>
              </w:rPr>
              <w:t>319,277,228</w:t>
            </w:r>
          </w:p>
        </w:tc>
        <w:tc>
          <w:tcPr>
            <w:tcW w:w="1740" w:type="dxa"/>
          </w:tcPr>
          <w:p w:rsidR="00AC40FC" w:rsidRDefault="00AC40FC" w:rsidP="00A51C66">
            <w:pPr>
              <w:pStyle w:val="TableParagraph"/>
              <w:spacing w:before="21" w:line="240" w:lineRule="auto"/>
              <w:rPr>
                <w:sz w:val="20"/>
              </w:rPr>
            </w:pPr>
            <w:r>
              <w:rPr>
                <w:w w:val="95"/>
                <w:sz w:val="20"/>
              </w:rPr>
              <w:t>449,011,705</w:t>
            </w:r>
          </w:p>
        </w:tc>
        <w:tc>
          <w:tcPr>
            <w:tcW w:w="1627" w:type="dxa"/>
          </w:tcPr>
          <w:p w:rsidR="00AC40FC" w:rsidRDefault="00AC40FC" w:rsidP="00A51C66">
            <w:pPr>
              <w:pStyle w:val="TableParagraph"/>
              <w:spacing w:before="21" w:line="240" w:lineRule="auto"/>
              <w:ind w:right="92"/>
              <w:rPr>
                <w:sz w:val="20"/>
              </w:rPr>
            </w:pPr>
            <w:r>
              <w:rPr>
                <w:w w:val="95"/>
                <w:sz w:val="20"/>
              </w:rPr>
              <w:t>395,823,721</w:t>
            </w:r>
          </w:p>
        </w:tc>
        <w:tc>
          <w:tcPr>
            <w:tcW w:w="1627" w:type="dxa"/>
          </w:tcPr>
          <w:p w:rsidR="00AC40FC" w:rsidRDefault="00AC40FC" w:rsidP="00A51C66">
            <w:pPr>
              <w:pStyle w:val="TableParagraph"/>
              <w:spacing w:before="21" w:line="240" w:lineRule="auto"/>
              <w:ind w:right="92"/>
              <w:rPr>
                <w:sz w:val="20"/>
              </w:rPr>
            </w:pPr>
            <w:r>
              <w:rPr>
                <w:w w:val="95"/>
                <w:sz w:val="20"/>
              </w:rPr>
              <w:t>430,947,872</w:t>
            </w:r>
          </w:p>
        </w:tc>
        <w:tc>
          <w:tcPr>
            <w:tcW w:w="1225" w:type="dxa"/>
          </w:tcPr>
          <w:p w:rsidR="00AC40FC" w:rsidRDefault="00AC40FC" w:rsidP="00A51C66">
            <w:pPr>
              <w:pStyle w:val="TableParagraph"/>
              <w:spacing w:before="21" w:line="240" w:lineRule="auto"/>
              <w:ind w:left="161" w:right="143"/>
              <w:jc w:val="center"/>
              <w:rPr>
                <w:sz w:val="20"/>
              </w:rPr>
            </w:pPr>
            <w:r>
              <w:rPr>
                <w:sz w:val="20"/>
              </w:rPr>
              <w:t>13.03%</w:t>
            </w:r>
          </w:p>
        </w:tc>
      </w:tr>
      <w:tr w:rsidR="00AC40FC" w:rsidTr="004966B1">
        <w:trPr>
          <w:trHeight w:hRule="exact" w:val="276"/>
          <w:jc w:val="center"/>
        </w:trPr>
        <w:tc>
          <w:tcPr>
            <w:tcW w:w="5059" w:type="dxa"/>
          </w:tcPr>
          <w:p w:rsidR="00AC40FC" w:rsidRDefault="00AC40FC" w:rsidP="00A51C66">
            <w:pPr>
              <w:pStyle w:val="TableParagraph"/>
              <w:spacing w:before="21" w:line="240" w:lineRule="auto"/>
              <w:ind w:right="24"/>
              <w:rPr>
                <w:b/>
                <w:sz w:val="20"/>
              </w:rPr>
            </w:pPr>
            <w:r>
              <w:rPr>
                <w:b/>
                <w:sz w:val="20"/>
              </w:rPr>
              <w:t>TOTAL DEFERRED DEBITS</w:t>
            </w:r>
          </w:p>
        </w:tc>
        <w:tc>
          <w:tcPr>
            <w:tcW w:w="1740" w:type="dxa"/>
          </w:tcPr>
          <w:p w:rsidR="00AC40FC" w:rsidRDefault="00AC40FC" w:rsidP="00A51C66">
            <w:pPr>
              <w:pStyle w:val="TableParagraph"/>
              <w:spacing w:before="21" w:line="240" w:lineRule="auto"/>
              <w:rPr>
                <w:b/>
                <w:sz w:val="20"/>
              </w:rPr>
            </w:pPr>
            <w:r>
              <w:rPr>
                <w:b/>
                <w:w w:val="95"/>
                <w:sz w:val="20"/>
              </w:rPr>
              <w:t>$950,875,963</w:t>
            </w:r>
          </w:p>
        </w:tc>
        <w:tc>
          <w:tcPr>
            <w:tcW w:w="1740" w:type="dxa"/>
          </w:tcPr>
          <w:p w:rsidR="00AC40FC" w:rsidRDefault="00AC40FC" w:rsidP="00A51C66">
            <w:pPr>
              <w:pStyle w:val="TableParagraph"/>
              <w:spacing w:before="21" w:line="240" w:lineRule="auto"/>
              <w:rPr>
                <w:b/>
                <w:sz w:val="20"/>
              </w:rPr>
            </w:pPr>
            <w:r>
              <w:rPr>
                <w:b/>
                <w:w w:val="95"/>
                <w:sz w:val="20"/>
              </w:rPr>
              <w:t>$1,067,716,305</w:t>
            </w:r>
          </w:p>
        </w:tc>
        <w:tc>
          <w:tcPr>
            <w:tcW w:w="1740" w:type="dxa"/>
          </w:tcPr>
          <w:p w:rsidR="00AC40FC" w:rsidRDefault="00AC40FC" w:rsidP="00A51C66">
            <w:pPr>
              <w:pStyle w:val="TableParagraph"/>
              <w:spacing w:before="21" w:line="240" w:lineRule="auto"/>
              <w:rPr>
                <w:b/>
                <w:sz w:val="20"/>
              </w:rPr>
            </w:pPr>
            <w:r>
              <w:rPr>
                <w:b/>
                <w:w w:val="95"/>
                <w:sz w:val="20"/>
              </w:rPr>
              <w:t>$1,277,683,538</w:t>
            </w:r>
          </w:p>
        </w:tc>
        <w:tc>
          <w:tcPr>
            <w:tcW w:w="1627" w:type="dxa"/>
          </w:tcPr>
          <w:p w:rsidR="00AC40FC" w:rsidRDefault="00AC40FC" w:rsidP="00A51C66">
            <w:pPr>
              <w:pStyle w:val="TableParagraph"/>
              <w:spacing w:before="21" w:line="240" w:lineRule="auto"/>
              <w:ind w:right="92"/>
              <w:rPr>
                <w:b/>
                <w:sz w:val="20"/>
              </w:rPr>
            </w:pPr>
            <w:r>
              <w:rPr>
                <w:b/>
                <w:w w:val="95"/>
                <w:sz w:val="20"/>
              </w:rPr>
              <w:t>$1,111,853,268</w:t>
            </w:r>
          </w:p>
        </w:tc>
        <w:tc>
          <w:tcPr>
            <w:tcW w:w="1627" w:type="dxa"/>
          </w:tcPr>
          <w:p w:rsidR="00AC40FC" w:rsidRDefault="00AC40FC" w:rsidP="00A51C66">
            <w:pPr>
              <w:pStyle w:val="TableParagraph"/>
              <w:spacing w:before="21" w:line="240" w:lineRule="auto"/>
              <w:ind w:right="92"/>
              <w:rPr>
                <w:b/>
                <w:sz w:val="20"/>
              </w:rPr>
            </w:pPr>
            <w:r>
              <w:rPr>
                <w:b/>
                <w:w w:val="95"/>
                <w:sz w:val="20"/>
              </w:rPr>
              <w:t>$1,251,726,167</w:t>
            </w:r>
          </w:p>
        </w:tc>
        <w:tc>
          <w:tcPr>
            <w:tcW w:w="1225" w:type="dxa"/>
          </w:tcPr>
          <w:p w:rsidR="00AC40FC" w:rsidRDefault="00AC40FC" w:rsidP="00A51C66">
            <w:pPr>
              <w:pStyle w:val="TableParagraph"/>
              <w:spacing w:before="21" w:line="240" w:lineRule="auto"/>
              <w:ind w:left="161" w:right="138"/>
              <w:jc w:val="center"/>
              <w:rPr>
                <w:b/>
                <w:sz w:val="20"/>
              </w:rPr>
            </w:pPr>
            <w:r>
              <w:rPr>
                <w:b/>
                <w:sz w:val="20"/>
              </w:rPr>
              <w:t>7.11%</w:t>
            </w:r>
          </w:p>
        </w:tc>
      </w:tr>
      <w:tr w:rsidR="00AC40FC" w:rsidTr="004966B1">
        <w:trPr>
          <w:trHeight w:hRule="exact" w:val="276"/>
          <w:jc w:val="center"/>
        </w:trPr>
        <w:tc>
          <w:tcPr>
            <w:tcW w:w="5059" w:type="dxa"/>
          </w:tcPr>
          <w:p w:rsidR="00AC40FC" w:rsidRDefault="00AC40FC" w:rsidP="00A51C66">
            <w:pPr>
              <w:pStyle w:val="TableParagraph"/>
              <w:spacing w:before="21" w:line="240" w:lineRule="auto"/>
              <w:ind w:right="24"/>
              <w:rPr>
                <w:b/>
                <w:sz w:val="20"/>
              </w:rPr>
            </w:pPr>
            <w:r>
              <w:rPr>
                <w:b/>
                <w:sz w:val="20"/>
              </w:rPr>
              <w:t>TOTAL ASSETS AND OTHER DEBITS</w:t>
            </w:r>
          </w:p>
        </w:tc>
        <w:tc>
          <w:tcPr>
            <w:tcW w:w="1740" w:type="dxa"/>
          </w:tcPr>
          <w:p w:rsidR="00AC40FC" w:rsidRDefault="00AC40FC" w:rsidP="00A51C66">
            <w:pPr>
              <w:pStyle w:val="TableParagraph"/>
              <w:spacing w:before="21" w:line="240" w:lineRule="auto"/>
              <w:ind w:right="92"/>
              <w:rPr>
                <w:b/>
                <w:sz w:val="20"/>
              </w:rPr>
            </w:pPr>
            <w:r>
              <w:rPr>
                <w:b/>
                <w:w w:val="95"/>
                <w:sz w:val="20"/>
              </w:rPr>
              <w:t>$5,521,823,469</w:t>
            </w:r>
          </w:p>
        </w:tc>
        <w:tc>
          <w:tcPr>
            <w:tcW w:w="1740" w:type="dxa"/>
          </w:tcPr>
          <w:p w:rsidR="00AC40FC" w:rsidRDefault="00AC40FC" w:rsidP="00A51C66">
            <w:pPr>
              <w:pStyle w:val="TableParagraph"/>
              <w:spacing w:before="21" w:line="240" w:lineRule="auto"/>
              <w:ind w:right="92"/>
              <w:rPr>
                <w:b/>
                <w:sz w:val="20"/>
              </w:rPr>
            </w:pPr>
            <w:r>
              <w:rPr>
                <w:b/>
                <w:w w:val="95"/>
                <w:sz w:val="20"/>
              </w:rPr>
              <w:t>$6,003,209,267</w:t>
            </w:r>
          </w:p>
        </w:tc>
        <w:tc>
          <w:tcPr>
            <w:tcW w:w="1740" w:type="dxa"/>
          </w:tcPr>
          <w:p w:rsidR="00AC40FC" w:rsidRDefault="00AC40FC" w:rsidP="00A51C66">
            <w:pPr>
              <w:pStyle w:val="TableParagraph"/>
              <w:spacing w:before="21" w:line="240" w:lineRule="auto"/>
              <w:ind w:right="92"/>
              <w:rPr>
                <w:b/>
                <w:sz w:val="20"/>
              </w:rPr>
            </w:pPr>
            <w:r>
              <w:rPr>
                <w:b/>
                <w:w w:val="95"/>
                <w:sz w:val="20"/>
              </w:rPr>
              <w:t>$6,524,325,238</w:t>
            </w:r>
          </w:p>
        </w:tc>
        <w:tc>
          <w:tcPr>
            <w:tcW w:w="1627" w:type="dxa"/>
          </w:tcPr>
          <w:p w:rsidR="00AC40FC" w:rsidRDefault="00AC40FC" w:rsidP="00A51C66">
            <w:pPr>
              <w:pStyle w:val="TableParagraph"/>
              <w:spacing w:before="21" w:line="240" w:lineRule="auto"/>
              <w:ind w:right="92"/>
              <w:rPr>
                <w:b/>
                <w:sz w:val="20"/>
              </w:rPr>
            </w:pPr>
            <w:r>
              <w:rPr>
                <w:b/>
                <w:w w:val="95"/>
                <w:sz w:val="20"/>
              </w:rPr>
              <w:t>$7,155,943,155</w:t>
            </w:r>
          </w:p>
        </w:tc>
        <w:tc>
          <w:tcPr>
            <w:tcW w:w="1627" w:type="dxa"/>
          </w:tcPr>
          <w:p w:rsidR="00AC40FC" w:rsidRDefault="00AC40FC" w:rsidP="00A51C66">
            <w:pPr>
              <w:pStyle w:val="TableParagraph"/>
              <w:spacing w:before="21" w:line="240" w:lineRule="auto"/>
              <w:ind w:right="92"/>
              <w:rPr>
                <w:b/>
                <w:sz w:val="20"/>
              </w:rPr>
            </w:pPr>
            <w:r>
              <w:rPr>
                <w:b/>
                <w:w w:val="95"/>
                <w:sz w:val="20"/>
              </w:rPr>
              <w:t>$8,140,420,671</w:t>
            </w:r>
          </w:p>
        </w:tc>
        <w:tc>
          <w:tcPr>
            <w:tcW w:w="1225" w:type="dxa"/>
          </w:tcPr>
          <w:p w:rsidR="00AC40FC" w:rsidRDefault="00AC40FC" w:rsidP="00A51C66">
            <w:pPr>
              <w:pStyle w:val="TableParagraph"/>
              <w:spacing w:before="21" w:line="240" w:lineRule="auto"/>
              <w:ind w:left="161" w:right="137"/>
              <w:jc w:val="center"/>
              <w:rPr>
                <w:b/>
                <w:sz w:val="20"/>
              </w:rPr>
            </w:pPr>
            <w:r>
              <w:rPr>
                <w:b/>
                <w:sz w:val="20"/>
              </w:rPr>
              <w:t>10.19%</w:t>
            </w:r>
          </w:p>
        </w:tc>
      </w:tr>
      <w:tr w:rsidR="00AC40FC" w:rsidTr="004966B1">
        <w:trPr>
          <w:trHeight w:hRule="exact" w:val="245"/>
          <w:jc w:val="center"/>
        </w:trPr>
        <w:tc>
          <w:tcPr>
            <w:tcW w:w="14758" w:type="dxa"/>
            <w:gridSpan w:val="7"/>
          </w:tcPr>
          <w:p w:rsidR="00AC40FC" w:rsidRDefault="00AC40FC" w:rsidP="00A51C66">
            <w:pPr>
              <w:pStyle w:val="TableParagraph"/>
              <w:ind w:left="28" w:right="0"/>
              <w:jc w:val="left"/>
              <w:rPr>
                <w:b/>
                <w:sz w:val="20"/>
              </w:rPr>
            </w:pPr>
            <w:r>
              <w:rPr>
                <w:b/>
                <w:sz w:val="20"/>
              </w:rPr>
              <w:t>PROPRIETARY CAPITAL</w:t>
            </w:r>
          </w:p>
        </w:tc>
      </w:tr>
      <w:tr w:rsidR="00AC40FC" w:rsidTr="004966B1">
        <w:trPr>
          <w:trHeight w:hRule="exact" w:val="245"/>
          <w:jc w:val="center"/>
        </w:trPr>
        <w:tc>
          <w:tcPr>
            <w:tcW w:w="5059" w:type="dxa"/>
          </w:tcPr>
          <w:p w:rsidR="00AC40FC" w:rsidRDefault="00AC40FC" w:rsidP="00A51C66">
            <w:pPr>
              <w:pStyle w:val="TableParagraph"/>
              <w:ind w:left="180" w:right="0"/>
              <w:jc w:val="left"/>
              <w:rPr>
                <w:sz w:val="20"/>
              </w:rPr>
            </w:pPr>
            <w:r>
              <w:rPr>
                <w:sz w:val="20"/>
              </w:rPr>
              <w:t>201.0 Common Stock Issued</w:t>
            </w:r>
          </w:p>
        </w:tc>
        <w:tc>
          <w:tcPr>
            <w:tcW w:w="1740" w:type="dxa"/>
          </w:tcPr>
          <w:p w:rsidR="00AC40FC" w:rsidRDefault="00AC40FC" w:rsidP="00A51C66">
            <w:pPr>
              <w:pStyle w:val="TableParagraph"/>
              <w:ind w:right="94"/>
              <w:rPr>
                <w:sz w:val="20"/>
              </w:rPr>
            </w:pPr>
            <w:r>
              <w:rPr>
                <w:w w:val="95"/>
                <w:sz w:val="20"/>
              </w:rPr>
              <w:t>$363,833,249</w:t>
            </w:r>
          </w:p>
        </w:tc>
        <w:tc>
          <w:tcPr>
            <w:tcW w:w="1740" w:type="dxa"/>
          </w:tcPr>
          <w:p w:rsidR="00AC40FC" w:rsidRDefault="00AC40FC" w:rsidP="00A51C66">
            <w:pPr>
              <w:pStyle w:val="TableParagraph"/>
              <w:ind w:right="94"/>
              <w:rPr>
                <w:sz w:val="20"/>
              </w:rPr>
            </w:pPr>
            <w:r>
              <w:rPr>
                <w:w w:val="95"/>
                <w:sz w:val="20"/>
              </w:rPr>
              <w:t>$363,833,249</w:t>
            </w:r>
          </w:p>
        </w:tc>
        <w:tc>
          <w:tcPr>
            <w:tcW w:w="1740" w:type="dxa"/>
          </w:tcPr>
          <w:p w:rsidR="00AC40FC" w:rsidRDefault="00AC40FC" w:rsidP="00A51C66">
            <w:pPr>
              <w:pStyle w:val="TableParagraph"/>
              <w:ind w:right="94"/>
              <w:rPr>
                <w:sz w:val="20"/>
              </w:rPr>
            </w:pPr>
            <w:r>
              <w:rPr>
                <w:w w:val="95"/>
                <w:sz w:val="20"/>
              </w:rPr>
              <w:t>$363,833,249</w:t>
            </w:r>
          </w:p>
        </w:tc>
        <w:tc>
          <w:tcPr>
            <w:tcW w:w="1627" w:type="dxa"/>
          </w:tcPr>
          <w:p w:rsidR="00AC40FC" w:rsidRDefault="00AC40FC" w:rsidP="00A51C66">
            <w:pPr>
              <w:pStyle w:val="TableParagraph"/>
              <w:ind w:right="94"/>
              <w:rPr>
                <w:sz w:val="20"/>
              </w:rPr>
            </w:pPr>
            <w:r>
              <w:rPr>
                <w:w w:val="95"/>
                <w:sz w:val="20"/>
              </w:rPr>
              <w:t>$363,833,249</w:t>
            </w:r>
          </w:p>
        </w:tc>
        <w:tc>
          <w:tcPr>
            <w:tcW w:w="1627" w:type="dxa"/>
          </w:tcPr>
          <w:p w:rsidR="00AC40FC" w:rsidRDefault="00AC40FC" w:rsidP="00A51C66">
            <w:pPr>
              <w:pStyle w:val="TableParagraph"/>
              <w:ind w:right="94"/>
              <w:rPr>
                <w:sz w:val="20"/>
              </w:rPr>
            </w:pPr>
            <w:r>
              <w:rPr>
                <w:w w:val="95"/>
                <w:sz w:val="20"/>
              </w:rPr>
              <w:t>$363,833,249</w:t>
            </w:r>
          </w:p>
        </w:tc>
        <w:tc>
          <w:tcPr>
            <w:tcW w:w="1225" w:type="dxa"/>
          </w:tcPr>
          <w:p w:rsidR="00AC40FC" w:rsidRDefault="00AC40FC" w:rsidP="00A51C66">
            <w:pPr>
              <w:pStyle w:val="TableParagraph"/>
              <w:ind w:left="159" w:right="144"/>
              <w:jc w:val="center"/>
              <w:rPr>
                <w:sz w:val="20"/>
              </w:rPr>
            </w:pPr>
            <w:r>
              <w:rPr>
                <w:sz w:val="20"/>
              </w:rPr>
              <w:t>0.00%</w:t>
            </w:r>
          </w:p>
        </w:tc>
      </w:tr>
      <w:tr w:rsidR="00AC40FC" w:rsidTr="004966B1">
        <w:trPr>
          <w:trHeight w:hRule="exact" w:val="245"/>
          <w:jc w:val="center"/>
        </w:trPr>
        <w:tc>
          <w:tcPr>
            <w:tcW w:w="5059" w:type="dxa"/>
          </w:tcPr>
          <w:p w:rsidR="00AC40FC" w:rsidRDefault="00AC40FC" w:rsidP="00A51C66">
            <w:pPr>
              <w:pStyle w:val="TableParagraph"/>
              <w:ind w:left="180" w:right="0"/>
              <w:jc w:val="left"/>
              <w:rPr>
                <w:sz w:val="20"/>
              </w:rPr>
            </w:pPr>
            <w:r>
              <w:rPr>
                <w:sz w:val="20"/>
              </w:rPr>
              <w:t>204.0 Preferred Stock Issued</w:t>
            </w:r>
          </w:p>
        </w:tc>
        <w:tc>
          <w:tcPr>
            <w:tcW w:w="1740" w:type="dxa"/>
          </w:tcPr>
          <w:p w:rsidR="00AC40FC" w:rsidRDefault="00AC40FC" w:rsidP="00A51C66">
            <w:pPr>
              <w:pStyle w:val="TableParagraph"/>
              <w:ind w:right="94"/>
              <w:rPr>
                <w:sz w:val="20"/>
              </w:rPr>
            </w:pPr>
            <w:r>
              <w:rPr>
                <w:w w:val="95"/>
                <w:sz w:val="20"/>
              </w:rPr>
              <w:t>250,000,000</w:t>
            </w:r>
          </w:p>
        </w:tc>
        <w:tc>
          <w:tcPr>
            <w:tcW w:w="1740" w:type="dxa"/>
          </w:tcPr>
          <w:p w:rsidR="00AC40FC" w:rsidRDefault="00AC40FC" w:rsidP="00A51C66">
            <w:pPr>
              <w:pStyle w:val="TableParagraph"/>
              <w:ind w:right="94"/>
              <w:rPr>
                <w:sz w:val="20"/>
              </w:rPr>
            </w:pPr>
            <w:r>
              <w:rPr>
                <w:w w:val="95"/>
                <w:sz w:val="20"/>
              </w:rPr>
              <w:t>250,000,000</w:t>
            </w:r>
          </w:p>
        </w:tc>
        <w:tc>
          <w:tcPr>
            <w:tcW w:w="1740" w:type="dxa"/>
          </w:tcPr>
          <w:p w:rsidR="00AC40FC" w:rsidRDefault="00AC40FC" w:rsidP="00A51C66">
            <w:pPr>
              <w:pStyle w:val="TableParagraph"/>
              <w:rPr>
                <w:sz w:val="20"/>
              </w:rPr>
            </w:pPr>
            <w:r>
              <w:rPr>
                <w:w w:val="99"/>
                <w:sz w:val="20"/>
              </w:rPr>
              <w:t>0</w:t>
            </w:r>
          </w:p>
        </w:tc>
        <w:tc>
          <w:tcPr>
            <w:tcW w:w="1627" w:type="dxa"/>
          </w:tcPr>
          <w:p w:rsidR="00AC40FC" w:rsidRDefault="00AC40FC" w:rsidP="00A51C66">
            <w:pPr>
              <w:pStyle w:val="TableParagraph"/>
              <w:rPr>
                <w:sz w:val="20"/>
              </w:rPr>
            </w:pPr>
            <w:r>
              <w:rPr>
                <w:w w:val="99"/>
                <w:sz w:val="20"/>
              </w:rPr>
              <w:t>0</w:t>
            </w:r>
          </w:p>
        </w:tc>
        <w:tc>
          <w:tcPr>
            <w:tcW w:w="1627" w:type="dxa"/>
          </w:tcPr>
          <w:p w:rsidR="00AC40FC" w:rsidRDefault="00AC40FC" w:rsidP="00A51C66">
            <w:pPr>
              <w:pStyle w:val="TableParagraph"/>
              <w:rPr>
                <w:sz w:val="20"/>
              </w:rPr>
            </w:pPr>
            <w:r>
              <w:rPr>
                <w:w w:val="99"/>
                <w:sz w:val="20"/>
              </w:rPr>
              <w:t>0</w:t>
            </w:r>
          </w:p>
        </w:tc>
        <w:tc>
          <w:tcPr>
            <w:tcW w:w="1225" w:type="dxa"/>
          </w:tcPr>
          <w:p w:rsidR="00AC40FC" w:rsidRDefault="00AC40FC" w:rsidP="00A51C66">
            <w:pPr>
              <w:pStyle w:val="TableParagraph"/>
              <w:ind w:left="159" w:right="144"/>
              <w:jc w:val="center"/>
              <w:rPr>
                <w:sz w:val="20"/>
              </w:rPr>
            </w:pPr>
            <w:r>
              <w:rPr>
                <w:sz w:val="20"/>
              </w:rPr>
              <w:t>-100.00%</w:t>
            </w:r>
          </w:p>
        </w:tc>
      </w:tr>
      <w:tr w:rsidR="00AC40FC" w:rsidTr="004966B1">
        <w:trPr>
          <w:trHeight w:hRule="exact" w:val="245"/>
          <w:jc w:val="center"/>
        </w:trPr>
        <w:tc>
          <w:tcPr>
            <w:tcW w:w="5059" w:type="dxa"/>
          </w:tcPr>
          <w:p w:rsidR="00AC40FC" w:rsidRDefault="00AC40FC" w:rsidP="00A51C66">
            <w:pPr>
              <w:pStyle w:val="TableParagraph"/>
              <w:ind w:left="180" w:right="0"/>
              <w:jc w:val="left"/>
              <w:rPr>
                <w:sz w:val="20"/>
              </w:rPr>
            </w:pPr>
            <w:r>
              <w:rPr>
                <w:sz w:val="20"/>
              </w:rPr>
              <w:t>Capital Stock Subscribed</w:t>
            </w:r>
          </w:p>
        </w:tc>
        <w:tc>
          <w:tcPr>
            <w:tcW w:w="1740" w:type="dxa"/>
          </w:tcPr>
          <w:p w:rsidR="00AC40FC" w:rsidRDefault="00AC40FC" w:rsidP="00A51C66">
            <w:pPr>
              <w:pStyle w:val="TableParagraph"/>
              <w:rPr>
                <w:sz w:val="20"/>
              </w:rPr>
            </w:pPr>
            <w:r>
              <w:rPr>
                <w:w w:val="99"/>
                <w:sz w:val="20"/>
              </w:rPr>
              <w:t>0</w:t>
            </w:r>
          </w:p>
        </w:tc>
        <w:tc>
          <w:tcPr>
            <w:tcW w:w="1740" w:type="dxa"/>
          </w:tcPr>
          <w:p w:rsidR="00AC40FC" w:rsidRDefault="00AC40FC" w:rsidP="00A51C66">
            <w:pPr>
              <w:pStyle w:val="TableParagraph"/>
              <w:rPr>
                <w:sz w:val="20"/>
              </w:rPr>
            </w:pPr>
            <w:r>
              <w:rPr>
                <w:w w:val="99"/>
                <w:sz w:val="20"/>
              </w:rPr>
              <w:t>0</w:t>
            </w:r>
          </w:p>
        </w:tc>
        <w:tc>
          <w:tcPr>
            <w:tcW w:w="1740" w:type="dxa"/>
          </w:tcPr>
          <w:p w:rsidR="00AC40FC" w:rsidRDefault="00AC40FC" w:rsidP="00A51C66">
            <w:pPr>
              <w:pStyle w:val="TableParagraph"/>
              <w:rPr>
                <w:sz w:val="20"/>
              </w:rPr>
            </w:pPr>
            <w:r>
              <w:rPr>
                <w:w w:val="99"/>
                <w:sz w:val="20"/>
              </w:rPr>
              <w:t>0</w:t>
            </w:r>
          </w:p>
        </w:tc>
        <w:tc>
          <w:tcPr>
            <w:tcW w:w="1627" w:type="dxa"/>
          </w:tcPr>
          <w:p w:rsidR="00AC40FC" w:rsidRDefault="00AC40FC" w:rsidP="00A51C66">
            <w:pPr>
              <w:pStyle w:val="TableParagraph"/>
              <w:rPr>
                <w:sz w:val="20"/>
              </w:rPr>
            </w:pPr>
            <w:r>
              <w:rPr>
                <w:w w:val="99"/>
                <w:sz w:val="20"/>
              </w:rPr>
              <w:t>0</w:t>
            </w:r>
          </w:p>
        </w:tc>
        <w:tc>
          <w:tcPr>
            <w:tcW w:w="1627" w:type="dxa"/>
          </w:tcPr>
          <w:p w:rsidR="00AC40FC" w:rsidRDefault="00AC40FC" w:rsidP="00A51C66">
            <w:pPr>
              <w:pStyle w:val="TableParagraph"/>
              <w:rPr>
                <w:sz w:val="20"/>
              </w:rPr>
            </w:pPr>
            <w:r>
              <w:rPr>
                <w:w w:val="99"/>
                <w:sz w:val="20"/>
              </w:rPr>
              <w:t>0</w:t>
            </w:r>
          </w:p>
        </w:tc>
        <w:tc>
          <w:tcPr>
            <w:tcW w:w="1225" w:type="dxa"/>
          </w:tcPr>
          <w:p w:rsidR="00AC40FC" w:rsidRDefault="00AC40FC" w:rsidP="00A51C66">
            <w:pPr>
              <w:pStyle w:val="TableParagraph"/>
              <w:ind w:left="161" w:right="144"/>
              <w:jc w:val="center"/>
              <w:rPr>
                <w:sz w:val="20"/>
              </w:rPr>
            </w:pPr>
            <w:r>
              <w:rPr>
                <w:sz w:val="20"/>
              </w:rPr>
              <w:t>NM</w:t>
            </w:r>
          </w:p>
        </w:tc>
      </w:tr>
    </w:tbl>
    <w:p w:rsidR="00AC40FC" w:rsidRDefault="00AC40FC"/>
    <w:p w:rsidR="004966B1" w:rsidRDefault="004966B1"/>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5059"/>
        <w:gridCol w:w="1740"/>
        <w:gridCol w:w="1740"/>
        <w:gridCol w:w="1740"/>
        <w:gridCol w:w="1627"/>
        <w:gridCol w:w="1627"/>
        <w:gridCol w:w="1225"/>
      </w:tblGrid>
      <w:tr w:rsidR="00AC40FC" w:rsidTr="00A51C66">
        <w:trPr>
          <w:trHeight w:hRule="exact" w:val="492"/>
          <w:jc w:val="center"/>
        </w:trPr>
        <w:tc>
          <w:tcPr>
            <w:tcW w:w="5059" w:type="dxa"/>
            <w:shd w:val="clear" w:color="auto" w:fill="A5CD7E"/>
          </w:tcPr>
          <w:p w:rsidR="00AC40FC" w:rsidRDefault="00AC40FC" w:rsidP="00A51C66">
            <w:pPr>
              <w:pStyle w:val="TableParagraph"/>
              <w:spacing w:before="122" w:line="240" w:lineRule="auto"/>
              <w:ind w:left="28" w:right="0"/>
              <w:jc w:val="left"/>
              <w:rPr>
                <w:b/>
                <w:sz w:val="20"/>
              </w:rPr>
            </w:pPr>
            <w:r>
              <w:rPr>
                <w:b/>
                <w:sz w:val="20"/>
              </w:rPr>
              <w:lastRenderedPageBreak/>
              <w:t>PPL Electric Utilities Corporation</w:t>
            </w:r>
            <w:r w:rsidRPr="006B3BEA">
              <w:rPr>
                <w:b/>
                <w:sz w:val="20"/>
              </w:rPr>
              <w:t xml:space="preserve"> </w:t>
            </w:r>
            <w:r>
              <w:rPr>
                <w:b/>
                <w:sz w:val="20"/>
              </w:rPr>
              <w:t>Balance Sheet</w:t>
            </w:r>
          </w:p>
        </w:tc>
        <w:tc>
          <w:tcPr>
            <w:tcW w:w="1740" w:type="dxa"/>
            <w:shd w:val="clear" w:color="auto" w:fill="A5CD7E"/>
          </w:tcPr>
          <w:p w:rsidR="00AC40FC" w:rsidRDefault="00AC40FC" w:rsidP="00A51C66">
            <w:pPr>
              <w:pStyle w:val="TableParagraph"/>
              <w:spacing w:before="122" w:line="240" w:lineRule="auto"/>
              <w:ind w:left="625" w:right="609"/>
              <w:jc w:val="center"/>
              <w:rPr>
                <w:b/>
                <w:sz w:val="20"/>
              </w:rPr>
            </w:pPr>
            <w:r>
              <w:rPr>
                <w:b/>
                <w:sz w:val="20"/>
              </w:rPr>
              <w:t>2010</w:t>
            </w:r>
          </w:p>
        </w:tc>
        <w:tc>
          <w:tcPr>
            <w:tcW w:w="1740" w:type="dxa"/>
            <w:shd w:val="clear" w:color="auto" w:fill="A5CD7E"/>
          </w:tcPr>
          <w:p w:rsidR="00AC40FC" w:rsidRDefault="00AC40FC" w:rsidP="00A51C66">
            <w:pPr>
              <w:pStyle w:val="TableParagraph"/>
              <w:spacing w:before="122" w:line="240" w:lineRule="auto"/>
              <w:ind w:left="625" w:right="609"/>
              <w:jc w:val="center"/>
              <w:rPr>
                <w:b/>
                <w:sz w:val="20"/>
              </w:rPr>
            </w:pPr>
            <w:r>
              <w:rPr>
                <w:b/>
                <w:sz w:val="20"/>
              </w:rPr>
              <w:t>2011</w:t>
            </w:r>
          </w:p>
        </w:tc>
        <w:tc>
          <w:tcPr>
            <w:tcW w:w="1740" w:type="dxa"/>
            <w:shd w:val="clear" w:color="auto" w:fill="A5CD7E"/>
          </w:tcPr>
          <w:p w:rsidR="00AC40FC" w:rsidRDefault="00AC40FC" w:rsidP="00A51C66">
            <w:pPr>
              <w:pStyle w:val="TableParagraph"/>
              <w:spacing w:before="122" w:line="240" w:lineRule="auto"/>
              <w:ind w:left="625" w:right="609"/>
              <w:jc w:val="center"/>
              <w:rPr>
                <w:b/>
                <w:sz w:val="20"/>
              </w:rPr>
            </w:pPr>
            <w:r>
              <w:rPr>
                <w:b/>
                <w:sz w:val="20"/>
              </w:rPr>
              <w:t>2012</w:t>
            </w:r>
          </w:p>
        </w:tc>
        <w:tc>
          <w:tcPr>
            <w:tcW w:w="1627" w:type="dxa"/>
            <w:shd w:val="clear" w:color="auto" w:fill="A5CD7E"/>
          </w:tcPr>
          <w:p w:rsidR="00AC40FC" w:rsidRDefault="00AC40FC" w:rsidP="00A51C66">
            <w:pPr>
              <w:pStyle w:val="TableParagraph"/>
              <w:spacing w:before="122" w:line="240" w:lineRule="auto"/>
              <w:ind w:left="571" w:right="552"/>
              <w:jc w:val="center"/>
              <w:rPr>
                <w:b/>
                <w:sz w:val="20"/>
              </w:rPr>
            </w:pPr>
            <w:r>
              <w:rPr>
                <w:b/>
                <w:sz w:val="20"/>
              </w:rPr>
              <w:t>2013</w:t>
            </w:r>
          </w:p>
        </w:tc>
        <w:tc>
          <w:tcPr>
            <w:tcW w:w="1627" w:type="dxa"/>
            <w:shd w:val="clear" w:color="auto" w:fill="A5CD7E"/>
          </w:tcPr>
          <w:p w:rsidR="00AC40FC" w:rsidRDefault="00AC40FC" w:rsidP="00A51C66">
            <w:pPr>
              <w:pStyle w:val="TableParagraph"/>
              <w:spacing w:before="122" w:line="240" w:lineRule="auto"/>
              <w:ind w:left="571" w:right="552"/>
              <w:jc w:val="center"/>
              <w:rPr>
                <w:b/>
                <w:sz w:val="20"/>
              </w:rPr>
            </w:pPr>
            <w:r>
              <w:rPr>
                <w:b/>
                <w:sz w:val="20"/>
              </w:rPr>
              <w:t>2014</w:t>
            </w:r>
          </w:p>
        </w:tc>
        <w:tc>
          <w:tcPr>
            <w:tcW w:w="1224" w:type="dxa"/>
            <w:shd w:val="clear" w:color="auto" w:fill="A5CD7E"/>
          </w:tcPr>
          <w:p w:rsidR="00AC40FC" w:rsidRDefault="00AC40FC" w:rsidP="00A51C66">
            <w:pPr>
              <w:pStyle w:val="TableParagraph"/>
              <w:spacing w:line="268" w:lineRule="auto"/>
              <w:ind w:left="254" w:right="53" w:hanging="178"/>
              <w:jc w:val="left"/>
              <w:rPr>
                <w:b/>
                <w:sz w:val="20"/>
              </w:rPr>
            </w:pPr>
            <w:r>
              <w:rPr>
                <w:b/>
                <w:sz w:val="20"/>
              </w:rPr>
              <w:t>Compound Growth</w:t>
            </w:r>
          </w:p>
        </w:tc>
      </w:tr>
      <w:tr w:rsidR="00AC40FC" w:rsidTr="00A51C66">
        <w:trPr>
          <w:trHeight w:hRule="exact" w:val="245"/>
          <w:jc w:val="center"/>
        </w:trPr>
        <w:tc>
          <w:tcPr>
            <w:tcW w:w="5059" w:type="dxa"/>
          </w:tcPr>
          <w:p w:rsidR="00AC40FC" w:rsidRDefault="00AC40FC" w:rsidP="00A51C66">
            <w:pPr>
              <w:pStyle w:val="TableParagraph"/>
              <w:ind w:left="180" w:right="0"/>
              <w:jc w:val="left"/>
              <w:rPr>
                <w:sz w:val="20"/>
              </w:rPr>
            </w:pPr>
            <w:r>
              <w:rPr>
                <w:sz w:val="20"/>
              </w:rPr>
              <w:t>Stock Liability for Conversion</w:t>
            </w:r>
          </w:p>
        </w:tc>
        <w:tc>
          <w:tcPr>
            <w:tcW w:w="1740" w:type="dxa"/>
          </w:tcPr>
          <w:p w:rsidR="00AC40FC" w:rsidRDefault="00AC40FC" w:rsidP="00A51C66">
            <w:pPr>
              <w:pStyle w:val="TableParagraph"/>
              <w:rPr>
                <w:sz w:val="20"/>
              </w:rPr>
            </w:pPr>
            <w:r>
              <w:rPr>
                <w:w w:val="99"/>
                <w:sz w:val="20"/>
              </w:rPr>
              <w:t>0</w:t>
            </w:r>
          </w:p>
        </w:tc>
        <w:tc>
          <w:tcPr>
            <w:tcW w:w="1740" w:type="dxa"/>
          </w:tcPr>
          <w:p w:rsidR="00AC40FC" w:rsidRDefault="00AC40FC" w:rsidP="00A51C66">
            <w:pPr>
              <w:pStyle w:val="TableParagraph"/>
              <w:rPr>
                <w:sz w:val="20"/>
              </w:rPr>
            </w:pPr>
            <w:r>
              <w:rPr>
                <w:w w:val="99"/>
                <w:sz w:val="20"/>
              </w:rPr>
              <w:t>0</w:t>
            </w:r>
          </w:p>
        </w:tc>
        <w:tc>
          <w:tcPr>
            <w:tcW w:w="1740" w:type="dxa"/>
          </w:tcPr>
          <w:p w:rsidR="00AC40FC" w:rsidRDefault="00AC40FC" w:rsidP="00A51C66">
            <w:pPr>
              <w:pStyle w:val="TableParagraph"/>
              <w:rPr>
                <w:sz w:val="20"/>
              </w:rPr>
            </w:pPr>
            <w:r>
              <w:rPr>
                <w:w w:val="99"/>
                <w:sz w:val="20"/>
              </w:rPr>
              <w:t>0</w:t>
            </w:r>
          </w:p>
        </w:tc>
        <w:tc>
          <w:tcPr>
            <w:tcW w:w="1627" w:type="dxa"/>
          </w:tcPr>
          <w:p w:rsidR="00AC40FC" w:rsidRDefault="00AC40FC" w:rsidP="00A51C66">
            <w:pPr>
              <w:pStyle w:val="TableParagraph"/>
              <w:rPr>
                <w:sz w:val="20"/>
              </w:rPr>
            </w:pPr>
            <w:r>
              <w:rPr>
                <w:w w:val="99"/>
                <w:sz w:val="20"/>
              </w:rPr>
              <w:t>0</w:t>
            </w:r>
          </w:p>
        </w:tc>
        <w:tc>
          <w:tcPr>
            <w:tcW w:w="1627" w:type="dxa"/>
          </w:tcPr>
          <w:p w:rsidR="00AC40FC" w:rsidRDefault="00AC40FC" w:rsidP="00A51C66">
            <w:pPr>
              <w:pStyle w:val="TableParagraph"/>
              <w:rPr>
                <w:sz w:val="20"/>
              </w:rPr>
            </w:pPr>
            <w:r>
              <w:rPr>
                <w:w w:val="99"/>
                <w:sz w:val="20"/>
              </w:rPr>
              <w:t>0</w:t>
            </w:r>
          </w:p>
        </w:tc>
        <w:tc>
          <w:tcPr>
            <w:tcW w:w="1224" w:type="dxa"/>
          </w:tcPr>
          <w:p w:rsidR="00AC40FC" w:rsidRDefault="00AC40FC" w:rsidP="00A51C66">
            <w:pPr>
              <w:pStyle w:val="TableParagraph"/>
              <w:ind w:left="161" w:right="144"/>
              <w:jc w:val="center"/>
              <w:rPr>
                <w:sz w:val="20"/>
              </w:rPr>
            </w:pPr>
            <w:r>
              <w:rPr>
                <w:sz w:val="20"/>
              </w:rPr>
              <w:t>NM</w:t>
            </w:r>
          </w:p>
        </w:tc>
      </w:tr>
      <w:tr w:rsidR="00AC40FC" w:rsidTr="00A51C66">
        <w:trPr>
          <w:trHeight w:hRule="exact" w:val="245"/>
          <w:jc w:val="center"/>
        </w:trPr>
        <w:tc>
          <w:tcPr>
            <w:tcW w:w="5059" w:type="dxa"/>
          </w:tcPr>
          <w:p w:rsidR="00AC40FC" w:rsidRDefault="00AC40FC" w:rsidP="00A51C66">
            <w:pPr>
              <w:pStyle w:val="TableParagraph"/>
              <w:ind w:left="180" w:right="0"/>
              <w:jc w:val="left"/>
              <w:rPr>
                <w:sz w:val="20"/>
              </w:rPr>
            </w:pPr>
            <w:r>
              <w:rPr>
                <w:sz w:val="20"/>
              </w:rPr>
              <w:t>207.0 Premium on Capital Stock</w:t>
            </w:r>
          </w:p>
        </w:tc>
        <w:tc>
          <w:tcPr>
            <w:tcW w:w="1740" w:type="dxa"/>
          </w:tcPr>
          <w:p w:rsidR="00AC40FC" w:rsidRDefault="00AC40FC" w:rsidP="00A51C66">
            <w:pPr>
              <w:pStyle w:val="TableParagraph"/>
              <w:rPr>
                <w:sz w:val="20"/>
              </w:rPr>
            </w:pPr>
            <w:r>
              <w:rPr>
                <w:w w:val="99"/>
                <w:sz w:val="20"/>
              </w:rPr>
              <w:t>0</w:t>
            </w:r>
          </w:p>
        </w:tc>
        <w:tc>
          <w:tcPr>
            <w:tcW w:w="1740" w:type="dxa"/>
          </w:tcPr>
          <w:p w:rsidR="00AC40FC" w:rsidRDefault="00AC40FC" w:rsidP="00A51C66">
            <w:pPr>
              <w:pStyle w:val="TableParagraph"/>
              <w:rPr>
                <w:sz w:val="20"/>
              </w:rPr>
            </w:pPr>
            <w:r>
              <w:rPr>
                <w:w w:val="99"/>
                <w:sz w:val="20"/>
              </w:rPr>
              <w:t>0</w:t>
            </w:r>
          </w:p>
        </w:tc>
        <w:tc>
          <w:tcPr>
            <w:tcW w:w="1740" w:type="dxa"/>
          </w:tcPr>
          <w:p w:rsidR="00AC40FC" w:rsidRDefault="00AC40FC" w:rsidP="00A51C66">
            <w:pPr>
              <w:pStyle w:val="TableParagraph"/>
              <w:rPr>
                <w:sz w:val="20"/>
              </w:rPr>
            </w:pPr>
            <w:r>
              <w:rPr>
                <w:w w:val="99"/>
                <w:sz w:val="20"/>
              </w:rPr>
              <w:t>0</w:t>
            </w:r>
          </w:p>
        </w:tc>
        <w:tc>
          <w:tcPr>
            <w:tcW w:w="1627" w:type="dxa"/>
          </w:tcPr>
          <w:p w:rsidR="00AC40FC" w:rsidRDefault="00AC40FC" w:rsidP="00A51C66">
            <w:pPr>
              <w:pStyle w:val="TableParagraph"/>
              <w:rPr>
                <w:sz w:val="20"/>
              </w:rPr>
            </w:pPr>
            <w:r>
              <w:rPr>
                <w:w w:val="99"/>
                <w:sz w:val="20"/>
              </w:rPr>
              <w:t>0</w:t>
            </w:r>
          </w:p>
        </w:tc>
        <w:tc>
          <w:tcPr>
            <w:tcW w:w="1627" w:type="dxa"/>
          </w:tcPr>
          <w:p w:rsidR="00AC40FC" w:rsidRDefault="00AC40FC" w:rsidP="00A51C66">
            <w:pPr>
              <w:pStyle w:val="TableParagraph"/>
              <w:rPr>
                <w:sz w:val="20"/>
              </w:rPr>
            </w:pPr>
            <w:r>
              <w:rPr>
                <w:w w:val="99"/>
                <w:sz w:val="20"/>
              </w:rPr>
              <w:t>0</w:t>
            </w:r>
          </w:p>
        </w:tc>
        <w:tc>
          <w:tcPr>
            <w:tcW w:w="1224" w:type="dxa"/>
          </w:tcPr>
          <w:p w:rsidR="00AC40FC" w:rsidRDefault="00AC40FC" w:rsidP="00A51C66">
            <w:pPr>
              <w:pStyle w:val="TableParagraph"/>
              <w:ind w:left="161" w:right="144"/>
              <w:jc w:val="center"/>
              <w:rPr>
                <w:sz w:val="20"/>
              </w:rPr>
            </w:pPr>
            <w:r>
              <w:rPr>
                <w:sz w:val="20"/>
              </w:rPr>
              <w:t>NM</w:t>
            </w:r>
          </w:p>
        </w:tc>
      </w:tr>
      <w:tr w:rsidR="00AC40FC" w:rsidTr="00A51C66">
        <w:trPr>
          <w:trHeight w:hRule="exact" w:val="245"/>
          <w:jc w:val="center"/>
        </w:trPr>
        <w:tc>
          <w:tcPr>
            <w:tcW w:w="5059" w:type="dxa"/>
          </w:tcPr>
          <w:p w:rsidR="00AC40FC" w:rsidRDefault="00AC40FC" w:rsidP="00A51C66">
            <w:pPr>
              <w:pStyle w:val="TableParagraph"/>
              <w:ind w:left="180" w:right="0"/>
              <w:jc w:val="left"/>
              <w:rPr>
                <w:sz w:val="20"/>
              </w:rPr>
            </w:pPr>
            <w:r>
              <w:rPr>
                <w:sz w:val="20"/>
              </w:rPr>
              <w:t>211.0 Other Paid-in Capital Stock</w:t>
            </w:r>
          </w:p>
        </w:tc>
        <w:tc>
          <w:tcPr>
            <w:tcW w:w="1740" w:type="dxa"/>
          </w:tcPr>
          <w:p w:rsidR="00AC40FC" w:rsidRDefault="00AC40FC" w:rsidP="00A51C66">
            <w:pPr>
              <w:pStyle w:val="TableParagraph"/>
              <w:ind w:right="94"/>
              <w:rPr>
                <w:sz w:val="20"/>
              </w:rPr>
            </w:pPr>
            <w:r>
              <w:rPr>
                <w:w w:val="95"/>
                <w:sz w:val="20"/>
              </w:rPr>
              <w:t>891,262,745</w:t>
            </w:r>
          </w:p>
        </w:tc>
        <w:tc>
          <w:tcPr>
            <w:tcW w:w="1740" w:type="dxa"/>
          </w:tcPr>
          <w:p w:rsidR="00AC40FC" w:rsidRDefault="00AC40FC" w:rsidP="00A51C66">
            <w:pPr>
              <w:pStyle w:val="TableParagraph"/>
              <w:ind w:right="94"/>
              <w:rPr>
                <w:sz w:val="20"/>
              </w:rPr>
            </w:pPr>
            <w:r>
              <w:rPr>
                <w:w w:val="95"/>
                <w:sz w:val="20"/>
              </w:rPr>
              <w:t>991,262,745</w:t>
            </w:r>
          </w:p>
        </w:tc>
        <w:tc>
          <w:tcPr>
            <w:tcW w:w="1740" w:type="dxa"/>
          </w:tcPr>
          <w:p w:rsidR="00AC40FC" w:rsidRDefault="00AC40FC" w:rsidP="00A51C66">
            <w:pPr>
              <w:pStyle w:val="TableParagraph"/>
              <w:ind w:left="355" w:right="0"/>
              <w:jc w:val="left"/>
              <w:rPr>
                <w:sz w:val="20"/>
              </w:rPr>
            </w:pPr>
            <w:r>
              <w:rPr>
                <w:sz w:val="20"/>
              </w:rPr>
              <w:t>1,141,262,745</w:t>
            </w:r>
          </w:p>
        </w:tc>
        <w:tc>
          <w:tcPr>
            <w:tcW w:w="1627" w:type="dxa"/>
          </w:tcPr>
          <w:p w:rsidR="00AC40FC" w:rsidRDefault="00AC40FC" w:rsidP="00A51C66">
            <w:pPr>
              <w:pStyle w:val="TableParagraph"/>
              <w:ind w:left="242" w:right="0"/>
              <w:jc w:val="left"/>
              <w:rPr>
                <w:sz w:val="20"/>
              </w:rPr>
            </w:pPr>
            <w:r>
              <w:rPr>
                <w:sz w:val="20"/>
              </w:rPr>
              <w:t>1,346,262,745</w:t>
            </w:r>
          </w:p>
        </w:tc>
        <w:tc>
          <w:tcPr>
            <w:tcW w:w="1627" w:type="dxa"/>
          </w:tcPr>
          <w:p w:rsidR="00AC40FC" w:rsidRDefault="00AC40FC" w:rsidP="00A51C66">
            <w:pPr>
              <w:pStyle w:val="TableParagraph"/>
              <w:ind w:right="94"/>
              <w:rPr>
                <w:sz w:val="20"/>
              </w:rPr>
            </w:pPr>
            <w:r>
              <w:rPr>
                <w:w w:val="95"/>
                <w:sz w:val="20"/>
              </w:rPr>
              <w:t>1,609,262,745</w:t>
            </w:r>
          </w:p>
        </w:tc>
        <w:tc>
          <w:tcPr>
            <w:tcW w:w="1224" w:type="dxa"/>
          </w:tcPr>
          <w:p w:rsidR="00AC40FC" w:rsidRDefault="00AC40FC" w:rsidP="00A51C66">
            <w:pPr>
              <w:pStyle w:val="TableParagraph"/>
              <w:ind w:left="160" w:right="144"/>
              <w:jc w:val="center"/>
              <w:rPr>
                <w:sz w:val="20"/>
              </w:rPr>
            </w:pPr>
            <w:r>
              <w:rPr>
                <w:sz w:val="20"/>
              </w:rPr>
              <w:t>15.92%</w:t>
            </w:r>
          </w:p>
        </w:tc>
      </w:tr>
      <w:tr w:rsidR="00AC40FC" w:rsidTr="00A51C66">
        <w:trPr>
          <w:trHeight w:hRule="exact" w:val="245"/>
          <w:jc w:val="center"/>
        </w:trPr>
        <w:tc>
          <w:tcPr>
            <w:tcW w:w="5059" w:type="dxa"/>
          </w:tcPr>
          <w:p w:rsidR="00AC40FC" w:rsidRDefault="00AC40FC" w:rsidP="00A51C66">
            <w:pPr>
              <w:pStyle w:val="TableParagraph"/>
              <w:ind w:left="180" w:right="0"/>
              <w:jc w:val="left"/>
              <w:rPr>
                <w:sz w:val="20"/>
              </w:rPr>
            </w:pPr>
            <w:r>
              <w:rPr>
                <w:sz w:val="20"/>
              </w:rPr>
              <w:t>212.0 Installments Received on Capital Stock</w:t>
            </w:r>
          </w:p>
        </w:tc>
        <w:tc>
          <w:tcPr>
            <w:tcW w:w="1740" w:type="dxa"/>
          </w:tcPr>
          <w:p w:rsidR="00AC40FC" w:rsidRDefault="00AC40FC" w:rsidP="00A51C66">
            <w:pPr>
              <w:pStyle w:val="TableParagraph"/>
              <w:rPr>
                <w:sz w:val="20"/>
              </w:rPr>
            </w:pPr>
            <w:r>
              <w:rPr>
                <w:w w:val="99"/>
                <w:sz w:val="20"/>
              </w:rPr>
              <w:t>0</w:t>
            </w:r>
          </w:p>
        </w:tc>
        <w:tc>
          <w:tcPr>
            <w:tcW w:w="1740" w:type="dxa"/>
          </w:tcPr>
          <w:p w:rsidR="00AC40FC" w:rsidRDefault="00AC40FC" w:rsidP="00A51C66">
            <w:pPr>
              <w:pStyle w:val="TableParagraph"/>
              <w:rPr>
                <w:sz w:val="20"/>
              </w:rPr>
            </w:pPr>
            <w:r>
              <w:rPr>
                <w:w w:val="99"/>
                <w:sz w:val="20"/>
              </w:rPr>
              <w:t>0</w:t>
            </w:r>
          </w:p>
        </w:tc>
        <w:tc>
          <w:tcPr>
            <w:tcW w:w="1740" w:type="dxa"/>
          </w:tcPr>
          <w:p w:rsidR="00AC40FC" w:rsidRDefault="00AC40FC" w:rsidP="00A51C66">
            <w:pPr>
              <w:pStyle w:val="TableParagraph"/>
              <w:rPr>
                <w:sz w:val="20"/>
              </w:rPr>
            </w:pPr>
            <w:r>
              <w:rPr>
                <w:w w:val="99"/>
                <w:sz w:val="20"/>
              </w:rPr>
              <w:t>0</w:t>
            </w:r>
          </w:p>
        </w:tc>
        <w:tc>
          <w:tcPr>
            <w:tcW w:w="1627" w:type="dxa"/>
          </w:tcPr>
          <w:p w:rsidR="00AC40FC" w:rsidRDefault="00AC40FC" w:rsidP="00A51C66">
            <w:pPr>
              <w:pStyle w:val="TableParagraph"/>
              <w:rPr>
                <w:sz w:val="20"/>
              </w:rPr>
            </w:pPr>
            <w:r>
              <w:rPr>
                <w:w w:val="99"/>
                <w:sz w:val="20"/>
              </w:rPr>
              <w:t>0</w:t>
            </w:r>
          </w:p>
        </w:tc>
        <w:tc>
          <w:tcPr>
            <w:tcW w:w="1627" w:type="dxa"/>
          </w:tcPr>
          <w:p w:rsidR="00AC40FC" w:rsidRDefault="00AC40FC" w:rsidP="00A51C66">
            <w:pPr>
              <w:pStyle w:val="TableParagraph"/>
              <w:rPr>
                <w:sz w:val="20"/>
              </w:rPr>
            </w:pPr>
            <w:r>
              <w:rPr>
                <w:w w:val="99"/>
                <w:sz w:val="20"/>
              </w:rPr>
              <w:t>0</w:t>
            </w:r>
          </w:p>
        </w:tc>
        <w:tc>
          <w:tcPr>
            <w:tcW w:w="1224" w:type="dxa"/>
          </w:tcPr>
          <w:p w:rsidR="00AC40FC" w:rsidRDefault="00AC40FC" w:rsidP="00A51C66">
            <w:pPr>
              <w:pStyle w:val="TableParagraph"/>
              <w:ind w:left="161" w:right="143"/>
              <w:jc w:val="center"/>
              <w:rPr>
                <w:sz w:val="20"/>
              </w:rPr>
            </w:pPr>
            <w:r>
              <w:rPr>
                <w:sz w:val="20"/>
              </w:rPr>
              <w:t>NM</w:t>
            </w:r>
          </w:p>
        </w:tc>
      </w:tr>
      <w:tr w:rsidR="00AC40FC" w:rsidTr="00A51C66">
        <w:trPr>
          <w:trHeight w:hRule="exact" w:val="245"/>
          <w:jc w:val="center"/>
        </w:trPr>
        <w:tc>
          <w:tcPr>
            <w:tcW w:w="5059" w:type="dxa"/>
          </w:tcPr>
          <w:p w:rsidR="00AC40FC" w:rsidRDefault="00AC40FC" w:rsidP="00A51C66">
            <w:pPr>
              <w:pStyle w:val="TableParagraph"/>
              <w:ind w:left="180" w:right="0"/>
              <w:jc w:val="left"/>
              <w:rPr>
                <w:sz w:val="20"/>
              </w:rPr>
            </w:pPr>
            <w:r>
              <w:rPr>
                <w:sz w:val="20"/>
              </w:rPr>
              <w:t>213.0 Discount on Capital Stock</w:t>
            </w:r>
          </w:p>
        </w:tc>
        <w:tc>
          <w:tcPr>
            <w:tcW w:w="1740" w:type="dxa"/>
          </w:tcPr>
          <w:p w:rsidR="00AC40FC" w:rsidRDefault="00AC40FC" w:rsidP="00A51C66">
            <w:pPr>
              <w:pStyle w:val="TableParagraph"/>
              <w:rPr>
                <w:sz w:val="20"/>
              </w:rPr>
            </w:pPr>
            <w:r>
              <w:rPr>
                <w:w w:val="99"/>
                <w:sz w:val="20"/>
              </w:rPr>
              <w:t>0</w:t>
            </w:r>
          </w:p>
        </w:tc>
        <w:tc>
          <w:tcPr>
            <w:tcW w:w="1740" w:type="dxa"/>
          </w:tcPr>
          <w:p w:rsidR="00AC40FC" w:rsidRDefault="00AC40FC" w:rsidP="00A51C66">
            <w:pPr>
              <w:pStyle w:val="TableParagraph"/>
              <w:rPr>
                <w:sz w:val="20"/>
              </w:rPr>
            </w:pPr>
            <w:r>
              <w:rPr>
                <w:w w:val="99"/>
                <w:sz w:val="20"/>
              </w:rPr>
              <w:t>0</w:t>
            </w:r>
          </w:p>
        </w:tc>
        <w:tc>
          <w:tcPr>
            <w:tcW w:w="1740" w:type="dxa"/>
          </w:tcPr>
          <w:p w:rsidR="00AC40FC" w:rsidRDefault="00AC40FC" w:rsidP="00A51C66">
            <w:pPr>
              <w:pStyle w:val="TableParagraph"/>
              <w:rPr>
                <w:sz w:val="20"/>
              </w:rPr>
            </w:pPr>
            <w:r>
              <w:rPr>
                <w:w w:val="99"/>
                <w:sz w:val="20"/>
              </w:rPr>
              <w:t>0</w:t>
            </w:r>
          </w:p>
        </w:tc>
        <w:tc>
          <w:tcPr>
            <w:tcW w:w="1627" w:type="dxa"/>
          </w:tcPr>
          <w:p w:rsidR="00AC40FC" w:rsidRDefault="00AC40FC" w:rsidP="00A51C66">
            <w:pPr>
              <w:pStyle w:val="TableParagraph"/>
              <w:rPr>
                <w:sz w:val="20"/>
              </w:rPr>
            </w:pPr>
            <w:r>
              <w:rPr>
                <w:w w:val="99"/>
                <w:sz w:val="20"/>
              </w:rPr>
              <w:t>0</w:t>
            </w:r>
          </w:p>
        </w:tc>
        <w:tc>
          <w:tcPr>
            <w:tcW w:w="1627" w:type="dxa"/>
          </w:tcPr>
          <w:p w:rsidR="00AC40FC" w:rsidRDefault="00AC40FC" w:rsidP="00A51C66">
            <w:pPr>
              <w:pStyle w:val="TableParagraph"/>
              <w:rPr>
                <w:sz w:val="20"/>
              </w:rPr>
            </w:pPr>
            <w:r>
              <w:rPr>
                <w:w w:val="99"/>
                <w:sz w:val="20"/>
              </w:rPr>
              <w:t>0</w:t>
            </w:r>
          </w:p>
        </w:tc>
        <w:tc>
          <w:tcPr>
            <w:tcW w:w="1224" w:type="dxa"/>
          </w:tcPr>
          <w:p w:rsidR="00AC40FC" w:rsidRDefault="00AC40FC" w:rsidP="00A51C66">
            <w:pPr>
              <w:pStyle w:val="TableParagraph"/>
              <w:ind w:left="161" w:right="143"/>
              <w:jc w:val="center"/>
              <w:rPr>
                <w:sz w:val="20"/>
              </w:rPr>
            </w:pPr>
            <w:r>
              <w:rPr>
                <w:sz w:val="20"/>
              </w:rPr>
              <w:t>NM</w:t>
            </w:r>
          </w:p>
        </w:tc>
      </w:tr>
      <w:tr w:rsidR="00AC40FC" w:rsidTr="00A51C66">
        <w:trPr>
          <w:trHeight w:hRule="exact" w:val="245"/>
          <w:jc w:val="center"/>
        </w:trPr>
        <w:tc>
          <w:tcPr>
            <w:tcW w:w="5059" w:type="dxa"/>
          </w:tcPr>
          <w:p w:rsidR="00AC40FC" w:rsidRDefault="00AC40FC" w:rsidP="00A51C66">
            <w:pPr>
              <w:pStyle w:val="TableParagraph"/>
              <w:ind w:left="180" w:right="0"/>
              <w:jc w:val="left"/>
              <w:rPr>
                <w:sz w:val="20"/>
              </w:rPr>
            </w:pPr>
            <w:r>
              <w:rPr>
                <w:sz w:val="20"/>
              </w:rPr>
              <w:t>214.0 Capital Stock Expense</w:t>
            </w:r>
          </w:p>
        </w:tc>
        <w:tc>
          <w:tcPr>
            <w:tcW w:w="1740" w:type="dxa"/>
          </w:tcPr>
          <w:p w:rsidR="00AC40FC" w:rsidRDefault="00AC40FC" w:rsidP="00A51C66">
            <w:pPr>
              <w:pStyle w:val="TableParagraph"/>
              <w:ind w:right="27"/>
              <w:rPr>
                <w:sz w:val="20"/>
              </w:rPr>
            </w:pPr>
            <w:r>
              <w:rPr>
                <w:color w:val="FF0000"/>
                <w:w w:val="95"/>
                <w:sz w:val="20"/>
              </w:rPr>
              <w:t>(11,735,245)</w:t>
            </w:r>
          </w:p>
        </w:tc>
        <w:tc>
          <w:tcPr>
            <w:tcW w:w="1740" w:type="dxa"/>
          </w:tcPr>
          <w:p w:rsidR="00AC40FC" w:rsidRDefault="00AC40FC" w:rsidP="00A51C66">
            <w:pPr>
              <w:pStyle w:val="TableParagraph"/>
              <w:ind w:right="27"/>
              <w:rPr>
                <w:sz w:val="20"/>
              </w:rPr>
            </w:pPr>
            <w:r>
              <w:rPr>
                <w:color w:val="FF0000"/>
                <w:w w:val="95"/>
                <w:sz w:val="20"/>
              </w:rPr>
              <w:t>(11,735,245)</w:t>
            </w:r>
          </w:p>
        </w:tc>
        <w:tc>
          <w:tcPr>
            <w:tcW w:w="1740" w:type="dxa"/>
          </w:tcPr>
          <w:p w:rsidR="00AC40FC" w:rsidRDefault="00AC40FC" w:rsidP="00A51C66">
            <w:pPr>
              <w:pStyle w:val="TableParagraph"/>
              <w:ind w:right="27"/>
              <w:rPr>
                <w:sz w:val="20"/>
              </w:rPr>
            </w:pPr>
            <w:r>
              <w:rPr>
                <w:color w:val="FF0000"/>
                <w:w w:val="95"/>
                <w:sz w:val="20"/>
              </w:rPr>
              <w:t>(6,291,006)</w:t>
            </w:r>
          </w:p>
        </w:tc>
        <w:tc>
          <w:tcPr>
            <w:tcW w:w="1627" w:type="dxa"/>
          </w:tcPr>
          <w:p w:rsidR="00AC40FC" w:rsidRDefault="00AC40FC" w:rsidP="00A51C66">
            <w:pPr>
              <w:pStyle w:val="TableParagraph"/>
              <w:ind w:right="27"/>
              <w:rPr>
                <w:sz w:val="20"/>
              </w:rPr>
            </w:pPr>
            <w:r>
              <w:rPr>
                <w:color w:val="FF0000"/>
                <w:w w:val="95"/>
                <w:sz w:val="20"/>
              </w:rPr>
              <w:t>(6,283,429)</w:t>
            </w:r>
          </w:p>
        </w:tc>
        <w:tc>
          <w:tcPr>
            <w:tcW w:w="1627" w:type="dxa"/>
          </w:tcPr>
          <w:p w:rsidR="00AC40FC" w:rsidRDefault="00AC40FC" w:rsidP="00A51C66">
            <w:pPr>
              <w:pStyle w:val="TableParagraph"/>
              <w:ind w:right="27"/>
              <w:rPr>
                <w:sz w:val="20"/>
              </w:rPr>
            </w:pPr>
            <w:r>
              <w:rPr>
                <w:color w:val="FF0000"/>
                <w:w w:val="95"/>
                <w:sz w:val="20"/>
              </w:rPr>
              <w:t>(6,283,429)</w:t>
            </w:r>
          </w:p>
        </w:tc>
        <w:tc>
          <w:tcPr>
            <w:tcW w:w="1224" w:type="dxa"/>
          </w:tcPr>
          <w:p w:rsidR="00AC40FC" w:rsidRDefault="00AC40FC" w:rsidP="00A51C66">
            <w:pPr>
              <w:pStyle w:val="TableParagraph"/>
              <w:ind w:left="160" w:right="144"/>
              <w:jc w:val="center"/>
              <w:rPr>
                <w:sz w:val="20"/>
              </w:rPr>
            </w:pPr>
            <w:r>
              <w:rPr>
                <w:sz w:val="20"/>
              </w:rPr>
              <w:t>-14.46%</w:t>
            </w:r>
          </w:p>
        </w:tc>
      </w:tr>
      <w:tr w:rsidR="00AC40FC" w:rsidTr="00A51C66">
        <w:trPr>
          <w:trHeight w:hRule="exact" w:val="245"/>
          <w:jc w:val="center"/>
        </w:trPr>
        <w:tc>
          <w:tcPr>
            <w:tcW w:w="5059" w:type="dxa"/>
          </w:tcPr>
          <w:p w:rsidR="00AC40FC" w:rsidRDefault="00AC40FC" w:rsidP="00A51C66">
            <w:pPr>
              <w:pStyle w:val="TableParagraph"/>
              <w:ind w:left="180" w:right="0"/>
              <w:jc w:val="left"/>
              <w:rPr>
                <w:sz w:val="20"/>
              </w:rPr>
            </w:pPr>
            <w:r>
              <w:rPr>
                <w:sz w:val="20"/>
              </w:rPr>
              <w:t>215.0 Appropriated Retained Earnings</w:t>
            </w:r>
          </w:p>
        </w:tc>
        <w:tc>
          <w:tcPr>
            <w:tcW w:w="1740" w:type="dxa"/>
          </w:tcPr>
          <w:p w:rsidR="00AC40FC" w:rsidRDefault="00AC40FC" w:rsidP="00A51C66">
            <w:pPr>
              <w:pStyle w:val="TableParagraph"/>
              <w:rPr>
                <w:sz w:val="20"/>
              </w:rPr>
            </w:pPr>
            <w:r>
              <w:rPr>
                <w:w w:val="99"/>
                <w:sz w:val="20"/>
              </w:rPr>
              <w:t>0</w:t>
            </w:r>
          </w:p>
        </w:tc>
        <w:tc>
          <w:tcPr>
            <w:tcW w:w="1740" w:type="dxa"/>
          </w:tcPr>
          <w:p w:rsidR="00AC40FC" w:rsidRDefault="00AC40FC" w:rsidP="00A51C66">
            <w:pPr>
              <w:pStyle w:val="TableParagraph"/>
              <w:rPr>
                <w:sz w:val="20"/>
              </w:rPr>
            </w:pPr>
            <w:r>
              <w:rPr>
                <w:w w:val="99"/>
                <w:sz w:val="20"/>
              </w:rPr>
              <w:t>0</w:t>
            </w:r>
          </w:p>
        </w:tc>
        <w:tc>
          <w:tcPr>
            <w:tcW w:w="1740" w:type="dxa"/>
          </w:tcPr>
          <w:p w:rsidR="00AC40FC" w:rsidRDefault="00AC40FC" w:rsidP="00A51C66">
            <w:pPr>
              <w:pStyle w:val="TableParagraph"/>
              <w:rPr>
                <w:sz w:val="20"/>
              </w:rPr>
            </w:pPr>
            <w:r>
              <w:rPr>
                <w:w w:val="99"/>
                <w:sz w:val="20"/>
              </w:rPr>
              <w:t>0</w:t>
            </w:r>
          </w:p>
        </w:tc>
        <w:tc>
          <w:tcPr>
            <w:tcW w:w="1627" w:type="dxa"/>
          </w:tcPr>
          <w:p w:rsidR="00AC40FC" w:rsidRDefault="00AC40FC" w:rsidP="00A51C66">
            <w:pPr>
              <w:pStyle w:val="TableParagraph"/>
              <w:rPr>
                <w:sz w:val="20"/>
              </w:rPr>
            </w:pPr>
            <w:r>
              <w:rPr>
                <w:w w:val="99"/>
                <w:sz w:val="20"/>
              </w:rPr>
              <w:t>0</w:t>
            </w:r>
          </w:p>
        </w:tc>
        <w:tc>
          <w:tcPr>
            <w:tcW w:w="1627" w:type="dxa"/>
          </w:tcPr>
          <w:p w:rsidR="00AC40FC" w:rsidRDefault="00AC40FC" w:rsidP="00A51C66">
            <w:pPr>
              <w:pStyle w:val="TableParagraph"/>
              <w:ind w:right="92"/>
              <w:rPr>
                <w:sz w:val="20"/>
              </w:rPr>
            </w:pPr>
            <w:r>
              <w:rPr>
                <w:w w:val="99"/>
                <w:sz w:val="20"/>
              </w:rPr>
              <w:t>0</w:t>
            </w:r>
          </w:p>
        </w:tc>
        <w:tc>
          <w:tcPr>
            <w:tcW w:w="1224" w:type="dxa"/>
          </w:tcPr>
          <w:p w:rsidR="00AC40FC" w:rsidRDefault="00AC40FC" w:rsidP="00A51C66">
            <w:pPr>
              <w:pStyle w:val="TableParagraph"/>
              <w:ind w:left="161" w:right="143"/>
              <w:jc w:val="center"/>
              <w:rPr>
                <w:sz w:val="20"/>
              </w:rPr>
            </w:pPr>
            <w:r>
              <w:rPr>
                <w:sz w:val="20"/>
              </w:rPr>
              <w:t>NM</w:t>
            </w:r>
          </w:p>
        </w:tc>
      </w:tr>
      <w:tr w:rsidR="00AC40FC" w:rsidTr="00A51C66">
        <w:trPr>
          <w:trHeight w:hRule="exact" w:val="245"/>
          <w:jc w:val="center"/>
        </w:trPr>
        <w:tc>
          <w:tcPr>
            <w:tcW w:w="5059" w:type="dxa"/>
          </w:tcPr>
          <w:p w:rsidR="00AC40FC" w:rsidRDefault="00AC40FC" w:rsidP="00A51C66">
            <w:pPr>
              <w:pStyle w:val="TableParagraph"/>
              <w:ind w:left="180" w:right="0"/>
              <w:jc w:val="left"/>
              <w:rPr>
                <w:sz w:val="20"/>
              </w:rPr>
            </w:pPr>
            <w:r>
              <w:rPr>
                <w:sz w:val="20"/>
              </w:rPr>
              <w:t>216.0 Unappropriated Retained Earnings</w:t>
            </w:r>
          </w:p>
        </w:tc>
        <w:tc>
          <w:tcPr>
            <w:tcW w:w="1740" w:type="dxa"/>
          </w:tcPr>
          <w:p w:rsidR="00AC40FC" w:rsidRDefault="00AC40FC" w:rsidP="00A51C66">
            <w:pPr>
              <w:pStyle w:val="TableParagraph"/>
              <w:rPr>
                <w:sz w:val="20"/>
              </w:rPr>
            </w:pPr>
            <w:r>
              <w:rPr>
                <w:w w:val="95"/>
                <w:sz w:val="20"/>
              </w:rPr>
              <w:t>446,802,895</w:t>
            </w:r>
          </w:p>
        </w:tc>
        <w:tc>
          <w:tcPr>
            <w:tcW w:w="1740" w:type="dxa"/>
          </w:tcPr>
          <w:p w:rsidR="00AC40FC" w:rsidRDefault="00AC40FC" w:rsidP="00A51C66">
            <w:pPr>
              <w:pStyle w:val="TableParagraph"/>
              <w:rPr>
                <w:sz w:val="20"/>
              </w:rPr>
            </w:pPr>
            <w:r>
              <w:rPr>
                <w:w w:val="95"/>
                <w:sz w:val="20"/>
              </w:rPr>
              <w:t>526,594,518</w:t>
            </w:r>
          </w:p>
        </w:tc>
        <w:tc>
          <w:tcPr>
            <w:tcW w:w="1740" w:type="dxa"/>
          </w:tcPr>
          <w:p w:rsidR="00AC40FC" w:rsidRDefault="00AC40FC" w:rsidP="00A51C66">
            <w:pPr>
              <w:pStyle w:val="TableParagraph"/>
              <w:rPr>
                <w:sz w:val="20"/>
              </w:rPr>
            </w:pPr>
            <w:r>
              <w:rPr>
                <w:w w:val="95"/>
                <w:sz w:val="20"/>
              </w:rPr>
              <w:t>556,196,904</w:t>
            </w:r>
          </w:p>
        </w:tc>
        <w:tc>
          <w:tcPr>
            <w:tcW w:w="1627" w:type="dxa"/>
          </w:tcPr>
          <w:p w:rsidR="00AC40FC" w:rsidRDefault="00AC40FC" w:rsidP="00A51C66">
            <w:pPr>
              <w:pStyle w:val="TableParagraph"/>
              <w:rPr>
                <w:sz w:val="20"/>
              </w:rPr>
            </w:pPr>
            <w:r>
              <w:rPr>
                <w:w w:val="95"/>
                <w:sz w:val="20"/>
              </w:rPr>
              <w:t>641,591,096</w:t>
            </w:r>
          </w:p>
        </w:tc>
        <w:tc>
          <w:tcPr>
            <w:tcW w:w="1627" w:type="dxa"/>
          </w:tcPr>
          <w:p w:rsidR="00AC40FC" w:rsidRDefault="00AC40FC" w:rsidP="00A51C66">
            <w:pPr>
              <w:pStyle w:val="TableParagraph"/>
              <w:rPr>
                <w:sz w:val="20"/>
              </w:rPr>
            </w:pPr>
            <w:r>
              <w:rPr>
                <w:w w:val="95"/>
                <w:sz w:val="20"/>
              </w:rPr>
              <w:t>738,707,570</w:t>
            </w:r>
          </w:p>
        </w:tc>
        <w:tc>
          <w:tcPr>
            <w:tcW w:w="1224" w:type="dxa"/>
          </w:tcPr>
          <w:p w:rsidR="00AC40FC" w:rsidRDefault="00AC40FC" w:rsidP="00A51C66">
            <w:pPr>
              <w:pStyle w:val="TableParagraph"/>
              <w:ind w:left="161" w:right="144"/>
              <w:jc w:val="center"/>
              <w:rPr>
                <w:sz w:val="20"/>
              </w:rPr>
            </w:pPr>
            <w:r>
              <w:rPr>
                <w:sz w:val="20"/>
              </w:rPr>
              <w:t>13.39%</w:t>
            </w:r>
          </w:p>
        </w:tc>
      </w:tr>
      <w:tr w:rsidR="00AC40FC" w:rsidTr="00A51C66">
        <w:trPr>
          <w:trHeight w:hRule="exact" w:val="245"/>
          <w:jc w:val="center"/>
        </w:trPr>
        <w:tc>
          <w:tcPr>
            <w:tcW w:w="5059" w:type="dxa"/>
          </w:tcPr>
          <w:p w:rsidR="00AC40FC" w:rsidRDefault="00AC40FC" w:rsidP="00A51C66">
            <w:pPr>
              <w:pStyle w:val="TableParagraph"/>
              <w:ind w:right="-4"/>
              <w:rPr>
                <w:sz w:val="20"/>
              </w:rPr>
            </w:pPr>
            <w:r>
              <w:rPr>
                <w:sz w:val="20"/>
              </w:rPr>
              <w:t>216.1 Unappropriated Undistributed Subsidiary Earning</w:t>
            </w:r>
          </w:p>
        </w:tc>
        <w:tc>
          <w:tcPr>
            <w:tcW w:w="1740" w:type="dxa"/>
          </w:tcPr>
          <w:p w:rsidR="00AC40FC" w:rsidRDefault="00AC40FC" w:rsidP="00A51C66">
            <w:pPr>
              <w:pStyle w:val="TableParagraph"/>
              <w:ind w:right="94"/>
              <w:rPr>
                <w:sz w:val="20"/>
              </w:rPr>
            </w:pPr>
            <w:r>
              <w:rPr>
                <w:w w:val="95"/>
                <w:sz w:val="20"/>
              </w:rPr>
              <w:t>2,754,990</w:t>
            </w:r>
          </w:p>
        </w:tc>
        <w:tc>
          <w:tcPr>
            <w:tcW w:w="1740" w:type="dxa"/>
          </w:tcPr>
          <w:p w:rsidR="00AC40FC" w:rsidRDefault="00AC40FC" w:rsidP="00A51C66">
            <w:pPr>
              <w:pStyle w:val="TableParagraph"/>
              <w:ind w:right="94"/>
              <w:rPr>
                <w:sz w:val="20"/>
              </w:rPr>
            </w:pPr>
            <w:r>
              <w:rPr>
                <w:w w:val="95"/>
                <w:sz w:val="20"/>
              </w:rPr>
              <w:t>4,047,246</w:t>
            </w:r>
          </w:p>
        </w:tc>
        <w:tc>
          <w:tcPr>
            <w:tcW w:w="1740" w:type="dxa"/>
          </w:tcPr>
          <w:p w:rsidR="00AC40FC" w:rsidRDefault="00AC40FC" w:rsidP="00A51C66">
            <w:pPr>
              <w:pStyle w:val="TableParagraph"/>
              <w:ind w:right="94"/>
              <w:rPr>
                <w:sz w:val="20"/>
              </w:rPr>
            </w:pPr>
            <w:r>
              <w:rPr>
                <w:w w:val="95"/>
                <w:sz w:val="20"/>
              </w:rPr>
              <w:t>5,266,418</w:t>
            </w:r>
          </w:p>
        </w:tc>
        <w:tc>
          <w:tcPr>
            <w:tcW w:w="1627" w:type="dxa"/>
          </w:tcPr>
          <w:p w:rsidR="00AC40FC" w:rsidRDefault="00AC40FC" w:rsidP="00A51C66">
            <w:pPr>
              <w:pStyle w:val="TableParagraph"/>
              <w:ind w:right="94"/>
              <w:rPr>
                <w:sz w:val="20"/>
              </w:rPr>
            </w:pPr>
            <w:r>
              <w:rPr>
                <w:w w:val="95"/>
                <w:sz w:val="20"/>
              </w:rPr>
              <w:t>9,915,664</w:t>
            </w:r>
          </w:p>
        </w:tc>
        <w:tc>
          <w:tcPr>
            <w:tcW w:w="1627" w:type="dxa"/>
          </w:tcPr>
          <w:p w:rsidR="00AC40FC" w:rsidRDefault="00AC40FC" w:rsidP="00A51C66">
            <w:pPr>
              <w:pStyle w:val="TableParagraph"/>
              <w:ind w:right="94"/>
              <w:rPr>
                <w:sz w:val="20"/>
              </w:rPr>
            </w:pPr>
            <w:r>
              <w:rPr>
                <w:w w:val="95"/>
                <w:sz w:val="20"/>
              </w:rPr>
              <w:t>10,261,435</w:t>
            </w:r>
          </w:p>
        </w:tc>
        <w:tc>
          <w:tcPr>
            <w:tcW w:w="1224" w:type="dxa"/>
          </w:tcPr>
          <w:p w:rsidR="00AC40FC" w:rsidRDefault="00AC40FC" w:rsidP="00A51C66">
            <w:pPr>
              <w:pStyle w:val="TableParagraph"/>
              <w:ind w:left="159" w:right="144"/>
              <w:jc w:val="center"/>
              <w:rPr>
                <w:sz w:val="20"/>
              </w:rPr>
            </w:pPr>
            <w:r>
              <w:rPr>
                <w:sz w:val="20"/>
              </w:rPr>
              <w:t>38.92%</w:t>
            </w:r>
          </w:p>
        </w:tc>
      </w:tr>
      <w:tr w:rsidR="00AC40FC" w:rsidTr="00A51C66">
        <w:trPr>
          <w:trHeight w:hRule="exact" w:val="245"/>
          <w:jc w:val="center"/>
        </w:trPr>
        <w:tc>
          <w:tcPr>
            <w:tcW w:w="5059" w:type="dxa"/>
          </w:tcPr>
          <w:p w:rsidR="00AC40FC" w:rsidRDefault="00AC40FC" w:rsidP="00A51C66">
            <w:pPr>
              <w:pStyle w:val="TableParagraph"/>
              <w:ind w:left="179" w:right="0"/>
              <w:jc w:val="left"/>
              <w:rPr>
                <w:sz w:val="20"/>
              </w:rPr>
            </w:pPr>
            <w:r>
              <w:rPr>
                <w:sz w:val="20"/>
              </w:rPr>
              <w:t>217.0 Reacquired Capital Stock</w:t>
            </w:r>
          </w:p>
        </w:tc>
        <w:tc>
          <w:tcPr>
            <w:tcW w:w="1740" w:type="dxa"/>
          </w:tcPr>
          <w:p w:rsidR="00AC40FC" w:rsidRDefault="00AC40FC" w:rsidP="00A51C66">
            <w:pPr>
              <w:pStyle w:val="TableParagraph"/>
              <w:rPr>
                <w:sz w:val="20"/>
              </w:rPr>
            </w:pPr>
            <w:r>
              <w:rPr>
                <w:w w:val="99"/>
                <w:sz w:val="20"/>
              </w:rPr>
              <w:t>0</w:t>
            </w:r>
          </w:p>
        </w:tc>
        <w:tc>
          <w:tcPr>
            <w:tcW w:w="1740" w:type="dxa"/>
          </w:tcPr>
          <w:p w:rsidR="00AC40FC" w:rsidRDefault="00AC40FC" w:rsidP="00A51C66">
            <w:pPr>
              <w:pStyle w:val="TableParagraph"/>
              <w:rPr>
                <w:sz w:val="20"/>
              </w:rPr>
            </w:pPr>
            <w:r>
              <w:rPr>
                <w:w w:val="99"/>
                <w:sz w:val="20"/>
              </w:rPr>
              <w:t>0</w:t>
            </w:r>
          </w:p>
        </w:tc>
        <w:tc>
          <w:tcPr>
            <w:tcW w:w="1740" w:type="dxa"/>
          </w:tcPr>
          <w:p w:rsidR="00AC40FC" w:rsidRDefault="00AC40FC" w:rsidP="00A51C66">
            <w:pPr>
              <w:pStyle w:val="TableParagraph"/>
              <w:rPr>
                <w:sz w:val="20"/>
              </w:rPr>
            </w:pPr>
            <w:r>
              <w:rPr>
                <w:w w:val="99"/>
                <w:sz w:val="20"/>
              </w:rPr>
              <w:t>0</w:t>
            </w:r>
          </w:p>
        </w:tc>
        <w:tc>
          <w:tcPr>
            <w:tcW w:w="1627" w:type="dxa"/>
          </w:tcPr>
          <w:p w:rsidR="00AC40FC" w:rsidRDefault="00AC40FC" w:rsidP="00A51C66">
            <w:pPr>
              <w:pStyle w:val="TableParagraph"/>
              <w:rPr>
                <w:sz w:val="20"/>
              </w:rPr>
            </w:pPr>
            <w:r>
              <w:rPr>
                <w:w w:val="99"/>
                <w:sz w:val="20"/>
              </w:rPr>
              <w:t>0</w:t>
            </w:r>
          </w:p>
        </w:tc>
        <w:tc>
          <w:tcPr>
            <w:tcW w:w="1627" w:type="dxa"/>
          </w:tcPr>
          <w:p w:rsidR="00AC40FC" w:rsidRDefault="00AC40FC" w:rsidP="00A51C66">
            <w:pPr>
              <w:pStyle w:val="TableParagraph"/>
              <w:rPr>
                <w:sz w:val="20"/>
              </w:rPr>
            </w:pPr>
            <w:r>
              <w:rPr>
                <w:w w:val="99"/>
                <w:sz w:val="20"/>
              </w:rPr>
              <w:t>0</w:t>
            </w:r>
          </w:p>
        </w:tc>
        <w:tc>
          <w:tcPr>
            <w:tcW w:w="1224" w:type="dxa"/>
          </w:tcPr>
          <w:p w:rsidR="00AC40FC" w:rsidRDefault="00AC40FC" w:rsidP="00A51C66">
            <w:pPr>
              <w:pStyle w:val="TableParagraph"/>
              <w:ind w:left="161" w:right="144"/>
              <w:jc w:val="center"/>
              <w:rPr>
                <w:sz w:val="20"/>
              </w:rPr>
            </w:pPr>
            <w:r>
              <w:rPr>
                <w:sz w:val="20"/>
              </w:rPr>
              <w:t>NM</w:t>
            </w:r>
          </w:p>
        </w:tc>
      </w:tr>
      <w:tr w:rsidR="00AC40FC" w:rsidTr="00A51C66">
        <w:trPr>
          <w:trHeight w:hRule="exact" w:val="245"/>
          <w:jc w:val="center"/>
        </w:trPr>
        <w:tc>
          <w:tcPr>
            <w:tcW w:w="5059" w:type="dxa"/>
          </w:tcPr>
          <w:p w:rsidR="00AC40FC" w:rsidRDefault="00AC40FC" w:rsidP="00A51C66">
            <w:pPr>
              <w:pStyle w:val="TableParagraph"/>
              <w:ind w:left="180" w:right="0"/>
              <w:jc w:val="left"/>
              <w:rPr>
                <w:sz w:val="20"/>
              </w:rPr>
            </w:pPr>
            <w:r>
              <w:rPr>
                <w:sz w:val="20"/>
              </w:rPr>
              <w:t>219.0 Accumulated Other Comprehensive Income</w:t>
            </w:r>
          </w:p>
        </w:tc>
        <w:tc>
          <w:tcPr>
            <w:tcW w:w="1740" w:type="dxa"/>
          </w:tcPr>
          <w:p w:rsidR="00AC40FC" w:rsidRDefault="00AC40FC" w:rsidP="00A51C66">
            <w:pPr>
              <w:pStyle w:val="TableParagraph"/>
              <w:ind w:right="94"/>
              <w:rPr>
                <w:sz w:val="20"/>
              </w:rPr>
            </w:pPr>
            <w:r>
              <w:rPr>
                <w:sz w:val="20"/>
              </w:rPr>
              <w:t>81,345</w:t>
            </w:r>
          </w:p>
        </w:tc>
        <w:tc>
          <w:tcPr>
            <w:tcW w:w="1740" w:type="dxa"/>
          </w:tcPr>
          <w:p w:rsidR="00AC40FC" w:rsidRDefault="00AC40FC" w:rsidP="00A51C66">
            <w:pPr>
              <w:pStyle w:val="TableParagraph"/>
              <w:ind w:right="94"/>
              <w:rPr>
                <w:sz w:val="20"/>
              </w:rPr>
            </w:pPr>
            <w:r>
              <w:rPr>
                <w:sz w:val="20"/>
              </w:rPr>
              <w:t>67,594</w:t>
            </w:r>
          </w:p>
        </w:tc>
        <w:tc>
          <w:tcPr>
            <w:tcW w:w="1740" w:type="dxa"/>
          </w:tcPr>
          <w:p w:rsidR="00AC40FC" w:rsidRDefault="00AC40FC" w:rsidP="00A51C66">
            <w:pPr>
              <w:pStyle w:val="TableParagraph"/>
              <w:ind w:right="94"/>
              <w:rPr>
                <w:sz w:val="20"/>
              </w:rPr>
            </w:pPr>
            <w:r>
              <w:rPr>
                <w:w w:val="95"/>
                <w:sz w:val="20"/>
              </w:rPr>
              <w:t>101,914</w:t>
            </w:r>
          </w:p>
        </w:tc>
        <w:tc>
          <w:tcPr>
            <w:tcW w:w="1627" w:type="dxa"/>
          </w:tcPr>
          <w:p w:rsidR="00AC40FC" w:rsidRDefault="00AC40FC" w:rsidP="00A51C66">
            <w:pPr>
              <w:pStyle w:val="TableParagraph"/>
              <w:ind w:right="94"/>
              <w:rPr>
                <w:sz w:val="20"/>
              </w:rPr>
            </w:pPr>
            <w:r>
              <w:rPr>
                <w:sz w:val="20"/>
              </w:rPr>
              <w:t>7,745</w:t>
            </w:r>
          </w:p>
        </w:tc>
        <w:tc>
          <w:tcPr>
            <w:tcW w:w="1627" w:type="dxa"/>
          </w:tcPr>
          <w:p w:rsidR="00AC40FC" w:rsidRDefault="00AC40FC" w:rsidP="00A51C66">
            <w:pPr>
              <w:pStyle w:val="TableParagraph"/>
              <w:ind w:right="94"/>
              <w:rPr>
                <w:sz w:val="20"/>
              </w:rPr>
            </w:pPr>
            <w:r>
              <w:rPr>
                <w:sz w:val="20"/>
              </w:rPr>
              <w:t>31,470</w:t>
            </w:r>
          </w:p>
        </w:tc>
        <w:tc>
          <w:tcPr>
            <w:tcW w:w="1224" w:type="dxa"/>
          </w:tcPr>
          <w:p w:rsidR="00AC40FC" w:rsidRDefault="00AC40FC" w:rsidP="00A51C66">
            <w:pPr>
              <w:pStyle w:val="TableParagraph"/>
              <w:ind w:left="159" w:right="144"/>
              <w:jc w:val="center"/>
              <w:rPr>
                <w:sz w:val="20"/>
              </w:rPr>
            </w:pPr>
            <w:r>
              <w:rPr>
                <w:sz w:val="20"/>
              </w:rPr>
              <w:t>-21.13%</w:t>
            </w:r>
          </w:p>
        </w:tc>
      </w:tr>
      <w:tr w:rsidR="00AC40FC" w:rsidTr="00A51C66">
        <w:trPr>
          <w:trHeight w:hRule="exact" w:val="245"/>
          <w:jc w:val="center"/>
        </w:trPr>
        <w:tc>
          <w:tcPr>
            <w:tcW w:w="5059" w:type="dxa"/>
          </w:tcPr>
          <w:p w:rsidR="00AC40FC" w:rsidRDefault="00AC40FC" w:rsidP="00A51C66">
            <w:pPr>
              <w:pStyle w:val="TableParagraph"/>
              <w:ind w:right="34"/>
              <w:rPr>
                <w:b/>
                <w:sz w:val="20"/>
              </w:rPr>
            </w:pPr>
            <w:r>
              <w:rPr>
                <w:b/>
                <w:sz w:val="20"/>
              </w:rPr>
              <w:t>TOTAL PROPRIETARY CAPITAL</w:t>
            </w:r>
          </w:p>
        </w:tc>
        <w:tc>
          <w:tcPr>
            <w:tcW w:w="1740" w:type="dxa"/>
          </w:tcPr>
          <w:p w:rsidR="00AC40FC" w:rsidRDefault="00AC40FC" w:rsidP="00A51C66">
            <w:pPr>
              <w:pStyle w:val="TableParagraph"/>
              <w:ind w:left="244" w:right="0"/>
              <w:jc w:val="left"/>
              <w:rPr>
                <w:b/>
                <w:sz w:val="20"/>
              </w:rPr>
            </w:pPr>
            <w:r>
              <w:rPr>
                <w:b/>
                <w:sz w:val="20"/>
              </w:rPr>
              <w:t>$1,942,999,979</w:t>
            </w:r>
          </w:p>
        </w:tc>
        <w:tc>
          <w:tcPr>
            <w:tcW w:w="1740" w:type="dxa"/>
          </w:tcPr>
          <w:p w:rsidR="00AC40FC" w:rsidRDefault="00AC40FC" w:rsidP="00A51C66">
            <w:pPr>
              <w:pStyle w:val="TableParagraph"/>
              <w:ind w:left="244" w:right="0"/>
              <w:jc w:val="left"/>
              <w:rPr>
                <w:b/>
                <w:sz w:val="20"/>
              </w:rPr>
            </w:pPr>
            <w:r>
              <w:rPr>
                <w:b/>
                <w:sz w:val="20"/>
              </w:rPr>
              <w:t>$2,124,070,107</w:t>
            </w:r>
          </w:p>
        </w:tc>
        <w:tc>
          <w:tcPr>
            <w:tcW w:w="1740" w:type="dxa"/>
          </w:tcPr>
          <w:p w:rsidR="00AC40FC" w:rsidRDefault="00AC40FC" w:rsidP="00A51C66">
            <w:pPr>
              <w:pStyle w:val="TableParagraph"/>
              <w:ind w:left="244" w:right="0"/>
              <w:jc w:val="left"/>
              <w:rPr>
                <w:b/>
                <w:sz w:val="20"/>
              </w:rPr>
            </w:pPr>
            <w:r>
              <w:rPr>
                <w:b/>
                <w:sz w:val="20"/>
              </w:rPr>
              <w:t>$2,060,370,224</w:t>
            </w:r>
          </w:p>
        </w:tc>
        <w:tc>
          <w:tcPr>
            <w:tcW w:w="1627" w:type="dxa"/>
          </w:tcPr>
          <w:p w:rsidR="00AC40FC" w:rsidRDefault="00AC40FC" w:rsidP="00A51C66">
            <w:pPr>
              <w:pStyle w:val="TableParagraph"/>
              <w:ind w:left="132" w:right="0"/>
              <w:jc w:val="left"/>
              <w:rPr>
                <w:b/>
                <w:sz w:val="20"/>
              </w:rPr>
            </w:pPr>
            <w:r>
              <w:rPr>
                <w:b/>
                <w:sz w:val="20"/>
              </w:rPr>
              <w:t>$2,355,327,070</w:t>
            </w:r>
          </w:p>
        </w:tc>
        <w:tc>
          <w:tcPr>
            <w:tcW w:w="1627" w:type="dxa"/>
          </w:tcPr>
          <w:p w:rsidR="00AC40FC" w:rsidRDefault="00AC40FC" w:rsidP="00A51C66">
            <w:pPr>
              <w:pStyle w:val="TableParagraph"/>
              <w:ind w:right="94"/>
              <w:rPr>
                <w:b/>
                <w:sz w:val="20"/>
              </w:rPr>
            </w:pPr>
            <w:r>
              <w:rPr>
                <w:b/>
                <w:w w:val="95"/>
                <w:sz w:val="20"/>
              </w:rPr>
              <w:t>$2,715,813,040</w:t>
            </w:r>
          </w:p>
        </w:tc>
        <w:tc>
          <w:tcPr>
            <w:tcW w:w="1224" w:type="dxa"/>
          </w:tcPr>
          <w:p w:rsidR="00AC40FC" w:rsidRDefault="00AC40FC" w:rsidP="00A51C66">
            <w:pPr>
              <w:pStyle w:val="TableParagraph"/>
              <w:ind w:left="161" w:right="141"/>
              <w:jc w:val="center"/>
              <w:rPr>
                <w:b/>
                <w:sz w:val="20"/>
              </w:rPr>
            </w:pPr>
            <w:r>
              <w:rPr>
                <w:b/>
                <w:sz w:val="20"/>
              </w:rPr>
              <w:t>8.73%</w:t>
            </w:r>
          </w:p>
        </w:tc>
      </w:tr>
      <w:tr w:rsidR="00AC40FC" w:rsidTr="00A51C66">
        <w:trPr>
          <w:trHeight w:hRule="exact" w:val="245"/>
          <w:jc w:val="center"/>
        </w:trPr>
        <w:tc>
          <w:tcPr>
            <w:tcW w:w="14758" w:type="dxa"/>
            <w:gridSpan w:val="7"/>
          </w:tcPr>
          <w:p w:rsidR="00AC40FC" w:rsidRDefault="00AC40FC" w:rsidP="00A51C66">
            <w:pPr>
              <w:pStyle w:val="TableParagraph"/>
              <w:ind w:left="28" w:right="0"/>
              <w:jc w:val="left"/>
              <w:rPr>
                <w:b/>
                <w:sz w:val="20"/>
              </w:rPr>
            </w:pPr>
            <w:r>
              <w:rPr>
                <w:b/>
                <w:sz w:val="20"/>
              </w:rPr>
              <w:t>LONG-TERM DEBT</w:t>
            </w:r>
          </w:p>
        </w:tc>
      </w:tr>
      <w:tr w:rsidR="00AC40FC" w:rsidTr="00A51C66">
        <w:trPr>
          <w:trHeight w:hRule="exact" w:val="245"/>
          <w:jc w:val="center"/>
        </w:trPr>
        <w:tc>
          <w:tcPr>
            <w:tcW w:w="5059" w:type="dxa"/>
          </w:tcPr>
          <w:p w:rsidR="00AC40FC" w:rsidRDefault="00AC40FC" w:rsidP="00A51C66">
            <w:pPr>
              <w:pStyle w:val="TableParagraph"/>
              <w:ind w:left="180" w:right="0"/>
              <w:jc w:val="left"/>
              <w:rPr>
                <w:sz w:val="20"/>
              </w:rPr>
            </w:pPr>
            <w:r>
              <w:rPr>
                <w:sz w:val="20"/>
              </w:rPr>
              <w:t>221.0 Bonds</w:t>
            </w:r>
          </w:p>
        </w:tc>
        <w:tc>
          <w:tcPr>
            <w:tcW w:w="1740" w:type="dxa"/>
          </w:tcPr>
          <w:p w:rsidR="00AC40FC" w:rsidRDefault="00AC40FC" w:rsidP="00A51C66">
            <w:pPr>
              <w:pStyle w:val="TableParagraph"/>
              <w:ind w:left="244" w:right="0"/>
              <w:jc w:val="left"/>
              <w:rPr>
                <w:sz w:val="20"/>
              </w:rPr>
            </w:pPr>
            <w:r>
              <w:rPr>
                <w:sz w:val="20"/>
              </w:rPr>
              <w:t>$1,474,040,000</w:t>
            </w:r>
          </w:p>
        </w:tc>
        <w:tc>
          <w:tcPr>
            <w:tcW w:w="1740" w:type="dxa"/>
          </w:tcPr>
          <w:p w:rsidR="00AC40FC" w:rsidRDefault="00AC40FC" w:rsidP="00A51C66">
            <w:pPr>
              <w:pStyle w:val="TableParagraph"/>
              <w:ind w:left="244" w:right="0"/>
              <w:jc w:val="left"/>
              <w:rPr>
                <w:sz w:val="20"/>
              </w:rPr>
            </w:pPr>
            <w:r>
              <w:rPr>
                <w:sz w:val="20"/>
              </w:rPr>
              <w:t>$1,724,040,000</w:t>
            </w:r>
          </w:p>
        </w:tc>
        <w:tc>
          <w:tcPr>
            <w:tcW w:w="1740" w:type="dxa"/>
          </w:tcPr>
          <w:p w:rsidR="00AC40FC" w:rsidRDefault="00AC40FC" w:rsidP="00A51C66">
            <w:pPr>
              <w:pStyle w:val="TableParagraph"/>
              <w:ind w:left="244" w:right="0"/>
              <w:jc w:val="left"/>
              <w:rPr>
                <w:sz w:val="20"/>
              </w:rPr>
            </w:pPr>
            <w:r>
              <w:rPr>
                <w:sz w:val="20"/>
              </w:rPr>
              <w:t>$1,974,040,000</w:t>
            </w:r>
          </w:p>
        </w:tc>
        <w:tc>
          <w:tcPr>
            <w:tcW w:w="1627" w:type="dxa"/>
          </w:tcPr>
          <w:p w:rsidR="00AC40FC" w:rsidRDefault="00AC40FC" w:rsidP="00A51C66">
            <w:pPr>
              <w:pStyle w:val="TableParagraph"/>
              <w:ind w:left="132" w:right="0"/>
              <w:jc w:val="left"/>
              <w:rPr>
                <w:sz w:val="20"/>
              </w:rPr>
            </w:pPr>
            <w:r>
              <w:rPr>
                <w:sz w:val="20"/>
              </w:rPr>
              <w:t>$2,324,040,000</w:t>
            </w:r>
          </w:p>
        </w:tc>
        <w:tc>
          <w:tcPr>
            <w:tcW w:w="1627" w:type="dxa"/>
          </w:tcPr>
          <w:p w:rsidR="00AC40FC" w:rsidRDefault="00AC40FC" w:rsidP="00A51C66">
            <w:pPr>
              <w:pStyle w:val="TableParagraph"/>
              <w:ind w:right="94"/>
              <w:rPr>
                <w:sz w:val="20"/>
              </w:rPr>
            </w:pPr>
            <w:r>
              <w:rPr>
                <w:w w:val="95"/>
                <w:sz w:val="20"/>
              </w:rPr>
              <w:t>$2,613,750,000</w:t>
            </w:r>
          </w:p>
        </w:tc>
        <w:tc>
          <w:tcPr>
            <w:tcW w:w="1224" w:type="dxa"/>
          </w:tcPr>
          <w:p w:rsidR="00AC40FC" w:rsidRDefault="00AC40FC" w:rsidP="00A51C66">
            <w:pPr>
              <w:pStyle w:val="TableParagraph"/>
              <w:ind w:left="160" w:right="144"/>
              <w:jc w:val="center"/>
              <w:rPr>
                <w:sz w:val="20"/>
              </w:rPr>
            </w:pPr>
            <w:r>
              <w:rPr>
                <w:sz w:val="20"/>
              </w:rPr>
              <w:t>15.40%</w:t>
            </w:r>
          </w:p>
        </w:tc>
      </w:tr>
      <w:tr w:rsidR="00AC40FC" w:rsidTr="00A51C66">
        <w:trPr>
          <w:trHeight w:hRule="exact" w:val="245"/>
          <w:jc w:val="center"/>
        </w:trPr>
        <w:tc>
          <w:tcPr>
            <w:tcW w:w="5059" w:type="dxa"/>
          </w:tcPr>
          <w:p w:rsidR="00AC40FC" w:rsidRDefault="00AC40FC" w:rsidP="00A51C66">
            <w:pPr>
              <w:pStyle w:val="TableParagraph"/>
              <w:ind w:left="180" w:right="0"/>
              <w:jc w:val="left"/>
              <w:rPr>
                <w:sz w:val="20"/>
              </w:rPr>
            </w:pPr>
            <w:r>
              <w:rPr>
                <w:sz w:val="20"/>
              </w:rPr>
              <w:t>222.0 Reacquired Bonds</w:t>
            </w:r>
          </w:p>
        </w:tc>
        <w:tc>
          <w:tcPr>
            <w:tcW w:w="1740" w:type="dxa"/>
          </w:tcPr>
          <w:p w:rsidR="00AC40FC" w:rsidRDefault="00AC40FC" w:rsidP="00A51C66">
            <w:pPr>
              <w:pStyle w:val="TableParagraph"/>
              <w:rPr>
                <w:sz w:val="20"/>
              </w:rPr>
            </w:pPr>
            <w:r>
              <w:rPr>
                <w:w w:val="99"/>
                <w:sz w:val="20"/>
              </w:rPr>
              <w:t>0</w:t>
            </w:r>
          </w:p>
        </w:tc>
        <w:tc>
          <w:tcPr>
            <w:tcW w:w="1740" w:type="dxa"/>
          </w:tcPr>
          <w:p w:rsidR="00AC40FC" w:rsidRDefault="00AC40FC" w:rsidP="00A51C66">
            <w:pPr>
              <w:pStyle w:val="TableParagraph"/>
              <w:rPr>
                <w:sz w:val="20"/>
              </w:rPr>
            </w:pPr>
            <w:r>
              <w:rPr>
                <w:w w:val="99"/>
                <w:sz w:val="20"/>
              </w:rPr>
              <w:t>0</w:t>
            </w:r>
          </w:p>
        </w:tc>
        <w:tc>
          <w:tcPr>
            <w:tcW w:w="1740" w:type="dxa"/>
          </w:tcPr>
          <w:p w:rsidR="00AC40FC" w:rsidRDefault="00AC40FC" w:rsidP="00A51C66">
            <w:pPr>
              <w:pStyle w:val="TableParagraph"/>
              <w:rPr>
                <w:sz w:val="20"/>
              </w:rPr>
            </w:pPr>
            <w:r>
              <w:rPr>
                <w:w w:val="99"/>
                <w:sz w:val="20"/>
              </w:rPr>
              <w:t>0</w:t>
            </w:r>
          </w:p>
        </w:tc>
        <w:tc>
          <w:tcPr>
            <w:tcW w:w="1627" w:type="dxa"/>
          </w:tcPr>
          <w:p w:rsidR="00AC40FC" w:rsidRDefault="00AC40FC" w:rsidP="00A51C66">
            <w:pPr>
              <w:pStyle w:val="TableParagraph"/>
              <w:rPr>
                <w:sz w:val="20"/>
              </w:rPr>
            </w:pPr>
            <w:r>
              <w:rPr>
                <w:w w:val="99"/>
                <w:sz w:val="20"/>
              </w:rPr>
              <w:t>0</w:t>
            </w:r>
          </w:p>
        </w:tc>
        <w:tc>
          <w:tcPr>
            <w:tcW w:w="1627" w:type="dxa"/>
          </w:tcPr>
          <w:p w:rsidR="00AC40FC" w:rsidRDefault="00AC40FC" w:rsidP="00A51C66">
            <w:pPr>
              <w:pStyle w:val="TableParagraph"/>
              <w:rPr>
                <w:sz w:val="20"/>
              </w:rPr>
            </w:pPr>
            <w:r>
              <w:rPr>
                <w:w w:val="99"/>
                <w:sz w:val="20"/>
              </w:rPr>
              <w:t>0</w:t>
            </w:r>
          </w:p>
        </w:tc>
        <w:tc>
          <w:tcPr>
            <w:tcW w:w="1224" w:type="dxa"/>
          </w:tcPr>
          <w:p w:rsidR="00AC40FC" w:rsidRDefault="00AC40FC" w:rsidP="00A51C66">
            <w:pPr>
              <w:pStyle w:val="TableParagraph"/>
              <w:ind w:left="161" w:right="143"/>
              <w:jc w:val="center"/>
              <w:rPr>
                <w:sz w:val="20"/>
              </w:rPr>
            </w:pPr>
            <w:r>
              <w:rPr>
                <w:sz w:val="20"/>
              </w:rPr>
              <w:t>NM</w:t>
            </w:r>
          </w:p>
        </w:tc>
      </w:tr>
      <w:tr w:rsidR="00AC40FC" w:rsidTr="00A51C66">
        <w:trPr>
          <w:trHeight w:hRule="exact" w:val="245"/>
          <w:jc w:val="center"/>
        </w:trPr>
        <w:tc>
          <w:tcPr>
            <w:tcW w:w="5059" w:type="dxa"/>
          </w:tcPr>
          <w:p w:rsidR="00AC40FC" w:rsidRDefault="00AC40FC" w:rsidP="00A51C66">
            <w:pPr>
              <w:pStyle w:val="TableParagraph"/>
              <w:ind w:left="180" w:right="0"/>
              <w:jc w:val="left"/>
              <w:rPr>
                <w:sz w:val="20"/>
              </w:rPr>
            </w:pPr>
            <w:r>
              <w:rPr>
                <w:sz w:val="20"/>
              </w:rPr>
              <w:t>223.0 Advances from Associated Companies</w:t>
            </w:r>
          </w:p>
        </w:tc>
        <w:tc>
          <w:tcPr>
            <w:tcW w:w="1740" w:type="dxa"/>
          </w:tcPr>
          <w:p w:rsidR="00AC40FC" w:rsidRDefault="00AC40FC" w:rsidP="00A51C66">
            <w:pPr>
              <w:pStyle w:val="TableParagraph"/>
              <w:rPr>
                <w:sz w:val="20"/>
              </w:rPr>
            </w:pPr>
            <w:r>
              <w:rPr>
                <w:w w:val="99"/>
                <w:sz w:val="20"/>
              </w:rPr>
              <w:t>0</w:t>
            </w:r>
          </w:p>
        </w:tc>
        <w:tc>
          <w:tcPr>
            <w:tcW w:w="1740" w:type="dxa"/>
          </w:tcPr>
          <w:p w:rsidR="00AC40FC" w:rsidRDefault="00AC40FC" w:rsidP="00A51C66">
            <w:pPr>
              <w:pStyle w:val="TableParagraph"/>
              <w:rPr>
                <w:sz w:val="20"/>
              </w:rPr>
            </w:pPr>
            <w:r>
              <w:rPr>
                <w:w w:val="99"/>
                <w:sz w:val="20"/>
              </w:rPr>
              <w:t>0</w:t>
            </w:r>
          </w:p>
        </w:tc>
        <w:tc>
          <w:tcPr>
            <w:tcW w:w="1740" w:type="dxa"/>
          </w:tcPr>
          <w:p w:rsidR="00AC40FC" w:rsidRDefault="00AC40FC" w:rsidP="00A51C66">
            <w:pPr>
              <w:pStyle w:val="TableParagraph"/>
              <w:rPr>
                <w:sz w:val="20"/>
              </w:rPr>
            </w:pPr>
            <w:r>
              <w:rPr>
                <w:w w:val="99"/>
                <w:sz w:val="20"/>
              </w:rPr>
              <w:t>0</w:t>
            </w:r>
          </w:p>
        </w:tc>
        <w:tc>
          <w:tcPr>
            <w:tcW w:w="1627" w:type="dxa"/>
          </w:tcPr>
          <w:p w:rsidR="00AC40FC" w:rsidRDefault="00AC40FC" w:rsidP="00A51C66">
            <w:pPr>
              <w:pStyle w:val="TableParagraph"/>
              <w:rPr>
                <w:sz w:val="20"/>
              </w:rPr>
            </w:pPr>
            <w:r>
              <w:rPr>
                <w:w w:val="99"/>
                <w:sz w:val="20"/>
              </w:rPr>
              <w:t>0</w:t>
            </w:r>
          </w:p>
        </w:tc>
        <w:tc>
          <w:tcPr>
            <w:tcW w:w="1627" w:type="dxa"/>
          </w:tcPr>
          <w:p w:rsidR="00AC40FC" w:rsidRDefault="00AC40FC" w:rsidP="00A51C66">
            <w:pPr>
              <w:pStyle w:val="TableParagraph"/>
              <w:rPr>
                <w:sz w:val="20"/>
              </w:rPr>
            </w:pPr>
            <w:r>
              <w:rPr>
                <w:w w:val="99"/>
                <w:sz w:val="20"/>
              </w:rPr>
              <w:t>0</w:t>
            </w:r>
          </w:p>
        </w:tc>
        <w:tc>
          <w:tcPr>
            <w:tcW w:w="1224" w:type="dxa"/>
          </w:tcPr>
          <w:p w:rsidR="00AC40FC" w:rsidRDefault="00AC40FC" w:rsidP="00A51C66">
            <w:pPr>
              <w:pStyle w:val="TableParagraph"/>
              <w:ind w:left="161" w:right="143"/>
              <w:jc w:val="center"/>
              <w:rPr>
                <w:sz w:val="20"/>
              </w:rPr>
            </w:pPr>
            <w:r>
              <w:rPr>
                <w:sz w:val="20"/>
              </w:rPr>
              <w:t>NM</w:t>
            </w:r>
          </w:p>
        </w:tc>
      </w:tr>
      <w:tr w:rsidR="00AC40FC" w:rsidTr="00A51C66">
        <w:trPr>
          <w:trHeight w:hRule="exact" w:val="245"/>
          <w:jc w:val="center"/>
        </w:trPr>
        <w:tc>
          <w:tcPr>
            <w:tcW w:w="5059" w:type="dxa"/>
          </w:tcPr>
          <w:p w:rsidR="00AC40FC" w:rsidRDefault="00AC40FC" w:rsidP="00A51C66">
            <w:pPr>
              <w:pStyle w:val="TableParagraph"/>
              <w:ind w:left="180" w:right="0"/>
              <w:jc w:val="left"/>
              <w:rPr>
                <w:sz w:val="20"/>
              </w:rPr>
            </w:pPr>
            <w:r>
              <w:rPr>
                <w:sz w:val="20"/>
              </w:rPr>
              <w:t>224.0 Other Long-Term Debt</w:t>
            </w:r>
          </w:p>
        </w:tc>
        <w:tc>
          <w:tcPr>
            <w:tcW w:w="1740" w:type="dxa"/>
          </w:tcPr>
          <w:p w:rsidR="00AC40FC" w:rsidRDefault="00AC40FC" w:rsidP="00A51C66">
            <w:pPr>
              <w:pStyle w:val="TableParagraph"/>
              <w:rPr>
                <w:sz w:val="20"/>
              </w:rPr>
            </w:pPr>
            <w:r>
              <w:rPr>
                <w:w w:val="99"/>
                <w:sz w:val="20"/>
              </w:rPr>
              <w:t>0</w:t>
            </w:r>
          </w:p>
        </w:tc>
        <w:tc>
          <w:tcPr>
            <w:tcW w:w="1740" w:type="dxa"/>
          </w:tcPr>
          <w:p w:rsidR="00AC40FC" w:rsidRDefault="00AC40FC" w:rsidP="00A51C66">
            <w:pPr>
              <w:pStyle w:val="TableParagraph"/>
              <w:rPr>
                <w:sz w:val="20"/>
              </w:rPr>
            </w:pPr>
            <w:r>
              <w:rPr>
                <w:w w:val="99"/>
                <w:sz w:val="20"/>
              </w:rPr>
              <w:t>0</w:t>
            </w:r>
          </w:p>
        </w:tc>
        <w:tc>
          <w:tcPr>
            <w:tcW w:w="1740" w:type="dxa"/>
          </w:tcPr>
          <w:p w:rsidR="00AC40FC" w:rsidRDefault="00AC40FC" w:rsidP="00A51C66">
            <w:pPr>
              <w:pStyle w:val="TableParagraph"/>
              <w:rPr>
                <w:sz w:val="20"/>
              </w:rPr>
            </w:pPr>
            <w:r>
              <w:rPr>
                <w:w w:val="99"/>
                <w:sz w:val="20"/>
              </w:rPr>
              <w:t>0</w:t>
            </w:r>
          </w:p>
        </w:tc>
        <w:tc>
          <w:tcPr>
            <w:tcW w:w="1627" w:type="dxa"/>
          </w:tcPr>
          <w:p w:rsidR="00AC40FC" w:rsidRDefault="00AC40FC" w:rsidP="00A51C66">
            <w:pPr>
              <w:pStyle w:val="TableParagraph"/>
              <w:rPr>
                <w:sz w:val="20"/>
              </w:rPr>
            </w:pPr>
            <w:r>
              <w:rPr>
                <w:w w:val="99"/>
                <w:sz w:val="20"/>
              </w:rPr>
              <w:t>0</w:t>
            </w:r>
          </w:p>
        </w:tc>
        <w:tc>
          <w:tcPr>
            <w:tcW w:w="1627" w:type="dxa"/>
          </w:tcPr>
          <w:p w:rsidR="00AC40FC" w:rsidRDefault="00AC40FC" w:rsidP="00A51C66">
            <w:pPr>
              <w:pStyle w:val="TableParagraph"/>
              <w:ind w:right="92"/>
              <w:rPr>
                <w:sz w:val="20"/>
              </w:rPr>
            </w:pPr>
            <w:r>
              <w:rPr>
                <w:w w:val="99"/>
                <w:sz w:val="20"/>
              </w:rPr>
              <w:t>0</w:t>
            </w:r>
          </w:p>
        </w:tc>
        <w:tc>
          <w:tcPr>
            <w:tcW w:w="1224" w:type="dxa"/>
          </w:tcPr>
          <w:p w:rsidR="00AC40FC" w:rsidRDefault="00AC40FC" w:rsidP="00A51C66">
            <w:pPr>
              <w:pStyle w:val="TableParagraph"/>
              <w:ind w:left="161" w:right="143"/>
              <w:jc w:val="center"/>
              <w:rPr>
                <w:sz w:val="20"/>
              </w:rPr>
            </w:pPr>
            <w:r>
              <w:rPr>
                <w:sz w:val="20"/>
              </w:rPr>
              <w:t>NM</w:t>
            </w:r>
          </w:p>
        </w:tc>
      </w:tr>
      <w:tr w:rsidR="00AC40FC" w:rsidTr="00A51C66">
        <w:trPr>
          <w:trHeight w:hRule="exact" w:val="245"/>
          <w:jc w:val="center"/>
        </w:trPr>
        <w:tc>
          <w:tcPr>
            <w:tcW w:w="5059" w:type="dxa"/>
          </w:tcPr>
          <w:p w:rsidR="00AC40FC" w:rsidRDefault="00AC40FC" w:rsidP="00A51C66">
            <w:pPr>
              <w:pStyle w:val="TableParagraph"/>
              <w:ind w:left="180" w:right="0"/>
              <w:jc w:val="left"/>
              <w:rPr>
                <w:sz w:val="20"/>
              </w:rPr>
            </w:pPr>
            <w:r>
              <w:rPr>
                <w:sz w:val="20"/>
              </w:rPr>
              <w:t>225.0 Unamortized Premium on Long-Term Debt</w:t>
            </w:r>
          </w:p>
        </w:tc>
        <w:tc>
          <w:tcPr>
            <w:tcW w:w="1740" w:type="dxa"/>
          </w:tcPr>
          <w:p w:rsidR="00AC40FC" w:rsidRDefault="00AC40FC" w:rsidP="00A51C66">
            <w:pPr>
              <w:pStyle w:val="TableParagraph"/>
              <w:rPr>
                <w:sz w:val="20"/>
              </w:rPr>
            </w:pPr>
            <w:r>
              <w:rPr>
                <w:sz w:val="20"/>
              </w:rPr>
              <w:t>12,540</w:t>
            </w:r>
          </w:p>
        </w:tc>
        <w:tc>
          <w:tcPr>
            <w:tcW w:w="1740" w:type="dxa"/>
          </w:tcPr>
          <w:p w:rsidR="00AC40FC" w:rsidRDefault="00AC40FC" w:rsidP="00A51C66">
            <w:pPr>
              <w:pStyle w:val="TableParagraph"/>
              <w:ind w:right="92"/>
              <w:rPr>
                <w:sz w:val="20"/>
              </w:rPr>
            </w:pPr>
            <w:r>
              <w:rPr>
                <w:w w:val="99"/>
                <w:sz w:val="20"/>
              </w:rPr>
              <w:t>0</w:t>
            </w:r>
          </w:p>
        </w:tc>
        <w:tc>
          <w:tcPr>
            <w:tcW w:w="1740" w:type="dxa"/>
          </w:tcPr>
          <w:p w:rsidR="00AC40FC" w:rsidRDefault="00AC40FC" w:rsidP="00A51C66">
            <w:pPr>
              <w:pStyle w:val="TableParagraph"/>
              <w:ind w:right="92"/>
              <w:rPr>
                <w:sz w:val="20"/>
              </w:rPr>
            </w:pPr>
            <w:r>
              <w:rPr>
                <w:w w:val="99"/>
                <w:sz w:val="20"/>
              </w:rPr>
              <w:t>0</w:t>
            </w:r>
          </w:p>
        </w:tc>
        <w:tc>
          <w:tcPr>
            <w:tcW w:w="1627" w:type="dxa"/>
          </w:tcPr>
          <w:p w:rsidR="00AC40FC" w:rsidRDefault="00AC40FC" w:rsidP="00A51C66">
            <w:pPr>
              <w:pStyle w:val="TableParagraph"/>
              <w:ind w:right="92"/>
              <w:rPr>
                <w:sz w:val="20"/>
              </w:rPr>
            </w:pPr>
            <w:r>
              <w:rPr>
                <w:w w:val="99"/>
                <w:sz w:val="20"/>
              </w:rPr>
              <w:t>0</w:t>
            </w:r>
          </w:p>
        </w:tc>
        <w:tc>
          <w:tcPr>
            <w:tcW w:w="1627" w:type="dxa"/>
          </w:tcPr>
          <w:p w:rsidR="00AC40FC" w:rsidRDefault="00AC40FC" w:rsidP="00A51C66">
            <w:pPr>
              <w:pStyle w:val="TableParagraph"/>
              <w:ind w:right="92"/>
              <w:rPr>
                <w:sz w:val="20"/>
              </w:rPr>
            </w:pPr>
            <w:r>
              <w:rPr>
                <w:w w:val="99"/>
                <w:sz w:val="20"/>
              </w:rPr>
              <w:t>0</w:t>
            </w:r>
          </w:p>
        </w:tc>
        <w:tc>
          <w:tcPr>
            <w:tcW w:w="1224" w:type="dxa"/>
          </w:tcPr>
          <w:p w:rsidR="00AC40FC" w:rsidRDefault="00AC40FC" w:rsidP="00A51C66">
            <w:pPr>
              <w:pStyle w:val="TableParagraph"/>
              <w:ind w:left="161" w:right="144"/>
              <w:jc w:val="center"/>
              <w:rPr>
                <w:sz w:val="20"/>
              </w:rPr>
            </w:pPr>
            <w:r>
              <w:rPr>
                <w:sz w:val="20"/>
              </w:rPr>
              <w:t>-100.00%</w:t>
            </w:r>
          </w:p>
        </w:tc>
      </w:tr>
      <w:tr w:rsidR="00AC40FC" w:rsidTr="00A51C66">
        <w:trPr>
          <w:trHeight w:hRule="exact" w:val="245"/>
          <w:jc w:val="center"/>
        </w:trPr>
        <w:tc>
          <w:tcPr>
            <w:tcW w:w="5059" w:type="dxa"/>
          </w:tcPr>
          <w:p w:rsidR="00AC40FC" w:rsidRDefault="00AC40FC" w:rsidP="00A51C66">
            <w:pPr>
              <w:pStyle w:val="TableParagraph"/>
              <w:ind w:left="180" w:right="0"/>
              <w:jc w:val="left"/>
              <w:rPr>
                <w:sz w:val="20"/>
              </w:rPr>
            </w:pPr>
            <w:r>
              <w:rPr>
                <w:sz w:val="20"/>
              </w:rPr>
              <w:t>226.0 Unamortized Discount on Long-Term Debt</w:t>
            </w:r>
          </w:p>
        </w:tc>
        <w:tc>
          <w:tcPr>
            <w:tcW w:w="1740" w:type="dxa"/>
          </w:tcPr>
          <w:p w:rsidR="00AC40FC" w:rsidRDefault="00AC40FC" w:rsidP="00A51C66">
            <w:pPr>
              <w:pStyle w:val="TableParagraph"/>
              <w:ind w:right="27"/>
              <w:rPr>
                <w:sz w:val="20"/>
              </w:rPr>
            </w:pPr>
            <w:r>
              <w:rPr>
                <w:color w:val="FF0000"/>
                <w:w w:val="95"/>
                <w:sz w:val="20"/>
              </w:rPr>
              <w:t>(1,988,356)</w:t>
            </w:r>
          </w:p>
        </w:tc>
        <w:tc>
          <w:tcPr>
            <w:tcW w:w="1740" w:type="dxa"/>
          </w:tcPr>
          <w:p w:rsidR="00AC40FC" w:rsidRDefault="00AC40FC" w:rsidP="00A51C66">
            <w:pPr>
              <w:pStyle w:val="TableParagraph"/>
              <w:ind w:right="27"/>
              <w:rPr>
                <w:sz w:val="20"/>
              </w:rPr>
            </w:pPr>
            <w:r>
              <w:rPr>
                <w:color w:val="FF0000"/>
                <w:w w:val="95"/>
                <w:sz w:val="20"/>
              </w:rPr>
              <w:t>(6,253,320)</w:t>
            </w:r>
          </w:p>
        </w:tc>
        <w:tc>
          <w:tcPr>
            <w:tcW w:w="1740" w:type="dxa"/>
          </w:tcPr>
          <w:p w:rsidR="00AC40FC" w:rsidRDefault="00AC40FC" w:rsidP="00A51C66">
            <w:pPr>
              <w:pStyle w:val="TableParagraph"/>
              <w:ind w:right="27"/>
              <w:rPr>
                <w:sz w:val="20"/>
              </w:rPr>
            </w:pPr>
            <w:r>
              <w:rPr>
                <w:color w:val="FF0000"/>
                <w:w w:val="95"/>
                <w:sz w:val="20"/>
              </w:rPr>
              <w:t>(6,623,525)</w:t>
            </w:r>
          </w:p>
        </w:tc>
        <w:tc>
          <w:tcPr>
            <w:tcW w:w="1627" w:type="dxa"/>
          </w:tcPr>
          <w:p w:rsidR="00AC40FC" w:rsidRDefault="00AC40FC" w:rsidP="00A51C66">
            <w:pPr>
              <w:pStyle w:val="TableParagraph"/>
              <w:ind w:right="27"/>
              <w:rPr>
                <w:sz w:val="20"/>
              </w:rPr>
            </w:pPr>
            <w:r>
              <w:rPr>
                <w:color w:val="FF0000"/>
                <w:w w:val="95"/>
                <w:sz w:val="20"/>
              </w:rPr>
              <w:t>(8,311,942)</w:t>
            </w:r>
          </w:p>
        </w:tc>
        <w:tc>
          <w:tcPr>
            <w:tcW w:w="1627" w:type="dxa"/>
          </w:tcPr>
          <w:p w:rsidR="00AC40FC" w:rsidRDefault="00AC40FC" w:rsidP="00A51C66">
            <w:pPr>
              <w:pStyle w:val="TableParagraph"/>
              <w:ind w:right="27"/>
              <w:rPr>
                <w:sz w:val="20"/>
              </w:rPr>
            </w:pPr>
            <w:r>
              <w:rPr>
                <w:color w:val="FF0000"/>
                <w:w w:val="95"/>
                <w:sz w:val="20"/>
              </w:rPr>
              <w:t>(11,252,895)</w:t>
            </w:r>
          </w:p>
        </w:tc>
        <w:tc>
          <w:tcPr>
            <w:tcW w:w="1224" w:type="dxa"/>
          </w:tcPr>
          <w:p w:rsidR="00AC40FC" w:rsidRDefault="00AC40FC" w:rsidP="00A51C66">
            <w:pPr>
              <w:pStyle w:val="TableParagraph"/>
              <w:ind w:left="161" w:right="144"/>
              <w:jc w:val="center"/>
              <w:rPr>
                <w:sz w:val="20"/>
              </w:rPr>
            </w:pPr>
            <w:r>
              <w:rPr>
                <w:sz w:val="20"/>
              </w:rPr>
              <w:t>54.24%</w:t>
            </w:r>
          </w:p>
        </w:tc>
      </w:tr>
      <w:tr w:rsidR="00AC40FC" w:rsidTr="00A51C66">
        <w:trPr>
          <w:trHeight w:hRule="exact" w:val="245"/>
          <w:jc w:val="center"/>
        </w:trPr>
        <w:tc>
          <w:tcPr>
            <w:tcW w:w="5059" w:type="dxa"/>
          </w:tcPr>
          <w:p w:rsidR="00AC40FC" w:rsidRDefault="00AC40FC" w:rsidP="00A51C66">
            <w:pPr>
              <w:pStyle w:val="TableParagraph"/>
              <w:ind w:right="29"/>
              <w:rPr>
                <w:b/>
                <w:sz w:val="20"/>
              </w:rPr>
            </w:pPr>
            <w:r>
              <w:rPr>
                <w:b/>
                <w:sz w:val="20"/>
              </w:rPr>
              <w:t>TOTAL LONG-TERM DEBT</w:t>
            </w:r>
          </w:p>
        </w:tc>
        <w:tc>
          <w:tcPr>
            <w:tcW w:w="1740" w:type="dxa"/>
          </w:tcPr>
          <w:p w:rsidR="00AC40FC" w:rsidRDefault="00AC40FC" w:rsidP="00A51C66">
            <w:pPr>
              <w:pStyle w:val="TableParagraph"/>
              <w:ind w:left="244" w:right="0"/>
              <w:jc w:val="left"/>
              <w:rPr>
                <w:b/>
                <w:sz w:val="20"/>
              </w:rPr>
            </w:pPr>
            <w:r>
              <w:rPr>
                <w:b/>
                <w:sz w:val="20"/>
              </w:rPr>
              <w:t>$1,472,064,184</w:t>
            </w:r>
          </w:p>
        </w:tc>
        <w:tc>
          <w:tcPr>
            <w:tcW w:w="1740" w:type="dxa"/>
          </w:tcPr>
          <w:p w:rsidR="00AC40FC" w:rsidRDefault="00AC40FC" w:rsidP="00A51C66">
            <w:pPr>
              <w:pStyle w:val="TableParagraph"/>
              <w:ind w:left="244" w:right="0"/>
              <w:jc w:val="left"/>
              <w:rPr>
                <w:b/>
                <w:sz w:val="20"/>
              </w:rPr>
            </w:pPr>
            <w:r>
              <w:rPr>
                <w:b/>
                <w:sz w:val="20"/>
              </w:rPr>
              <w:t>$1,717,786,680</w:t>
            </w:r>
          </w:p>
        </w:tc>
        <w:tc>
          <w:tcPr>
            <w:tcW w:w="1740" w:type="dxa"/>
          </w:tcPr>
          <w:p w:rsidR="00AC40FC" w:rsidRDefault="00AC40FC" w:rsidP="00A51C66">
            <w:pPr>
              <w:pStyle w:val="TableParagraph"/>
              <w:ind w:left="244" w:right="0"/>
              <w:jc w:val="left"/>
              <w:rPr>
                <w:b/>
                <w:sz w:val="20"/>
              </w:rPr>
            </w:pPr>
            <w:r>
              <w:rPr>
                <w:b/>
                <w:sz w:val="20"/>
              </w:rPr>
              <w:t>$1,967,416,475</w:t>
            </w:r>
          </w:p>
        </w:tc>
        <w:tc>
          <w:tcPr>
            <w:tcW w:w="1627" w:type="dxa"/>
          </w:tcPr>
          <w:p w:rsidR="00AC40FC" w:rsidRDefault="00AC40FC" w:rsidP="00A51C66">
            <w:pPr>
              <w:pStyle w:val="TableParagraph"/>
              <w:ind w:left="132" w:right="0"/>
              <w:jc w:val="left"/>
              <w:rPr>
                <w:b/>
                <w:sz w:val="20"/>
              </w:rPr>
            </w:pPr>
            <w:r>
              <w:rPr>
                <w:b/>
                <w:sz w:val="20"/>
              </w:rPr>
              <w:t>$2,315,728,058</w:t>
            </w:r>
          </w:p>
        </w:tc>
        <w:tc>
          <w:tcPr>
            <w:tcW w:w="1627" w:type="dxa"/>
          </w:tcPr>
          <w:p w:rsidR="00AC40FC" w:rsidRDefault="00AC40FC" w:rsidP="00A51C66">
            <w:pPr>
              <w:pStyle w:val="TableParagraph"/>
              <w:ind w:right="94"/>
              <w:rPr>
                <w:b/>
                <w:sz w:val="20"/>
              </w:rPr>
            </w:pPr>
            <w:r>
              <w:rPr>
                <w:b/>
                <w:w w:val="95"/>
                <w:sz w:val="20"/>
              </w:rPr>
              <w:t>$2,602,497,105</w:t>
            </w:r>
          </w:p>
        </w:tc>
        <w:tc>
          <w:tcPr>
            <w:tcW w:w="1224" w:type="dxa"/>
          </w:tcPr>
          <w:p w:rsidR="00AC40FC" w:rsidRDefault="00AC40FC" w:rsidP="00A51C66">
            <w:pPr>
              <w:pStyle w:val="TableParagraph"/>
              <w:ind w:left="161" w:right="141"/>
              <w:jc w:val="center"/>
              <w:rPr>
                <w:b/>
                <w:sz w:val="20"/>
              </w:rPr>
            </w:pPr>
            <w:r>
              <w:rPr>
                <w:b/>
                <w:sz w:val="20"/>
              </w:rPr>
              <w:t>15.31%</w:t>
            </w:r>
          </w:p>
        </w:tc>
      </w:tr>
      <w:tr w:rsidR="00AC40FC" w:rsidTr="00A51C66">
        <w:trPr>
          <w:trHeight w:hRule="exact" w:val="245"/>
          <w:jc w:val="center"/>
        </w:trPr>
        <w:tc>
          <w:tcPr>
            <w:tcW w:w="14758" w:type="dxa"/>
            <w:gridSpan w:val="7"/>
          </w:tcPr>
          <w:p w:rsidR="00AC40FC" w:rsidRDefault="00AC40FC" w:rsidP="00A51C66">
            <w:pPr>
              <w:pStyle w:val="TableParagraph"/>
              <w:ind w:left="28" w:right="0"/>
              <w:jc w:val="left"/>
              <w:rPr>
                <w:b/>
                <w:sz w:val="20"/>
              </w:rPr>
            </w:pPr>
            <w:r>
              <w:rPr>
                <w:b/>
                <w:sz w:val="20"/>
              </w:rPr>
              <w:t>OTHER NONCURRENT LIABILITIES</w:t>
            </w:r>
          </w:p>
        </w:tc>
      </w:tr>
      <w:tr w:rsidR="00AC40FC" w:rsidTr="00A51C66">
        <w:trPr>
          <w:trHeight w:hRule="exact" w:val="245"/>
          <w:jc w:val="center"/>
        </w:trPr>
        <w:tc>
          <w:tcPr>
            <w:tcW w:w="5059" w:type="dxa"/>
          </w:tcPr>
          <w:p w:rsidR="00AC40FC" w:rsidRDefault="00AC40FC" w:rsidP="00A51C66">
            <w:pPr>
              <w:pStyle w:val="TableParagraph"/>
              <w:ind w:left="180" w:right="0"/>
              <w:jc w:val="left"/>
              <w:rPr>
                <w:sz w:val="20"/>
              </w:rPr>
            </w:pPr>
            <w:r>
              <w:rPr>
                <w:sz w:val="20"/>
              </w:rPr>
              <w:t>227.0 Obligations Under Capital Leases-Noncurrent</w:t>
            </w:r>
          </w:p>
        </w:tc>
        <w:tc>
          <w:tcPr>
            <w:tcW w:w="1740" w:type="dxa"/>
          </w:tcPr>
          <w:p w:rsidR="00AC40FC" w:rsidRDefault="00AC40FC" w:rsidP="00A51C66">
            <w:pPr>
              <w:pStyle w:val="TableParagraph"/>
              <w:ind w:right="94"/>
              <w:rPr>
                <w:sz w:val="20"/>
              </w:rPr>
            </w:pPr>
            <w:r>
              <w:rPr>
                <w:sz w:val="20"/>
              </w:rPr>
              <w:t>$0</w:t>
            </w:r>
          </w:p>
        </w:tc>
        <w:tc>
          <w:tcPr>
            <w:tcW w:w="1740" w:type="dxa"/>
          </w:tcPr>
          <w:p w:rsidR="00AC40FC" w:rsidRDefault="00AC40FC" w:rsidP="00A51C66">
            <w:pPr>
              <w:pStyle w:val="TableParagraph"/>
              <w:ind w:right="94"/>
              <w:rPr>
                <w:sz w:val="20"/>
              </w:rPr>
            </w:pPr>
            <w:r>
              <w:rPr>
                <w:sz w:val="20"/>
              </w:rPr>
              <w:t>$0</w:t>
            </w:r>
          </w:p>
        </w:tc>
        <w:tc>
          <w:tcPr>
            <w:tcW w:w="1740" w:type="dxa"/>
          </w:tcPr>
          <w:p w:rsidR="00AC40FC" w:rsidRDefault="00AC40FC" w:rsidP="00A51C66">
            <w:pPr>
              <w:pStyle w:val="TableParagraph"/>
              <w:ind w:right="94"/>
              <w:rPr>
                <w:sz w:val="20"/>
              </w:rPr>
            </w:pPr>
            <w:r>
              <w:rPr>
                <w:sz w:val="20"/>
              </w:rPr>
              <w:t>$0</w:t>
            </w:r>
          </w:p>
        </w:tc>
        <w:tc>
          <w:tcPr>
            <w:tcW w:w="1627" w:type="dxa"/>
          </w:tcPr>
          <w:p w:rsidR="00AC40FC" w:rsidRDefault="00AC40FC" w:rsidP="00A51C66">
            <w:pPr>
              <w:pStyle w:val="TableParagraph"/>
              <w:ind w:right="94"/>
              <w:rPr>
                <w:sz w:val="20"/>
              </w:rPr>
            </w:pPr>
            <w:r>
              <w:rPr>
                <w:sz w:val="20"/>
              </w:rPr>
              <w:t>$0</w:t>
            </w:r>
          </w:p>
        </w:tc>
        <w:tc>
          <w:tcPr>
            <w:tcW w:w="1627" w:type="dxa"/>
          </w:tcPr>
          <w:p w:rsidR="00AC40FC" w:rsidRDefault="00AC40FC" w:rsidP="00A51C66">
            <w:pPr>
              <w:pStyle w:val="TableParagraph"/>
              <w:rPr>
                <w:sz w:val="20"/>
              </w:rPr>
            </w:pPr>
            <w:r>
              <w:rPr>
                <w:sz w:val="20"/>
              </w:rPr>
              <w:t>$0</w:t>
            </w:r>
          </w:p>
        </w:tc>
        <w:tc>
          <w:tcPr>
            <w:tcW w:w="1224" w:type="dxa"/>
          </w:tcPr>
          <w:p w:rsidR="00AC40FC" w:rsidRDefault="00AC40FC" w:rsidP="00A51C66">
            <w:pPr>
              <w:pStyle w:val="TableParagraph"/>
              <w:ind w:left="161" w:right="144"/>
              <w:jc w:val="center"/>
              <w:rPr>
                <w:sz w:val="20"/>
              </w:rPr>
            </w:pPr>
            <w:r>
              <w:rPr>
                <w:sz w:val="20"/>
              </w:rPr>
              <w:t>NM</w:t>
            </w:r>
          </w:p>
        </w:tc>
      </w:tr>
      <w:tr w:rsidR="00AC40FC" w:rsidTr="00A51C66">
        <w:trPr>
          <w:trHeight w:hRule="exact" w:val="245"/>
          <w:jc w:val="center"/>
        </w:trPr>
        <w:tc>
          <w:tcPr>
            <w:tcW w:w="5059" w:type="dxa"/>
          </w:tcPr>
          <w:p w:rsidR="00AC40FC" w:rsidRDefault="00AC40FC" w:rsidP="00A51C66">
            <w:pPr>
              <w:pStyle w:val="TableParagraph"/>
              <w:ind w:left="180" w:right="0"/>
              <w:jc w:val="left"/>
              <w:rPr>
                <w:sz w:val="20"/>
              </w:rPr>
            </w:pPr>
            <w:r>
              <w:rPr>
                <w:sz w:val="20"/>
              </w:rPr>
              <w:t>228.1 Accumulated Provision for Property Insurance</w:t>
            </w:r>
          </w:p>
        </w:tc>
        <w:tc>
          <w:tcPr>
            <w:tcW w:w="1740" w:type="dxa"/>
          </w:tcPr>
          <w:p w:rsidR="00AC40FC" w:rsidRDefault="00AC40FC" w:rsidP="00A51C66">
            <w:pPr>
              <w:pStyle w:val="TableParagraph"/>
              <w:rPr>
                <w:sz w:val="20"/>
              </w:rPr>
            </w:pPr>
            <w:r>
              <w:rPr>
                <w:w w:val="99"/>
                <w:sz w:val="20"/>
              </w:rPr>
              <w:t>0</w:t>
            </w:r>
          </w:p>
        </w:tc>
        <w:tc>
          <w:tcPr>
            <w:tcW w:w="1740" w:type="dxa"/>
          </w:tcPr>
          <w:p w:rsidR="00AC40FC" w:rsidRDefault="00AC40FC" w:rsidP="00A51C66">
            <w:pPr>
              <w:pStyle w:val="TableParagraph"/>
              <w:rPr>
                <w:sz w:val="20"/>
              </w:rPr>
            </w:pPr>
            <w:r>
              <w:rPr>
                <w:w w:val="99"/>
                <w:sz w:val="20"/>
              </w:rPr>
              <w:t>0</w:t>
            </w:r>
          </w:p>
        </w:tc>
        <w:tc>
          <w:tcPr>
            <w:tcW w:w="1740" w:type="dxa"/>
          </w:tcPr>
          <w:p w:rsidR="00AC40FC" w:rsidRDefault="00AC40FC" w:rsidP="00A51C66">
            <w:pPr>
              <w:pStyle w:val="TableParagraph"/>
              <w:rPr>
                <w:sz w:val="20"/>
              </w:rPr>
            </w:pPr>
            <w:r>
              <w:rPr>
                <w:w w:val="99"/>
                <w:sz w:val="20"/>
              </w:rPr>
              <w:t>0</w:t>
            </w:r>
          </w:p>
        </w:tc>
        <w:tc>
          <w:tcPr>
            <w:tcW w:w="1627" w:type="dxa"/>
          </w:tcPr>
          <w:p w:rsidR="00AC40FC" w:rsidRDefault="00AC40FC" w:rsidP="00A51C66">
            <w:pPr>
              <w:pStyle w:val="TableParagraph"/>
              <w:rPr>
                <w:sz w:val="20"/>
              </w:rPr>
            </w:pPr>
            <w:r>
              <w:rPr>
                <w:w w:val="99"/>
                <w:sz w:val="20"/>
              </w:rPr>
              <w:t>0</w:t>
            </w:r>
          </w:p>
        </w:tc>
        <w:tc>
          <w:tcPr>
            <w:tcW w:w="1627" w:type="dxa"/>
          </w:tcPr>
          <w:p w:rsidR="00AC40FC" w:rsidRDefault="00AC40FC" w:rsidP="00A51C66">
            <w:pPr>
              <w:pStyle w:val="TableParagraph"/>
              <w:rPr>
                <w:sz w:val="20"/>
              </w:rPr>
            </w:pPr>
            <w:r>
              <w:rPr>
                <w:w w:val="99"/>
                <w:sz w:val="20"/>
              </w:rPr>
              <w:t>0</w:t>
            </w:r>
          </w:p>
        </w:tc>
        <w:tc>
          <w:tcPr>
            <w:tcW w:w="1224" w:type="dxa"/>
          </w:tcPr>
          <w:p w:rsidR="00AC40FC" w:rsidRDefault="00AC40FC" w:rsidP="00A51C66">
            <w:pPr>
              <w:pStyle w:val="TableParagraph"/>
              <w:ind w:left="161" w:right="143"/>
              <w:jc w:val="center"/>
              <w:rPr>
                <w:sz w:val="20"/>
              </w:rPr>
            </w:pPr>
            <w:r>
              <w:rPr>
                <w:sz w:val="20"/>
              </w:rPr>
              <w:t>NM</w:t>
            </w:r>
          </w:p>
        </w:tc>
      </w:tr>
      <w:tr w:rsidR="00AC40FC" w:rsidTr="00BB665B">
        <w:trPr>
          <w:trHeight w:hRule="exact" w:val="218"/>
          <w:jc w:val="center"/>
        </w:trPr>
        <w:tc>
          <w:tcPr>
            <w:tcW w:w="5059" w:type="dxa"/>
          </w:tcPr>
          <w:p w:rsidR="00AC40FC" w:rsidRDefault="00AC40FC" w:rsidP="00BB665B">
            <w:pPr>
              <w:pStyle w:val="TableParagraph"/>
              <w:ind w:left="719" w:right="0" w:hanging="540"/>
              <w:jc w:val="left"/>
              <w:rPr>
                <w:sz w:val="20"/>
              </w:rPr>
            </w:pPr>
            <w:r>
              <w:rPr>
                <w:sz w:val="20"/>
              </w:rPr>
              <w:t>228.2 Accumulated Provision for Injuries &amp; Damages</w:t>
            </w:r>
          </w:p>
        </w:tc>
        <w:tc>
          <w:tcPr>
            <w:tcW w:w="1740" w:type="dxa"/>
          </w:tcPr>
          <w:p w:rsidR="00AC40FC" w:rsidRDefault="00AC40FC" w:rsidP="00A51C66">
            <w:pPr>
              <w:pStyle w:val="TableParagraph"/>
              <w:rPr>
                <w:sz w:val="20"/>
              </w:rPr>
            </w:pPr>
            <w:r>
              <w:rPr>
                <w:w w:val="99"/>
                <w:sz w:val="20"/>
              </w:rPr>
              <w:t>0</w:t>
            </w:r>
          </w:p>
        </w:tc>
        <w:tc>
          <w:tcPr>
            <w:tcW w:w="1740" w:type="dxa"/>
          </w:tcPr>
          <w:p w:rsidR="00AC40FC" w:rsidRDefault="00AC40FC" w:rsidP="00A51C66">
            <w:pPr>
              <w:pStyle w:val="TableParagraph"/>
              <w:rPr>
                <w:sz w:val="20"/>
              </w:rPr>
            </w:pPr>
            <w:r>
              <w:rPr>
                <w:w w:val="99"/>
                <w:sz w:val="20"/>
              </w:rPr>
              <w:t>0</w:t>
            </w:r>
          </w:p>
        </w:tc>
        <w:tc>
          <w:tcPr>
            <w:tcW w:w="1740" w:type="dxa"/>
          </w:tcPr>
          <w:p w:rsidR="00AC40FC" w:rsidRDefault="00AC40FC" w:rsidP="00A51C66">
            <w:pPr>
              <w:pStyle w:val="TableParagraph"/>
              <w:rPr>
                <w:sz w:val="20"/>
              </w:rPr>
            </w:pPr>
            <w:r>
              <w:rPr>
                <w:w w:val="99"/>
                <w:sz w:val="20"/>
              </w:rPr>
              <w:t>0</w:t>
            </w:r>
          </w:p>
        </w:tc>
        <w:tc>
          <w:tcPr>
            <w:tcW w:w="1627" w:type="dxa"/>
          </w:tcPr>
          <w:p w:rsidR="00AC40FC" w:rsidRDefault="00AC40FC" w:rsidP="00A51C66">
            <w:pPr>
              <w:pStyle w:val="TableParagraph"/>
              <w:rPr>
                <w:sz w:val="20"/>
              </w:rPr>
            </w:pPr>
            <w:r>
              <w:rPr>
                <w:w w:val="99"/>
                <w:sz w:val="20"/>
              </w:rPr>
              <w:t>0</w:t>
            </w:r>
          </w:p>
        </w:tc>
        <w:tc>
          <w:tcPr>
            <w:tcW w:w="1627" w:type="dxa"/>
          </w:tcPr>
          <w:p w:rsidR="00AC40FC" w:rsidRDefault="00AC40FC" w:rsidP="00A51C66">
            <w:pPr>
              <w:pStyle w:val="TableParagraph"/>
              <w:rPr>
                <w:sz w:val="20"/>
              </w:rPr>
            </w:pPr>
            <w:r>
              <w:rPr>
                <w:w w:val="99"/>
                <w:sz w:val="20"/>
              </w:rPr>
              <w:t>0</w:t>
            </w:r>
          </w:p>
        </w:tc>
        <w:tc>
          <w:tcPr>
            <w:tcW w:w="1224" w:type="dxa"/>
          </w:tcPr>
          <w:p w:rsidR="00AC40FC" w:rsidRDefault="00AC40FC" w:rsidP="00A51C66">
            <w:pPr>
              <w:pStyle w:val="TableParagraph"/>
              <w:ind w:left="161" w:right="143"/>
              <w:jc w:val="center"/>
              <w:rPr>
                <w:sz w:val="20"/>
              </w:rPr>
            </w:pPr>
            <w:r>
              <w:rPr>
                <w:sz w:val="20"/>
              </w:rPr>
              <w:t>NM</w:t>
            </w:r>
          </w:p>
        </w:tc>
      </w:tr>
      <w:tr w:rsidR="00AC40FC" w:rsidTr="00BB665B">
        <w:trPr>
          <w:trHeight w:hRule="exact" w:val="263"/>
          <w:jc w:val="center"/>
        </w:trPr>
        <w:tc>
          <w:tcPr>
            <w:tcW w:w="5059" w:type="dxa"/>
          </w:tcPr>
          <w:p w:rsidR="00AC40FC" w:rsidRDefault="00AC40FC" w:rsidP="00BB665B">
            <w:pPr>
              <w:pStyle w:val="TableParagraph"/>
              <w:ind w:left="719" w:right="0" w:hanging="540"/>
              <w:jc w:val="left"/>
              <w:rPr>
                <w:sz w:val="20"/>
              </w:rPr>
            </w:pPr>
            <w:r>
              <w:rPr>
                <w:sz w:val="20"/>
              </w:rPr>
              <w:t>228.3 Accumulated Provision for Pensions &amp; Benefits</w:t>
            </w:r>
          </w:p>
        </w:tc>
        <w:tc>
          <w:tcPr>
            <w:tcW w:w="1740" w:type="dxa"/>
          </w:tcPr>
          <w:p w:rsidR="00AC40FC" w:rsidRDefault="00AC40FC" w:rsidP="00A51C66">
            <w:pPr>
              <w:pStyle w:val="TableParagraph"/>
              <w:rPr>
                <w:sz w:val="20"/>
              </w:rPr>
            </w:pPr>
            <w:r>
              <w:rPr>
                <w:w w:val="95"/>
                <w:sz w:val="20"/>
              </w:rPr>
              <w:t>315,801,633</w:t>
            </w:r>
          </w:p>
        </w:tc>
        <w:tc>
          <w:tcPr>
            <w:tcW w:w="1740" w:type="dxa"/>
          </w:tcPr>
          <w:p w:rsidR="00AC40FC" w:rsidRDefault="00AC40FC" w:rsidP="00A51C66">
            <w:pPr>
              <w:pStyle w:val="TableParagraph"/>
              <w:rPr>
                <w:sz w:val="20"/>
              </w:rPr>
            </w:pPr>
            <w:r>
              <w:rPr>
                <w:w w:val="95"/>
                <w:sz w:val="20"/>
              </w:rPr>
              <w:t>239,402,996</w:t>
            </w:r>
          </w:p>
        </w:tc>
        <w:tc>
          <w:tcPr>
            <w:tcW w:w="1740" w:type="dxa"/>
          </w:tcPr>
          <w:p w:rsidR="00AC40FC" w:rsidRDefault="00AC40FC" w:rsidP="00A51C66">
            <w:pPr>
              <w:pStyle w:val="TableParagraph"/>
              <w:rPr>
                <w:sz w:val="20"/>
              </w:rPr>
            </w:pPr>
            <w:r>
              <w:rPr>
                <w:w w:val="95"/>
                <w:sz w:val="20"/>
              </w:rPr>
              <w:t>297,760,623</w:t>
            </w:r>
          </w:p>
        </w:tc>
        <w:tc>
          <w:tcPr>
            <w:tcW w:w="1627" w:type="dxa"/>
          </w:tcPr>
          <w:p w:rsidR="00AC40FC" w:rsidRDefault="00AC40FC" w:rsidP="00A51C66">
            <w:pPr>
              <w:pStyle w:val="TableParagraph"/>
              <w:rPr>
                <w:sz w:val="20"/>
              </w:rPr>
            </w:pPr>
            <w:r>
              <w:rPr>
                <w:w w:val="95"/>
                <w:sz w:val="20"/>
              </w:rPr>
              <w:t>136,517,860</w:t>
            </w:r>
          </w:p>
        </w:tc>
        <w:tc>
          <w:tcPr>
            <w:tcW w:w="1627" w:type="dxa"/>
          </w:tcPr>
          <w:p w:rsidR="00AC40FC" w:rsidRDefault="00AC40FC" w:rsidP="00A51C66">
            <w:pPr>
              <w:pStyle w:val="TableParagraph"/>
              <w:rPr>
                <w:sz w:val="20"/>
              </w:rPr>
            </w:pPr>
            <w:r>
              <w:rPr>
                <w:w w:val="95"/>
                <w:sz w:val="20"/>
              </w:rPr>
              <w:t>252,008,004</w:t>
            </w:r>
          </w:p>
        </w:tc>
        <w:tc>
          <w:tcPr>
            <w:tcW w:w="1224" w:type="dxa"/>
          </w:tcPr>
          <w:p w:rsidR="00AC40FC" w:rsidRDefault="00AC40FC" w:rsidP="00A51C66">
            <w:pPr>
              <w:pStyle w:val="TableParagraph"/>
              <w:ind w:left="160" w:right="144"/>
              <w:jc w:val="center"/>
              <w:rPr>
                <w:sz w:val="20"/>
              </w:rPr>
            </w:pPr>
            <w:r>
              <w:rPr>
                <w:sz w:val="20"/>
              </w:rPr>
              <w:t>-5.49%</w:t>
            </w:r>
          </w:p>
        </w:tc>
      </w:tr>
      <w:tr w:rsidR="00AC40FC" w:rsidTr="00A51C66">
        <w:trPr>
          <w:trHeight w:hRule="exact" w:val="245"/>
          <w:jc w:val="center"/>
        </w:trPr>
        <w:tc>
          <w:tcPr>
            <w:tcW w:w="5059" w:type="dxa"/>
          </w:tcPr>
          <w:p w:rsidR="00AC40FC" w:rsidRDefault="00AC40FC" w:rsidP="00A51C66">
            <w:pPr>
              <w:pStyle w:val="TableParagraph"/>
              <w:ind w:left="180" w:right="0"/>
              <w:jc w:val="left"/>
              <w:rPr>
                <w:sz w:val="20"/>
              </w:rPr>
            </w:pPr>
            <w:r>
              <w:rPr>
                <w:sz w:val="20"/>
              </w:rPr>
              <w:t>228.4 Accumulated Misc. Operating Provisions</w:t>
            </w:r>
          </w:p>
        </w:tc>
        <w:tc>
          <w:tcPr>
            <w:tcW w:w="1740" w:type="dxa"/>
          </w:tcPr>
          <w:p w:rsidR="00AC40FC" w:rsidRDefault="00AC40FC" w:rsidP="00A51C66">
            <w:pPr>
              <w:pStyle w:val="TableParagraph"/>
              <w:rPr>
                <w:sz w:val="20"/>
              </w:rPr>
            </w:pPr>
            <w:r>
              <w:rPr>
                <w:w w:val="99"/>
                <w:sz w:val="20"/>
              </w:rPr>
              <w:t>0</w:t>
            </w:r>
          </w:p>
        </w:tc>
        <w:tc>
          <w:tcPr>
            <w:tcW w:w="1740" w:type="dxa"/>
          </w:tcPr>
          <w:p w:rsidR="00AC40FC" w:rsidRDefault="00AC40FC" w:rsidP="00A51C66">
            <w:pPr>
              <w:pStyle w:val="TableParagraph"/>
              <w:rPr>
                <w:sz w:val="20"/>
              </w:rPr>
            </w:pPr>
            <w:r>
              <w:rPr>
                <w:w w:val="99"/>
                <w:sz w:val="20"/>
              </w:rPr>
              <w:t>0</w:t>
            </w:r>
          </w:p>
        </w:tc>
        <w:tc>
          <w:tcPr>
            <w:tcW w:w="1740" w:type="dxa"/>
          </w:tcPr>
          <w:p w:rsidR="00AC40FC" w:rsidRDefault="00AC40FC" w:rsidP="00A51C66">
            <w:pPr>
              <w:pStyle w:val="TableParagraph"/>
              <w:rPr>
                <w:sz w:val="20"/>
              </w:rPr>
            </w:pPr>
            <w:r>
              <w:rPr>
                <w:w w:val="99"/>
                <w:sz w:val="20"/>
              </w:rPr>
              <w:t>0</w:t>
            </w:r>
          </w:p>
        </w:tc>
        <w:tc>
          <w:tcPr>
            <w:tcW w:w="1627" w:type="dxa"/>
          </w:tcPr>
          <w:p w:rsidR="00AC40FC" w:rsidRDefault="00AC40FC" w:rsidP="00A51C66">
            <w:pPr>
              <w:pStyle w:val="TableParagraph"/>
              <w:rPr>
                <w:sz w:val="20"/>
              </w:rPr>
            </w:pPr>
            <w:r>
              <w:rPr>
                <w:w w:val="99"/>
                <w:sz w:val="20"/>
              </w:rPr>
              <w:t>0</w:t>
            </w:r>
          </w:p>
        </w:tc>
        <w:tc>
          <w:tcPr>
            <w:tcW w:w="1627" w:type="dxa"/>
          </w:tcPr>
          <w:p w:rsidR="00AC40FC" w:rsidRDefault="00AC40FC" w:rsidP="00A51C66">
            <w:pPr>
              <w:pStyle w:val="TableParagraph"/>
              <w:ind w:right="92"/>
              <w:rPr>
                <w:sz w:val="20"/>
              </w:rPr>
            </w:pPr>
            <w:r>
              <w:rPr>
                <w:w w:val="99"/>
                <w:sz w:val="20"/>
              </w:rPr>
              <w:t>0</w:t>
            </w:r>
          </w:p>
        </w:tc>
        <w:tc>
          <w:tcPr>
            <w:tcW w:w="1224" w:type="dxa"/>
          </w:tcPr>
          <w:p w:rsidR="00AC40FC" w:rsidRDefault="00AC40FC" w:rsidP="00A51C66">
            <w:pPr>
              <w:pStyle w:val="TableParagraph"/>
              <w:ind w:left="161" w:right="143"/>
              <w:jc w:val="center"/>
              <w:rPr>
                <w:sz w:val="20"/>
              </w:rPr>
            </w:pPr>
            <w:r>
              <w:rPr>
                <w:sz w:val="20"/>
              </w:rPr>
              <w:t>NM</w:t>
            </w:r>
          </w:p>
        </w:tc>
      </w:tr>
      <w:tr w:rsidR="00AC40FC" w:rsidTr="00A51C66">
        <w:trPr>
          <w:trHeight w:hRule="exact" w:val="245"/>
          <w:jc w:val="center"/>
        </w:trPr>
        <w:tc>
          <w:tcPr>
            <w:tcW w:w="5059" w:type="dxa"/>
          </w:tcPr>
          <w:p w:rsidR="00AC40FC" w:rsidRDefault="00AC40FC" w:rsidP="00A51C66">
            <w:pPr>
              <w:pStyle w:val="TableParagraph"/>
              <w:ind w:left="180" w:right="0"/>
              <w:jc w:val="left"/>
              <w:rPr>
                <w:sz w:val="20"/>
              </w:rPr>
            </w:pPr>
            <w:r>
              <w:rPr>
                <w:sz w:val="20"/>
              </w:rPr>
              <w:t>229.0 Accumulated Provision for Rate Refunds</w:t>
            </w:r>
          </w:p>
        </w:tc>
        <w:tc>
          <w:tcPr>
            <w:tcW w:w="1740" w:type="dxa"/>
          </w:tcPr>
          <w:p w:rsidR="00AC40FC" w:rsidRDefault="00AC40FC" w:rsidP="00A51C66">
            <w:pPr>
              <w:pStyle w:val="TableParagraph"/>
              <w:ind w:right="92"/>
              <w:rPr>
                <w:sz w:val="20"/>
              </w:rPr>
            </w:pPr>
            <w:r>
              <w:rPr>
                <w:w w:val="99"/>
                <w:sz w:val="20"/>
              </w:rPr>
              <w:t>0</w:t>
            </w:r>
          </w:p>
        </w:tc>
        <w:tc>
          <w:tcPr>
            <w:tcW w:w="1740" w:type="dxa"/>
          </w:tcPr>
          <w:p w:rsidR="00AC40FC" w:rsidRDefault="00AC40FC" w:rsidP="00A51C66">
            <w:pPr>
              <w:pStyle w:val="TableParagraph"/>
              <w:ind w:right="92"/>
              <w:rPr>
                <w:sz w:val="20"/>
              </w:rPr>
            </w:pPr>
            <w:r>
              <w:rPr>
                <w:w w:val="99"/>
                <w:sz w:val="20"/>
              </w:rPr>
              <w:t>0</w:t>
            </w:r>
          </w:p>
        </w:tc>
        <w:tc>
          <w:tcPr>
            <w:tcW w:w="1740" w:type="dxa"/>
          </w:tcPr>
          <w:p w:rsidR="00AC40FC" w:rsidRDefault="00AC40FC" w:rsidP="00A51C66">
            <w:pPr>
              <w:pStyle w:val="TableParagraph"/>
              <w:ind w:right="92"/>
              <w:rPr>
                <w:sz w:val="20"/>
              </w:rPr>
            </w:pPr>
            <w:r>
              <w:rPr>
                <w:w w:val="99"/>
                <w:sz w:val="20"/>
              </w:rPr>
              <w:t>0</w:t>
            </w:r>
          </w:p>
        </w:tc>
        <w:tc>
          <w:tcPr>
            <w:tcW w:w="1627" w:type="dxa"/>
          </w:tcPr>
          <w:p w:rsidR="00AC40FC" w:rsidRDefault="00AC40FC" w:rsidP="00A51C66">
            <w:pPr>
              <w:pStyle w:val="TableParagraph"/>
              <w:ind w:right="92"/>
              <w:rPr>
                <w:sz w:val="20"/>
              </w:rPr>
            </w:pPr>
            <w:r>
              <w:rPr>
                <w:w w:val="99"/>
                <w:sz w:val="20"/>
              </w:rPr>
              <w:t>0</w:t>
            </w:r>
          </w:p>
        </w:tc>
        <w:tc>
          <w:tcPr>
            <w:tcW w:w="1627" w:type="dxa"/>
          </w:tcPr>
          <w:p w:rsidR="00AC40FC" w:rsidRDefault="00AC40FC" w:rsidP="00A51C66">
            <w:pPr>
              <w:pStyle w:val="TableParagraph"/>
              <w:ind w:right="92"/>
              <w:rPr>
                <w:sz w:val="20"/>
              </w:rPr>
            </w:pPr>
            <w:r>
              <w:rPr>
                <w:w w:val="99"/>
                <w:sz w:val="20"/>
              </w:rPr>
              <w:t>0</w:t>
            </w:r>
          </w:p>
        </w:tc>
        <w:tc>
          <w:tcPr>
            <w:tcW w:w="1224" w:type="dxa"/>
          </w:tcPr>
          <w:p w:rsidR="00AC40FC" w:rsidRDefault="00AC40FC" w:rsidP="00A51C66">
            <w:pPr>
              <w:pStyle w:val="TableParagraph"/>
              <w:ind w:left="161" w:right="142"/>
              <w:jc w:val="center"/>
              <w:rPr>
                <w:sz w:val="20"/>
              </w:rPr>
            </w:pPr>
            <w:r>
              <w:rPr>
                <w:sz w:val="20"/>
              </w:rPr>
              <w:t>NM</w:t>
            </w:r>
          </w:p>
        </w:tc>
      </w:tr>
      <w:tr w:rsidR="00AC40FC" w:rsidTr="00A51C66">
        <w:trPr>
          <w:trHeight w:hRule="exact" w:val="245"/>
          <w:jc w:val="center"/>
        </w:trPr>
        <w:tc>
          <w:tcPr>
            <w:tcW w:w="5059" w:type="dxa"/>
          </w:tcPr>
          <w:p w:rsidR="00AC40FC" w:rsidRDefault="00AC40FC" w:rsidP="00A51C66">
            <w:pPr>
              <w:pStyle w:val="TableParagraph"/>
              <w:ind w:right="25"/>
              <w:rPr>
                <w:b/>
                <w:sz w:val="20"/>
              </w:rPr>
            </w:pPr>
            <w:r>
              <w:rPr>
                <w:b/>
                <w:sz w:val="20"/>
              </w:rPr>
              <w:t>TOTAL OTHER NONCURRENT LIABILITIES</w:t>
            </w:r>
          </w:p>
        </w:tc>
        <w:tc>
          <w:tcPr>
            <w:tcW w:w="1740" w:type="dxa"/>
          </w:tcPr>
          <w:p w:rsidR="00AC40FC" w:rsidRDefault="00AC40FC" w:rsidP="00A51C66">
            <w:pPr>
              <w:pStyle w:val="TableParagraph"/>
              <w:ind w:right="94"/>
              <w:rPr>
                <w:b/>
                <w:sz w:val="20"/>
              </w:rPr>
            </w:pPr>
            <w:r>
              <w:rPr>
                <w:b/>
                <w:w w:val="95"/>
                <w:sz w:val="20"/>
              </w:rPr>
              <w:t>$315,801,633</w:t>
            </w:r>
          </w:p>
        </w:tc>
        <w:tc>
          <w:tcPr>
            <w:tcW w:w="1740" w:type="dxa"/>
          </w:tcPr>
          <w:p w:rsidR="00AC40FC" w:rsidRDefault="00AC40FC" w:rsidP="00A51C66">
            <w:pPr>
              <w:pStyle w:val="TableParagraph"/>
              <w:ind w:right="94"/>
              <w:rPr>
                <w:b/>
                <w:sz w:val="20"/>
              </w:rPr>
            </w:pPr>
            <w:r>
              <w:rPr>
                <w:b/>
                <w:w w:val="95"/>
                <w:sz w:val="20"/>
              </w:rPr>
              <w:t>$239,402,996</w:t>
            </w:r>
          </w:p>
        </w:tc>
        <w:tc>
          <w:tcPr>
            <w:tcW w:w="1740" w:type="dxa"/>
          </w:tcPr>
          <w:p w:rsidR="00AC40FC" w:rsidRDefault="00AC40FC" w:rsidP="00A51C66">
            <w:pPr>
              <w:pStyle w:val="TableParagraph"/>
              <w:ind w:left="410" w:right="0"/>
              <w:jc w:val="left"/>
              <w:rPr>
                <w:b/>
                <w:sz w:val="20"/>
              </w:rPr>
            </w:pPr>
            <w:r>
              <w:rPr>
                <w:b/>
                <w:sz w:val="20"/>
              </w:rPr>
              <w:t>$297,760,623</w:t>
            </w:r>
          </w:p>
        </w:tc>
        <w:tc>
          <w:tcPr>
            <w:tcW w:w="1627" w:type="dxa"/>
          </w:tcPr>
          <w:p w:rsidR="00AC40FC" w:rsidRDefault="00AC40FC" w:rsidP="00A51C66">
            <w:pPr>
              <w:pStyle w:val="TableParagraph"/>
              <w:ind w:left="297" w:right="0"/>
              <w:jc w:val="left"/>
              <w:rPr>
                <w:b/>
                <w:sz w:val="20"/>
              </w:rPr>
            </w:pPr>
            <w:r>
              <w:rPr>
                <w:b/>
                <w:sz w:val="20"/>
              </w:rPr>
              <w:t>$136,517,860</w:t>
            </w:r>
          </w:p>
        </w:tc>
        <w:tc>
          <w:tcPr>
            <w:tcW w:w="1627" w:type="dxa"/>
          </w:tcPr>
          <w:p w:rsidR="00AC40FC" w:rsidRDefault="00AC40FC" w:rsidP="00A51C66">
            <w:pPr>
              <w:pStyle w:val="TableParagraph"/>
              <w:ind w:right="94"/>
              <w:rPr>
                <w:b/>
                <w:sz w:val="20"/>
              </w:rPr>
            </w:pPr>
            <w:r>
              <w:rPr>
                <w:b/>
                <w:w w:val="95"/>
                <w:sz w:val="20"/>
              </w:rPr>
              <w:t>$252,008,004</w:t>
            </w:r>
          </w:p>
        </w:tc>
        <w:tc>
          <w:tcPr>
            <w:tcW w:w="1224" w:type="dxa"/>
          </w:tcPr>
          <w:p w:rsidR="00AC40FC" w:rsidRDefault="00AC40FC" w:rsidP="00A51C66">
            <w:pPr>
              <w:pStyle w:val="TableParagraph"/>
              <w:ind w:left="161" w:right="141"/>
              <w:jc w:val="center"/>
              <w:rPr>
                <w:b/>
                <w:sz w:val="20"/>
              </w:rPr>
            </w:pPr>
            <w:r>
              <w:rPr>
                <w:b/>
                <w:sz w:val="20"/>
              </w:rPr>
              <w:t>-5.49%</w:t>
            </w:r>
          </w:p>
        </w:tc>
      </w:tr>
      <w:tr w:rsidR="00AC40FC" w:rsidTr="00A51C66">
        <w:trPr>
          <w:trHeight w:hRule="exact" w:val="245"/>
          <w:jc w:val="center"/>
        </w:trPr>
        <w:tc>
          <w:tcPr>
            <w:tcW w:w="14758" w:type="dxa"/>
            <w:gridSpan w:val="7"/>
          </w:tcPr>
          <w:p w:rsidR="00AC40FC" w:rsidRDefault="00AC40FC" w:rsidP="00A51C66">
            <w:pPr>
              <w:pStyle w:val="TableParagraph"/>
              <w:ind w:left="28" w:right="0"/>
              <w:jc w:val="left"/>
              <w:rPr>
                <w:b/>
                <w:sz w:val="20"/>
              </w:rPr>
            </w:pPr>
            <w:r>
              <w:rPr>
                <w:b/>
                <w:sz w:val="20"/>
              </w:rPr>
              <w:t>CURRENT AND ACCRUED LIABILITIES</w:t>
            </w:r>
          </w:p>
        </w:tc>
      </w:tr>
      <w:tr w:rsidR="00AC40FC" w:rsidTr="00A51C66">
        <w:trPr>
          <w:trHeight w:hRule="exact" w:val="245"/>
          <w:jc w:val="center"/>
        </w:trPr>
        <w:tc>
          <w:tcPr>
            <w:tcW w:w="5059" w:type="dxa"/>
          </w:tcPr>
          <w:p w:rsidR="00AC40FC" w:rsidRDefault="00AC40FC" w:rsidP="00A51C66">
            <w:pPr>
              <w:pStyle w:val="TableParagraph"/>
              <w:ind w:left="180" w:right="0"/>
              <w:jc w:val="left"/>
              <w:rPr>
                <w:sz w:val="20"/>
              </w:rPr>
            </w:pPr>
            <w:r>
              <w:rPr>
                <w:sz w:val="20"/>
              </w:rPr>
              <w:t>231.00 Notes Payable</w:t>
            </w:r>
          </w:p>
        </w:tc>
        <w:tc>
          <w:tcPr>
            <w:tcW w:w="1740" w:type="dxa"/>
          </w:tcPr>
          <w:p w:rsidR="00AC40FC" w:rsidRDefault="00AC40FC" w:rsidP="00A51C66">
            <w:pPr>
              <w:pStyle w:val="TableParagraph"/>
              <w:ind w:right="94"/>
              <w:rPr>
                <w:sz w:val="20"/>
              </w:rPr>
            </w:pPr>
            <w:r>
              <w:rPr>
                <w:sz w:val="20"/>
              </w:rPr>
              <w:t>$0</w:t>
            </w:r>
          </w:p>
        </w:tc>
        <w:tc>
          <w:tcPr>
            <w:tcW w:w="1740" w:type="dxa"/>
          </w:tcPr>
          <w:p w:rsidR="00AC40FC" w:rsidRDefault="00AC40FC" w:rsidP="00A51C66">
            <w:pPr>
              <w:pStyle w:val="TableParagraph"/>
              <w:ind w:right="94"/>
              <w:rPr>
                <w:sz w:val="20"/>
              </w:rPr>
            </w:pPr>
            <w:r>
              <w:rPr>
                <w:sz w:val="20"/>
              </w:rPr>
              <w:t>$0</w:t>
            </w:r>
          </w:p>
        </w:tc>
        <w:tc>
          <w:tcPr>
            <w:tcW w:w="1740" w:type="dxa"/>
          </w:tcPr>
          <w:p w:rsidR="00AC40FC" w:rsidRDefault="00AC40FC" w:rsidP="00A51C66">
            <w:pPr>
              <w:pStyle w:val="TableParagraph"/>
              <w:ind w:right="94"/>
              <w:rPr>
                <w:sz w:val="20"/>
              </w:rPr>
            </w:pPr>
            <w:r>
              <w:rPr>
                <w:sz w:val="20"/>
              </w:rPr>
              <w:t>$0</w:t>
            </w:r>
          </w:p>
        </w:tc>
        <w:tc>
          <w:tcPr>
            <w:tcW w:w="1627" w:type="dxa"/>
          </w:tcPr>
          <w:p w:rsidR="00AC40FC" w:rsidRDefault="00AC40FC" w:rsidP="00A51C66">
            <w:pPr>
              <w:pStyle w:val="TableParagraph"/>
              <w:ind w:right="94"/>
              <w:rPr>
                <w:sz w:val="20"/>
              </w:rPr>
            </w:pPr>
            <w:r>
              <w:rPr>
                <w:w w:val="95"/>
                <w:sz w:val="20"/>
              </w:rPr>
              <w:t>$19,999,872</w:t>
            </w:r>
          </w:p>
        </w:tc>
        <w:tc>
          <w:tcPr>
            <w:tcW w:w="1627" w:type="dxa"/>
          </w:tcPr>
          <w:p w:rsidR="00AC40FC" w:rsidRDefault="00AC40FC" w:rsidP="00A51C66">
            <w:pPr>
              <w:pStyle w:val="TableParagraph"/>
              <w:ind w:right="94"/>
              <w:rPr>
                <w:sz w:val="20"/>
              </w:rPr>
            </w:pPr>
            <w:r>
              <w:rPr>
                <w:sz w:val="20"/>
              </w:rPr>
              <w:t>$0</w:t>
            </w:r>
          </w:p>
        </w:tc>
        <w:tc>
          <w:tcPr>
            <w:tcW w:w="1224" w:type="dxa"/>
          </w:tcPr>
          <w:p w:rsidR="00AC40FC" w:rsidRDefault="00AC40FC" w:rsidP="00A51C66">
            <w:pPr>
              <w:pStyle w:val="TableParagraph"/>
              <w:ind w:left="161" w:right="144"/>
              <w:jc w:val="center"/>
              <w:rPr>
                <w:sz w:val="20"/>
              </w:rPr>
            </w:pPr>
            <w:r>
              <w:rPr>
                <w:sz w:val="20"/>
              </w:rPr>
              <w:t>NM</w:t>
            </w:r>
          </w:p>
        </w:tc>
      </w:tr>
      <w:tr w:rsidR="00AC40FC" w:rsidTr="00A51C66">
        <w:trPr>
          <w:trHeight w:hRule="exact" w:val="245"/>
          <w:jc w:val="center"/>
        </w:trPr>
        <w:tc>
          <w:tcPr>
            <w:tcW w:w="5059" w:type="dxa"/>
          </w:tcPr>
          <w:p w:rsidR="00AC40FC" w:rsidRDefault="00AC40FC" w:rsidP="00A51C66">
            <w:pPr>
              <w:pStyle w:val="TableParagraph"/>
              <w:ind w:left="180" w:right="0"/>
              <w:jc w:val="left"/>
              <w:rPr>
                <w:sz w:val="20"/>
              </w:rPr>
            </w:pPr>
            <w:r>
              <w:rPr>
                <w:sz w:val="20"/>
              </w:rPr>
              <w:t>232.00 Accounts Payable</w:t>
            </w:r>
          </w:p>
        </w:tc>
        <w:tc>
          <w:tcPr>
            <w:tcW w:w="1740" w:type="dxa"/>
          </w:tcPr>
          <w:p w:rsidR="00AC40FC" w:rsidRDefault="00AC40FC" w:rsidP="00A51C66">
            <w:pPr>
              <w:pStyle w:val="TableParagraph"/>
              <w:ind w:right="94"/>
              <w:rPr>
                <w:sz w:val="20"/>
              </w:rPr>
            </w:pPr>
            <w:r>
              <w:rPr>
                <w:w w:val="95"/>
                <w:sz w:val="20"/>
              </w:rPr>
              <w:t>224,944,400</w:t>
            </w:r>
          </w:p>
        </w:tc>
        <w:tc>
          <w:tcPr>
            <w:tcW w:w="1740" w:type="dxa"/>
          </w:tcPr>
          <w:p w:rsidR="00AC40FC" w:rsidRDefault="00AC40FC" w:rsidP="00A51C66">
            <w:pPr>
              <w:pStyle w:val="TableParagraph"/>
              <w:ind w:right="94"/>
              <w:rPr>
                <w:sz w:val="20"/>
              </w:rPr>
            </w:pPr>
            <w:r>
              <w:rPr>
                <w:w w:val="95"/>
                <w:sz w:val="20"/>
              </w:rPr>
              <w:t>174,762,886</w:t>
            </w:r>
          </w:p>
        </w:tc>
        <w:tc>
          <w:tcPr>
            <w:tcW w:w="1740" w:type="dxa"/>
          </w:tcPr>
          <w:p w:rsidR="00AC40FC" w:rsidRDefault="00AC40FC" w:rsidP="00A51C66">
            <w:pPr>
              <w:pStyle w:val="TableParagraph"/>
              <w:ind w:right="94"/>
              <w:rPr>
                <w:sz w:val="20"/>
              </w:rPr>
            </w:pPr>
            <w:r>
              <w:rPr>
                <w:w w:val="95"/>
                <w:sz w:val="20"/>
              </w:rPr>
              <w:t>263,915,560</w:t>
            </w:r>
          </w:p>
        </w:tc>
        <w:tc>
          <w:tcPr>
            <w:tcW w:w="1627" w:type="dxa"/>
          </w:tcPr>
          <w:p w:rsidR="00AC40FC" w:rsidRDefault="00AC40FC" w:rsidP="00A51C66">
            <w:pPr>
              <w:pStyle w:val="TableParagraph"/>
              <w:ind w:right="94"/>
              <w:rPr>
                <w:sz w:val="20"/>
              </w:rPr>
            </w:pPr>
            <w:r>
              <w:rPr>
                <w:w w:val="95"/>
                <w:sz w:val="20"/>
              </w:rPr>
              <w:t>300,111,115</w:t>
            </w:r>
          </w:p>
        </w:tc>
        <w:tc>
          <w:tcPr>
            <w:tcW w:w="1627" w:type="dxa"/>
          </w:tcPr>
          <w:p w:rsidR="00AC40FC" w:rsidRDefault="00AC40FC" w:rsidP="00A51C66">
            <w:pPr>
              <w:pStyle w:val="TableParagraph"/>
              <w:ind w:right="94"/>
              <w:rPr>
                <w:sz w:val="20"/>
              </w:rPr>
            </w:pPr>
            <w:r>
              <w:rPr>
                <w:w w:val="95"/>
                <w:sz w:val="20"/>
              </w:rPr>
              <w:t>331,749,330</w:t>
            </w:r>
          </w:p>
        </w:tc>
        <w:tc>
          <w:tcPr>
            <w:tcW w:w="1224" w:type="dxa"/>
          </w:tcPr>
          <w:p w:rsidR="00AC40FC" w:rsidRDefault="00AC40FC" w:rsidP="00A51C66">
            <w:pPr>
              <w:pStyle w:val="TableParagraph"/>
              <w:ind w:left="159" w:right="144"/>
              <w:jc w:val="center"/>
              <w:rPr>
                <w:sz w:val="20"/>
              </w:rPr>
            </w:pPr>
            <w:r>
              <w:rPr>
                <w:sz w:val="20"/>
              </w:rPr>
              <w:t>10.20%</w:t>
            </w:r>
          </w:p>
        </w:tc>
      </w:tr>
      <w:tr w:rsidR="00AC40FC" w:rsidTr="00A51C66">
        <w:trPr>
          <w:trHeight w:hRule="exact" w:val="245"/>
          <w:jc w:val="center"/>
        </w:trPr>
        <w:tc>
          <w:tcPr>
            <w:tcW w:w="5059" w:type="dxa"/>
          </w:tcPr>
          <w:p w:rsidR="00AC40FC" w:rsidRDefault="00AC40FC" w:rsidP="00A51C66">
            <w:pPr>
              <w:pStyle w:val="TableParagraph"/>
              <w:ind w:left="180" w:right="0"/>
              <w:jc w:val="left"/>
              <w:rPr>
                <w:sz w:val="20"/>
              </w:rPr>
            </w:pPr>
            <w:r>
              <w:rPr>
                <w:sz w:val="20"/>
              </w:rPr>
              <w:t>233.00 Notes Payable to Associated Companies</w:t>
            </w:r>
          </w:p>
        </w:tc>
        <w:tc>
          <w:tcPr>
            <w:tcW w:w="1740" w:type="dxa"/>
          </w:tcPr>
          <w:p w:rsidR="00AC40FC" w:rsidRDefault="00AC40FC" w:rsidP="00A51C66">
            <w:pPr>
              <w:pStyle w:val="TableParagraph"/>
              <w:rPr>
                <w:sz w:val="20"/>
              </w:rPr>
            </w:pPr>
            <w:r>
              <w:rPr>
                <w:w w:val="99"/>
                <w:sz w:val="20"/>
              </w:rPr>
              <w:t>0</w:t>
            </w:r>
          </w:p>
        </w:tc>
        <w:tc>
          <w:tcPr>
            <w:tcW w:w="1740" w:type="dxa"/>
          </w:tcPr>
          <w:p w:rsidR="00AC40FC" w:rsidRDefault="00AC40FC" w:rsidP="00A51C66">
            <w:pPr>
              <w:pStyle w:val="TableParagraph"/>
              <w:rPr>
                <w:sz w:val="20"/>
              </w:rPr>
            </w:pPr>
            <w:r>
              <w:rPr>
                <w:w w:val="99"/>
                <w:sz w:val="20"/>
              </w:rPr>
              <w:t>0</w:t>
            </w:r>
          </w:p>
        </w:tc>
        <w:tc>
          <w:tcPr>
            <w:tcW w:w="1740" w:type="dxa"/>
          </w:tcPr>
          <w:p w:rsidR="00AC40FC" w:rsidRDefault="00AC40FC" w:rsidP="00A51C66">
            <w:pPr>
              <w:pStyle w:val="TableParagraph"/>
              <w:rPr>
                <w:sz w:val="20"/>
              </w:rPr>
            </w:pPr>
            <w:r>
              <w:rPr>
                <w:w w:val="99"/>
                <w:sz w:val="20"/>
              </w:rPr>
              <w:t>0</w:t>
            </w:r>
          </w:p>
        </w:tc>
        <w:tc>
          <w:tcPr>
            <w:tcW w:w="1627" w:type="dxa"/>
          </w:tcPr>
          <w:p w:rsidR="00AC40FC" w:rsidRDefault="00AC40FC" w:rsidP="00A51C66">
            <w:pPr>
              <w:pStyle w:val="TableParagraph"/>
              <w:rPr>
                <w:sz w:val="20"/>
              </w:rPr>
            </w:pPr>
            <w:r>
              <w:rPr>
                <w:w w:val="99"/>
                <w:sz w:val="20"/>
              </w:rPr>
              <w:t>0</w:t>
            </w:r>
          </w:p>
        </w:tc>
        <w:tc>
          <w:tcPr>
            <w:tcW w:w="1627" w:type="dxa"/>
          </w:tcPr>
          <w:p w:rsidR="00AC40FC" w:rsidRDefault="00AC40FC" w:rsidP="00A51C66">
            <w:pPr>
              <w:pStyle w:val="TableParagraph"/>
              <w:rPr>
                <w:sz w:val="20"/>
              </w:rPr>
            </w:pPr>
            <w:r>
              <w:rPr>
                <w:w w:val="99"/>
                <w:sz w:val="20"/>
              </w:rPr>
              <w:t>0</w:t>
            </w:r>
          </w:p>
        </w:tc>
        <w:tc>
          <w:tcPr>
            <w:tcW w:w="1224" w:type="dxa"/>
          </w:tcPr>
          <w:p w:rsidR="00AC40FC" w:rsidRDefault="00AC40FC" w:rsidP="00A51C66">
            <w:pPr>
              <w:pStyle w:val="TableParagraph"/>
              <w:ind w:left="161" w:right="144"/>
              <w:jc w:val="center"/>
              <w:rPr>
                <w:sz w:val="20"/>
              </w:rPr>
            </w:pPr>
            <w:r>
              <w:rPr>
                <w:sz w:val="20"/>
              </w:rPr>
              <w:t>NM</w:t>
            </w:r>
          </w:p>
        </w:tc>
      </w:tr>
      <w:tr w:rsidR="00AC40FC" w:rsidTr="00A51C66">
        <w:trPr>
          <w:trHeight w:hRule="exact" w:val="245"/>
          <w:jc w:val="center"/>
        </w:trPr>
        <w:tc>
          <w:tcPr>
            <w:tcW w:w="5059" w:type="dxa"/>
          </w:tcPr>
          <w:p w:rsidR="00AC40FC" w:rsidRDefault="00AC40FC" w:rsidP="00A51C66">
            <w:pPr>
              <w:pStyle w:val="TableParagraph"/>
              <w:ind w:left="180" w:right="0"/>
              <w:jc w:val="left"/>
              <w:rPr>
                <w:sz w:val="20"/>
              </w:rPr>
            </w:pPr>
            <w:r>
              <w:rPr>
                <w:sz w:val="20"/>
              </w:rPr>
              <w:t>234.00 Account Payable to Affiliated Companies</w:t>
            </w:r>
          </w:p>
        </w:tc>
        <w:tc>
          <w:tcPr>
            <w:tcW w:w="1740" w:type="dxa"/>
          </w:tcPr>
          <w:p w:rsidR="00AC40FC" w:rsidRDefault="00AC40FC" w:rsidP="00A51C66">
            <w:pPr>
              <w:pStyle w:val="TableParagraph"/>
              <w:ind w:right="94"/>
              <w:rPr>
                <w:sz w:val="20"/>
              </w:rPr>
            </w:pPr>
            <w:r>
              <w:rPr>
                <w:w w:val="95"/>
                <w:sz w:val="20"/>
              </w:rPr>
              <w:t>75,222,736</w:t>
            </w:r>
          </w:p>
        </w:tc>
        <w:tc>
          <w:tcPr>
            <w:tcW w:w="1740" w:type="dxa"/>
          </w:tcPr>
          <w:p w:rsidR="00AC40FC" w:rsidRDefault="00AC40FC" w:rsidP="00A51C66">
            <w:pPr>
              <w:pStyle w:val="TableParagraph"/>
              <w:ind w:right="94"/>
              <w:rPr>
                <w:sz w:val="20"/>
              </w:rPr>
            </w:pPr>
            <w:r>
              <w:rPr>
                <w:w w:val="95"/>
                <w:sz w:val="20"/>
              </w:rPr>
              <w:t>66,031,310</w:t>
            </w:r>
          </w:p>
        </w:tc>
        <w:tc>
          <w:tcPr>
            <w:tcW w:w="1740" w:type="dxa"/>
          </w:tcPr>
          <w:p w:rsidR="00AC40FC" w:rsidRDefault="00AC40FC" w:rsidP="00A51C66">
            <w:pPr>
              <w:pStyle w:val="TableParagraph"/>
              <w:ind w:right="94"/>
              <w:rPr>
                <w:sz w:val="20"/>
              </w:rPr>
            </w:pPr>
            <w:r>
              <w:rPr>
                <w:w w:val="95"/>
                <w:sz w:val="20"/>
              </w:rPr>
              <w:t>64,943,227</w:t>
            </w:r>
          </w:p>
        </w:tc>
        <w:tc>
          <w:tcPr>
            <w:tcW w:w="1627" w:type="dxa"/>
          </w:tcPr>
          <w:p w:rsidR="00AC40FC" w:rsidRDefault="00AC40FC" w:rsidP="00A51C66">
            <w:pPr>
              <w:pStyle w:val="TableParagraph"/>
              <w:ind w:right="95"/>
              <w:rPr>
                <w:sz w:val="20"/>
              </w:rPr>
            </w:pPr>
            <w:r>
              <w:rPr>
                <w:w w:val="95"/>
                <w:sz w:val="20"/>
              </w:rPr>
              <w:t>58,862,084</w:t>
            </w:r>
          </w:p>
        </w:tc>
        <w:tc>
          <w:tcPr>
            <w:tcW w:w="1627" w:type="dxa"/>
          </w:tcPr>
          <w:p w:rsidR="00AC40FC" w:rsidRDefault="00AC40FC" w:rsidP="00A51C66">
            <w:pPr>
              <w:pStyle w:val="TableParagraph"/>
              <w:rPr>
                <w:sz w:val="20"/>
              </w:rPr>
            </w:pPr>
            <w:r>
              <w:rPr>
                <w:w w:val="95"/>
                <w:sz w:val="20"/>
              </w:rPr>
              <w:t>71,607,202</w:t>
            </w:r>
          </w:p>
        </w:tc>
        <w:tc>
          <w:tcPr>
            <w:tcW w:w="1224" w:type="dxa"/>
          </w:tcPr>
          <w:p w:rsidR="00AC40FC" w:rsidRDefault="00AC40FC" w:rsidP="00A51C66">
            <w:pPr>
              <w:pStyle w:val="TableParagraph"/>
              <w:ind w:left="160" w:right="144"/>
              <w:jc w:val="center"/>
              <w:rPr>
                <w:sz w:val="20"/>
              </w:rPr>
            </w:pPr>
            <w:r>
              <w:rPr>
                <w:sz w:val="20"/>
              </w:rPr>
              <w:t>-1.22%</w:t>
            </w:r>
          </w:p>
        </w:tc>
      </w:tr>
      <w:tr w:rsidR="00AC40FC" w:rsidTr="00A51C66">
        <w:trPr>
          <w:trHeight w:hRule="exact" w:val="245"/>
          <w:jc w:val="center"/>
        </w:trPr>
        <w:tc>
          <w:tcPr>
            <w:tcW w:w="5059" w:type="dxa"/>
          </w:tcPr>
          <w:p w:rsidR="00AC40FC" w:rsidRDefault="00AC40FC" w:rsidP="00A51C66">
            <w:pPr>
              <w:pStyle w:val="TableParagraph"/>
              <w:ind w:left="180" w:right="0"/>
              <w:jc w:val="left"/>
              <w:rPr>
                <w:sz w:val="20"/>
              </w:rPr>
            </w:pPr>
            <w:r>
              <w:rPr>
                <w:sz w:val="20"/>
              </w:rPr>
              <w:t>235.00 Customer Deposits-Billing</w:t>
            </w:r>
          </w:p>
        </w:tc>
        <w:tc>
          <w:tcPr>
            <w:tcW w:w="1740" w:type="dxa"/>
          </w:tcPr>
          <w:p w:rsidR="00AC40FC" w:rsidRDefault="00AC40FC" w:rsidP="00A51C66">
            <w:pPr>
              <w:pStyle w:val="TableParagraph"/>
              <w:rPr>
                <w:sz w:val="20"/>
              </w:rPr>
            </w:pPr>
            <w:r>
              <w:rPr>
                <w:w w:val="95"/>
                <w:sz w:val="20"/>
              </w:rPr>
              <w:t>17,557,803</w:t>
            </w:r>
          </w:p>
        </w:tc>
        <w:tc>
          <w:tcPr>
            <w:tcW w:w="1740" w:type="dxa"/>
          </w:tcPr>
          <w:p w:rsidR="00AC40FC" w:rsidRDefault="00AC40FC" w:rsidP="00A51C66">
            <w:pPr>
              <w:pStyle w:val="TableParagraph"/>
              <w:rPr>
                <w:sz w:val="20"/>
              </w:rPr>
            </w:pPr>
            <w:r>
              <w:rPr>
                <w:w w:val="95"/>
                <w:sz w:val="20"/>
              </w:rPr>
              <w:t>16,861,676</w:t>
            </w:r>
          </w:p>
        </w:tc>
        <w:tc>
          <w:tcPr>
            <w:tcW w:w="1740" w:type="dxa"/>
          </w:tcPr>
          <w:p w:rsidR="00AC40FC" w:rsidRDefault="00AC40FC" w:rsidP="00A51C66">
            <w:pPr>
              <w:pStyle w:val="TableParagraph"/>
              <w:rPr>
                <w:sz w:val="20"/>
              </w:rPr>
            </w:pPr>
            <w:r>
              <w:rPr>
                <w:w w:val="95"/>
                <w:sz w:val="20"/>
              </w:rPr>
              <w:t>13,278,577</w:t>
            </w:r>
          </w:p>
        </w:tc>
        <w:tc>
          <w:tcPr>
            <w:tcW w:w="1627" w:type="dxa"/>
          </w:tcPr>
          <w:p w:rsidR="00AC40FC" w:rsidRDefault="00AC40FC" w:rsidP="00A51C66">
            <w:pPr>
              <w:pStyle w:val="TableParagraph"/>
              <w:rPr>
                <w:sz w:val="20"/>
              </w:rPr>
            </w:pPr>
            <w:r>
              <w:rPr>
                <w:w w:val="95"/>
                <w:sz w:val="20"/>
              </w:rPr>
              <w:t>14,266,442</w:t>
            </w:r>
          </w:p>
        </w:tc>
        <w:tc>
          <w:tcPr>
            <w:tcW w:w="1627" w:type="dxa"/>
          </w:tcPr>
          <w:p w:rsidR="00AC40FC" w:rsidRDefault="00AC40FC" w:rsidP="00A51C66">
            <w:pPr>
              <w:pStyle w:val="TableParagraph"/>
              <w:rPr>
                <w:sz w:val="20"/>
              </w:rPr>
            </w:pPr>
            <w:r>
              <w:rPr>
                <w:w w:val="95"/>
                <w:sz w:val="20"/>
              </w:rPr>
              <w:t>16,445,130</w:t>
            </w:r>
          </w:p>
        </w:tc>
        <w:tc>
          <w:tcPr>
            <w:tcW w:w="1224" w:type="dxa"/>
          </w:tcPr>
          <w:p w:rsidR="00AC40FC" w:rsidRDefault="00AC40FC" w:rsidP="00A51C66">
            <w:pPr>
              <w:pStyle w:val="TableParagraph"/>
              <w:ind w:left="160" w:right="144"/>
              <w:jc w:val="center"/>
              <w:rPr>
                <w:sz w:val="20"/>
              </w:rPr>
            </w:pPr>
            <w:r>
              <w:rPr>
                <w:sz w:val="20"/>
              </w:rPr>
              <w:t>-1.62%</w:t>
            </w:r>
          </w:p>
        </w:tc>
      </w:tr>
      <w:tr w:rsidR="00AC40FC" w:rsidTr="00A51C66">
        <w:trPr>
          <w:trHeight w:hRule="exact" w:val="245"/>
          <w:jc w:val="center"/>
        </w:trPr>
        <w:tc>
          <w:tcPr>
            <w:tcW w:w="5059" w:type="dxa"/>
          </w:tcPr>
          <w:p w:rsidR="00AC40FC" w:rsidRDefault="00AC40FC" w:rsidP="00A51C66">
            <w:pPr>
              <w:pStyle w:val="TableParagraph"/>
              <w:ind w:left="180" w:right="0"/>
              <w:jc w:val="left"/>
              <w:rPr>
                <w:sz w:val="20"/>
              </w:rPr>
            </w:pPr>
            <w:r>
              <w:rPr>
                <w:sz w:val="20"/>
              </w:rPr>
              <w:t>236.10 &amp; 236.20 Taxes Accrued</w:t>
            </w:r>
          </w:p>
        </w:tc>
        <w:tc>
          <w:tcPr>
            <w:tcW w:w="1740" w:type="dxa"/>
          </w:tcPr>
          <w:p w:rsidR="00AC40FC" w:rsidRDefault="00AC40FC" w:rsidP="00A51C66">
            <w:pPr>
              <w:pStyle w:val="TableParagraph"/>
              <w:rPr>
                <w:sz w:val="20"/>
              </w:rPr>
            </w:pPr>
            <w:r>
              <w:rPr>
                <w:w w:val="95"/>
                <w:sz w:val="20"/>
              </w:rPr>
              <w:t>22,580,806</w:t>
            </w:r>
          </w:p>
        </w:tc>
        <w:tc>
          <w:tcPr>
            <w:tcW w:w="1740" w:type="dxa"/>
          </w:tcPr>
          <w:p w:rsidR="00AC40FC" w:rsidRDefault="00AC40FC" w:rsidP="00A51C66">
            <w:pPr>
              <w:pStyle w:val="TableParagraph"/>
              <w:ind w:right="92"/>
              <w:rPr>
                <w:sz w:val="20"/>
              </w:rPr>
            </w:pPr>
            <w:r>
              <w:rPr>
                <w:w w:val="99"/>
                <w:sz w:val="20"/>
              </w:rPr>
              <w:t>0</w:t>
            </w:r>
          </w:p>
        </w:tc>
        <w:tc>
          <w:tcPr>
            <w:tcW w:w="1740" w:type="dxa"/>
          </w:tcPr>
          <w:p w:rsidR="00AC40FC" w:rsidRDefault="00AC40FC" w:rsidP="00A51C66">
            <w:pPr>
              <w:pStyle w:val="TableParagraph"/>
              <w:rPr>
                <w:sz w:val="20"/>
              </w:rPr>
            </w:pPr>
            <w:r>
              <w:rPr>
                <w:w w:val="95"/>
                <w:sz w:val="20"/>
              </w:rPr>
              <w:t>12,255,092</w:t>
            </w:r>
          </w:p>
        </w:tc>
        <w:tc>
          <w:tcPr>
            <w:tcW w:w="1627" w:type="dxa"/>
          </w:tcPr>
          <w:p w:rsidR="00AC40FC" w:rsidRDefault="00AC40FC" w:rsidP="00A51C66">
            <w:pPr>
              <w:pStyle w:val="TableParagraph"/>
              <w:rPr>
                <w:sz w:val="20"/>
              </w:rPr>
            </w:pPr>
            <w:r>
              <w:rPr>
                <w:w w:val="95"/>
                <w:sz w:val="20"/>
              </w:rPr>
              <w:t>48,625,159</w:t>
            </w:r>
          </w:p>
        </w:tc>
        <w:tc>
          <w:tcPr>
            <w:tcW w:w="1627" w:type="dxa"/>
          </w:tcPr>
          <w:p w:rsidR="00AC40FC" w:rsidRDefault="00AC40FC" w:rsidP="00A51C66">
            <w:pPr>
              <w:pStyle w:val="TableParagraph"/>
              <w:rPr>
                <w:sz w:val="20"/>
              </w:rPr>
            </w:pPr>
            <w:r>
              <w:rPr>
                <w:w w:val="95"/>
                <w:sz w:val="20"/>
              </w:rPr>
              <w:t>65,856,088</w:t>
            </w:r>
          </w:p>
        </w:tc>
        <w:tc>
          <w:tcPr>
            <w:tcW w:w="1224" w:type="dxa"/>
          </w:tcPr>
          <w:p w:rsidR="00AC40FC" w:rsidRDefault="00AC40FC" w:rsidP="00A51C66">
            <w:pPr>
              <w:pStyle w:val="TableParagraph"/>
              <w:ind w:left="161" w:right="144"/>
              <w:jc w:val="center"/>
              <w:rPr>
                <w:sz w:val="20"/>
              </w:rPr>
            </w:pPr>
            <w:r>
              <w:rPr>
                <w:sz w:val="20"/>
              </w:rPr>
              <w:t>30.68%</w:t>
            </w:r>
          </w:p>
        </w:tc>
      </w:tr>
      <w:tr w:rsidR="00AC40FC" w:rsidTr="00A51C66">
        <w:trPr>
          <w:trHeight w:hRule="exact" w:val="245"/>
          <w:jc w:val="center"/>
        </w:trPr>
        <w:tc>
          <w:tcPr>
            <w:tcW w:w="5059" w:type="dxa"/>
          </w:tcPr>
          <w:p w:rsidR="00AC40FC" w:rsidRDefault="00AC40FC" w:rsidP="00A51C66">
            <w:pPr>
              <w:pStyle w:val="TableParagraph"/>
              <w:ind w:left="180" w:right="0"/>
              <w:jc w:val="left"/>
              <w:rPr>
                <w:sz w:val="20"/>
              </w:rPr>
            </w:pPr>
            <w:r>
              <w:rPr>
                <w:sz w:val="20"/>
              </w:rPr>
              <w:t>237.10 &amp; 237.20 Interest Accrued</w:t>
            </w:r>
          </w:p>
        </w:tc>
        <w:tc>
          <w:tcPr>
            <w:tcW w:w="1740" w:type="dxa"/>
          </w:tcPr>
          <w:p w:rsidR="00AC40FC" w:rsidRDefault="00AC40FC" w:rsidP="00A51C66">
            <w:pPr>
              <w:pStyle w:val="TableParagraph"/>
              <w:rPr>
                <w:sz w:val="20"/>
              </w:rPr>
            </w:pPr>
            <w:r>
              <w:rPr>
                <w:w w:val="95"/>
                <w:sz w:val="20"/>
              </w:rPr>
              <w:t>16,487,863</w:t>
            </w:r>
          </w:p>
        </w:tc>
        <w:tc>
          <w:tcPr>
            <w:tcW w:w="1740" w:type="dxa"/>
          </w:tcPr>
          <w:p w:rsidR="00AC40FC" w:rsidRDefault="00AC40FC" w:rsidP="00A51C66">
            <w:pPr>
              <w:pStyle w:val="TableParagraph"/>
              <w:rPr>
                <w:sz w:val="20"/>
              </w:rPr>
            </w:pPr>
            <w:r>
              <w:rPr>
                <w:w w:val="95"/>
                <w:sz w:val="20"/>
              </w:rPr>
              <w:t>24,377,612</w:t>
            </w:r>
          </w:p>
        </w:tc>
        <w:tc>
          <w:tcPr>
            <w:tcW w:w="1740" w:type="dxa"/>
          </w:tcPr>
          <w:p w:rsidR="00AC40FC" w:rsidRDefault="00AC40FC" w:rsidP="00A51C66">
            <w:pPr>
              <w:pStyle w:val="TableParagraph"/>
              <w:rPr>
                <w:sz w:val="20"/>
              </w:rPr>
            </w:pPr>
            <w:r>
              <w:rPr>
                <w:w w:val="95"/>
                <w:sz w:val="20"/>
              </w:rPr>
              <w:t>25,778,325</w:t>
            </w:r>
          </w:p>
        </w:tc>
        <w:tc>
          <w:tcPr>
            <w:tcW w:w="1627" w:type="dxa"/>
          </w:tcPr>
          <w:p w:rsidR="00AC40FC" w:rsidRDefault="00AC40FC" w:rsidP="00A51C66">
            <w:pPr>
              <w:pStyle w:val="TableParagraph"/>
              <w:rPr>
                <w:sz w:val="20"/>
              </w:rPr>
            </w:pPr>
            <w:r>
              <w:rPr>
                <w:w w:val="95"/>
                <w:sz w:val="20"/>
              </w:rPr>
              <w:t>33,633,267</w:t>
            </w:r>
          </w:p>
        </w:tc>
        <w:tc>
          <w:tcPr>
            <w:tcW w:w="1627" w:type="dxa"/>
          </w:tcPr>
          <w:p w:rsidR="00AC40FC" w:rsidRDefault="00AC40FC" w:rsidP="00A51C66">
            <w:pPr>
              <w:pStyle w:val="TableParagraph"/>
              <w:rPr>
                <w:sz w:val="20"/>
              </w:rPr>
            </w:pPr>
            <w:r>
              <w:rPr>
                <w:w w:val="95"/>
                <w:sz w:val="20"/>
              </w:rPr>
              <w:t>33,645,800</w:t>
            </w:r>
          </w:p>
        </w:tc>
        <w:tc>
          <w:tcPr>
            <w:tcW w:w="1224" w:type="dxa"/>
          </w:tcPr>
          <w:p w:rsidR="00AC40FC" w:rsidRDefault="00AC40FC" w:rsidP="00A51C66">
            <w:pPr>
              <w:pStyle w:val="TableParagraph"/>
              <w:ind w:left="161" w:right="144"/>
              <w:jc w:val="center"/>
              <w:rPr>
                <w:sz w:val="20"/>
              </w:rPr>
            </w:pPr>
            <w:r>
              <w:rPr>
                <w:sz w:val="20"/>
              </w:rPr>
              <w:t>19.52%</w:t>
            </w:r>
          </w:p>
        </w:tc>
      </w:tr>
    </w:tbl>
    <w:p w:rsidR="00AC40FC" w:rsidRDefault="00AC40FC"/>
    <w:p w:rsidR="00AC40FC" w:rsidRDefault="00AC40FC"/>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5062"/>
        <w:gridCol w:w="1740"/>
        <w:gridCol w:w="1740"/>
        <w:gridCol w:w="1740"/>
        <w:gridCol w:w="1627"/>
        <w:gridCol w:w="1627"/>
        <w:gridCol w:w="1226"/>
      </w:tblGrid>
      <w:tr w:rsidR="00AC40FC" w:rsidTr="00A51C66">
        <w:trPr>
          <w:trHeight w:hRule="exact" w:val="497"/>
          <w:jc w:val="center"/>
        </w:trPr>
        <w:tc>
          <w:tcPr>
            <w:tcW w:w="5062" w:type="dxa"/>
            <w:shd w:val="clear" w:color="auto" w:fill="A5CD7E"/>
          </w:tcPr>
          <w:p w:rsidR="00AC40FC" w:rsidRDefault="00AC40FC" w:rsidP="00A51C66">
            <w:pPr>
              <w:pStyle w:val="TableParagraph"/>
              <w:spacing w:before="122" w:line="240" w:lineRule="auto"/>
              <w:ind w:left="28" w:right="0"/>
              <w:jc w:val="left"/>
              <w:rPr>
                <w:b/>
                <w:sz w:val="20"/>
              </w:rPr>
            </w:pPr>
            <w:r>
              <w:rPr>
                <w:b/>
                <w:sz w:val="20"/>
              </w:rPr>
              <w:lastRenderedPageBreak/>
              <w:t>PPL Electric Utilities Corporation</w:t>
            </w:r>
            <w:r w:rsidRPr="006B3BEA">
              <w:rPr>
                <w:b/>
                <w:sz w:val="20"/>
              </w:rPr>
              <w:t xml:space="preserve"> </w:t>
            </w:r>
            <w:r>
              <w:rPr>
                <w:b/>
                <w:sz w:val="20"/>
              </w:rPr>
              <w:t>Balance Sheet</w:t>
            </w:r>
          </w:p>
        </w:tc>
        <w:tc>
          <w:tcPr>
            <w:tcW w:w="1740" w:type="dxa"/>
            <w:shd w:val="clear" w:color="auto" w:fill="A5CD7E"/>
          </w:tcPr>
          <w:p w:rsidR="00AC40FC" w:rsidRDefault="00AC40FC" w:rsidP="00A51C66">
            <w:pPr>
              <w:pStyle w:val="TableParagraph"/>
              <w:spacing w:before="122" w:line="240" w:lineRule="auto"/>
              <w:ind w:left="625" w:right="609"/>
              <w:jc w:val="center"/>
              <w:rPr>
                <w:b/>
                <w:sz w:val="20"/>
              </w:rPr>
            </w:pPr>
            <w:r>
              <w:rPr>
                <w:b/>
                <w:sz w:val="20"/>
              </w:rPr>
              <w:t>2010</w:t>
            </w:r>
          </w:p>
        </w:tc>
        <w:tc>
          <w:tcPr>
            <w:tcW w:w="1740" w:type="dxa"/>
            <w:shd w:val="clear" w:color="auto" w:fill="A5CD7E"/>
          </w:tcPr>
          <w:p w:rsidR="00AC40FC" w:rsidRDefault="00AC40FC" w:rsidP="00A51C66">
            <w:pPr>
              <w:pStyle w:val="TableParagraph"/>
              <w:spacing w:before="122" w:line="240" w:lineRule="auto"/>
              <w:ind w:left="625" w:right="609"/>
              <w:jc w:val="center"/>
              <w:rPr>
                <w:b/>
                <w:sz w:val="20"/>
              </w:rPr>
            </w:pPr>
            <w:r>
              <w:rPr>
                <w:b/>
                <w:sz w:val="20"/>
              </w:rPr>
              <w:t>2011</w:t>
            </w:r>
          </w:p>
        </w:tc>
        <w:tc>
          <w:tcPr>
            <w:tcW w:w="1740" w:type="dxa"/>
            <w:shd w:val="clear" w:color="auto" w:fill="A5CD7E"/>
          </w:tcPr>
          <w:p w:rsidR="00AC40FC" w:rsidRDefault="00AC40FC" w:rsidP="00A51C66">
            <w:pPr>
              <w:pStyle w:val="TableParagraph"/>
              <w:spacing w:before="122" w:line="240" w:lineRule="auto"/>
              <w:ind w:left="625" w:right="609"/>
              <w:jc w:val="center"/>
              <w:rPr>
                <w:b/>
                <w:sz w:val="20"/>
              </w:rPr>
            </w:pPr>
            <w:r>
              <w:rPr>
                <w:b/>
                <w:sz w:val="20"/>
              </w:rPr>
              <w:t>2012</w:t>
            </w:r>
          </w:p>
        </w:tc>
        <w:tc>
          <w:tcPr>
            <w:tcW w:w="1627" w:type="dxa"/>
            <w:shd w:val="clear" w:color="auto" w:fill="A5CD7E"/>
          </w:tcPr>
          <w:p w:rsidR="00AC40FC" w:rsidRDefault="00AC40FC" w:rsidP="00A51C66">
            <w:pPr>
              <w:pStyle w:val="TableParagraph"/>
              <w:spacing w:before="122" w:line="240" w:lineRule="auto"/>
              <w:ind w:left="571" w:right="552"/>
              <w:jc w:val="center"/>
              <w:rPr>
                <w:b/>
                <w:sz w:val="20"/>
              </w:rPr>
            </w:pPr>
            <w:r>
              <w:rPr>
                <w:b/>
                <w:sz w:val="20"/>
              </w:rPr>
              <w:t>2013</w:t>
            </w:r>
          </w:p>
        </w:tc>
        <w:tc>
          <w:tcPr>
            <w:tcW w:w="1627" w:type="dxa"/>
            <w:shd w:val="clear" w:color="auto" w:fill="A5CD7E"/>
          </w:tcPr>
          <w:p w:rsidR="00AC40FC" w:rsidRDefault="00AC40FC" w:rsidP="00A51C66">
            <w:pPr>
              <w:pStyle w:val="TableParagraph"/>
              <w:spacing w:before="122" w:line="240" w:lineRule="auto"/>
              <w:ind w:left="571" w:right="552"/>
              <w:jc w:val="center"/>
              <w:rPr>
                <w:b/>
                <w:sz w:val="20"/>
              </w:rPr>
            </w:pPr>
            <w:r>
              <w:rPr>
                <w:b/>
                <w:sz w:val="20"/>
              </w:rPr>
              <w:t>2014</w:t>
            </w:r>
          </w:p>
        </w:tc>
        <w:tc>
          <w:tcPr>
            <w:tcW w:w="1226" w:type="dxa"/>
            <w:shd w:val="clear" w:color="auto" w:fill="A5CD7E"/>
          </w:tcPr>
          <w:p w:rsidR="00AC40FC" w:rsidRDefault="00AC40FC" w:rsidP="00A51C66">
            <w:pPr>
              <w:pStyle w:val="TableParagraph"/>
              <w:spacing w:line="268" w:lineRule="auto"/>
              <w:ind w:left="254" w:right="55" w:hanging="178"/>
              <w:jc w:val="left"/>
              <w:rPr>
                <w:b/>
                <w:sz w:val="20"/>
              </w:rPr>
            </w:pPr>
            <w:r>
              <w:rPr>
                <w:b/>
                <w:sz w:val="20"/>
              </w:rPr>
              <w:t>Compound Growth</w:t>
            </w:r>
          </w:p>
        </w:tc>
      </w:tr>
      <w:tr w:rsidR="00AC40FC" w:rsidTr="00A51C66">
        <w:trPr>
          <w:trHeight w:hRule="exact" w:val="245"/>
          <w:jc w:val="center"/>
        </w:trPr>
        <w:tc>
          <w:tcPr>
            <w:tcW w:w="5062" w:type="dxa"/>
          </w:tcPr>
          <w:p w:rsidR="00AC40FC" w:rsidRDefault="00AC40FC" w:rsidP="00A51C66">
            <w:pPr>
              <w:pStyle w:val="TableParagraph"/>
              <w:ind w:left="180" w:right="0"/>
              <w:jc w:val="left"/>
              <w:rPr>
                <w:sz w:val="20"/>
              </w:rPr>
            </w:pPr>
            <w:r>
              <w:rPr>
                <w:sz w:val="20"/>
              </w:rPr>
              <w:t>238.00 Dividends Declared</w:t>
            </w:r>
          </w:p>
        </w:tc>
        <w:tc>
          <w:tcPr>
            <w:tcW w:w="1740" w:type="dxa"/>
          </w:tcPr>
          <w:p w:rsidR="00AC40FC" w:rsidRDefault="00AC40FC" w:rsidP="00A51C66">
            <w:pPr>
              <w:pStyle w:val="TableParagraph"/>
              <w:ind w:right="94"/>
              <w:rPr>
                <w:sz w:val="20"/>
              </w:rPr>
            </w:pPr>
            <w:r>
              <w:rPr>
                <w:w w:val="95"/>
                <w:sz w:val="20"/>
              </w:rPr>
              <w:t>3,906,250</w:t>
            </w:r>
          </w:p>
        </w:tc>
        <w:tc>
          <w:tcPr>
            <w:tcW w:w="1740" w:type="dxa"/>
          </w:tcPr>
          <w:p w:rsidR="00AC40FC" w:rsidRDefault="00AC40FC" w:rsidP="00A51C66">
            <w:pPr>
              <w:pStyle w:val="TableParagraph"/>
              <w:ind w:right="94"/>
              <w:rPr>
                <w:sz w:val="20"/>
              </w:rPr>
            </w:pPr>
            <w:r>
              <w:rPr>
                <w:w w:val="95"/>
                <w:sz w:val="20"/>
              </w:rPr>
              <w:t>3,906,235</w:t>
            </w:r>
          </w:p>
        </w:tc>
        <w:tc>
          <w:tcPr>
            <w:tcW w:w="1740" w:type="dxa"/>
          </w:tcPr>
          <w:p w:rsidR="00AC40FC" w:rsidRDefault="00AC40FC" w:rsidP="00A51C66">
            <w:pPr>
              <w:pStyle w:val="TableParagraph"/>
              <w:rPr>
                <w:sz w:val="20"/>
              </w:rPr>
            </w:pPr>
            <w:r>
              <w:rPr>
                <w:w w:val="99"/>
                <w:sz w:val="20"/>
              </w:rPr>
              <w:t>0</w:t>
            </w:r>
          </w:p>
        </w:tc>
        <w:tc>
          <w:tcPr>
            <w:tcW w:w="1627" w:type="dxa"/>
          </w:tcPr>
          <w:p w:rsidR="00AC40FC" w:rsidRDefault="00AC40FC" w:rsidP="00A51C66">
            <w:pPr>
              <w:pStyle w:val="TableParagraph"/>
              <w:rPr>
                <w:sz w:val="20"/>
              </w:rPr>
            </w:pPr>
            <w:r>
              <w:rPr>
                <w:w w:val="99"/>
                <w:sz w:val="20"/>
              </w:rPr>
              <w:t>0</w:t>
            </w:r>
          </w:p>
        </w:tc>
        <w:tc>
          <w:tcPr>
            <w:tcW w:w="1627" w:type="dxa"/>
          </w:tcPr>
          <w:p w:rsidR="00AC40FC" w:rsidRDefault="00AC40FC" w:rsidP="00A51C66">
            <w:pPr>
              <w:pStyle w:val="TableParagraph"/>
              <w:rPr>
                <w:sz w:val="20"/>
              </w:rPr>
            </w:pPr>
            <w:r>
              <w:rPr>
                <w:w w:val="99"/>
                <w:sz w:val="20"/>
              </w:rPr>
              <w:t>0</w:t>
            </w:r>
          </w:p>
        </w:tc>
        <w:tc>
          <w:tcPr>
            <w:tcW w:w="1226" w:type="dxa"/>
          </w:tcPr>
          <w:p w:rsidR="00AC40FC" w:rsidRDefault="00AC40FC" w:rsidP="00A51C66">
            <w:pPr>
              <w:pStyle w:val="TableParagraph"/>
              <w:ind w:left="162" w:right="149"/>
              <w:jc w:val="center"/>
              <w:rPr>
                <w:sz w:val="20"/>
              </w:rPr>
            </w:pPr>
            <w:r>
              <w:rPr>
                <w:sz w:val="20"/>
              </w:rPr>
              <w:t>-100.00%</w:t>
            </w:r>
          </w:p>
        </w:tc>
      </w:tr>
      <w:tr w:rsidR="00AC40FC" w:rsidTr="00A51C66">
        <w:trPr>
          <w:trHeight w:hRule="exact" w:val="276"/>
          <w:jc w:val="center"/>
        </w:trPr>
        <w:tc>
          <w:tcPr>
            <w:tcW w:w="5062" w:type="dxa"/>
          </w:tcPr>
          <w:p w:rsidR="00AC40FC" w:rsidRDefault="00AC40FC" w:rsidP="00A51C66">
            <w:pPr>
              <w:pStyle w:val="TableParagraph"/>
              <w:spacing w:before="21" w:line="240" w:lineRule="auto"/>
              <w:ind w:left="180" w:right="0"/>
              <w:jc w:val="left"/>
              <w:rPr>
                <w:sz w:val="20"/>
              </w:rPr>
            </w:pPr>
            <w:r>
              <w:rPr>
                <w:sz w:val="20"/>
              </w:rPr>
              <w:t>239.00 Matured Long-Term Debt</w:t>
            </w:r>
          </w:p>
        </w:tc>
        <w:tc>
          <w:tcPr>
            <w:tcW w:w="1740" w:type="dxa"/>
          </w:tcPr>
          <w:p w:rsidR="00AC40FC" w:rsidRDefault="00AC40FC" w:rsidP="00A51C66">
            <w:pPr>
              <w:pStyle w:val="TableParagraph"/>
              <w:spacing w:before="21" w:line="240" w:lineRule="auto"/>
              <w:rPr>
                <w:sz w:val="20"/>
              </w:rPr>
            </w:pPr>
            <w:r>
              <w:rPr>
                <w:w w:val="99"/>
                <w:sz w:val="20"/>
              </w:rPr>
              <w:t>0</w:t>
            </w:r>
          </w:p>
        </w:tc>
        <w:tc>
          <w:tcPr>
            <w:tcW w:w="1740" w:type="dxa"/>
          </w:tcPr>
          <w:p w:rsidR="00AC40FC" w:rsidRDefault="00AC40FC" w:rsidP="00A51C66">
            <w:pPr>
              <w:pStyle w:val="TableParagraph"/>
              <w:spacing w:before="21" w:line="240" w:lineRule="auto"/>
              <w:rPr>
                <w:sz w:val="20"/>
              </w:rPr>
            </w:pPr>
            <w:r>
              <w:rPr>
                <w:w w:val="99"/>
                <w:sz w:val="20"/>
              </w:rPr>
              <w:t>0</w:t>
            </w:r>
          </w:p>
        </w:tc>
        <w:tc>
          <w:tcPr>
            <w:tcW w:w="1740" w:type="dxa"/>
          </w:tcPr>
          <w:p w:rsidR="00AC40FC" w:rsidRDefault="00AC40FC" w:rsidP="00A51C66">
            <w:pPr>
              <w:pStyle w:val="TableParagraph"/>
              <w:spacing w:before="21" w:line="240" w:lineRule="auto"/>
              <w:rPr>
                <w:sz w:val="20"/>
              </w:rPr>
            </w:pPr>
            <w:r>
              <w:rPr>
                <w:w w:val="99"/>
                <w:sz w:val="20"/>
              </w:rPr>
              <w:t>0</w:t>
            </w:r>
          </w:p>
        </w:tc>
        <w:tc>
          <w:tcPr>
            <w:tcW w:w="1627" w:type="dxa"/>
          </w:tcPr>
          <w:p w:rsidR="00AC40FC" w:rsidRDefault="00AC40FC" w:rsidP="00A51C66">
            <w:pPr>
              <w:pStyle w:val="TableParagraph"/>
              <w:spacing w:before="21" w:line="240" w:lineRule="auto"/>
              <w:rPr>
                <w:sz w:val="20"/>
              </w:rPr>
            </w:pPr>
            <w:r>
              <w:rPr>
                <w:w w:val="99"/>
                <w:sz w:val="20"/>
              </w:rPr>
              <w:t>0</w:t>
            </w:r>
          </w:p>
        </w:tc>
        <w:tc>
          <w:tcPr>
            <w:tcW w:w="1627" w:type="dxa"/>
          </w:tcPr>
          <w:p w:rsidR="00AC40FC" w:rsidRDefault="00AC40FC" w:rsidP="00A51C66">
            <w:pPr>
              <w:pStyle w:val="TableParagraph"/>
              <w:spacing w:before="21" w:line="240" w:lineRule="auto"/>
              <w:rPr>
                <w:sz w:val="20"/>
              </w:rPr>
            </w:pPr>
            <w:r>
              <w:rPr>
                <w:w w:val="99"/>
                <w:sz w:val="20"/>
              </w:rPr>
              <w:t>0</w:t>
            </w:r>
          </w:p>
        </w:tc>
        <w:tc>
          <w:tcPr>
            <w:tcW w:w="1226" w:type="dxa"/>
          </w:tcPr>
          <w:p w:rsidR="00AC40FC" w:rsidRDefault="00AC40FC" w:rsidP="00A51C66">
            <w:pPr>
              <w:pStyle w:val="TableParagraph"/>
              <w:spacing w:before="21" w:line="240" w:lineRule="auto"/>
              <w:ind w:left="162" w:right="147"/>
              <w:jc w:val="center"/>
              <w:rPr>
                <w:sz w:val="20"/>
              </w:rPr>
            </w:pPr>
            <w:r>
              <w:rPr>
                <w:sz w:val="20"/>
              </w:rPr>
              <w:t>NM</w:t>
            </w:r>
          </w:p>
        </w:tc>
      </w:tr>
      <w:tr w:rsidR="00AC40FC" w:rsidTr="00A51C66">
        <w:trPr>
          <w:trHeight w:hRule="exact" w:val="276"/>
          <w:jc w:val="center"/>
        </w:trPr>
        <w:tc>
          <w:tcPr>
            <w:tcW w:w="5062" w:type="dxa"/>
          </w:tcPr>
          <w:p w:rsidR="00AC40FC" w:rsidRDefault="00AC40FC" w:rsidP="00A51C66">
            <w:pPr>
              <w:pStyle w:val="TableParagraph"/>
              <w:spacing w:before="21" w:line="240" w:lineRule="auto"/>
              <w:ind w:left="180" w:right="0"/>
              <w:jc w:val="left"/>
              <w:rPr>
                <w:sz w:val="20"/>
              </w:rPr>
            </w:pPr>
            <w:r>
              <w:rPr>
                <w:sz w:val="20"/>
              </w:rPr>
              <w:t>240.00 Matured Interests</w:t>
            </w:r>
          </w:p>
        </w:tc>
        <w:tc>
          <w:tcPr>
            <w:tcW w:w="1740" w:type="dxa"/>
          </w:tcPr>
          <w:p w:rsidR="00AC40FC" w:rsidRDefault="00AC40FC" w:rsidP="00A51C66">
            <w:pPr>
              <w:pStyle w:val="TableParagraph"/>
              <w:spacing w:before="21" w:line="240" w:lineRule="auto"/>
              <w:rPr>
                <w:sz w:val="20"/>
              </w:rPr>
            </w:pPr>
            <w:r>
              <w:rPr>
                <w:w w:val="99"/>
                <w:sz w:val="20"/>
              </w:rPr>
              <w:t>0</w:t>
            </w:r>
          </w:p>
        </w:tc>
        <w:tc>
          <w:tcPr>
            <w:tcW w:w="1740" w:type="dxa"/>
          </w:tcPr>
          <w:p w:rsidR="00AC40FC" w:rsidRDefault="00AC40FC" w:rsidP="00A51C66">
            <w:pPr>
              <w:pStyle w:val="TableParagraph"/>
              <w:spacing w:before="21" w:line="240" w:lineRule="auto"/>
              <w:rPr>
                <w:sz w:val="20"/>
              </w:rPr>
            </w:pPr>
            <w:r>
              <w:rPr>
                <w:w w:val="99"/>
                <w:sz w:val="20"/>
              </w:rPr>
              <w:t>0</w:t>
            </w:r>
          </w:p>
        </w:tc>
        <w:tc>
          <w:tcPr>
            <w:tcW w:w="1740" w:type="dxa"/>
          </w:tcPr>
          <w:p w:rsidR="00AC40FC" w:rsidRDefault="00AC40FC" w:rsidP="00A51C66">
            <w:pPr>
              <w:pStyle w:val="TableParagraph"/>
              <w:spacing w:before="21" w:line="240" w:lineRule="auto"/>
              <w:rPr>
                <w:sz w:val="20"/>
              </w:rPr>
            </w:pPr>
            <w:r>
              <w:rPr>
                <w:w w:val="99"/>
                <w:sz w:val="20"/>
              </w:rPr>
              <w:t>0</w:t>
            </w:r>
          </w:p>
        </w:tc>
        <w:tc>
          <w:tcPr>
            <w:tcW w:w="1627" w:type="dxa"/>
          </w:tcPr>
          <w:p w:rsidR="00AC40FC" w:rsidRDefault="00AC40FC" w:rsidP="00A51C66">
            <w:pPr>
              <w:pStyle w:val="TableParagraph"/>
              <w:spacing w:before="21" w:line="240" w:lineRule="auto"/>
              <w:rPr>
                <w:sz w:val="20"/>
              </w:rPr>
            </w:pPr>
            <w:r>
              <w:rPr>
                <w:w w:val="99"/>
                <w:sz w:val="20"/>
              </w:rPr>
              <w:t>0</w:t>
            </w:r>
          </w:p>
        </w:tc>
        <w:tc>
          <w:tcPr>
            <w:tcW w:w="1627" w:type="dxa"/>
          </w:tcPr>
          <w:p w:rsidR="00AC40FC" w:rsidRDefault="00AC40FC" w:rsidP="00A51C66">
            <w:pPr>
              <w:pStyle w:val="TableParagraph"/>
              <w:spacing w:before="21" w:line="240" w:lineRule="auto"/>
              <w:rPr>
                <w:sz w:val="20"/>
              </w:rPr>
            </w:pPr>
            <w:r>
              <w:rPr>
                <w:w w:val="99"/>
                <w:sz w:val="20"/>
              </w:rPr>
              <w:t>0</w:t>
            </w:r>
          </w:p>
        </w:tc>
        <w:tc>
          <w:tcPr>
            <w:tcW w:w="1226" w:type="dxa"/>
          </w:tcPr>
          <w:p w:rsidR="00AC40FC" w:rsidRDefault="00AC40FC" w:rsidP="00A51C66">
            <w:pPr>
              <w:pStyle w:val="TableParagraph"/>
              <w:spacing w:before="21" w:line="240" w:lineRule="auto"/>
              <w:ind w:left="162" w:right="147"/>
              <w:jc w:val="center"/>
              <w:rPr>
                <w:sz w:val="20"/>
              </w:rPr>
            </w:pPr>
            <w:r>
              <w:rPr>
                <w:sz w:val="20"/>
              </w:rPr>
              <w:t>NM</w:t>
            </w:r>
          </w:p>
        </w:tc>
      </w:tr>
      <w:tr w:rsidR="00AC40FC" w:rsidTr="00A51C66">
        <w:trPr>
          <w:trHeight w:hRule="exact" w:val="276"/>
          <w:jc w:val="center"/>
        </w:trPr>
        <w:tc>
          <w:tcPr>
            <w:tcW w:w="5062" w:type="dxa"/>
          </w:tcPr>
          <w:p w:rsidR="00AC40FC" w:rsidRDefault="00AC40FC" w:rsidP="00A51C66">
            <w:pPr>
              <w:pStyle w:val="TableParagraph"/>
              <w:spacing w:before="21" w:line="240" w:lineRule="auto"/>
              <w:ind w:left="180" w:right="0"/>
              <w:jc w:val="left"/>
              <w:rPr>
                <w:sz w:val="20"/>
              </w:rPr>
            </w:pPr>
            <w:r>
              <w:rPr>
                <w:sz w:val="20"/>
              </w:rPr>
              <w:t>241.00 Tax Collections Payable</w:t>
            </w:r>
          </w:p>
        </w:tc>
        <w:tc>
          <w:tcPr>
            <w:tcW w:w="1740" w:type="dxa"/>
          </w:tcPr>
          <w:p w:rsidR="00AC40FC" w:rsidRDefault="00AC40FC" w:rsidP="00A51C66">
            <w:pPr>
              <w:pStyle w:val="TableParagraph"/>
              <w:spacing w:before="21" w:line="240" w:lineRule="auto"/>
              <w:rPr>
                <w:sz w:val="20"/>
              </w:rPr>
            </w:pPr>
            <w:r>
              <w:rPr>
                <w:w w:val="95"/>
                <w:sz w:val="20"/>
              </w:rPr>
              <w:t>2,094,382</w:t>
            </w:r>
          </w:p>
        </w:tc>
        <w:tc>
          <w:tcPr>
            <w:tcW w:w="1740" w:type="dxa"/>
          </w:tcPr>
          <w:p w:rsidR="00AC40FC" w:rsidRDefault="00AC40FC" w:rsidP="00A51C66">
            <w:pPr>
              <w:pStyle w:val="TableParagraph"/>
              <w:spacing w:before="21" w:line="240" w:lineRule="auto"/>
              <w:rPr>
                <w:sz w:val="20"/>
              </w:rPr>
            </w:pPr>
            <w:r>
              <w:rPr>
                <w:w w:val="95"/>
                <w:sz w:val="20"/>
              </w:rPr>
              <w:t>575,580</w:t>
            </w:r>
          </w:p>
        </w:tc>
        <w:tc>
          <w:tcPr>
            <w:tcW w:w="1740" w:type="dxa"/>
          </w:tcPr>
          <w:p w:rsidR="00AC40FC" w:rsidRDefault="00AC40FC" w:rsidP="00A51C66">
            <w:pPr>
              <w:pStyle w:val="TableParagraph"/>
              <w:spacing w:before="21" w:line="240" w:lineRule="auto"/>
              <w:rPr>
                <w:sz w:val="20"/>
              </w:rPr>
            </w:pPr>
            <w:r>
              <w:rPr>
                <w:w w:val="95"/>
                <w:sz w:val="20"/>
              </w:rPr>
              <w:t>971,585</w:t>
            </w:r>
          </w:p>
        </w:tc>
        <w:tc>
          <w:tcPr>
            <w:tcW w:w="1627" w:type="dxa"/>
          </w:tcPr>
          <w:p w:rsidR="00AC40FC" w:rsidRDefault="00AC40FC" w:rsidP="00A51C66">
            <w:pPr>
              <w:pStyle w:val="TableParagraph"/>
              <w:spacing w:before="21" w:line="240" w:lineRule="auto"/>
              <w:rPr>
                <w:sz w:val="20"/>
              </w:rPr>
            </w:pPr>
            <w:r>
              <w:rPr>
                <w:w w:val="95"/>
                <w:sz w:val="20"/>
              </w:rPr>
              <w:t>738,823</w:t>
            </w:r>
          </w:p>
        </w:tc>
        <w:tc>
          <w:tcPr>
            <w:tcW w:w="1627" w:type="dxa"/>
          </w:tcPr>
          <w:p w:rsidR="00AC40FC" w:rsidRDefault="00AC40FC" w:rsidP="00A51C66">
            <w:pPr>
              <w:pStyle w:val="TableParagraph"/>
              <w:spacing w:before="21" w:line="240" w:lineRule="auto"/>
              <w:rPr>
                <w:sz w:val="20"/>
              </w:rPr>
            </w:pPr>
            <w:r>
              <w:rPr>
                <w:w w:val="95"/>
                <w:sz w:val="20"/>
              </w:rPr>
              <w:t>985,207</w:t>
            </w:r>
          </w:p>
        </w:tc>
        <w:tc>
          <w:tcPr>
            <w:tcW w:w="1226" w:type="dxa"/>
          </w:tcPr>
          <w:p w:rsidR="00AC40FC" w:rsidRDefault="00AC40FC" w:rsidP="00A51C66">
            <w:pPr>
              <w:pStyle w:val="TableParagraph"/>
              <w:spacing w:before="21" w:line="240" w:lineRule="auto"/>
              <w:ind w:left="162" w:right="148"/>
              <w:jc w:val="center"/>
              <w:rPr>
                <w:sz w:val="20"/>
              </w:rPr>
            </w:pPr>
            <w:r>
              <w:rPr>
                <w:sz w:val="20"/>
              </w:rPr>
              <w:t>-17.18%</w:t>
            </w:r>
          </w:p>
        </w:tc>
      </w:tr>
      <w:tr w:rsidR="00AC40FC" w:rsidTr="00A51C66">
        <w:trPr>
          <w:trHeight w:hRule="exact" w:val="276"/>
          <w:jc w:val="center"/>
        </w:trPr>
        <w:tc>
          <w:tcPr>
            <w:tcW w:w="5062" w:type="dxa"/>
          </w:tcPr>
          <w:p w:rsidR="00AC40FC" w:rsidRDefault="00AC40FC" w:rsidP="00A51C66">
            <w:pPr>
              <w:pStyle w:val="TableParagraph"/>
              <w:spacing w:before="21" w:line="240" w:lineRule="auto"/>
              <w:ind w:left="180" w:right="0"/>
              <w:jc w:val="left"/>
              <w:rPr>
                <w:sz w:val="20"/>
              </w:rPr>
            </w:pPr>
            <w:r>
              <w:rPr>
                <w:sz w:val="20"/>
              </w:rPr>
              <w:t>242.00 Miscellaneous Current and Accrued Liabilities</w:t>
            </w:r>
          </w:p>
        </w:tc>
        <w:tc>
          <w:tcPr>
            <w:tcW w:w="1740" w:type="dxa"/>
          </w:tcPr>
          <w:p w:rsidR="00AC40FC" w:rsidRDefault="00AC40FC" w:rsidP="00A51C66">
            <w:pPr>
              <w:pStyle w:val="TableParagraph"/>
              <w:spacing w:before="21" w:line="240" w:lineRule="auto"/>
              <w:rPr>
                <w:sz w:val="20"/>
              </w:rPr>
            </w:pPr>
            <w:r>
              <w:rPr>
                <w:w w:val="95"/>
                <w:sz w:val="20"/>
              </w:rPr>
              <w:t>74,971,845</w:t>
            </w:r>
          </w:p>
        </w:tc>
        <w:tc>
          <w:tcPr>
            <w:tcW w:w="1740" w:type="dxa"/>
          </w:tcPr>
          <w:p w:rsidR="00AC40FC" w:rsidRDefault="00AC40FC" w:rsidP="00A51C66">
            <w:pPr>
              <w:pStyle w:val="TableParagraph"/>
              <w:spacing w:before="21" w:line="240" w:lineRule="auto"/>
              <w:rPr>
                <w:sz w:val="20"/>
              </w:rPr>
            </w:pPr>
            <w:r>
              <w:rPr>
                <w:w w:val="95"/>
                <w:sz w:val="20"/>
              </w:rPr>
              <w:t>56,338,371</w:t>
            </w:r>
          </w:p>
        </w:tc>
        <w:tc>
          <w:tcPr>
            <w:tcW w:w="1740" w:type="dxa"/>
          </w:tcPr>
          <w:p w:rsidR="00AC40FC" w:rsidRDefault="00AC40FC" w:rsidP="00A51C66">
            <w:pPr>
              <w:pStyle w:val="TableParagraph"/>
              <w:spacing w:before="21" w:line="240" w:lineRule="auto"/>
              <w:rPr>
                <w:sz w:val="20"/>
              </w:rPr>
            </w:pPr>
            <w:r>
              <w:rPr>
                <w:w w:val="95"/>
                <w:sz w:val="20"/>
              </w:rPr>
              <w:t>62,819,856</w:t>
            </w:r>
          </w:p>
        </w:tc>
        <w:tc>
          <w:tcPr>
            <w:tcW w:w="1627" w:type="dxa"/>
          </w:tcPr>
          <w:p w:rsidR="00AC40FC" w:rsidRDefault="00AC40FC" w:rsidP="00A51C66">
            <w:pPr>
              <w:pStyle w:val="TableParagraph"/>
              <w:spacing w:before="21" w:line="240" w:lineRule="auto"/>
              <w:rPr>
                <w:sz w:val="20"/>
              </w:rPr>
            </w:pPr>
            <w:r>
              <w:rPr>
                <w:w w:val="95"/>
                <w:sz w:val="20"/>
              </w:rPr>
              <w:t>52,914,613</w:t>
            </w:r>
          </w:p>
        </w:tc>
        <w:tc>
          <w:tcPr>
            <w:tcW w:w="1627" w:type="dxa"/>
          </w:tcPr>
          <w:p w:rsidR="00AC40FC" w:rsidRDefault="00AC40FC" w:rsidP="00A51C66">
            <w:pPr>
              <w:pStyle w:val="TableParagraph"/>
              <w:spacing w:before="21" w:line="240" w:lineRule="auto"/>
              <w:rPr>
                <w:sz w:val="20"/>
              </w:rPr>
            </w:pPr>
            <w:r>
              <w:rPr>
                <w:w w:val="95"/>
                <w:sz w:val="20"/>
              </w:rPr>
              <w:t>50,599,110</w:t>
            </w:r>
          </w:p>
        </w:tc>
        <w:tc>
          <w:tcPr>
            <w:tcW w:w="1226" w:type="dxa"/>
          </w:tcPr>
          <w:p w:rsidR="00AC40FC" w:rsidRDefault="00AC40FC" w:rsidP="00A51C66">
            <w:pPr>
              <w:pStyle w:val="TableParagraph"/>
              <w:spacing w:before="21" w:line="240" w:lineRule="auto"/>
              <w:ind w:left="162" w:right="148"/>
              <w:jc w:val="center"/>
              <w:rPr>
                <w:sz w:val="20"/>
              </w:rPr>
            </w:pPr>
            <w:r>
              <w:rPr>
                <w:sz w:val="20"/>
              </w:rPr>
              <w:t>-9.36%</w:t>
            </w:r>
          </w:p>
        </w:tc>
      </w:tr>
      <w:tr w:rsidR="00AC40FC" w:rsidTr="00A51C66">
        <w:trPr>
          <w:trHeight w:hRule="exact" w:val="276"/>
          <w:jc w:val="center"/>
        </w:trPr>
        <w:tc>
          <w:tcPr>
            <w:tcW w:w="5062" w:type="dxa"/>
          </w:tcPr>
          <w:p w:rsidR="00AC40FC" w:rsidRDefault="00AC40FC" w:rsidP="00A51C66">
            <w:pPr>
              <w:pStyle w:val="TableParagraph"/>
              <w:spacing w:before="21" w:line="240" w:lineRule="auto"/>
              <w:ind w:left="180" w:right="0"/>
              <w:jc w:val="left"/>
              <w:rPr>
                <w:sz w:val="20"/>
              </w:rPr>
            </w:pPr>
            <w:r>
              <w:rPr>
                <w:sz w:val="20"/>
              </w:rPr>
              <w:t>243.00 Obligations Under Capital Leases-Current</w:t>
            </w:r>
          </w:p>
        </w:tc>
        <w:tc>
          <w:tcPr>
            <w:tcW w:w="1740" w:type="dxa"/>
          </w:tcPr>
          <w:p w:rsidR="00AC40FC" w:rsidRDefault="00AC40FC" w:rsidP="00A51C66">
            <w:pPr>
              <w:pStyle w:val="TableParagraph"/>
              <w:spacing w:before="21" w:line="240" w:lineRule="auto"/>
              <w:ind w:right="92"/>
              <w:rPr>
                <w:sz w:val="20"/>
              </w:rPr>
            </w:pPr>
            <w:r>
              <w:rPr>
                <w:w w:val="99"/>
                <w:sz w:val="20"/>
              </w:rPr>
              <w:t>0</w:t>
            </w:r>
          </w:p>
        </w:tc>
        <w:tc>
          <w:tcPr>
            <w:tcW w:w="1740" w:type="dxa"/>
          </w:tcPr>
          <w:p w:rsidR="00AC40FC" w:rsidRDefault="00AC40FC" w:rsidP="00A51C66">
            <w:pPr>
              <w:pStyle w:val="TableParagraph"/>
              <w:spacing w:before="21" w:line="240" w:lineRule="auto"/>
              <w:ind w:right="92"/>
              <w:rPr>
                <w:sz w:val="20"/>
              </w:rPr>
            </w:pPr>
            <w:r>
              <w:rPr>
                <w:w w:val="99"/>
                <w:sz w:val="20"/>
              </w:rPr>
              <w:t>0</w:t>
            </w:r>
          </w:p>
        </w:tc>
        <w:tc>
          <w:tcPr>
            <w:tcW w:w="1740" w:type="dxa"/>
          </w:tcPr>
          <w:p w:rsidR="00AC40FC" w:rsidRDefault="00AC40FC" w:rsidP="00A51C66">
            <w:pPr>
              <w:pStyle w:val="TableParagraph"/>
              <w:spacing w:before="21" w:line="240" w:lineRule="auto"/>
              <w:ind w:right="92"/>
              <w:rPr>
                <w:sz w:val="20"/>
              </w:rPr>
            </w:pPr>
            <w:r>
              <w:rPr>
                <w:w w:val="99"/>
                <w:sz w:val="20"/>
              </w:rPr>
              <w:t>0</w:t>
            </w:r>
          </w:p>
        </w:tc>
        <w:tc>
          <w:tcPr>
            <w:tcW w:w="1627" w:type="dxa"/>
          </w:tcPr>
          <w:p w:rsidR="00AC40FC" w:rsidRDefault="00AC40FC" w:rsidP="00A51C66"/>
        </w:tc>
        <w:tc>
          <w:tcPr>
            <w:tcW w:w="1627" w:type="dxa"/>
          </w:tcPr>
          <w:p w:rsidR="00AC40FC" w:rsidRDefault="00AC40FC" w:rsidP="00A51C66"/>
        </w:tc>
        <w:tc>
          <w:tcPr>
            <w:tcW w:w="1226" w:type="dxa"/>
          </w:tcPr>
          <w:p w:rsidR="00AC40FC" w:rsidRDefault="00AC40FC" w:rsidP="00A51C66">
            <w:pPr>
              <w:pStyle w:val="TableParagraph"/>
              <w:spacing w:before="21" w:line="240" w:lineRule="auto"/>
              <w:ind w:left="162" w:right="146"/>
              <w:jc w:val="center"/>
              <w:rPr>
                <w:sz w:val="20"/>
              </w:rPr>
            </w:pPr>
            <w:r>
              <w:rPr>
                <w:sz w:val="20"/>
              </w:rPr>
              <w:t>NM</w:t>
            </w:r>
          </w:p>
        </w:tc>
      </w:tr>
      <w:tr w:rsidR="00AC40FC" w:rsidTr="00A51C66">
        <w:trPr>
          <w:trHeight w:hRule="exact" w:val="276"/>
          <w:jc w:val="center"/>
        </w:trPr>
        <w:tc>
          <w:tcPr>
            <w:tcW w:w="5062" w:type="dxa"/>
          </w:tcPr>
          <w:p w:rsidR="00AC40FC" w:rsidRDefault="00AC40FC" w:rsidP="00A51C66">
            <w:pPr>
              <w:pStyle w:val="TableParagraph"/>
              <w:spacing w:before="21" w:line="240" w:lineRule="auto"/>
              <w:ind w:right="27"/>
              <w:rPr>
                <w:b/>
                <w:sz w:val="20"/>
              </w:rPr>
            </w:pPr>
            <w:r>
              <w:rPr>
                <w:b/>
                <w:sz w:val="20"/>
              </w:rPr>
              <w:t>TOTAL CURRENT AND ACCRUED LIABILITIES</w:t>
            </w:r>
          </w:p>
        </w:tc>
        <w:tc>
          <w:tcPr>
            <w:tcW w:w="1740" w:type="dxa"/>
          </w:tcPr>
          <w:p w:rsidR="00AC40FC" w:rsidRDefault="00AC40FC" w:rsidP="00A51C66">
            <w:pPr>
              <w:pStyle w:val="TableParagraph"/>
              <w:spacing w:before="21" w:line="240" w:lineRule="auto"/>
              <w:rPr>
                <w:b/>
                <w:sz w:val="20"/>
              </w:rPr>
            </w:pPr>
            <w:r>
              <w:rPr>
                <w:b/>
                <w:w w:val="95"/>
                <w:sz w:val="20"/>
              </w:rPr>
              <w:t>$437,766,085</w:t>
            </w:r>
          </w:p>
        </w:tc>
        <w:tc>
          <w:tcPr>
            <w:tcW w:w="1740" w:type="dxa"/>
          </w:tcPr>
          <w:p w:rsidR="00AC40FC" w:rsidRDefault="00AC40FC" w:rsidP="00A51C66">
            <w:pPr>
              <w:pStyle w:val="TableParagraph"/>
              <w:spacing w:before="21" w:line="240" w:lineRule="auto"/>
              <w:rPr>
                <w:b/>
                <w:sz w:val="20"/>
              </w:rPr>
            </w:pPr>
            <w:r>
              <w:rPr>
                <w:b/>
                <w:w w:val="95"/>
                <w:sz w:val="20"/>
              </w:rPr>
              <w:t>$342,853,670</w:t>
            </w:r>
          </w:p>
        </w:tc>
        <w:tc>
          <w:tcPr>
            <w:tcW w:w="1740" w:type="dxa"/>
          </w:tcPr>
          <w:p w:rsidR="00AC40FC" w:rsidRDefault="00AC40FC" w:rsidP="00A51C66">
            <w:pPr>
              <w:pStyle w:val="TableParagraph"/>
              <w:spacing w:before="21" w:line="240" w:lineRule="auto"/>
              <w:rPr>
                <w:b/>
                <w:sz w:val="20"/>
              </w:rPr>
            </w:pPr>
            <w:r>
              <w:rPr>
                <w:b/>
                <w:w w:val="95"/>
                <w:sz w:val="20"/>
              </w:rPr>
              <w:t>$443,962,222</w:t>
            </w:r>
          </w:p>
        </w:tc>
        <w:tc>
          <w:tcPr>
            <w:tcW w:w="1627" w:type="dxa"/>
          </w:tcPr>
          <w:p w:rsidR="00AC40FC" w:rsidRDefault="00AC40FC" w:rsidP="00A51C66">
            <w:pPr>
              <w:pStyle w:val="TableParagraph"/>
              <w:spacing w:before="21" w:line="240" w:lineRule="auto"/>
              <w:rPr>
                <w:b/>
                <w:sz w:val="20"/>
              </w:rPr>
            </w:pPr>
            <w:r>
              <w:rPr>
                <w:b/>
                <w:w w:val="95"/>
                <w:sz w:val="20"/>
              </w:rPr>
              <w:t>$529,151,375</w:t>
            </w:r>
          </w:p>
        </w:tc>
        <w:tc>
          <w:tcPr>
            <w:tcW w:w="1627" w:type="dxa"/>
          </w:tcPr>
          <w:p w:rsidR="00AC40FC" w:rsidRDefault="00AC40FC" w:rsidP="00A51C66">
            <w:pPr>
              <w:pStyle w:val="TableParagraph"/>
              <w:spacing w:before="21" w:line="240" w:lineRule="auto"/>
              <w:rPr>
                <w:b/>
                <w:sz w:val="20"/>
              </w:rPr>
            </w:pPr>
            <w:r>
              <w:rPr>
                <w:b/>
                <w:w w:val="95"/>
                <w:sz w:val="20"/>
              </w:rPr>
              <w:t>$570,887,867</w:t>
            </w:r>
          </w:p>
        </w:tc>
        <w:tc>
          <w:tcPr>
            <w:tcW w:w="1226" w:type="dxa"/>
          </w:tcPr>
          <w:p w:rsidR="00AC40FC" w:rsidRDefault="00AC40FC" w:rsidP="00A51C66">
            <w:pPr>
              <w:pStyle w:val="TableParagraph"/>
              <w:spacing w:before="21" w:line="240" w:lineRule="auto"/>
              <w:ind w:left="162" w:right="143"/>
              <w:jc w:val="center"/>
              <w:rPr>
                <w:b/>
                <w:sz w:val="20"/>
              </w:rPr>
            </w:pPr>
            <w:r>
              <w:rPr>
                <w:b/>
                <w:sz w:val="20"/>
              </w:rPr>
              <w:t>6.86%</w:t>
            </w:r>
          </w:p>
        </w:tc>
      </w:tr>
      <w:tr w:rsidR="00AC40FC" w:rsidTr="00A51C66">
        <w:trPr>
          <w:trHeight w:hRule="exact" w:val="245"/>
          <w:jc w:val="center"/>
        </w:trPr>
        <w:tc>
          <w:tcPr>
            <w:tcW w:w="14762" w:type="dxa"/>
            <w:gridSpan w:val="7"/>
          </w:tcPr>
          <w:p w:rsidR="00AC40FC" w:rsidRDefault="00AC40FC" w:rsidP="00A51C66">
            <w:pPr>
              <w:pStyle w:val="TableParagraph"/>
              <w:ind w:left="28" w:right="0"/>
              <w:jc w:val="left"/>
              <w:rPr>
                <w:b/>
                <w:sz w:val="20"/>
              </w:rPr>
            </w:pPr>
            <w:r>
              <w:rPr>
                <w:b/>
                <w:sz w:val="20"/>
              </w:rPr>
              <w:t>DEFERRED CREDITS</w:t>
            </w:r>
          </w:p>
        </w:tc>
      </w:tr>
      <w:tr w:rsidR="00AC40FC" w:rsidTr="00A51C66">
        <w:trPr>
          <w:trHeight w:hRule="exact" w:val="276"/>
          <w:jc w:val="center"/>
        </w:trPr>
        <w:tc>
          <w:tcPr>
            <w:tcW w:w="5062" w:type="dxa"/>
          </w:tcPr>
          <w:p w:rsidR="00AC40FC" w:rsidRDefault="00AC40FC" w:rsidP="00A51C66">
            <w:pPr>
              <w:pStyle w:val="TableParagraph"/>
              <w:spacing w:before="21" w:line="240" w:lineRule="auto"/>
              <w:ind w:left="180" w:right="0"/>
              <w:jc w:val="left"/>
              <w:rPr>
                <w:sz w:val="20"/>
              </w:rPr>
            </w:pPr>
            <w:r>
              <w:rPr>
                <w:sz w:val="20"/>
              </w:rPr>
              <w:t>252.00 Customer Advances for Construction</w:t>
            </w:r>
          </w:p>
        </w:tc>
        <w:tc>
          <w:tcPr>
            <w:tcW w:w="1740" w:type="dxa"/>
          </w:tcPr>
          <w:p w:rsidR="00AC40FC" w:rsidRDefault="00AC40FC" w:rsidP="00A51C66">
            <w:pPr>
              <w:pStyle w:val="TableParagraph"/>
              <w:spacing w:before="21" w:line="240" w:lineRule="auto"/>
              <w:ind w:right="94"/>
              <w:rPr>
                <w:sz w:val="20"/>
              </w:rPr>
            </w:pPr>
            <w:r>
              <w:rPr>
                <w:w w:val="95"/>
                <w:sz w:val="20"/>
              </w:rPr>
              <w:t>$200,668</w:t>
            </w:r>
          </w:p>
        </w:tc>
        <w:tc>
          <w:tcPr>
            <w:tcW w:w="1740" w:type="dxa"/>
          </w:tcPr>
          <w:p w:rsidR="00AC40FC" w:rsidRDefault="00AC40FC" w:rsidP="00A51C66">
            <w:pPr>
              <w:pStyle w:val="TableParagraph"/>
              <w:spacing w:before="21" w:line="240" w:lineRule="auto"/>
              <w:ind w:right="94"/>
              <w:rPr>
                <w:sz w:val="20"/>
              </w:rPr>
            </w:pPr>
            <w:r>
              <w:rPr>
                <w:w w:val="95"/>
                <w:sz w:val="20"/>
              </w:rPr>
              <w:t>$179,577</w:t>
            </w:r>
          </w:p>
        </w:tc>
        <w:tc>
          <w:tcPr>
            <w:tcW w:w="1740" w:type="dxa"/>
          </w:tcPr>
          <w:p w:rsidR="00AC40FC" w:rsidRDefault="00AC40FC" w:rsidP="00A51C66">
            <w:pPr>
              <w:pStyle w:val="TableParagraph"/>
              <w:spacing w:before="21" w:line="240" w:lineRule="auto"/>
              <w:ind w:right="94"/>
              <w:rPr>
                <w:sz w:val="20"/>
              </w:rPr>
            </w:pPr>
            <w:r>
              <w:rPr>
                <w:w w:val="95"/>
                <w:sz w:val="20"/>
              </w:rPr>
              <w:t>$125,481</w:t>
            </w:r>
          </w:p>
        </w:tc>
        <w:tc>
          <w:tcPr>
            <w:tcW w:w="1627" w:type="dxa"/>
          </w:tcPr>
          <w:p w:rsidR="00AC40FC" w:rsidRDefault="00AC40FC" w:rsidP="00A51C66">
            <w:pPr>
              <w:pStyle w:val="TableParagraph"/>
              <w:spacing w:before="21" w:line="240" w:lineRule="auto"/>
              <w:ind w:right="94"/>
              <w:rPr>
                <w:sz w:val="20"/>
              </w:rPr>
            </w:pPr>
            <w:r>
              <w:rPr>
                <w:w w:val="95"/>
                <w:sz w:val="20"/>
              </w:rPr>
              <w:t>$79,867</w:t>
            </w:r>
          </w:p>
        </w:tc>
        <w:tc>
          <w:tcPr>
            <w:tcW w:w="1627" w:type="dxa"/>
          </w:tcPr>
          <w:p w:rsidR="00AC40FC" w:rsidRDefault="00AC40FC" w:rsidP="00A51C66">
            <w:pPr>
              <w:pStyle w:val="TableParagraph"/>
              <w:spacing w:before="21" w:line="240" w:lineRule="auto"/>
              <w:ind w:right="94"/>
              <w:rPr>
                <w:sz w:val="20"/>
              </w:rPr>
            </w:pPr>
            <w:r>
              <w:rPr>
                <w:w w:val="95"/>
                <w:sz w:val="20"/>
              </w:rPr>
              <w:t>$67,961</w:t>
            </w:r>
          </w:p>
        </w:tc>
        <w:tc>
          <w:tcPr>
            <w:tcW w:w="1226" w:type="dxa"/>
          </w:tcPr>
          <w:p w:rsidR="00AC40FC" w:rsidRDefault="00AC40FC" w:rsidP="00A51C66">
            <w:pPr>
              <w:pStyle w:val="TableParagraph"/>
              <w:spacing w:before="21" w:line="240" w:lineRule="auto"/>
              <w:ind w:left="162" w:right="149"/>
              <w:jc w:val="center"/>
              <w:rPr>
                <w:sz w:val="20"/>
              </w:rPr>
            </w:pPr>
            <w:r>
              <w:rPr>
                <w:sz w:val="20"/>
              </w:rPr>
              <w:t>-23.71%</w:t>
            </w:r>
          </w:p>
        </w:tc>
      </w:tr>
      <w:tr w:rsidR="00AC40FC" w:rsidTr="00A51C66">
        <w:trPr>
          <w:trHeight w:hRule="exact" w:val="276"/>
          <w:jc w:val="center"/>
        </w:trPr>
        <w:tc>
          <w:tcPr>
            <w:tcW w:w="5062" w:type="dxa"/>
          </w:tcPr>
          <w:p w:rsidR="00AC40FC" w:rsidRDefault="00AC40FC" w:rsidP="00A51C66">
            <w:pPr>
              <w:pStyle w:val="TableParagraph"/>
              <w:spacing w:before="21" w:line="240" w:lineRule="auto"/>
              <w:ind w:left="180" w:right="0"/>
              <w:jc w:val="left"/>
              <w:rPr>
                <w:sz w:val="20"/>
              </w:rPr>
            </w:pPr>
            <w:r>
              <w:rPr>
                <w:sz w:val="20"/>
              </w:rPr>
              <w:t>253.00 Other Deferred Credits</w:t>
            </w:r>
          </w:p>
        </w:tc>
        <w:tc>
          <w:tcPr>
            <w:tcW w:w="1740" w:type="dxa"/>
          </w:tcPr>
          <w:p w:rsidR="00AC40FC" w:rsidRDefault="00AC40FC" w:rsidP="00A51C66">
            <w:pPr>
              <w:pStyle w:val="TableParagraph"/>
              <w:spacing w:before="21" w:line="240" w:lineRule="auto"/>
              <w:ind w:right="94"/>
              <w:rPr>
                <w:sz w:val="20"/>
              </w:rPr>
            </w:pPr>
            <w:r>
              <w:rPr>
                <w:w w:val="95"/>
                <w:sz w:val="20"/>
              </w:rPr>
              <w:t>55,404,304</w:t>
            </w:r>
          </w:p>
        </w:tc>
        <w:tc>
          <w:tcPr>
            <w:tcW w:w="1740" w:type="dxa"/>
          </w:tcPr>
          <w:p w:rsidR="00AC40FC" w:rsidRDefault="00AC40FC" w:rsidP="00A51C66">
            <w:pPr>
              <w:pStyle w:val="TableParagraph"/>
              <w:spacing w:before="21" w:line="240" w:lineRule="auto"/>
              <w:ind w:right="94"/>
              <w:rPr>
                <w:sz w:val="20"/>
              </w:rPr>
            </w:pPr>
            <w:r>
              <w:rPr>
                <w:w w:val="95"/>
                <w:sz w:val="20"/>
              </w:rPr>
              <w:t>63,753,448</w:t>
            </w:r>
          </w:p>
        </w:tc>
        <w:tc>
          <w:tcPr>
            <w:tcW w:w="1740" w:type="dxa"/>
          </w:tcPr>
          <w:p w:rsidR="00AC40FC" w:rsidRDefault="00AC40FC" w:rsidP="00A51C66">
            <w:pPr>
              <w:pStyle w:val="TableParagraph"/>
              <w:spacing w:before="21" w:line="240" w:lineRule="auto"/>
              <w:ind w:right="94"/>
              <w:rPr>
                <w:sz w:val="20"/>
              </w:rPr>
            </w:pPr>
            <w:r>
              <w:rPr>
                <w:w w:val="95"/>
                <w:sz w:val="20"/>
              </w:rPr>
              <w:t>38,597,912</w:t>
            </w:r>
          </w:p>
        </w:tc>
        <w:tc>
          <w:tcPr>
            <w:tcW w:w="1627" w:type="dxa"/>
          </w:tcPr>
          <w:p w:rsidR="00AC40FC" w:rsidRDefault="00AC40FC" w:rsidP="00A51C66">
            <w:pPr>
              <w:pStyle w:val="TableParagraph"/>
              <w:spacing w:before="21" w:line="240" w:lineRule="auto"/>
              <w:ind w:right="95"/>
              <w:rPr>
                <w:sz w:val="20"/>
              </w:rPr>
            </w:pPr>
            <w:r>
              <w:rPr>
                <w:w w:val="95"/>
                <w:sz w:val="20"/>
              </w:rPr>
              <w:t>15,586,589</w:t>
            </w:r>
          </w:p>
        </w:tc>
        <w:tc>
          <w:tcPr>
            <w:tcW w:w="1627" w:type="dxa"/>
          </w:tcPr>
          <w:p w:rsidR="00AC40FC" w:rsidRDefault="00AC40FC" w:rsidP="00A51C66">
            <w:pPr>
              <w:pStyle w:val="TableParagraph"/>
              <w:spacing w:before="21" w:line="240" w:lineRule="auto"/>
              <w:rPr>
                <w:sz w:val="20"/>
              </w:rPr>
            </w:pPr>
            <w:r>
              <w:rPr>
                <w:w w:val="95"/>
                <w:sz w:val="20"/>
              </w:rPr>
              <w:t>38,930,446</w:t>
            </w:r>
          </w:p>
        </w:tc>
        <w:tc>
          <w:tcPr>
            <w:tcW w:w="1226" w:type="dxa"/>
          </w:tcPr>
          <w:p w:rsidR="00AC40FC" w:rsidRDefault="00AC40FC" w:rsidP="00A51C66">
            <w:pPr>
              <w:pStyle w:val="TableParagraph"/>
              <w:spacing w:before="21" w:line="240" w:lineRule="auto"/>
              <w:ind w:left="162" w:right="148"/>
              <w:jc w:val="center"/>
              <w:rPr>
                <w:sz w:val="20"/>
              </w:rPr>
            </w:pPr>
            <w:r>
              <w:rPr>
                <w:sz w:val="20"/>
              </w:rPr>
              <w:t>-8.44%</w:t>
            </w:r>
          </w:p>
        </w:tc>
      </w:tr>
      <w:tr w:rsidR="00AC40FC" w:rsidTr="00A51C66">
        <w:trPr>
          <w:trHeight w:hRule="exact" w:val="276"/>
          <w:jc w:val="center"/>
        </w:trPr>
        <w:tc>
          <w:tcPr>
            <w:tcW w:w="5062" w:type="dxa"/>
          </w:tcPr>
          <w:p w:rsidR="00AC40FC" w:rsidRDefault="00AC40FC" w:rsidP="00A51C66">
            <w:pPr>
              <w:pStyle w:val="TableParagraph"/>
              <w:spacing w:before="21" w:line="240" w:lineRule="auto"/>
              <w:ind w:left="180" w:right="0"/>
              <w:jc w:val="left"/>
              <w:rPr>
                <w:sz w:val="20"/>
              </w:rPr>
            </w:pPr>
            <w:r>
              <w:rPr>
                <w:sz w:val="20"/>
              </w:rPr>
              <w:t>254.00 Other Regulatory Liabilities</w:t>
            </w:r>
          </w:p>
        </w:tc>
        <w:tc>
          <w:tcPr>
            <w:tcW w:w="1740" w:type="dxa"/>
          </w:tcPr>
          <w:p w:rsidR="00AC40FC" w:rsidRDefault="00AC40FC" w:rsidP="00A51C66">
            <w:pPr>
              <w:pStyle w:val="TableParagraph"/>
              <w:spacing w:before="21" w:line="240" w:lineRule="auto"/>
              <w:rPr>
                <w:sz w:val="20"/>
              </w:rPr>
            </w:pPr>
            <w:r>
              <w:rPr>
                <w:w w:val="95"/>
                <w:sz w:val="20"/>
              </w:rPr>
              <w:t>36,474,365</w:t>
            </w:r>
          </w:p>
        </w:tc>
        <w:tc>
          <w:tcPr>
            <w:tcW w:w="1740" w:type="dxa"/>
          </w:tcPr>
          <w:p w:rsidR="00AC40FC" w:rsidRDefault="00AC40FC" w:rsidP="00A51C66">
            <w:pPr>
              <w:pStyle w:val="TableParagraph"/>
              <w:spacing w:before="21" w:line="240" w:lineRule="auto"/>
              <w:rPr>
                <w:sz w:val="20"/>
              </w:rPr>
            </w:pPr>
            <w:r>
              <w:rPr>
                <w:w w:val="95"/>
                <w:sz w:val="20"/>
              </w:rPr>
              <w:t>63,478,696</w:t>
            </w:r>
          </w:p>
        </w:tc>
        <w:tc>
          <w:tcPr>
            <w:tcW w:w="1740" w:type="dxa"/>
          </w:tcPr>
          <w:p w:rsidR="00AC40FC" w:rsidRDefault="00AC40FC" w:rsidP="00A51C66">
            <w:pPr>
              <w:pStyle w:val="TableParagraph"/>
              <w:spacing w:before="21" w:line="240" w:lineRule="auto"/>
              <w:rPr>
                <w:sz w:val="20"/>
              </w:rPr>
            </w:pPr>
            <w:r>
              <w:rPr>
                <w:w w:val="95"/>
                <w:sz w:val="20"/>
              </w:rPr>
              <w:t>62,052,616</w:t>
            </w:r>
          </w:p>
        </w:tc>
        <w:tc>
          <w:tcPr>
            <w:tcW w:w="1627" w:type="dxa"/>
          </w:tcPr>
          <w:p w:rsidR="00AC40FC" w:rsidRDefault="00AC40FC" w:rsidP="00A51C66">
            <w:pPr>
              <w:pStyle w:val="TableParagraph"/>
              <w:spacing w:before="21" w:line="240" w:lineRule="auto"/>
              <w:rPr>
                <w:sz w:val="20"/>
              </w:rPr>
            </w:pPr>
            <w:r>
              <w:rPr>
                <w:w w:val="95"/>
                <w:sz w:val="20"/>
              </w:rPr>
              <w:t>79,963,260</w:t>
            </w:r>
          </w:p>
        </w:tc>
        <w:tc>
          <w:tcPr>
            <w:tcW w:w="1627" w:type="dxa"/>
          </w:tcPr>
          <w:p w:rsidR="00AC40FC" w:rsidRDefault="00AC40FC" w:rsidP="00A51C66">
            <w:pPr>
              <w:pStyle w:val="TableParagraph"/>
              <w:spacing w:before="21" w:line="240" w:lineRule="auto"/>
              <w:rPr>
                <w:sz w:val="20"/>
              </w:rPr>
            </w:pPr>
            <w:r>
              <w:rPr>
                <w:w w:val="95"/>
                <w:sz w:val="20"/>
              </w:rPr>
              <w:t>94,570,727</w:t>
            </w:r>
          </w:p>
        </w:tc>
        <w:tc>
          <w:tcPr>
            <w:tcW w:w="1226" w:type="dxa"/>
          </w:tcPr>
          <w:p w:rsidR="00AC40FC" w:rsidRDefault="00AC40FC" w:rsidP="00A51C66">
            <w:pPr>
              <w:pStyle w:val="TableParagraph"/>
              <w:spacing w:before="21" w:line="240" w:lineRule="auto"/>
              <w:ind w:left="162" w:right="148"/>
              <w:jc w:val="center"/>
              <w:rPr>
                <w:sz w:val="20"/>
              </w:rPr>
            </w:pPr>
            <w:r>
              <w:rPr>
                <w:sz w:val="20"/>
              </w:rPr>
              <w:t>26.89%</w:t>
            </w:r>
          </w:p>
        </w:tc>
      </w:tr>
      <w:tr w:rsidR="00AC40FC" w:rsidTr="00A51C66">
        <w:trPr>
          <w:trHeight w:hRule="exact" w:val="276"/>
          <w:jc w:val="center"/>
        </w:trPr>
        <w:tc>
          <w:tcPr>
            <w:tcW w:w="5062" w:type="dxa"/>
          </w:tcPr>
          <w:p w:rsidR="00AC40FC" w:rsidRDefault="00AC40FC" w:rsidP="00A51C66">
            <w:pPr>
              <w:pStyle w:val="TableParagraph"/>
              <w:spacing w:before="21" w:line="240" w:lineRule="auto"/>
              <w:ind w:left="180" w:right="0"/>
              <w:jc w:val="left"/>
              <w:rPr>
                <w:sz w:val="20"/>
              </w:rPr>
            </w:pPr>
            <w:r>
              <w:rPr>
                <w:sz w:val="20"/>
              </w:rPr>
              <w:t>255.00 Accumulated Deferred Investments Tax Credits</w:t>
            </w:r>
          </w:p>
        </w:tc>
        <w:tc>
          <w:tcPr>
            <w:tcW w:w="1740" w:type="dxa"/>
          </w:tcPr>
          <w:p w:rsidR="00AC40FC" w:rsidRDefault="00AC40FC" w:rsidP="00A51C66">
            <w:pPr>
              <w:pStyle w:val="TableParagraph"/>
              <w:spacing w:before="21" w:line="240" w:lineRule="auto"/>
              <w:rPr>
                <w:sz w:val="20"/>
              </w:rPr>
            </w:pPr>
            <w:r>
              <w:rPr>
                <w:w w:val="95"/>
                <w:sz w:val="20"/>
              </w:rPr>
              <w:t>6,317,114</w:t>
            </w:r>
          </w:p>
        </w:tc>
        <w:tc>
          <w:tcPr>
            <w:tcW w:w="1740" w:type="dxa"/>
          </w:tcPr>
          <w:p w:rsidR="00AC40FC" w:rsidRDefault="00AC40FC" w:rsidP="00A51C66">
            <w:pPr>
              <w:pStyle w:val="TableParagraph"/>
              <w:spacing w:before="21" w:line="240" w:lineRule="auto"/>
              <w:rPr>
                <w:sz w:val="20"/>
              </w:rPr>
            </w:pPr>
            <w:r>
              <w:rPr>
                <w:w w:val="95"/>
                <w:sz w:val="20"/>
              </w:rPr>
              <w:t>4,748,743</w:t>
            </w:r>
          </w:p>
        </w:tc>
        <w:tc>
          <w:tcPr>
            <w:tcW w:w="1740" w:type="dxa"/>
          </w:tcPr>
          <w:p w:rsidR="00AC40FC" w:rsidRDefault="00AC40FC" w:rsidP="00A51C66">
            <w:pPr>
              <w:pStyle w:val="TableParagraph"/>
              <w:spacing w:before="21" w:line="240" w:lineRule="auto"/>
              <w:rPr>
                <w:sz w:val="20"/>
              </w:rPr>
            </w:pPr>
            <w:r>
              <w:rPr>
                <w:w w:val="95"/>
                <w:sz w:val="20"/>
              </w:rPr>
              <w:t>3,376,569</w:t>
            </w:r>
          </w:p>
        </w:tc>
        <w:tc>
          <w:tcPr>
            <w:tcW w:w="1627" w:type="dxa"/>
          </w:tcPr>
          <w:p w:rsidR="00AC40FC" w:rsidRDefault="00AC40FC" w:rsidP="00A51C66">
            <w:pPr>
              <w:pStyle w:val="TableParagraph"/>
              <w:spacing w:before="21" w:line="240" w:lineRule="auto"/>
              <w:rPr>
                <w:sz w:val="20"/>
              </w:rPr>
            </w:pPr>
            <w:r>
              <w:rPr>
                <w:w w:val="95"/>
                <w:sz w:val="20"/>
              </w:rPr>
              <w:t>2,281,586</w:t>
            </w:r>
          </w:p>
        </w:tc>
        <w:tc>
          <w:tcPr>
            <w:tcW w:w="1627" w:type="dxa"/>
          </w:tcPr>
          <w:p w:rsidR="00AC40FC" w:rsidRDefault="00AC40FC" w:rsidP="00A51C66">
            <w:pPr>
              <w:pStyle w:val="TableParagraph"/>
              <w:spacing w:before="21" w:line="240" w:lineRule="auto"/>
              <w:rPr>
                <w:sz w:val="20"/>
              </w:rPr>
            </w:pPr>
            <w:r>
              <w:rPr>
                <w:w w:val="95"/>
                <w:sz w:val="20"/>
              </w:rPr>
              <w:t>846,617</w:t>
            </w:r>
          </w:p>
        </w:tc>
        <w:tc>
          <w:tcPr>
            <w:tcW w:w="1226" w:type="dxa"/>
          </w:tcPr>
          <w:p w:rsidR="00AC40FC" w:rsidRDefault="00AC40FC" w:rsidP="00A51C66">
            <w:pPr>
              <w:pStyle w:val="TableParagraph"/>
              <w:spacing w:before="21" w:line="240" w:lineRule="auto"/>
              <w:ind w:left="162" w:right="148"/>
              <w:jc w:val="center"/>
              <w:rPr>
                <w:sz w:val="20"/>
              </w:rPr>
            </w:pPr>
            <w:r>
              <w:rPr>
                <w:sz w:val="20"/>
              </w:rPr>
              <w:t>-39.49%</w:t>
            </w:r>
          </w:p>
        </w:tc>
      </w:tr>
      <w:tr w:rsidR="00AC40FC" w:rsidTr="00A51C66">
        <w:trPr>
          <w:trHeight w:hRule="exact" w:val="276"/>
          <w:jc w:val="center"/>
        </w:trPr>
        <w:tc>
          <w:tcPr>
            <w:tcW w:w="5062" w:type="dxa"/>
          </w:tcPr>
          <w:p w:rsidR="00AC40FC" w:rsidRDefault="00AC40FC" w:rsidP="00A51C66">
            <w:pPr>
              <w:pStyle w:val="TableParagraph"/>
              <w:spacing w:before="21" w:line="240" w:lineRule="auto"/>
              <w:ind w:left="180" w:right="0"/>
              <w:jc w:val="left"/>
              <w:rPr>
                <w:sz w:val="20"/>
              </w:rPr>
            </w:pPr>
            <w:r>
              <w:rPr>
                <w:sz w:val="20"/>
              </w:rPr>
              <w:t>256.00 Deferred Gains from Disposition of Plant</w:t>
            </w:r>
          </w:p>
        </w:tc>
        <w:tc>
          <w:tcPr>
            <w:tcW w:w="1740" w:type="dxa"/>
          </w:tcPr>
          <w:p w:rsidR="00AC40FC" w:rsidRDefault="00AC40FC" w:rsidP="00A51C66">
            <w:pPr>
              <w:pStyle w:val="TableParagraph"/>
              <w:spacing w:before="21" w:line="240" w:lineRule="auto"/>
              <w:ind w:right="92"/>
              <w:rPr>
                <w:sz w:val="20"/>
              </w:rPr>
            </w:pPr>
            <w:r>
              <w:rPr>
                <w:w w:val="99"/>
                <w:sz w:val="20"/>
              </w:rPr>
              <w:t>0</w:t>
            </w:r>
          </w:p>
        </w:tc>
        <w:tc>
          <w:tcPr>
            <w:tcW w:w="1740" w:type="dxa"/>
          </w:tcPr>
          <w:p w:rsidR="00AC40FC" w:rsidRDefault="00AC40FC" w:rsidP="00A51C66">
            <w:pPr>
              <w:pStyle w:val="TableParagraph"/>
              <w:spacing w:before="21" w:line="240" w:lineRule="auto"/>
              <w:ind w:right="92"/>
              <w:rPr>
                <w:sz w:val="20"/>
              </w:rPr>
            </w:pPr>
            <w:r>
              <w:rPr>
                <w:w w:val="99"/>
                <w:sz w:val="20"/>
              </w:rPr>
              <w:t>0</w:t>
            </w:r>
          </w:p>
        </w:tc>
        <w:tc>
          <w:tcPr>
            <w:tcW w:w="1740" w:type="dxa"/>
          </w:tcPr>
          <w:p w:rsidR="00AC40FC" w:rsidRDefault="00AC40FC" w:rsidP="00A51C66">
            <w:pPr>
              <w:pStyle w:val="TableParagraph"/>
              <w:spacing w:before="21" w:line="240" w:lineRule="auto"/>
              <w:ind w:right="92"/>
              <w:rPr>
                <w:sz w:val="20"/>
              </w:rPr>
            </w:pPr>
            <w:r>
              <w:rPr>
                <w:w w:val="99"/>
                <w:sz w:val="20"/>
              </w:rPr>
              <w:t>0</w:t>
            </w:r>
          </w:p>
        </w:tc>
        <w:tc>
          <w:tcPr>
            <w:tcW w:w="1627" w:type="dxa"/>
          </w:tcPr>
          <w:p w:rsidR="00AC40FC" w:rsidRDefault="00AC40FC" w:rsidP="00A51C66">
            <w:pPr>
              <w:pStyle w:val="TableParagraph"/>
              <w:spacing w:before="21" w:line="240" w:lineRule="auto"/>
              <w:ind w:right="92"/>
              <w:rPr>
                <w:sz w:val="20"/>
              </w:rPr>
            </w:pPr>
            <w:r>
              <w:rPr>
                <w:w w:val="99"/>
                <w:sz w:val="20"/>
              </w:rPr>
              <w:t>0</w:t>
            </w:r>
          </w:p>
        </w:tc>
        <w:tc>
          <w:tcPr>
            <w:tcW w:w="1627" w:type="dxa"/>
          </w:tcPr>
          <w:p w:rsidR="00AC40FC" w:rsidRDefault="00AC40FC" w:rsidP="00A51C66">
            <w:pPr>
              <w:pStyle w:val="TableParagraph"/>
              <w:spacing w:before="21" w:line="240" w:lineRule="auto"/>
              <w:ind w:right="92"/>
              <w:rPr>
                <w:sz w:val="20"/>
              </w:rPr>
            </w:pPr>
            <w:r>
              <w:rPr>
                <w:w w:val="99"/>
                <w:sz w:val="20"/>
              </w:rPr>
              <w:t>0</w:t>
            </w:r>
          </w:p>
        </w:tc>
        <w:tc>
          <w:tcPr>
            <w:tcW w:w="1226" w:type="dxa"/>
          </w:tcPr>
          <w:p w:rsidR="00AC40FC" w:rsidRDefault="00AC40FC" w:rsidP="00A51C66">
            <w:pPr>
              <w:pStyle w:val="TableParagraph"/>
              <w:spacing w:before="21" w:line="240" w:lineRule="auto"/>
              <w:ind w:left="162" w:right="146"/>
              <w:jc w:val="center"/>
              <w:rPr>
                <w:sz w:val="20"/>
              </w:rPr>
            </w:pPr>
            <w:r>
              <w:rPr>
                <w:sz w:val="20"/>
              </w:rPr>
              <w:t>NM</w:t>
            </w:r>
          </w:p>
        </w:tc>
      </w:tr>
      <w:tr w:rsidR="00AC40FC" w:rsidTr="00A51C66">
        <w:trPr>
          <w:trHeight w:hRule="exact" w:val="245"/>
          <w:jc w:val="center"/>
        </w:trPr>
        <w:tc>
          <w:tcPr>
            <w:tcW w:w="5062" w:type="dxa"/>
          </w:tcPr>
          <w:p w:rsidR="00AC40FC" w:rsidRDefault="00AC40FC" w:rsidP="00A51C66">
            <w:pPr>
              <w:pStyle w:val="TableParagraph"/>
              <w:ind w:left="181" w:right="0"/>
              <w:jc w:val="left"/>
              <w:rPr>
                <w:sz w:val="20"/>
              </w:rPr>
            </w:pPr>
            <w:r>
              <w:rPr>
                <w:sz w:val="20"/>
              </w:rPr>
              <w:t>257.00 Unamortized Gain on Reacquired Debt</w:t>
            </w:r>
          </w:p>
        </w:tc>
        <w:tc>
          <w:tcPr>
            <w:tcW w:w="1740" w:type="dxa"/>
          </w:tcPr>
          <w:p w:rsidR="00AC40FC" w:rsidRDefault="00AC40FC" w:rsidP="00A51C66">
            <w:pPr>
              <w:pStyle w:val="TableParagraph"/>
              <w:ind w:right="92"/>
              <w:rPr>
                <w:sz w:val="20"/>
              </w:rPr>
            </w:pPr>
            <w:r>
              <w:rPr>
                <w:w w:val="99"/>
                <w:sz w:val="20"/>
              </w:rPr>
              <w:t>0</w:t>
            </w:r>
          </w:p>
        </w:tc>
        <w:tc>
          <w:tcPr>
            <w:tcW w:w="1740" w:type="dxa"/>
          </w:tcPr>
          <w:p w:rsidR="00AC40FC" w:rsidRDefault="00AC40FC" w:rsidP="00A51C66">
            <w:pPr>
              <w:pStyle w:val="TableParagraph"/>
              <w:ind w:right="92"/>
              <w:rPr>
                <w:sz w:val="20"/>
              </w:rPr>
            </w:pPr>
            <w:r>
              <w:rPr>
                <w:w w:val="99"/>
                <w:sz w:val="20"/>
              </w:rPr>
              <w:t>0</w:t>
            </w:r>
          </w:p>
        </w:tc>
        <w:tc>
          <w:tcPr>
            <w:tcW w:w="1740" w:type="dxa"/>
          </w:tcPr>
          <w:p w:rsidR="00AC40FC" w:rsidRDefault="00AC40FC" w:rsidP="00A51C66">
            <w:pPr>
              <w:pStyle w:val="TableParagraph"/>
              <w:ind w:right="92"/>
              <w:rPr>
                <w:sz w:val="20"/>
              </w:rPr>
            </w:pPr>
            <w:r>
              <w:rPr>
                <w:w w:val="99"/>
                <w:sz w:val="20"/>
              </w:rPr>
              <w:t>0</w:t>
            </w:r>
          </w:p>
        </w:tc>
        <w:tc>
          <w:tcPr>
            <w:tcW w:w="1627" w:type="dxa"/>
          </w:tcPr>
          <w:p w:rsidR="00AC40FC" w:rsidRDefault="00AC40FC" w:rsidP="00A51C66">
            <w:pPr>
              <w:pStyle w:val="TableParagraph"/>
              <w:ind w:right="92"/>
              <w:rPr>
                <w:sz w:val="20"/>
              </w:rPr>
            </w:pPr>
            <w:r>
              <w:rPr>
                <w:w w:val="99"/>
                <w:sz w:val="20"/>
              </w:rPr>
              <w:t>0</w:t>
            </w:r>
          </w:p>
        </w:tc>
        <w:tc>
          <w:tcPr>
            <w:tcW w:w="1627" w:type="dxa"/>
          </w:tcPr>
          <w:p w:rsidR="00AC40FC" w:rsidRDefault="00AC40FC" w:rsidP="00A51C66">
            <w:pPr>
              <w:pStyle w:val="TableParagraph"/>
              <w:ind w:right="92"/>
              <w:rPr>
                <w:sz w:val="20"/>
              </w:rPr>
            </w:pPr>
            <w:r>
              <w:rPr>
                <w:w w:val="99"/>
                <w:sz w:val="20"/>
              </w:rPr>
              <w:t>0</w:t>
            </w:r>
          </w:p>
        </w:tc>
        <w:tc>
          <w:tcPr>
            <w:tcW w:w="1226" w:type="dxa"/>
          </w:tcPr>
          <w:p w:rsidR="00AC40FC" w:rsidRDefault="00AC40FC" w:rsidP="00A51C66">
            <w:pPr>
              <w:pStyle w:val="TableParagraph"/>
              <w:ind w:left="162" w:right="145"/>
              <w:jc w:val="center"/>
              <w:rPr>
                <w:sz w:val="20"/>
              </w:rPr>
            </w:pPr>
            <w:r>
              <w:rPr>
                <w:sz w:val="20"/>
              </w:rPr>
              <w:t>NM</w:t>
            </w:r>
          </w:p>
        </w:tc>
      </w:tr>
      <w:tr w:rsidR="00AC40FC" w:rsidTr="00BB665B">
        <w:trPr>
          <w:trHeight w:hRule="exact" w:val="452"/>
          <w:jc w:val="center"/>
        </w:trPr>
        <w:tc>
          <w:tcPr>
            <w:tcW w:w="5062" w:type="dxa"/>
          </w:tcPr>
          <w:p w:rsidR="00AC40FC" w:rsidRDefault="00AC40FC" w:rsidP="00BB665B">
            <w:pPr>
              <w:pStyle w:val="TableParagraph"/>
              <w:ind w:left="901" w:right="0" w:hanging="720"/>
              <w:jc w:val="left"/>
              <w:rPr>
                <w:sz w:val="20"/>
              </w:rPr>
            </w:pPr>
            <w:r>
              <w:rPr>
                <w:sz w:val="20"/>
              </w:rPr>
              <w:t>281.00 Accumulated Deferred Income Taxes-Assume. Amor</w:t>
            </w:r>
          </w:p>
        </w:tc>
        <w:tc>
          <w:tcPr>
            <w:tcW w:w="1740" w:type="dxa"/>
          </w:tcPr>
          <w:p w:rsidR="00AC40FC" w:rsidRDefault="00AC40FC" w:rsidP="00A51C66">
            <w:pPr>
              <w:pStyle w:val="TableParagraph"/>
              <w:rPr>
                <w:sz w:val="20"/>
              </w:rPr>
            </w:pPr>
            <w:r>
              <w:rPr>
                <w:w w:val="99"/>
                <w:sz w:val="20"/>
              </w:rPr>
              <w:t>0</w:t>
            </w:r>
          </w:p>
        </w:tc>
        <w:tc>
          <w:tcPr>
            <w:tcW w:w="1740" w:type="dxa"/>
          </w:tcPr>
          <w:p w:rsidR="00AC40FC" w:rsidRDefault="00AC40FC" w:rsidP="00A51C66">
            <w:pPr>
              <w:pStyle w:val="TableParagraph"/>
              <w:rPr>
                <w:sz w:val="20"/>
              </w:rPr>
            </w:pPr>
            <w:r>
              <w:rPr>
                <w:w w:val="99"/>
                <w:sz w:val="20"/>
              </w:rPr>
              <w:t>0</w:t>
            </w:r>
          </w:p>
        </w:tc>
        <w:tc>
          <w:tcPr>
            <w:tcW w:w="1740" w:type="dxa"/>
          </w:tcPr>
          <w:p w:rsidR="00AC40FC" w:rsidRDefault="00AC40FC" w:rsidP="00A51C66">
            <w:pPr>
              <w:pStyle w:val="TableParagraph"/>
              <w:rPr>
                <w:sz w:val="20"/>
              </w:rPr>
            </w:pPr>
            <w:r>
              <w:rPr>
                <w:w w:val="99"/>
                <w:sz w:val="20"/>
              </w:rPr>
              <w:t>0</w:t>
            </w:r>
          </w:p>
        </w:tc>
        <w:tc>
          <w:tcPr>
            <w:tcW w:w="1627" w:type="dxa"/>
          </w:tcPr>
          <w:p w:rsidR="00AC40FC" w:rsidRDefault="00AC40FC" w:rsidP="00A51C66">
            <w:pPr>
              <w:pStyle w:val="TableParagraph"/>
              <w:rPr>
                <w:sz w:val="20"/>
              </w:rPr>
            </w:pPr>
            <w:r>
              <w:rPr>
                <w:w w:val="99"/>
                <w:sz w:val="20"/>
              </w:rPr>
              <w:t>0</w:t>
            </w:r>
          </w:p>
        </w:tc>
        <w:tc>
          <w:tcPr>
            <w:tcW w:w="1627" w:type="dxa"/>
          </w:tcPr>
          <w:p w:rsidR="00AC40FC" w:rsidRDefault="00AC40FC" w:rsidP="00A51C66">
            <w:pPr>
              <w:pStyle w:val="TableParagraph"/>
              <w:rPr>
                <w:sz w:val="20"/>
              </w:rPr>
            </w:pPr>
            <w:r>
              <w:rPr>
                <w:w w:val="99"/>
                <w:sz w:val="20"/>
              </w:rPr>
              <w:t>0</w:t>
            </w:r>
          </w:p>
        </w:tc>
        <w:tc>
          <w:tcPr>
            <w:tcW w:w="1226" w:type="dxa"/>
          </w:tcPr>
          <w:p w:rsidR="00AC40FC" w:rsidRDefault="00AC40FC" w:rsidP="00A51C66">
            <w:pPr>
              <w:pStyle w:val="TableParagraph"/>
              <w:ind w:left="162" w:right="147"/>
              <w:jc w:val="center"/>
              <w:rPr>
                <w:sz w:val="20"/>
              </w:rPr>
            </w:pPr>
            <w:r>
              <w:rPr>
                <w:sz w:val="20"/>
              </w:rPr>
              <w:t>NM</w:t>
            </w:r>
          </w:p>
        </w:tc>
      </w:tr>
      <w:tr w:rsidR="00AC40FC" w:rsidTr="00A51C66">
        <w:trPr>
          <w:trHeight w:hRule="exact" w:val="245"/>
          <w:jc w:val="center"/>
        </w:trPr>
        <w:tc>
          <w:tcPr>
            <w:tcW w:w="5062" w:type="dxa"/>
          </w:tcPr>
          <w:p w:rsidR="00AC40FC" w:rsidRDefault="00AC40FC" w:rsidP="00BB665B">
            <w:pPr>
              <w:pStyle w:val="TableParagraph"/>
              <w:tabs>
                <w:tab w:val="left" w:pos="-1169"/>
              </w:tabs>
              <w:ind w:left="181" w:right="7"/>
              <w:jc w:val="left"/>
              <w:rPr>
                <w:sz w:val="20"/>
              </w:rPr>
            </w:pPr>
            <w:r>
              <w:rPr>
                <w:sz w:val="20"/>
              </w:rPr>
              <w:t>282.00 Accumulated Deferred Income Taxes-Other Property</w:t>
            </w:r>
          </w:p>
        </w:tc>
        <w:tc>
          <w:tcPr>
            <w:tcW w:w="1740" w:type="dxa"/>
          </w:tcPr>
          <w:p w:rsidR="00AC40FC" w:rsidRDefault="00AC40FC" w:rsidP="00A51C66">
            <w:pPr>
              <w:pStyle w:val="TableParagraph"/>
              <w:ind w:right="94"/>
              <w:rPr>
                <w:sz w:val="20"/>
              </w:rPr>
            </w:pPr>
            <w:r>
              <w:rPr>
                <w:w w:val="95"/>
                <w:sz w:val="20"/>
              </w:rPr>
              <w:t>966,985,229</w:t>
            </w:r>
          </w:p>
        </w:tc>
        <w:tc>
          <w:tcPr>
            <w:tcW w:w="1740" w:type="dxa"/>
          </w:tcPr>
          <w:p w:rsidR="00AC40FC" w:rsidRDefault="00AC40FC" w:rsidP="00A51C66">
            <w:pPr>
              <w:pStyle w:val="TableParagraph"/>
              <w:ind w:right="94"/>
              <w:rPr>
                <w:sz w:val="20"/>
              </w:rPr>
            </w:pPr>
            <w:r>
              <w:rPr>
                <w:w w:val="95"/>
                <w:sz w:val="20"/>
              </w:rPr>
              <w:t>1,130,817,355</w:t>
            </w:r>
          </w:p>
        </w:tc>
        <w:tc>
          <w:tcPr>
            <w:tcW w:w="1740" w:type="dxa"/>
          </w:tcPr>
          <w:p w:rsidR="00AC40FC" w:rsidRDefault="00AC40FC" w:rsidP="00A51C66">
            <w:pPr>
              <w:pStyle w:val="TableParagraph"/>
              <w:ind w:right="94"/>
              <w:rPr>
                <w:sz w:val="20"/>
              </w:rPr>
            </w:pPr>
            <w:r>
              <w:rPr>
                <w:w w:val="95"/>
                <w:sz w:val="20"/>
              </w:rPr>
              <w:t>1,244,143,301</w:t>
            </w:r>
          </w:p>
        </w:tc>
        <w:tc>
          <w:tcPr>
            <w:tcW w:w="1627" w:type="dxa"/>
          </w:tcPr>
          <w:p w:rsidR="00AC40FC" w:rsidRDefault="00AC40FC" w:rsidP="00A51C66">
            <w:pPr>
              <w:pStyle w:val="TableParagraph"/>
              <w:ind w:right="94"/>
              <w:rPr>
                <w:sz w:val="20"/>
              </w:rPr>
            </w:pPr>
            <w:r>
              <w:rPr>
                <w:w w:val="95"/>
                <w:sz w:val="20"/>
              </w:rPr>
              <w:t>1,365,204,307</w:t>
            </w:r>
          </w:p>
        </w:tc>
        <w:tc>
          <w:tcPr>
            <w:tcW w:w="1627" w:type="dxa"/>
          </w:tcPr>
          <w:p w:rsidR="00AC40FC" w:rsidRDefault="00AC40FC" w:rsidP="00A51C66">
            <w:pPr>
              <w:pStyle w:val="TableParagraph"/>
              <w:ind w:right="94"/>
              <w:rPr>
                <w:sz w:val="20"/>
              </w:rPr>
            </w:pPr>
            <w:r>
              <w:rPr>
                <w:w w:val="95"/>
                <w:sz w:val="20"/>
              </w:rPr>
              <w:t>1,451,990,984</w:t>
            </w:r>
          </w:p>
        </w:tc>
        <w:tc>
          <w:tcPr>
            <w:tcW w:w="1226" w:type="dxa"/>
          </w:tcPr>
          <w:p w:rsidR="00AC40FC" w:rsidRDefault="00AC40FC" w:rsidP="00A51C66">
            <w:pPr>
              <w:pStyle w:val="TableParagraph"/>
              <w:ind w:left="162" w:right="148"/>
              <w:jc w:val="center"/>
              <w:rPr>
                <w:sz w:val="20"/>
              </w:rPr>
            </w:pPr>
            <w:r>
              <w:rPr>
                <w:sz w:val="20"/>
              </w:rPr>
              <w:t>10.70%</w:t>
            </w:r>
          </w:p>
        </w:tc>
      </w:tr>
      <w:tr w:rsidR="00AC40FC" w:rsidTr="00A51C66">
        <w:trPr>
          <w:trHeight w:hRule="exact" w:val="245"/>
          <w:jc w:val="center"/>
        </w:trPr>
        <w:tc>
          <w:tcPr>
            <w:tcW w:w="5062" w:type="dxa"/>
          </w:tcPr>
          <w:p w:rsidR="00AC40FC" w:rsidRDefault="00AC40FC" w:rsidP="00BB665B">
            <w:pPr>
              <w:pStyle w:val="TableParagraph"/>
              <w:ind w:left="181" w:right="7"/>
              <w:jc w:val="left"/>
              <w:rPr>
                <w:sz w:val="20"/>
              </w:rPr>
            </w:pPr>
            <w:r>
              <w:rPr>
                <w:sz w:val="20"/>
              </w:rPr>
              <w:t>283.00 Accumulated Deferred Income Taxes-Other Property</w:t>
            </w:r>
          </w:p>
        </w:tc>
        <w:tc>
          <w:tcPr>
            <w:tcW w:w="1740" w:type="dxa"/>
          </w:tcPr>
          <w:p w:rsidR="00AC40FC" w:rsidRDefault="00AC40FC" w:rsidP="00A51C66">
            <w:pPr>
              <w:pStyle w:val="TableParagraph"/>
              <w:ind w:right="94"/>
              <w:rPr>
                <w:sz w:val="20"/>
              </w:rPr>
            </w:pPr>
            <w:r>
              <w:rPr>
                <w:w w:val="95"/>
                <w:sz w:val="20"/>
              </w:rPr>
              <w:t>287,809,908</w:t>
            </w:r>
          </w:p>
        </w:tc>
        <w:tc>
          <w:tcPr>
            <w:tcW w:w="1740" w:type="dxa"/>
          </w:tcPr>
          <w:p w:rsidR="00AC40FC" w:rsidRDefault="00AC40FC" w:rsidP="00A51C66">
            <w:pPr>
              <w:pStyle w:val="TableParagraph"/>
              <w:ind w:right="94"/>
              <w:rPr>
                <w:sz w:val="20"/>
              </w:rPr>
            </w:pPr>
            <w:r>
              <w:rPr>
                <w:w w:val="95"/>
                <w:sz w:val="20"/>
              </w:rPr>
              <w:t>316,117,995</w:t>
            </w:r>
          </w:p>
        </w:tc>
        <w:tc>
          <w:tcPr>
            <w:tcW w:w="1740" w:type="dxa"/>
          </w:tcPr>
          <w:p w:rsidR="00AC40FC" w:rsidRDefault="00AC40FC" w:rsidP="00A51C66">
            <w:pPr>
              <w:pStyle w:val="TableParagraph"/>
              <w:ind w:right="94"/>
              <w:rPr>
                <w:sz w:val="20"/>
              </w:rPr>
            </w:pPr>
            <w:r>
              <w:rPr>
                <w:w w:val="95"/>
                <w:sz w:val="20"/>
              </w:rPr>
              <w:t>406,519,815</w:t>
            </w:r>
          </w:p>
        </w:tc>
        <w:tc>
          <w:tcPr>
            <w:tcW w:w="1627" w:type="dxa"/>
          </w:tcPr>
          <w:p w:rsidR="00AC40FC" w:rsidRDefault="00AC40FC" w:rsidP="00A51C66">
            <w:pPr>
              <w:pStyle w:val="TableParagraph"/>
              <w:ind w:right="94"/>
              <w:rPr>
                <w:sz w:val="20"/>
              </w:rPr>
            </w:pPr>
            <w:r>
              <w:rPr>
                <w:w w:val="95"/>
                <w:sz w:val="20"/>
              </w:rPr>
              <w:t>356,103,183</w:t>
            </w:r>
          </w:p>
        </w:tc>
        <w:tc>
          <w:tcPr>
            <w:tcW w:w="1627" w:type="dxa"/>
          </w:tcPr>
          <w:p w:rsidR="00AC40FC" w:rsidRDefault="00AC40FC" w:rsidP="00A51C66">
            <w:pPr>
              <w:pStyle w:val="TableParagraph"/>
              <w:ind w:right="94"/>
              <w:rPr>
                <w:sz w:val="20"/>
              </w:rPr>
            </w:pPr>
            <w:r>
              <w:rPr>
                <w:w w:val="95"/>
                <w:sz w:val="20"/>
              </w:rPr>
              <w:t>412,807,920</w:t>
            </w:r>
          </w:p>
        </w:tc>
        <w:tc>
          <w:tcPr>
            <w:tcW w:w="1226" w:type="dxa"/>
          </w:tcPr>
          <w:p w:rsidR="00AC40FC" w:rsidRDefault="00AC40FC" w:rsidP="00A51C66">
            <w:pPr>
              <w:pStyle w:val="TableParagraph"/>
              <w:ind w:left="162" w:right="148"/>
              <w:jc w:val="center"/>
              <w:rPr>
                <w:sz w:val="20"/>
              </w:rPr>
            </w:pPr>
            <w:r>
              <w:rPr>
                <w:sz w:val="20"/>
              </w:rPr>
              <w:t>9.44%</w:t>
            </w:r>
          </w:p>
        </w:tc>
      </w:tr>
      <w:tr w:rsidR="00AC40FC" w:rsidTr="00A51C66">
        <w:trPr>
          <w:trHeight w:hRule="exact" w:val="245"/>
          <w:jc w:val="center"/>
        </w:trPr>
        <w:tc>
          <w:tcPr>
            <w:tcW w:w="5062" w:type="dxa"/>
          </w:tcPr>
          <w:p w:rsidR="00AC40FC" w:rsidRDefault="00AC40FC" w:rsidP="00A51C66">
            <w:pPr>
              <w:pStyle w:val="TableParagraph"/>
              <w:ind w:right="28"/>
              <w:rPr>
                <w:b/>
                <w:sz w:val="20"/>
              </w:rPr>
            </w:pPr>
            <w:r>
              <w:rPr>
                <w:b/>
                <w:sz w:val="20"/>
              </w:rPr>
              <w:t>TOTAL DEFERRED CREDITS</w:t>
            </w:r>
          </w:p>
        </w:tc>
        <w:tc>
          <w:tcPr>
            <w:tcW w:w="1740" w:type="dxa"/>
          </w:tcPr>
          <w:p w:rsidR="00AC40FC" w:rsidRDefault="00AC40FC" w:rsidP="00A51C66">
            <w:pPr>
              <w:pStyle w:val="TableParagraph"/>
              <w:ind w:right="94"/>
              <w:rPr>
                <w:b/>
                <w:sz w:val="20"/>
              </w:rPr>
            </w:pPr>
            <w:r>
              <w:rPr>
                <w:b/>
                <w:w w:val="95"/>
                <w:sz w:val="20"/>
              </w:rPr>
              <w:t>$1,353,191,588</w:t>
            </w:r>
          </w:p>
        </w:tc>
        <w:tc>
          <w:tcPr>
            <w:tcW w:w="1740" w:type="dxa"/>
          </w:tcPr>
          <w:p w:rsidR="00AC40FC" w:rsidRDefault="00AC40FC" w:rsidP="00A51C66">
            <w:pPr>
              <w:pStyle w:val="TableParagraph"/>
              <w:ind w:right="94"/>
              <w:rPr>
                <w:b/>
                <w:sz w:val="20"/>
              </w:rPr>
            </w:pPr>
            <w:r>
              <w:rPr>
                <w:b/>
                <w:w w:val="95"/>
                <w:sz w:val="20"/>
              </w:rPr>
              <w:t>$1,579,095,814</w:t>
            </w:r>
          </w:p>
        </w:tc>
        <w:tc>
          <w:tcPr>
            <w:tcW w:w="1740" w:type="dxa"/>
          </w:tcPr>
          <w:p w:rsidR="00AC40FC" w:rsidRDefault="00AC40FC" w:rsidP="00A51C66">
            <w:pPr>
              <w:pStyle w:val="TableParagraph"/>
              <w:ind w:right="94"/>
              <w:rPr>
                <w:b/>
                <w:sz w:val="20"/>
              </w:rPr>
            </w:pPr>
            <w:r>
              <w:rPr>
                <w:b/>
                <w:w w:val="95"/>
                <w:sz w:val="20"/>
              </w:rPr>
              <w:t>$1,754,815,694</w:t>
            </w:r>
          </w:p>
        </w:tc>
        <w:tc>
          <w:tcPr>
            <w:tcW w:w="1627" w:type="dxa"/>
          </w:tcPr>
          <w:p w:rsidR="00AC40FC" w:rsidRDefault="00AC40FC" w:rsidP="00A51C66">
            <w:pPr>
              <w:pStyle w:val="TableParagraph"/>
              <w:ind w:right="94"/>
              <w:rPr>
                <w:b/>
                <w:sz w:val="20"/>
              </w:rPr>
            </w:pPr>
            <w:r>
              <w:rPr>
                <w:b/>
                <w:w w:val="95"/>
                <w:sz w:val="20"/>
              </w:rPr>
              <w:t>$1,819,218,792</w:t>
            </w:r>
          </w:p>
        </w:tc>
        <w:tc>
          <w:tcPr>
            <w:tcW w:w="1627" w:type="dxa"/>
          </w:tcPr>
          <w:p w:rsidR="00AC40FC" w:rsidRDefault="00AC40FC" w:rsidP="00A51C66">
            <w:pPr>
              <w:pStyle w:val="TableParagraph"/>
              <w:ind w:right="94"/>
              <w:rPr>
                <w:b/>
                <w:sz w:val="20"/>
              </w:rPr>
            </w:pPr>
            <w:r>
              <w:rPr>
                <w:b/>
                <w:w w:val="95"/>
                <w:sz w:val="20"/>
              </w:rPr>
              <w:t>$1,999,214,655</w:t>
            </w:r>
          </w:p>
        </w:tc>
        <w:tc>
          <w:tcPr>
            <w:tcW w:w="1226" w:type="dxa"/>
          </w:tcPr>
          <w:p w:rsidR="00AC40FC" w:rsidRDefault="00AC40FC" w:rsidP="00A51C66">
            <w:pPr>
              <w:pStyle w:val="TableParagraph"/>
              <w:ind w:left="162" w:right="144"/>
              <w:jc w:val="center"/>
              <w:rPr>
                <w:b/>
                <w:sz w:val="20"/>
              </w:rPr>
            </w:pPr>
            <w:r>
              <w:rPr>
                <w:b/>
                <w:sz w:val="20"/>
              </w:rPr>
              <w:t>10.25%</w:t>
            </w:r>
          </w:p>
        </w:tc>
      </w:tr>
      <w:tr w:rsidR="00AC40FC" w:rsidTr="00A51C66">
        <w:trPr>
          <w:trHeight w:hRule="exact" w:val="245"/>
          <w:jc w:val="center"/>
        </w:trPr>
        <w:tc>
          <w:tcPr>
            <w:tcW w:w="5062" w:type="dxa"/>
          </w:tcPr>
          <w:p w:rsidR="00AC40FC" w:rsidRDefault="00AC40FC" w:rsidP="00A51C66">
            <w:pPr>
              <w:pStyle w:val="TableParagraph"/>
              <w:ind w:right="28"/>
              <w:rPr>
                <w:b/>
                <w:sz w:val="20"/>
              </w:rPr>
            </w:pPr>
            <w:r>
              <w:rPr>
                <w:b/>
                <w:sz w:val="20"/>
              </w:rPr>
              <w:t>TOTAL LIABILITIES &amp; OTHER CREDITS</w:t>
            </w:r>
          </w:p>
        </w:tc>
        <w:tc>
          <w:tcPr>
            <w:tcW w:w="1740" w:type="dxa"/>
          </w:tcPr>
          <w:p w:rsidR="00AC40FC" w:rsidRDefault="00AC40FC" w:rsidP="00A51C66">
            <w:pPr>
              <w:pStyle w:val="TableParagraph"/>
              <w:ind w:right="94"/>
              <w:rPr>
                <w:b/>
                <w:sz w:val="20"/>
              </w:rPr>
            </w:pPr>
            <w:r>
              <w:rPr>
                <w:b/>
                <w:w w:val="95"/>
                <w:sz w:val="20"/>
              </w:rPr>
              <w:t>$5,521,823,469</w:t>
            </w:r>
          </w:p>
        </w:tc>
        <w:tc>
          <w:tcPr>
            <w:tcW w:w="1740" w:type="dxa"/>
          </w:tcPr>
          <w:p w:rsidR="00AC40FC" w:rsidRDefault="00AC40FC" w:rsidP="00A51C66">
            <w:pPr>
              <w:pStyle w:val="TableParagraph"/>
              <w:ind w:right="94"/>
              <w:rPr>
                <w:b/>
                <w:sz w:val="20"/>
              </w:rPr>
            </w:pPr>
            <w:r>
              <w:rPr>
                <w:b/>
                <w:w w:val="95"/>
                <w:sz w:val="20"/>
              </w:rPr>
              <w:t>$6,003,209,267</w:t>
            </w:r>
          </w:p>
        </w:tc>
        <w:tc>
          <w:tcPr>
            <w:tcW w:w="1740" w:type="dxa"/>
          </w:tcPr>
          <w:p w:rsidR="00AC40FC" w:rsidRDefault="00AC40FC" w:rsidP="00A51C66">
            <w:pPr>
              <w:pStyle w:val="TableParagraph"/>
              <w:ind w:right="94"/>
              <w:rPr>
                <w:b/>
                <w:sz w:val="20"/>
              </w:rPr>
            </w:pPr>
            <w:r>
              <w:rPr>
                <w:b/>
                <w:w w:val="95"/>
                <w:sz w:val="20"/>
              </w:rPr>
              <w:t>$6,524,325,238</w:t>
            </w:r>
          </w:p>
        </w:tc>
        <w:tc>
          <w:tcPr>
            <w:tcW w:w="1627" w:type="dxa"/>
          </w:tcPr>
          <w:p w:rsidR="00AC40FC" w:rsidRDefault="00AC40FC" w:rsidP="00A51C66">
            <w:pPr>
              <w:pStyle w:val="TableParagraph"/>
              <w:ind w:right="94"/>
              <w:rPr>
                <w:b/>
                <w:sz w:val="20"/>
              </w:rPr>
            </w:pPr>
            <w:r>
              <w:rPr>
                <w:b/>
                <w:w w:val="95"/>
                <w:sz w:val="20"/>
              </w:rPr>
              <w:t>$7,155,943,155</w:t>
            </w:r>
          </w:p>
        </w:tc>
        <w:tc>
          <w:tcPr>
            <w:tcW w:w="1627" w:type="dxa"/>
          </w:tcPr>
          <w:p w:rsidR="00AC40FC" w:rsidRDefault="00AC40FC" w:rsidP="00A51C66">
            <w:pPr>
              <w:pStyle w:val="TableParagraph"/>
              <w:ind w:right="94"/>
              <w:rPr>
                <w:b/>
                <w:sz w:val="20"/>
              </w:rPr>
            </w:pPr>
            <w:r>
              <w:rPr>
                <w:b/>
                <w:w w:val="95"/>
                <w:sz w:val="20"/>
              </w:rPr>
              <w:t>$8,140,420,671</w:t>
            </w:r>
          </w:p>
        </w:tc>
        <w:tc>
          <w:tcPr>
            <w:tcW w:w="1226" w:type="dxa"/>
          </w:tcPr>
          <w:p w:rsidR="00AC40FC" w:rsidRDefault="00AC40FC" w:rsidP="00A51C66">
            <w:pPr>
              <w:pStyle w:val="TableParagraph"/>
              <w:ind w:left="162" w:right="144"/>
              <w:jc w:val="center"/>
              <w:rPr>
                <w:b/>
                <w:sz w:val="20"/>
              </w:rPr>
            </w:pPr>
            <w:r>
              <w:rPr>
                <w:b/>
                <w:sz w:val="20"/>
              </w:rPr>
              <w:t>10.19%</w:t>
            </w:r>
          </w:p>
        </w:tc>
      </w:tr>
      <w:tr w:rsidR="00AC40FC" w:rsidTr="00A51C66">
        <w:trPr>
          <w:trHeight w:hRule="exact" w:val="245"/>
          <w:jc w:val="center"/>
        </w:trPr>
        <w:tc>
          <w:tcPr>
            <w:tcW w:w="14762" w:type="dxa"/>
            <w:gridSpan w:val="7"/>
            <w:tcBorders>
              <w:left w:val="nil"/>
              <w:right w:val="nil"/>
            </w:tcBorders>
          </w:tcPr>
          <w:p w:rsidR="00AC40FC" w:rsidRDefault="00AC40FC" w:rsidP="00A51C66"/>
        </w:tc>
      </w:tr>
      <w:tr w:rsidR="00AC40FC" w:rsidTr="00A51C66">
        <w:trPr>
          <w:trHeight w:hRule="exact" w:val="506"/>
          <w:jc w:val="center"/>
        </w:trPr>
        <w:tc>
          <w:tcPr>
            <w:tcW w:w="5062" w:type="dxa"/>
            <w:shd w:val="clear" w:color="auto" w:fill="A5CD7E"/>
          </w:tcPr>
          <w:p w:rsidR="00AC40FC" w:rsidRDefault="00AC40FC" w:rsidP="00A51C66">
            <w:pPr>
              <w:pStyle w:val="TableParagraph"/>
              <w:spacing w:before="129" w:line="240" w:lineRule="auto"/>
              <w:ind w:left="28" w:right="0"/>
              <w:jc w:val="left"/>
              <w:rPr>
                <w:b/>
                <w:sz w:val="20"/>
              </w:rPr>
            </w:pPr>
            <w:r>
              <w:rPr>
                <w:b/>
                <w:sz w:val="20"/>
              </w:rPr>
              <w:t>NUMBER OF EMPLOYEES</w:t>
            </w:r>
          </w:p>
        </w:tc>
        <w:tc>
          <w:tcPr>
            <w:tcW w:w="1740" w:type="dxa"/>
            <w:shd w:val="clear" w:color="auto" w:fill="A5CD7E"/>
          </w:tcPr>
          <w:p w:rsidR="00AC40FC" w:rsidRDefault="00AC40FC" w:rsidP="00A51C66">
            <w:pPr>
              <w:pStyle w:val="TableParagraph"/>
              <w:spacing w:before="129" w:line="240" w:lineRule="auto"/>
              <w:ind w:left="625" w:right="609"/>
              <w:jc w:val="center"/>
              <w:rPr>
                <w:b/>
                <w:sz w:val="20"/>
              </w:rPr>
            </w:pPr>
            <w:r>
              <w:rPr>
                <w:b/>
                <w:sz w:val="20"/>
              </w:rPr>
              <w:t>2010</w:t>
            </w:r>
          </w:p>
        </w:tc>
        <w:tc>
          <w:tcPr>
            <w:tcW w:w="1740" w:type="dxa"/>
            <w:shd w:val="clear" w:color="auto" w:fill="A5CD7E"/>
          </w:tcPr>
          <w:p w:rsidR="00AC40FC" w:rsidRDefault="00AC40FC" w:rsidP="00A51C66">
            <w:pPr>
              <w:pStyle w:val="TableParagraph"/>
              <w:spacing w:before="129" w:line="240" w:lineRule="auto"/>
              <w:ind w:left="625" w:right="609"/>
              <w:jc w:val="center"/>
              <w:rPr>
                <w:b/>
                <w:sz w:val="20"/>
              </w:rPr>
            </w:pPr>
            <w:r>
              <w:rPr>
                <w:b/>
                <w:sz w:val="20"/>
              </w:rPr>
              <w:t>2011</w:t>
            </w:r>
          </w:p>
        </w:tc>
        <w:tc>
          <w:tcPr>
            <w:tcW w:w="1740" w:type="dxa"/>
            <w:shd w:val="clear" w:color="auto" w:fill="A5CD7E"/>
          </w:tcPr>
          <w:p w:rsidR="00AC40FC" w:rsidRDefault="00AC40FC" w:rsidP="00A51C66">
            <w:pPr>
              <w:pStyle w:val="TableParagraph"/>
              <w:spacing w:before="129" w:line="240" w:lineRule="auto"/>
              <w:ind w:left="625" w:right="609"/>
              <w:jc w:val="center"/>
              <w:rPr>
                <w:b/>
                <w:sz w:val="20"/>
              </w:rPr>
            </w:pPr>
            <w:r>
              <w:rPr>
                <w:b/>
                <w:sz w:val="20"/>
              </w:rPr>
              <w:t>2012</w:t>
            </w:r>
          </w:p>
        </w:tc>
        <w:tc>
          <w:tcPr>
            <w:tcW w:w="1627" w:type="dxa"/>
            <w:shd w:val="clear" w:color="auto" w:fill="A5CD7E"/>
          </w:tcPr>
          <w:p w:rsidR="00AC40FC" w:rsidRDefault="00AC40FC" w:rsidP="00A51C66">
            <w:pPr>
              <w:pStyle w:val="TableParagraph"/>
              <w:spacing w:before="129" w:line="240" w:lineRule="auto"/>
              <w:ind w:left="571" w:right="552"/>
              <w:jc w:val="center"/>
              <w:rPr>
                <w:b/>
                <w:sz w:val="20"/>
              </w:rPr>
            </w:pPr>
            <w:r>
              <w:rPr>
                <w:b/>
                <w:sz w:val="20"/>
              </w:rPr>
              <w:t>2013</w:t>
            </w:r>
          </w:p>
        </w:tc>
        <w:tc>
          <w:tcPr>
            <w:tcW w:w="1627" w:type="dxa"/>
            <w:shd w:val="clear" w:color="auto" w:fill="A5CD7E"/>
          </w:tcPr>
          <w:p w:rsidR="00AC40FC" w:rsidRDefault="00AC40FC" w:rsidP="00A51C66">
            <w:pPr>
              <w:pStyle w:val="TableParagraph"/>
              <w:spacing w:before="129" w:line="240" w:lineRule="auto"/>
              <w:ind w:left="571" w:right="552"/>
              <w:jc w:val="center"/>
              <w:rPr>
                <w:b/>
                <w:sz w:val="20"/>
              </w:rPr>
            </w:pPr>
            <w:r>
              <w:rPr>
                <w:b/>
                <w:sz w:val="20"/>
              </w:rPr>
              <w:t>2014</w:t>
            </w:r>
          </w:p>
        </w:tc>
        <w:tc>
          <w:tcPr>
            <w:tcW w:w="1226" w:type="dxa"/>
            <w:shd w:val="clear" w:color="auto" w:fill="A5CD7E"/>
          </w:tcPr>
          <w:p w:rsidR="00AC40FC" w:rsidRDefault="00AC40FC" w:rsidP="00A51C66">
            <w:pPr>
              <w:pStyle w:val="TableParagraph"/>
              <w:spacing w:before="2" w:line="268" w:lineRule="auto"/>
              <w:ind w:left="254" w:right="55" w:hanging="178"/>
              <w:jc w:val="left"/>
              <w:rPr>
                <w:b/>
                <w:sz w:val="20"/>
              </w:rPr>
            </w:pPr>
            <w:r>
              <w:rPr>
                <w:b/>
                <w:sz w:val="20"/>
              </w:rPr>
              <w:t>Compound Growth</w:t>
            </w:r>
          </w:p>
        </w:tc>
      </w:tr>
      <w:tr w:rsidR="00AC40FC" w:rsidTr="00A51C66">
        <w:trPr>
          <w:trHeight w:hRule="exact" w:val="250"/>
          <w:jc w:val="center"/>
        </w:trPr>
        <w:tc>
          <w:tcPr>
            <w:tcW w:w="5062" w:type="dxa"/>
          </w:tcPr>
          <w:p w:rsidR="00AC40FC" w:rsidRDefault="00AC40FC" w:rsidP="00A51C66">
            <w:pPr>
              <w:pStyle w:val="TableParagraph"/>
              <w:ind w:right="30"/>
              <w:rPr>
                <w:b/>
                <w:sz w:val="20"/>
              </w:rPr>
            </w:pPr>
            <w:r>
              <w:rPr>
                <w:b/>
                <w:sz w:val="20"/>
              </w:rPr>
              <w:t>TOTAL EMPLOYEES AT YEAREND</w:t>
            </w:r>
          </w:p>
        </w:tc>
        <w:tc>
          <w:tcPr>
            <w:tcW w:w="1740" w:type="dxa"/>
          </w:tcPr>
          <w:p w:rsidR="00AC40FC" w:rsidRDefault="00AC40FC" w:rsidP="00A51C66">
            <w:pPr>
              <w:pStyle w:val="TableParagraph"/>
              <w:ind w:right="94"/>
              <w:rPr>
                <w:sz w:val="20"/>
              </w:rPr>
            </w:pPr>
            <w:r>
              <w:rPr>
                <w:sz w:val="20"/>
              </w:rPr>
              <w:t>2,293</w:t>
            </w:r>
          </w:p>
        </w:tc>
        <w:tc>
          <w:tcPr>
            <w:tcW w:w="1740" w:type="dxa"/>
          </w:tcPr>
          <w:p w:rsidR="00AC40FC" w:rsidRDefault="00AC40FC" w:rsidP="00A51C66">
            <w:pPr>
              <w:pStyle w:val="TableParagraph"/>
              <w:ind w:right="94"/>
              <w:rPr>
                <w:sz w:val="20"/>
              </w:rPr>
            </w:pPr>
            <w:r>
              <w:rPr>
                <w:sz w:val="20"/>
              </w:rPr>
              <w:t>2,304</w:t>
            </w:r>
          </w:p>
        </w:tc>
        <w:tc>
          <w:tcPr>
            <w:tcW w:w="1740" w:type="dxa"/>
          </w:tcPr>
          <w:p w:rsidR="00AC40FC" w:rsidRDefault="00AC40FC" w:rsidP="00A51C66">
            <w:pPr>
              <w:pStyle w:val="TableParagraph"/>
              <w:ind w:right="94"/>
              <w:rPr>
                <w:sz w:val="20"/>
              </w:rPr>
            </w:pPr>
            <w:r>
              <w:rPr>
                <w:sz w:val="20"/>
              </w:rPr>
              <w:t>2,311</w:t>
            </w:r>
          </w:p>
        </w:tc>
        <w:tc>
          <w:tcPr>
            <w:tcW w:w="1627" w:type="dxa"/>
          </w:tcPr>
          <w:p w:rsidR="00AC40FC" w:rsidRDefault="00AC40FC" w:rsidP="00A51C66">
            <w:pPr>
              <w:pStyle w:val="TableParagraph"/>
              <w:ind w:right="94"/>
              <w:rPr>
                <w:sz w:val="20"/>
              </w:rPr>
            </w:pPr>
            <w:r>
              <w:rPr>
                <w:sz w:val="20"/>
              </w:rPr>
              <w:t>2,239</w:t>
            </w:r>
          </w:p>
        </w:tc>
        <w:tc>
          <w:tcPr>
            <w:tcW w:w="1627" w:type="dxa"/>
          </w:tcPr>
          <w:p w:rsidR="00AC40FC" w:rsidRDefault="00AC40FC" w:rsidP="00A51C66">
            <w:pPr>
              <w:pStyle w:val="TableParagraph"/>
              <w:ind w:right="94"/>
              <w:rPr>
                <w:sz w:val="20"/>
              </w:rPr>
            </w:pPr>
            <w:r>
              <w:rPr>
                <w:sz w:val="20"/>
              </w:rPr>
              <w:t>2,122</w:t>
            </w:r>
          </w:p>
        </w:tc>
        <w:tc>
          <w:tcPr>
            <w:tcW w:w="1226" w:type="dxa"/>
          </w:tcPr>
          <w:p w:rsidR="00AC40FC" w:rsidRDefault="00AC40FC" w:rsidP="00A51C66">
            <w:pPr>
              <w:pStyle w:val="TableParagraph"/>
              <w:ind w:left="162" w:right="149"/>
              <w:jc w:val="center"/>
              <w:rPr>
                <w:sz w:val="20"/>
              </w:rPr>
            </w:pPr>
            <w:r>
              <w:rPr>
                <w:sz w:val="20"/>
              </w:rPr>
              <w:t>-1.92%</w:t>
            </w:r>
          </w:p>
        </w:tc>
      </w:tr>
    </w:tbl>
    <w:p w:rsidR="00AC40FC" w:rsidRDefault="00AC40FC"/>
    <w:p w:rsidR="00AC40FC" w:rsidRDefault="00AC40FC">
      <w:pPr>
        <w:rPr>
          <w:rFonts w:ascii="Arial Bold" w:hAnsi="Arial Bold"/>
          <w:b/>
          <w:caps/>
          <w:sz w:val="28"/>
          <w:szCs w:val="28"/>
        </w:rPr>
        <w:sectPr w:rsidR="00AC40FC" w:rsidSect="005E47C4">
          <w:footerReference w:type="default" r:id="rId94"/>
          <w:pgSz w:w="15840" w:h="12240" w:orient="landscape"/>
          <w:pgMar w:top="720" w:right="720" w:bottom="720" w:left="720" w:header="432" w:footer="288" w:gutter="0"/>
          <w:cols w:space="720"/>
          <w:docGrid w:linePitch="360"/>
        </w:sectPr>
      </w:pPr>
    </w:p>
    <w:p w:rsidR="00AC40FC" w:rsidRPr="00332771" w:rsidRDefault="00AC40FC" w:rsidP="005E47C4">
      <w:pPr>
        <w:pStyle w:val="Heading6"/>
      </w:pPr>
      <w:bookmarkStart w:id="479" w:name="_Toc461088614"/>
      <w:bookmarkStart w:id="480" w:name="_Toc464486125"/>
      <w:r>
        <w:lastRenderedPageBreak/>
        <w:t>PPL electric utilities CORPORATION</w:t>
      </w:r>
      <w:r>
        <w:br/>
        <w:t>comparative data and statistics</w:t>
      </w:r>
      <w:r>
        <w:br/>
        <w:t>for the pennsylvania panel 2010</w:t>
      </w:r>
      <w:r>
        <w:rPr>
          <w:rFonts w:hint="eastAsia"/>
        </w:rPr>
        <w:t>–</w:t>
      </w:r>
      <w:r>
        <w:rPr>
          <w:rFonts w:hint="eastAsia"/>
        </w:rPr>
        <w:t>2014</w:t>
      </w:r>
      <w:bookmarkEnd w:id="479"/>
      <w:bookmarkEnd w:id="480"/>
    </w:p>
    <w:p w:rsidR="00AC40FC" w:rsidRPr="00435D18" w:rsidRDefault="00AC40FC" w:rsidP="005E47C4">
      <w:pPr>
        <w:pStyle w:val="Caption"/>
        <w:rPr>
          <w:rFonts w:cs="Arial"/>
          <w:b w:val="0"/>
          <w:szCs w:val="24"/>
        </w:rPr>
      </w:pPr>
      <w:bookmarkStart w:id="481" w:name="_Toc462648522"/>
      <w:bookmarkStart w:id="482" w:name="_Toc464553144"/>
      <w:r>
        <w:t xml:space="preserve">Exhibit </w:t>
      </w:r>
      <w:fldSimple w:instr=" STYLEREF 6 \s ">
        <w:r w:rsidR="00A24205">
          <w:rPr>
            <w:noProof/>
          </w:rPr>
          <w:t>C</w:t>
        </w:r>
      </w:fldSimple>
      <w:r>
        <w:noBreakHyphen/>
      </w:r>
      <w:fldSimple w:instr=" SEQ Exhibit_Apx \* ARABIC \s 6 ">
        <w:r w:rsidR="00A24205">
          <w:rPr>
            <w:noProof/>
          </w:rPr>
          <w:t>1</w:t>
        </w:r>
      </w:fldSimple>
      <w:r>
        <w:br/>
      </w:r>
      <w:r w:rsidRPr="005E47C4">
        <w:t>Total Utility Operating Expense Per Customer</w:t>
      </w:r>
      <w:bookmarkEnd w:id="481"/>
      <w:bookmarkEnd w:id="482"/>
    </w:p>
    <w:p w:rsidR="00AC40FC" w:rsidRDefault="00AC40FC" w:rsidP="00A51C66">
      <w:pPr>
        <w:jc w:val="center"/>
      </w:pPr>
      <w:r w:rsidRPr="00435D18">
        <w:rPr>
          <w:noProof/>
        </w:rPr>
        <w:drawing>
          <wp:inline distT="0" distB="0" distL="0" distR="0">
            <wp:extent cx="5657850" cy="5984240"/>
            <wp:effectExtent l="0" t="0" r="0" b="16510"/>
            <wp:docPr id="122" name="Chart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AC40FC" w:rsidRPr="00761A77" w:rsidRDefault="00AC40FC" w:rsidP="00A51C66">
      <w:pPr>
        <w:widowControl w:val="0"/>
        <w:spacing w:after="0"/>
        <w:ind w:left="103" w:right="3549"/>
        <w:rPr>
          <w:rFonts w:eastAsia="Arial" w:cs="Arial"/>
          <w:sz w:val="20"/>
          <w:szCs w:val="20"/>
        </w:rPr>
      </w:pPr>
      <w:r w:rsidRPr="00761A77">
        <w:rPr>
          <w:rFonts w:eastAsia="Arial" w:cs="Arial"/>
          <w:sz w:val="20"/>
          <w:szCs w:val="20"/>
        </w:rPr>
        <w:t>SOURCE DATA: PA PUC ANNUAL REPORT</w:t>
      </w:r>
    </w:p>
    <w:p w:rsidR="00AC40FC" w:rsidRPr="00761A77" w:rsidRDefault="00AC40FC" w:rsidP="00BB665B">
      <w:pPr>
        <w:widowControl w:val="0"/>
        <w:spacing w:before="15"/>
        <w:ind w:left="864" w:right="1080"/>
        <w:rPr>
          <w:rFonts w:eastAsia="Arial" w:cs="Arial"/>
          <w:sz w:val="20"/>
          <w:szCs w:val="20"/>
        </w:rPr>
      </w:pPr>
      <w:r w:rsidRPr="00761A77">
        <w:rPr>
          <w:rFonts w:eastAsia="Arial" w:cs="Arial"/>
          <w:sz w:val="20"/>
          <w:szCs w:val="20"/>
        </w:rPr>
        <w:t>SCHEDULE</w:t>
      </w:r>
      <w:r>
        <w:rPr>
          <w:rFonts w:eastAsia="Arial" w:cs="Arial"/>
          <w:sz w:val="20"/>
          <w:szCs w:val="20"/>
        </w:rPr>
        <w:t xml:space="preserve"> </w:t>
      </w:r>
      <w:r w:rsidRPr="00761A77">
        <w:rPr>
          <w:rFonts w:eastAsia="Arial" w:cs="Arial"/>
          <w:sz w:val="20"/>
          <w:szCs w:val="20"/>
        </w:rPr>
        <w:t>400</w:t>
      </w:r>
      <w:r>
        <w:rPr>
          <w:rFonts w:eastAsia="Arial" w:cs="Arial"/>
          <w:sz w:val="20"/>
          <w:szCs w:val="20"/>
        </w:rPr>
        <w:t>:</w:t>
      </w:r>
      <w:r w:rsidRPr="00761A77">
        <w:rPr>
          <w:rFonts w:eastAsia="Arial" w:cs="Arial"/>
          <w:sz w:val="20"/>
          <w:szCs w:val="20"/>
        </w:rPr>
        <w:t xml:space="preserve"> INCOME STATEMENT REVENUES AND</w:t>
      </w:r>
      <w:r>
        <w:rPr>
          <w:rFonts w:eastAsia="Arial" w:cs="Arial"/>
          <w:sz w:val="20"/>
          <w:szCs w:val="20"/>
        </w:rPr>
        <w:t xml:space="preserve"> </w:t>
      </w:r>
      <w:r w:rsidRPr="00761A77">
        <w:rPr>
          <w:rFonts w:eastAsia="Arial" w:cs="Arial"/>
          <w:sz w:val="20"/>
          <w:szCs w:val="20"/>
        </w:rPr>
        <w:t>EXPENSES</w:t>
      </w:r>
      <w:r>
        <w:rPr>
          <w:rFonts w:eastAsia="Arial" w:cs="Arial"/>
          <w:sz w:val="20"/>
          <w:szCs w:val="20"/>
        </w:rPr>
        <w:t xml:space="preserve"> - </w:t>
      </w:r>
      <w:r w:rsidRPr="00761A77">
        <w:rPr>
          <w:rFonts w:eastAsia="Arial" w:cs="Arial"/>
          <w:sz w:val="20"/>
          <w:szCs w:val="20"/>
        </w:rPr>
        <w:t>Total Utility Operating Expenses</w:t>
      </w:r>
      <w:r>
        <w:rPr>
          <w:rFonts w:eastAsia="Arial" w:cs="Arial"/>
          <w:sz w:val="20"/>
          <w:szCs w:val="20"/>
        </w:rPr>
        <w:t>,</w:t>
      </w:r>
      <w:r w:rsidRPr="00761A77">
        <w:rPr>
          <w:rFonts w:eastAsia="Arial" w:cs="Arial"/>
          <w:sz w:val="20"/>
          <w:szCs w:val="20"/>
        </w:rPr>
        <w:t xml:space="preserve"> A</w:t>
      </w:r>
      <w:r>
        <w:rPr>
          <w:rFonts w:eastAsia="Arial" w:cs="Arial"/>
          <w:sz w:val="20"/>
          <w:szCs w:val="20"/>
        </w:rPr>
        <w:t>ccounts</w:t>
      </w:r>
      <w:r w:rsidRPr="00761A77">
        <w:rPr>
          <w:rFonts w:eastAsia="Arial" w:cs="Arial"/>
          <w:sz w:val="20"/>
          <w:szCs w:val="20"/>
        </w:rPr>
        <w:t xml:space="preserve"> 401 - 411.9</w:t>
      </w:r>
      <w:r>
        <w:rPr>
          <w:rFonts w:eastAsia="Arial" w:cs="Arial"/>
          <w:sz w:val="20"/>
          <w:szCs w:val="20"/>
        </w:rPr>
        <w:t>, D</w:t>
      </w:r>
      <w:r w:rsidRPr="00761A77">
        <w:rPr>
          <w:rFonts w:eastAsia="Arial" w:cs="Arial"/>
          <w:sz w:val="20"/>
          <w:szCs w:val="20"/>
        </w:rPr>
        <w:t>ivided by SCHEDULE 600</w:t>
      </w:r>
      <w:r>
        <w:rPr>
          <w:rFonts w:eastAsia="Arial" w:cs="Arial"/>
          <w:sz w:val="20"/>
          <w:szCs w:val="20"/>
        </w:rPr>
        <w:t>:</w:t>
      </w:r>
      <w:r w:rsidRPr="00761A77">
        <w:rPr>
          <w:rFonts w:eastAsia="Arial" w:cs="Arial"/>
          <w:sz w:val="20"/>
          <w:szCs w:val="20"/>
        </w:rPr>
        <w:t xml:space="preserve"> CLASSIFICATION OF CUSTOMERS</w:t>
      </w:r>
      <w:r>
        <w:rPr>
          <w:rFonts w:eastAsia="Arial" w:cs="Arial"/>
          <w:sz w:val="20"/>
          <w:szCs w:val="20"/>
        </w:rPr>
        <w:t xml:space="preserve"> - </w:t>
      </w:r>
      <w:r w:rsidRPr="00761A77">
        <w:rPr>
          <w:rFonts w:eastAsia="Arial" w:cs="Arial"/>
          <w:sz w:val="20"/>
          <w:szCs w:val="20"/>
        </w:rPr>
        <w:t xml:space="preserve">Total Metered Sales </w:t>
      </w:r>
      <w:r>
        <w:rPr>
          <w:rFonts w:eastAsia="Arial" w:cs="Arial"/>
          <w:sz w:val="20"/>
          <w:szCs w:val="20"/>
        </w:rPr>
        <w:t>Column</w:t>
      </w:r>
      <w:r w:rsidRPr="00761A77">
        <w:rPr>
          <w:rFonts w:eastAsia="Arial" w:cs="Arial"/>
          <w:sz w:val="20"/>
          <w:szCs w:val="20"/>
        </w:rPr>
        <w:t xml:space="preserve"> (d) Average Number of Customers During the Year</w:t>
      </w:r>
    </w:p>
    <w:p w:rsidR="00AC40FC" w:rsidRPr="00A51C66" w:rsidRDefault="00AC40FC" w:rsidP="00BB665B">
      <w:pPr>
        <w:pStyle w:val="BodyText"/>
        <w:tabs>
          <w:tab w:val="left" w:pos="0"/>
        </w:tabs>
        <w:spacing w:line="250" w:lineRule="auto"/>
        <w:ind w:left="900" w:right="1066" w:firstLine="4"/>
        <w:rPr>
          <w:sz w:val="20"/>
          <w:szCs w:val="20"/>
        </w:rPr>
      </w:pPr>
      <w:r w:rsidRPr="00A51C66">
        <w:rPr>
          <w:b/>
          <w:sz w:val="20"/>
          <w:szCs w:val="20"/>
        </w:rPr>
        <w:t xml:space="preserve">* - </w:t>
      </w:r>
      <w:r w:rsidRPr="00A51C66">
        <w:rPr>
          <w:position w:val="1"/>
          <w:sz w:val="20"/>
          <w:szCs w:val="20"/>
        </w:rPr>
        <w:t>2010 Data for Met Ed, PECO, Penelec, and West Penn was impacted by entries shown in A</w:t>
      </w:r>
      <w:r>
        <w:rPr>
          <w:position w:val="1"/>
          <w:sz w:val="20"/>
          <w:szCs w:val="20"/>
        </w:rPr>
        <w:t>ccount</w:t>
      </w:r>
      <w:r w:rsidRPr="00A51C66">
        <w:rPr>
          <w:position w:val="1"/>
          <w:sz w:val="20"/>
          <w:szCs w:val="20"/>
        </w:rPr>
        <w:t xml:space="preserve"> 565.0 </w:t>
      </w:r>
      <w:r w:rsidRPr="00A51C66">
        <w:rPr>
          <w:sz w:val="20"/>
          <w:szCs w:val="20"/>
        </w:rPr>
        <w:t>Transmission of Electric</w:t>
      </w:r>
      <w:r>
        <w:rPr>
          <w:sz w:val="20"/>
          <w:szCs w:val="20"/>
        </w:rPr>
        <w:t>i</w:t>
      </w:r>
      <w:r w:rsidRPr="00A51C66">
        <w:rPr>
          <w:sz w:val="20"/>
          <w:szCs w:val="20"/>
        </w:rPr>
        <w:t>ty by Others and A</w:t>
      </w:r>
      <w:r>
        <w:rPr>
          <w:sz w:val="20"/>
          <w:szCs w:val="20"/>
        </w:rPr>
        <w:t>ccount</w:t>
      </w:r>
      <w:r w:rsidRPr="00A51C66">
        <w:rPr>
          <w:sz w:val="20"/>
          <w:szCs w:val="20"/>
        </w:rPr>
        <w:t xml:space="preserve"> 561.4 Scheduling, System Control, and Dispatch Services</w:t>
      </w:r>
    </w:p>
    <w:p w:rsidR="00AC40FC" w:rsidRPr="00435D18" w:rsidRDefault="00AC40FC" w:rsidP="005E47C4">
      <w:pPr>
        <w:pStyle w:val="Caption"/>
        <w:rPr>
          <w:rFonts w:cs="Arial"/>
          <w:b w:val="0"/>
          <w:szCs w:val="24"/>
        </w:rPr>
      </w:pPr>
      <w:bookmarkStart w:id="483" w:name="_Toc462648523"/>
      <w:bookmarkStart w:id="484" w:name="_Toc464553145"/>
      <w:r>
        <w:lastRenderedPageBreak/>
        <w:t xml:space="preserve">Exhibit </w:t>
      </w:r>
      <w:fldSimple w:instr=" STYLEREF 6 \s ">
        <w:r w:rsidR="00A24205">
          <w:rPr>
            <w:noProof/>
          </w:rPr>
          <w:t>C</w:t>
        </w:r>
      </w:fldSimple>
      <w:r>
        <w:noBreakHyphen/>
      </w:r>
      <w:fldSimple w:instr=" SEQ Exhibit_Apx \* ARABIC \s 6 ">
        <w:r w:rsidR="00A24205">
          <w:rPr>
            <w:noProof/>
          </w:rPr>
          <w:t>2</w:t>
        </w:r>
      </w:fldSimple>
      <w:r>
        <w:br/>
      </w:r>
      <w:r w:rsidRPr="005E47C4">
        <w:t>Total Transmission Operation &amp; Maintenance Expense Per Customer</w:t>
      </w:r>
      <w:bookmarkEnd w:id="483"/>
      <w:bookmarkEnd w:id="484"/>
    </w:p>
    <w:p w:rsidR="00AC40FC" w:rsidRDefault="00AC40FC" w:rsidP="00A51C66">
      <w:pPr>
        <w:jc w:val="center"/>
      </w:pPr>
      <w:r w:rsidRPr="00435D18">
        <w:rPr>
          <w:noProof/>
        </w:rPr>
        <w:drawing>
          <wp:inline distT="0" distB="0" distL="0" distR="0">
            <wp:extent cx="5810250" cy="6632047"/>
            <wp:effectExtent l="0" t="0" r="0" b="16510"/>
            <wp:docPr id="123" name="Chart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AC40FC" w:rsidRPr="00761A77" w:rsidRDefault="00AC40FC" w:rsidP="00A51C66">
      <w:pPr>
        <w:widowControl w:val="0"/>
        <w:spacing w:before="74" w:after="0"/>
        <w:ind w:left="108" w:right="304"/>
        <w:rPr>
          <w:rFonts w:eastAsia="Arial" w:cs="Arial"/>
          <w:sz w:val="20"/>
          <w:szCs w:val="20"/>
        </w:rPr>
      </w:pPr>
      <w:r w:rsidRPr="00761A77">
        <w:rPr>
          <w:rFonts w:eastAsia="Arial" w:cs="Arial"/>
          <w:sz w:val="20"/>
          <w:szCs w:val="20"/>
        </w:rPr>
        <w:t>SOURCE DATA: PA PUC ANNUAL REPORT</w:t>
      </w:r>
    </w:p>
    <w:p w:rsidR="00AC40FC" w:rsidRPr="00761A77" w:rsidRDefault="00AC40FC" w:rsidP="00BB665B">
      <w:pPr>
        <w:widowControl w:val="0"/>
        <w:spacing w:before="15"/>
        <w:ind w:left="864" w:right="1080"/>
        <w:rPr>
          <w:rFonts w:eastAsia="Arial" w:cs="Arial"/>
          <w:sz w:val="20"/>
          <w:szCs w:val="20"/>
        </w:rPr>
      </w:pPr>
      <w:r w:rsidRPr="00761A77">
        <w:rPr>
          <w:rFonts w:eastAsia="Arial" w:cs="Arial"/>
          <w:sz w:val="20"/>
          <w:szCs w:val="20"/>
        </w:rPr>
        <w:t>SCHEDULE 405</w:t>
      </w:r>
      <w:r>
        <w:rPr>
          <w:rFonts w:eastAsia="Arial" w:cs="Arial"/>
          <w:sz w:val="20"/>
          <w:szCs w:val="20"/>
        </w:rPr>
        <w:t>:</w:t>
      </w:r>
      <w:r w:rsidRPr="00761A77">
        <w:rPr>
          <w:rFonts w:eastAsia="Arial" w:cs="Arial"/>
          <w:sz w:val="20"/>
          <w:szCs w:val="20"/>
        </w:rPr>
        <w:t xml:space="preserve"> OPERATION AND MAINTENANCE EXPENSES</w:t>
      </w:r>
      <w:r>
        <w:rPr>
          <w:rFonts w:eastAsia="Arial" w:cs="Arial"/>
          <w:sz w:val="20"/>
          <w:szCs w:val="20"/>
        </w:rPr>
        <w:t xml:space="preserve"> - Sum of,</w:t>
      </w:r>
      <w:r w:rsidRPr="00761A77">
        <w:rPr>
          <w:rFonts w:eastAsia="Arial" w:cs="Arial"/>
          <w:sz w:val="20"/>
          <w:szCs w:val="20"/>
        </w:rPr>
        <w:t xml:space="preserve"> Total Trans</w:t>
      </w:r>
      <w:r>
        <w:rPr>
          <w:rFonts w:eastAsia="Arial" w:cs="Arial"/>
          <w:sz w:val="20"/>
          <w:szCs w:val="20"/>
        </w:rPr>
        <w:t>mission</w:t>
      </w:r>
      <w:r w:rsidRPr="00761A77">
        <w:rPr>
          <w:rFonts w:eastAsia="Arial" w:cs="Arial"/>
          <w:sz w:val="20"/>
          <w:szCs w:val="20"/>
        </w:rPr>
        <w:t xml:space="preserve"> Op</w:t>
      </w:r>
      <w:r>
        <w:rPr>
          <w:rFonts w:eastAsia="Arial" w:cs="Arial"/>
          <w:sz w:val="20"/>
          <w:szCs w:val="20"/>
        </w:rPr>
        <w:t xml:space="preserve">erating </w:t>
      </w:r>
      <w:r w:rsidRPr="00761A77">
        <w:rPr>
          <w:rFonts w:eastAsia="Arial" w:cs="Arial"/>
          <w:sz w:val="20"/>
          <w:szCs w:val="20"/>
        </w:rPr>
        <w:t>Exp</w:t>
      </w:r>
      <w:r>
        <w:rPr>
          <w:rFonts w:eastAsia="Arial" w:cs="Arial"/>
          <w:sz w:val="20"/>
          <w:szCs w:val="20"/>
        </w:rPr>
        <w:t>ense,</w:t>
      </w:r>
      <w:r w:rsidRPr="00761A77">
        <w:rPr>
          <w:rFonts w:eastAsia="Arial" w:cs="Arial"/>
          <w:sz w:val="20"/>
          <w:szCs w:val="20"/>
        </w:rPr>
        <w:t xml:space="preserve"> A</w:t>
      </w:r>
      <w:r>
        <w:rPr>
          <w:rFonts w:eastAsia="Arial" w:cs="Arial"/>
          <w:sz w:val="20"/>
          <w:szCs w:val="20"/>
        </w:rPr>
        <w:t>ccounts</w:t>
      </w:r>
      <w:r w:rsidRPr="00761A77">
        <w:rPr>
          <w:rFonts w:eastAsia="Arial" w:cs="Arial"/>
          <w:sz w:val="20"/>
          <w:szCs w:val="20"/>
        </w:rPr>
        <w:t xml:space="preserve"> 560.0 - 567.1</w:t>
      </w:r>
      <w:r>
        <w:rPr>
          <w:rFonts w:eastAsia="Arial" w:cs="Arial"/>
          <w:sz w:val="20"/>
          <w:szCs w:val="20"/>
        </w:rPr>
        <w:t>,</w:t>
      </w:r>
      <w:r w:rsidRPr="00761A77">
        <w:rPr>
          <w:rFonts w:eastAsia="Arial" w:cs="Arial"/>
          <w:sz w:val="20"/>
          <w:szCs w:val="20"/>
        </w:rPr>
        <w:t xml:space="preserve"> + Total Trans</w:t>
      </w:r>
      <w:r>
        <w:rPr>
          <w:rFonts w:eastAsia="Arial" w:cs="Arial"/>
          <w:sz w:val="20"/>
          <w:szCs w:val="20"/>
        </w:rPr>
        <w:t>mission</w:t>
      </w:r>
      <w:r w:rsidRPr="00761A77">
        <w:rPr>
          <w:rFonts w:eastAsia="Arial" w:cs="Arial"/>
          <w:sz w:val="20"/>
          <w:szCs w:val="20"/>
        </w:rPr>
        <w:t xml:space="preserve"> Maint</w:t>
      </w:r>
      <w:r>
        <w:rPr>
          <w:rFonts w:eastAsia="Arial" w:cs="Arial"/>
          <w:sz w:val="20"/>
          <w:szCs w:val="20"/>
        </w:rPr>
        <w:t>enance</w:t>
      </w:r>
      <w:r w:rsidRPr="00761A77">
        <w:rPr>
          <w:rFonts w:eastAsia="Arial" w:cs="Arial"/>
          <w:sz w:val="20"/>
          <w:szCs w:val="20"/>
        </w:rPr>
        <w:t xml:space="preserve"> Exp</w:t>
      </w:r>
      <w:r>
        <w:rPr>
          <w:rFonts w:eastAsia="Arial" w:cs="Arial"/>
          <w:sz w:val="20"/>
          <w:szCs w:val="20"/>
        </w:rPr>
        <w:t>ense,</w:t>
      </w:r>
      <w:r w:rsidRPr="00761A77">
        <w:rPr>
          <w:rFonts w:eastAsia="Arial" w:cs="Arial"/>
          <w:sz w:val="20"/>
          <w:szCs w:val="20"/>
        </w:rPr>
        <w:t xml:space="preserve"> A</w:t>
      </w:r>
      <w:r>
        <w:rPr>
          <w:rFonts w:eastAsia="Arial" w:cs="Arial"/>
          <w:sz w:val="20"/>
          <w:szCs w:val="20"/>
        </w:rPr>
        <w:t>ccounts</w:t>
      </w:r>
      <w:r w:rsidRPr="00761A77">
        <w:rPr>
          <w:rFonts w:eastAsia="Arial" w:cs="Arial"/>
          <w:sz w:val="20"/>
          <w:szCs w:val="20"/>
        </w:rPr>
        <w:t xml:space="preserve"> 568.0 - 574.0</w:t>
      </w:r>
      <w:r>
        <w:rPr>
          <w:rFonts w:eastAsia="Arial" w:cs="Arial"/>
          <w:sz w:val="20"/>
          <w:szCs w:val="20"/>
        </w:rPr>
        <w:t>,</w:t>
      </w:r>
      <w:r w:rsidRPr="00761A77">
        <w:rPr>
          <w:rFonts w:eastAsia="Arial" w:cs="Arial"/>
          <w:sz w:val="20"/>
          <w:szCs w:val="20"/>
        </w:rPr>
        <w:t xml:space="preserve"> Divided by SCHEDULE 600</w:t>
      </w:r>
      <w:r>
        <w:rPr>
          <w:rFonts w:eastAsia="Arial" w:cs="Arial"/>
          <w:sz w:val="20"/>
          <w:szCs w:val="20"/>
        </w:rPr>
        <w:t>:</w:t>
      </w:r>
      <w:r w:rsidRPr="00761A77">
        <w:rPr>
          <w:rFonts w:eastAsia="Arial" w:cs="Arial"/>
          <w:sz w:val="20"/>
          <w:szCs w:val="20"/>
        </w:rPr>
        <w:t xml:space="preserve"> CLASSIFICATION OF CUSTOMERS</w:t>
      </w:r>
      <w:r>
        <w:rPr>
          <w:rFonts w:eastAsia="Arial" w:cs="Arial"/>
          <w:sz w:val="20"/>
          <w:szCs w:val="20"/>
        </w:rPr>
        <w:t xml:space="preserve"> - </w:t>
      </w:r>
      <w:r w:rsidRPr="00761A77">
        <w:rPr>
          <w:rFonts w:eastAsia="Arial" w:cs="Arial"/>
          <w:sz w:val="20"/>
          <w:szCs w:val="20"/>
        </w:rPr>
        <w:t>Total Metered Sales C</w:t>
      </w:r>
      <w:r>
        <w:rPr>
          <w:rFonts w:eastAsia="Arial" w:cs="Arial"/>
          <w:sz w:val="20"/>
          <w:szCs w:val="20"/>
        </w:rPr>
        <w:t>olumn</w:t>
      </w:r>
      <w:r w:rsidRPr="00761A77">
        <w:rPr>
          <w:rFonts w:eastAsia="Arial" w:cs="Arial"/>
          <w:sz w:val="20"/>
          <w:szCs w:val="20"/>
        </w:rPr>
        <w:t xml:space="preserve"> (d) Average Number of Customers During the Year</w:t>
      </w:r>
    </w:p>
    <w:p w:rsidR="00AC40FC" w:rsidRPr="00CA43AC" w:rsidRDefault="00AC40FC" w:rsidP="00BB665B">
      <w:pPr>
        <w:ind w:left="900"/>
        <w:rPr>
          <w:sz w:val="20"/>
          <w:szCs w:val="20"/>
        </w:rPr>
      </w:pPr>
      <w:r w:rsidRPr="00CA43AC">
        <w:rPr>
          <w:rFonts w:eastAsia="Arial" w:cs="Arial"/>
          <w:b/>
          <w:sz w:val="20"/>
          <w:szCs w:val="20"/>
        </w:rPr>
        <w:t xml:space="preserve">* - </w:t>
      </w:r>
      <w:r w:rsidRPr="00CA43AC">
        <w:rPr>
          <w:rFonts w:eastAsia="Arial" w:cs="Arial"/>
          <w:position w:val="1"/>
          <w:sz w:val="20"/>
          <w:szCs w:val="20"/>
        </w:rPr>
        <w:t>2010 Data for Met Ed, PECO, Penelec, and West Penn was impacted by entries shown in A</w:t>
      </w:r>
      <w:r>
        <w:rPr>
          <w:rFonts w:eastAsia="Arial" w:cs="Arial"/>
          <w:position w:val="1"/>
          <w:sz w:val="20"/>
          <w:szCs w:val="20"/>
        </w:rPr>
        <w:t>ccount</w:t>
      </w:r>
      <w:r w:rsidRPr="00CA43AC">
        <w:rPr>
          <w:rFonts w:eastAsia="Arial" w:cs="Arial"/>
          <w:position w:val="1"/>
          <w:sz w:val="20"/>
          <w:szCs w:val="20"/>
        </w:rPr>
        <w:t xml:space="preserve"> 565.0 Transmission </w:t>
      </w:r>
      <w:r w:rsidRPr="00CA43AC">
        <w:rPr>
          <w:rFonts w:eastAsia="Arial" w:cs="Arial"/>
          <w:sz w:val="20"/>
          <w:szCs w:val="20"/>
        </w:rPr>
        <w:t>of Electric</w:t>
      </w:r>
      <w:r>
        <w:rPr>
          <w:rFonts w:eastAsia="Arial" w:cs="Arial"/>
          <w:sz w:val="20"/>
          <w:szCs w:val="20"/>
        </w:rPr>
        <w:t>i</w:t>
      </w:r>
      <w:r w:rsidRPr="00CA43AC">
        <w:rPr>
          <w:rFonts w:eastAsia="Arial" w:cs="Arial"/>
          <w:sz w:val="20"/>
          <w:szCs w:val="20"/>
        </w:rPr>
        <w:t>ty by Others and A</w:t>
      </w:r>
      <w:r>
        <w:rPr>
          <w:rFonts w:eastAsia="Arial" w:cs="Arial"/>
          <w:sz w:val="20"/>
          <w:szCs w:val="20"/>
        </w:rPr>
        <w:t>ccount</w:t>
      </w:r>
      <w:r w:rsidRPr="00CA43AC">
        <w:rPr>
          <w:rFonts w:eastAsia="Arial" w:cs="Arial"/>
          <w:sz w:val="20"/>
          <w:szCs w:val="20"/>
        </w:rPr>
        <w:t xml:space="preserve"> 561.4 Scheduling, System Control, and Dispatch Services</w:t>
      </w:r>
    </w:p>
    <w:p w:rsidR="00AC40FC" w:rsidRPr="00435D18" w:rsidRDefault="00AC40FC" w:rsidP="005E47C4">
      <w:pPr>
        <w:pStyle w:val="Caption"/>
        <w:rPr>
          <w:rFonts w:cs="Arial"/>
          <w:b w:val="0"/>
          <w:szCs w:val="24"/>
        </w:rPr>
      </w:pPr>
      <w:bookmarkStart w:id="485" w:name="_Toc462648524"/>
      <w:bookmarkStart w:id="486" w:name="_Toc464553146"/>
      <w:r>
        <w:lastRenderedPageBreak/>
        <w:t xml:space="preserve">Exhibit </w:t>
      </w:r>
      <w:fldSimple w:instr=" STYLEREF 6 \s ">
        <w:r w:rsidR="00A24205">
          <w:rPr>
            <w:noProof/>
          </w:rPr>
          <w:t>C</w:t>
        </w:r>
      </w:fldSimple>
      <w:r>
        <w:noBreakHyphen/>
      </w:r>
      <w:fldSimple w:instr=" SEQ Exhibit_Apx \* ARABIC \s 6 ">
        <w:r w:rsidR="00A24205">
          <w:rPr>
            <w:noProof/>
          </w:rPr>
          <w:t>3</w:t>
        </w:r>
      </w:fldSimple>
      <w:r>
        <w:br/>
      </w:r>
      <w:r w:rsidRPr="005E47C4">
        <w:t>Total Distribution Operation &amp; Maintenance Expense Per Customer</w:t>
      </w:r>
      <w:bookmarkEnd w:id="485"/>
      <w:bookmarkEnd w:id="486"/>
    </w:p>
    <w:p w:rsidR="00AC40FC" w:rsidRDefault="00AC40FC" w:rsidP="00A51C66">
      <w:pPr>
        <w:jc w:val="center"/>
      </w:pPr>
      <w:r w:rsidRPr="002A75EF">
        <w:rPr>
          <w:noProof/>
        </w:rPr>
        <w:drawing>
          <wp:inline distT="0" distB="0" distL="0" distR="0">
            <wp:extent cx="5819775" cy="7066415"/>
            <wp:effectExtent l="0" t="0" r="9525" b="1270"/>
            <wp:docPr id="124" name="Chart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AC40FC" w:rsidRPr="00A51C66" w:rsidRDefault="00AC40FC" w:rsidP="00A51C66">
      <w:pPr>
        <w:pStyle w:val="BodyText"/>
        <w:spacing w:before="74" w:after="0"/>
        <w:ind w:left="103"/>
        <w:rPr>
          <w:sz w:val="20"/>
          <w:szCs w:val="20"/>
        </w:rPr>
      </w:pPr>
      <w:r w:rsidRPr="00A51C66">
        <w:rPr>
          <w:sz w:val="20"/>
          <w:szCs w:val="20"/>
        </w:rPr>
        <w:t>SOURCE DATA: PA PUC ANNUAL REPORT</w:t>
      </w:r>
    </w:p>
    <w:p w:rsidR="00AC40FC" w:rsidRPr="00116538" w:rsidRDefault="00AC40FC" w:rsidP="00BB665B">
      <w:pPr>
        <w:pStyle w:val="BodyText"/>
        <w:spacing w:before="60" w:after="0"/>
        <w:ind w:left="861" w:right="1080"/>
        <w:rPr>
          <w:sz w:val="20"/>
        </w:rPr>
      </w:pPr>
      <w:r w:rsidRPr="00A51C66">
        <w:rPr>
          <w:sz w:val="20"/>
          <w:szCs w:val="20"/>
        </w:rPr>
        <w:t>SCHEDULE 405</w:t>
      </w:r>
      <w:r>
        <w:rPr>
          <w:sz w:val="20"/>
          <w:szCs w:val="20"/>
        </w:rPr>
        <w:t>:</w:t>
      </w:r>
      <w:r w:rsidRPr="00A51C66">
        <w:rPr>
          <w:sz w:val="20"/>
          <w:szCs w:val="20"/>
        </w:rPr>
        <w:t xml:space="preserve"> OPERATION AND MAINTENANCE EXPENSES</w:t>
      </w:r>
      <w:r>
        <w:rPr>
          <w:sz w:val="20"/>
          <w:szCs w:val="20"/>
        </w:rPr>
        <w:t xml:space="preserve"> – Sum of,</w:t>
      </w:r>
      <w:r w:rsidRPr="00A51C66">
        <w:rPr>
          <w:sz w:val="20"/>
          <w:szCs w:val="20"/>
        </w:rPr>
        <w:t xml:space="preserve"> Total Dist</w:t>
      </w:r>
      <w:r>
        <w:rPr>
          <w:sz w:val="20"/>
          <w:szCs w:val="20"/>
        </w:rPr>
        <w:t>ribution</w:t>
      </w:r>
      <w:r w:rsidRPr="00A51C66">
        <w:rPr>
          <w:sz w:val="20"/>
          <w:szCs w:val="20"/>
        </w:rPr>
        <w:t xml:space="preserve"> Op</w:t>
      </w:r>
      <w:r>
        <w:rPr>
          <w:sz w:val="20"/>
          <w:szCs w:val="20"/>
        </w:rPr>
        <w:t>erating</w:t>
      </w:r>
      <w:r w:rsidRPr="00A51C66">
        <w:rPr>
          <w:sz w:val="20"/>
          <w:szCs w:val="20"/>
        </w:rPr>
        <w:t xml:space="preserve"> Exp</w:t>
      </w:r>
      <w:r>
        <w:rPr>
          <w:sz w:val="20"/>
          <w:szCs w:val="20"/>
        </w:rPr>
        <w:t>ense,</w:t>
      </w:r>
      <w:r w:rsidRPr="00A51C66">
        <w:rPr>
          <w:sz w:val="20"/>
          <w:szCs w:val="20"/>
        </w:rPr>
        <w:t xml:space="preserve"> A</w:t>
      </w:r>
      <w:r>
        <w:rPr>
          <w:sz w:val="20"/>
          <w:szCs w:val="20"/>
        </w:rPr>
        <w:t>ccounts</w:t>
      </w:r>
      <w:r w:rsidRPr="00A51C66">
        <w:rPr>
          <w:sz w:val="20"/>
          <w:szCs w:val="20"/>
        </w:rPr>
        <w:t xml:space="preserve"> 580.0 - 589.0</w:t>
      </w:r>
      <w:r>
        <w:rPr>
          <w:sz w:val="20"/>
          <w:szCs w:val="20"/>
        </w:rPr>
        <w:t>,</w:t>
      </w:r>
      <w:r w:rsidRPr="00A51C66">
        <w:rPr>
          <w:sz w:val="20"/>
          <w:szCs w:val="20"/>
        </w:rPr>
        <w:t xml:space="preserve"> + Total Dist</w:t>
      </w:r>
      <w:r>
        <w:rPr>
          <w:sz w:val="20"/>
          <w:szCs w:val="20"/>
        </w:rPr>
        <w:t>ribution</w:t>
      </w:r>
      <w:r w:rsidRPr="00A51C66">
        <w:rPr>
          <w:sz w:val="20"/>
          <w:szCs w:val="20"/>
        </w:rPr>
        <w:t xml:space="preserve"> Maint</w:t>
      </w:r>
      <w:r>
        <w:rPr>
          <w:sz w:val="20"/>
          <w:szCs w:val="20"/>
        </w:rPr>
        <w:t>enance</w:t>
      </w:r>
      <w:r w:rsidRPr="00A51C66">
        <w:rPr>
          <w:sz w:val="20"/>
          <w:szCs w:val="20"/>
        </w:rPr>
        <w:t xml:space="preserve"> Exp</w:t>
      </w:r>
      <w:r>
        <w:rPr>
          <w:sz w:val="20"/>
          <w:szCs w:val="20"/>
        </w:rPr>
        <w:t>ense,</w:t>
      </w:r>
      <w:r w:rsidRPr="00A51C66">
        <w:rPr>
          <w:sz w:val="20"/>
          <w:szCs w:val="20"/>
        </w:rPr>
        <w:t xml:space="preserve"> A</w:t>
      </w:r>
      <w:r>
        <w:rPr>
          <w:sz w:val="20"/>
          <w:szCs w:val="20"/>
        </w:rPr>
        <w:t>ccounts</w:t>
      </w:r>
      <w:r w:rsidRPr="00A51C66">
        <w:rPr>
          <w:sz w:val="20"/>
          <w:szCs w:val="20"/>
        </w:rPr>
        <w:t xml:space="preserve"> 590.0 - 598.0</w:t>
      </w:r>
      <w:r>
        <w:rPr>
          <w:sz w:val="20"/>
          <w:szCs w:val="20"/>
        </w:rPr>
        <w:t>,</w:t>
      </w:r>
      <w:r w:rsidRPr="00A51C66">
        <w:rPr>
          <w:sz w:val="20"/>
          <w:szCs w:val="20"/>
        </w:rPr>
        <w:t xml:space="preserve"> Divided by SCHEDULE 600</w:t>
      </w:r>
      <w:r>
        <w:rPr>
          <w:sz w:val="20"/>
          <w:szCs w:val="20"/>
        </w:rPr>
        <w:t>:</w:t>
      </w:r>
      <w:r w:rsidRPr="00A51C66">
        <w:rPr>
          <w:sz w:val="20"/>
          <w:szCs w:val="20"/>
        </w:rPr>
        <w:t xml:space="preserve"> CLASSIFICATION OF CUSTOMERS</w:t>
      </w:r>
      <w:r>
        <w:rPr>
          <w:sz w:val="20"/>
          <w:szCs w:val="20"/>
        </w:rPr>
        <w:t xml:space="preserve"> - </w:t>
      </w:r>
      <w:r w:rsidRPr="00116538">
        <w:rPr>
          <w:sz w:val="20"/>
        </w:rPr>
        <w:t>Total Metered Sales C</w:t>
      </w:r>
      <w:r>
        <w:rPr>
          <w:sz w:val="20"/>
        </w:rPr>
        <w:t>olumn</w:t>
      </w:r>
      <w:r w:rsidRPr="00116538">
        <w:rPr>
          <w:sz w:val="20"/>
        </w:rPr>
        <w:t xml:space="preserve"> (d) Average Number of Customers During the Year</w:t>
      </w:r>
    </w:p>
    <w:p w:rsidR="00AC40FC" w:rsidRPr="00435D18" w:rsidRDefault="00AC40FC" w:rsidP="005E47C4">
      <w:pPr>
        <w:pStyle w:val="Caption"/>
        <w:rPr>
          <w:rFonts w:cs="Arial"/>
          <w:b w:val="0"/>
          <w:szCs w:val="24"/>
        </w:rPr>
      </w:pPr>
      <w:bookmarkStart w:id="487" w:name="_Toc462648525"/>
      <w:bookmarkStart w:id="488" w:name="_Toc464553147"/>
      <w:r>
        <w:lastRenderedPageBreak/>
        <w:t xml:space="preserve">Exhibit </w:t>
      </w:r>
      <w:fldSimple w:instr=" STYLEREF 6 \s ">
        <w:r w:rsidR="00A24205">
          <w:rPr>
            <w:noProof/>
          </w:rPr>
          <w:t>C</w:t>
        </w:r>
      </w:fldSimple>
      <w:r>
        <w:noBreakHyphen/>
      </w:r>
      <w:fldSimple w:instr=" SEQ Exhibit_Apx \* ARABIC \s 6 ">
        <w:r w:rsidR="00A24205">
          <w:rPr>
            <w:noProof/>
          </w:rPr>
          <w:t>4</w:t>
        </w:r>
      </w:fldSimple>
      <w:r>
        <w:br/>
      </w:r>
      <w:r w:rsidRPr="005E47C4">
        <w:t>Total Transmission and Distribution Operation &amp; Maintenance Expense Per Customer</w:t>
      </w:r>
      <w:bookmarkEnd w:id="487"/>
      <w:bookmarkEnd w:id="488"/>
    </w:p>
    <w:p w:rsidR="00AC40FC" w:rsidRDefault="00AC40FC" w:rsidP="00A51C66">
      <w:pPr>
        <w:jc w:val="center"/>
      </w:pPr>
      <w:r w:rsidRPr="00185E43">
        <w:rPr>
          <w:noProof/>
        </w:rPr>
        <w:drawing>
          <wp:inline distT="0" distB="0" distL="0" distR="0">
            <wp:extent cx="5848350" cy="6432866"/>
            <wp:effectExtent l="0" t="0" r="0" b="6350"/>
            <wp:docPr id="125" name="Chart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AC40FC" w:rsidRPr="00A51C66" w:rsidRDefault="00AC40FC" w:rsidP="00A51C66">
      <w:pPr>
        <w:pStyle w:val="BodyText"/>
        <w:spacing w:before="74" w:after="0"/>
        <w:ind w:left="103"/>
        <w:rPr>
          <w:sz w:val="20"/>
          <w:szCs w:val="20"/>
        </w:rPr>
      </w:pPr>
      <w:r w:rsidRPr="00A51C66">
        <w:rPr>
          <w:sz w:val="20"/>
          <w:szCs w:val="20"/>
        </w:rPr>
        <w:t>SOURCE DATA: PA PUC ANNUAL REPORT</w:t>
      </w:r>
    </w:p>
    <w:p w:rsidR="00AC40FC" w:rsidRPr="00A51C66" w:rsidRDefault="00AC40FC" w:rsidP="00BB665B">
      <w:pPr>
        <w:pStyle w:val="BodyText"/>
        <w:spacing w:before="74"/>
        <w:ind w:left="806" w:right="1080"/>
        <w:rPr>
          <w:sz w:val="20"/>
          <w:szCs w:val="20"/>
        </w:rPr>
      </w:pPr>
      <w:r w:rsidRPr="00A51C66">
        <w:rPr>
          <w:sz w:val="20"/>
          <w:szCs w:val="20"/>
        </w:rPr>
        <w:t>SCHEDULE 405</w:t>
      </w:r>
      <w:r>
        <w:rPr>
          <w:sz w:val="20"/>
          <w:szCs w:val="20"/>
        </w:rPr>
        <w:t>:</w:t>
      </w:r>
      <w:r w:rsidRPr="00A51C66">
        <w:rPr>
          <w:sz w:val="20"/>
          <w:szCs w:val="20"/>
        </w:rPr>
        <w:t xml:space="preserve"> OPERATION AND MAINTENANCE EXPENSES</w:t>
      </w:r>
      <w:r>
        <w:rPr>
          <w:sz w:val="20"/>
          <w:szCs w:val="20"/>
        </w:rPr>
        <w:t xml:space="preserve"> – </w:t>
      </w:r>
      <w:r w:rsidRPr="00A51C66">
        <w:rPr>
          <w:sz w:val="20"/>
          <w:szCs w:val="20"/>
        </w:rPr>
        <w:t>S</w:t>
      </w:r>
      <w:r>
        <w:rPr>
          <w:sz w:val="20"/>
          <w:szCs w:val="20"/>
        </w:rPr>
        <w:t>um of,</w:t>
      </w:r>
      <w:r w:rsidRPr="00A51C66">
        <w:rPr>
          <w:sz w:val="20"/>
          <w:szCs w:val="20"/>
        </w:rPr>
        <w:t xml:space="preserve"> Total Trans</w:t>
      </w:r>
      <w:r>
        <w:rPr>
          <w:sz w:val="20"/>
          <w:szCs w:val="20"/>
        </w:rPr>
        <w:t>mission</w:t>
      </w:r>
      <w:r w:rsidRPr="00A51C66">
        <w:rPr>
          <w:sz w:val="20"/>
          <w:szCs w:val="20"/>
        </w:rPr>
        <w:t xml:space="preserve"> Op</w:t>
      </w:r>
      <w:r>
        <w:rPr>
          <w:sz w:val="20"/>
          <w:szCs w:val="20"/>
        </w:rPr>
        <w:t>erating</w:t>
      </w:r>
      <w:r w:rsidRPr="00A51C66">
        <w:rPr>
          <w:sz w:val="20"/>
          <w:szCs w:val="20"/>
        </w:rPr>
        <w:t xml:space="preserve"> Exp</w:t>
      </w:r>
      <w:r>
        <w:rPr>
          <w:sz w:val="20"/>
          <w:szCs w:val="20"/>
        </w:rPr>
        <w:t>ense,</w:t>
      </w:r>
      <w:r w:rsidRPr="00A51C66">
        <w:rPr>
          <w:sz w:val="20"/>
          <w:szCs w:val="20"/>
        </w:rPr>
        <w:t xml:space="preserve"> A</w:t>
      </w:r>
      <w:r>
        <w:rPr>
          <w:sz w:val="20"/>
          <w:szCs w:val="20"/>
        </w:rPr>
        <w:t>ccounts</w:t>
      </w:r>
      <w:r w:rsidRPr="00A51C66">
        <w:rPr>
          <w:sz w:val="20"/>
          <w:szCs w:val="20"/>
        </w:rPr>
        <w:t xml:space="preserve"> 560.0 - 567.1</w:t>
      </w:r>
      <w:r>
        <w:rPr>
          <w:sz w:val="20"/>
          <w:szCs w:val="20"/>
        </w:rPr>
        <w:t>,</w:t>
      </w:r>
      <w:r w:rsidRPr="00A51C66">
        <w:rPr>
          <w:sz w:val="20"/>
          <w:szCs w:val="20"/>
        </w:rPr>
        <w:t xml:space="preserve"> + Total Trans</w:t>
      </w:r>
      <w:r>
        <w:rPr>
          <w:sz w:val="20"/>
          <w:szCs w:val="20"/>
        </w:rPr>
        <w:t>mission</w:t>
      </w:r>
      <w:r w:rsidRPr="00A51C66">
        <w:rPr>
          <w:sz w:val="20"/>
          <w:szCs w:val="20"/>
        </w:rPr>
        <w:t xml:space="preserve"> Maint</w:t>
      </w:r>
      <w:r>
        <w:rPr>
          <w:sz w:val="20"/>
          <w:szCs w:val="20"/>
        </w:rPr>
        <w:t>enance</w:t>
      </w:r>
      <w:r w:rsidRPr="00A51C66">
        <w:rPr>
          <w:sz w:val="20"/>
          <w:szCs w:val="20"/>
        </w:rPr>
        <w:t xml:space="preserve"> Exp</w:t>
      </w:r>
      <w:r>
        <w:rPr>
          <w:sz w:val="20"/>
          <w:szCs w:val="20"/>
        </w:rPr>
        <w:t>ense,</w:t>
      </w:r>
      <w:r w:rsidRPr="00A51C66">
        <w:rPr>
          <w:sz w:val="20"/>
          <w:szCs w:val="20"/>
        </w:rPr>
        <w:t xml:space="preserve"> A</w:t>
      </w:r>
      <w:r>
        <w:rPr>
          <w:sz w:val="20"/>
          <w:szCs w:val="20"/>
        </w:rPr>
        <w:t>ccounts</w:t>
      </w:r>
      <w:r w:rsidRPr="00A51C66">
        <w:rPr>
          <w:sz w:val="20"/>
          <w:szCs w:val="20"/>
        </w:rPr>
        <w:t xml:space="preserve"> 568.0 - 574.0</w:t>
      </w:r>
      <w:r>
        <w:rPr>
          <w:sz w:val="20"/>
          <w:szCs w:val="20"/>
        </w:rPr>
        <w:t>,</w:t>
      </w:r>
      <w:r w:rsidRPr="00A51C66">
        <w:rPr>
          <w:sz w:val="20"/>
          <w:szCs w:val="20"/>
        </w:rPr>
        <w:t xml:space="preserve"> + Total Dist</w:t>
      </w:r>
      <w:r>
        <w:rPr>
          <w:sz w:val="20"/>
          <w:szCs w:val="20"/>
        </w:rPr>
        <w:t>ribution</w:t>
      </w:r>
      <w:r w:rsidRPr="00A51C66">
        <w:rPr>
          <w:sz w:val="20"/>
          <w:szCs w:val="20"/>
        </w:rPr>
        <w:t xml:space="preserve"> Op</w:t>
      </w:r>
      <w:r>
        <w:rPr>
          <w:sz w:val="20"/>
          <w:szCs w:val="20"/>
        </w:rPr>
        <w:t>erating</w:t>
      </w:r>
      <w:r w:rsidRPr="00A51C66">
        <w:rPr>
          <w:sz w:val="20"/>
          <w:szCs w:val="20"/>
        </w:rPr>
        <w:t xml:space="preserve"> Exp</w:t>
      </w:r>
      <w:r>
        <w:rPr>
          <w:sz w:val="20"/>
          <w:szCs w:val="20"/>
        </w:rPr>
        <w:t>ense,</w:t>
      </w:r>
      <w:r w:rsidRPr="00A51C66">
        <w:rPr>
          <w:sz w:val="20"/>
          <w:szCs w:val="20"/>
        </w:rPr>
        <w:t xml:space="preserve"> A</w:t>
      </w:r>
      <w:r>
        <w:rPr>
          <w:sz w:val="20"/>
          <w:szCs w:val="20"/>
        </w:rPr>
        <w:t>ccounts</w:t>
      </w:r>
      <w:r w:rsidRPr="00A51C66">
        <w:rPr>
          <w:sz w:val="20"/>
          <w:szCs w:val="20"/>
        </w:rPr>
        <w:t xml:space="preserve"> 580.0 - 589.0</w:t>
      </w:r>
      <w:r>
        <w:rPr>
          <w:sz w:val="20"/>
          <w:szCs w:val="20"/>
        </w:rPr>
        <w:t>,</w:t>
      </w:r>
      <w:r w:rsidRPr="00A51C66">
        <w:rPr>
          <w:sz w:val="20"/>
          <w:szCs w:val="20"/>
        </w:rPr>
        <w:t xml:space="preserve"> + Total Dist</w:t>
      </w:r>
      <w:r>
        <w:rPr>
          <w:sz w:val="20"/>
          <w:szCs w:val="20"/>
        </w:rPr>
        <w:t>ribution</w:t>
      </w:r>
      <w:r w:rsidRPr="00A51C66">
        <w:rPr>
          <w:sz w:val="20"/>
          <w:szCs w:val="20"/>
        </w:rPr>
        <w:t xml:space="preserve"> Maint</w:t>
      </w:r>
      <w:r>
        <w:rPr>
          <w:sz w:val="20"/>
          <w:szCs w:val="20"/>
        </w:rPr>
        <w:t>enance</w:t>
      </w:r>
      <w:r w:rsidRPr="00A51C66">
        <w:rPr>
          <w:sz w:val="20"/>
          <w:szCs w:val="20"/>
        </w:rPr>
        <w:t xml:space="preserve"> Exp</w:t>
      </w:r>
      <w:r>
        <w:rPr>
          <w:sz w:val="20"/>
          <w:szCs w:val="20"/>
        </w:rPr>
        <w:t>ense,</w:t>
      </w:r>
      <w:r w:rsidRPr="00A51C66">
        <w:rPr>
          <w:sz w:val="20"/>
          <w:szCs w:val="20"/>
        </w:rPr>
        <w:t xml:space="preserve"> A</w:t>
      </w:r>
      <w:r>
        <w:rPr>
          <w:sz w:val="20"/>
          <w:szCs w:val="20"/>
        </w:rPr>
        <w:t>ccounts</w:t>
      </w:r>
      <w:r w:rsidRPr="00A51C66">
        <w:rPr>
          <w:sz w:val="20"/>
          <w:szCs w:val="20"/>
        </w:rPr>
        <w:t xml:space="preserve"> 590.0 - 598.0</w:t>
      </w:r>
      <w:r>
        <w:rPr>
          <w:sz w:val="20"/>
          <w:szCs w:val="20"/>
        </w:rPr>
        <w:t xml:space="preserve">, </w:t>
      </w:r>
      <w:r w:rsidRPr="00A51C66">
        <w:rPr>
          <w:sz w:val="20"/>
          <w:szCs w:val="20"/>
        </w:rPr>
        <w:t>Divided by SCHEDULE 600</w:t>
      </w:r>
      <w:r>
        <w:rPr>
          <w:sz w:val="20"/>
          <w:szCs w:val="20"/>
        </w:rPr>
        <w:t>:</w:t>
      </w:r>
      <w:r w:rsidRPr="00A51C66">
        <w:rPr>
          <w:sz w:val="20"/>
          <w:szCs w:val="20"/>
        </w:rPr>
        <w:t xml:space="preserve"> CLASSIFICATION OF CUSTOMERS</w:t>
      </w:r>
      <w:r>
        <w:rPr>
          <w:sz w:val="20"/>
          <w:szCs w:val="20"/>
        </w:rPr>
        <w:t xml:space="preserve"> – </w:t>
      </w:r>
      <w:r w:rsidRPr="00A51C66">
        <w:rPr>
          <w:sz w:val="20"/>
          <w:szCs w:val="20"/>
        </w:rPr>
        <w:t>Total Metered Sales C</w:t>
      </w:r>
      <w:r>
        <w:rPr>
          <w:sz w:val="20"/>
          <w:szCs w:val="20"/>
        </w:rPr>
        <w:t>olumn</w:t>
      </w:r>
      <w:r w:rsidRPr="00A51C66">
        <w:rPr>
          <w:sz w:val="20"/>
          <w:szCs w:val="20"/>
        </w:rPr>
        <w:t xml:space="preserve"> (d) Average Number of Customers During the Year</w:t>
      </w:r>
    </w:p>
    <w:p w:rsidR="00AC40FC" w:rsidRPr="00A51C66" w:rsidRDefault="00AC40FC" w:rsidP="00BB665B">
      <w:pPr>
        <w:pStyle w:val="BodyText"/>
        <w:spacing w:after="0"/>
        <w:ind w:left="806" w:right="1080"/>
        <w:rPr>
          <w:sz w:val="20"/>
          <w:szCs w:val="20"/>
        </w:rPr>
      </w:pPr>
      <w:r w:rsidRPr="00A51C66">
        <w:rPr>
          <w:sz w:val="20"/>
          <w:szCs w:val="20"/>
        </w:rPr>
        <w:t>* - 2010 Data for Met Ed, PECO, Penelec, and West Penn was impacted by entries shown in A</w:t>
      </w:r>
      <w:r>
        <w:rPr>
          <w:sz w:val="20"/>
          <w:szCs w:val="20"/>
        </w:rPr>
        <w:t>ccount</w:t>
      </w:r>
      <w:r w:rsidRPr="00A51C66">
        <w:rPr>
          <w:sz w:val="20"/>
          <w:szCs w:val="20"/>
        </w:rPr>
        <w:t xml:space="preserve"> 565.0 Transmission of Electric</w:t>
      </w:r>
      <w:r>
        <w:rPr>
          <w:sz w:val="20"/>
          <w:szCs w:val="20"/>
        </w:rPr>
        <w:t>i</w:t>
      </w:r>
      <w:r w:rsidRPr="00A51C66">
        <w:rPr>
          <w:sz w:val="20"/>
          <w:szCs w:val="20"/>
        </w:rPr>
        <w:t>ty by Others and A</w:t>
      </w:r>
      <w:r>
        <w:rPr>
          <w:sz w:val="20"/>
          <w:szCs w:val="20"/>
        </w:rPr>
        <w:t>ccount</w:t>
      </w:r>
      <w:r w:rsidRPr="00A51C66">
        <w:rPr>
          <w:sz w:val="20"/>
          <w:szCs w:val="20"/>
        </w:rPr>
        <w:t xml:space="preserve"> 561.4 Scheduling, System Control, and Dispatch Services</w:t>
      </w:r>
    </w:p>
    <w:p w:rsidR="00AC40FC" w:rsidRPr="00435D18" w:rsidRDefault="00AC40FC" w:rsidP="005E47C4">
      <w:pPr>
        <w:pStyle w:val="Caption"/>
        <w:rPr>
          <w:rFonts w:cs="Arial"/>
          <w:b w:val="0"/>
          <w:szCs w:val="24"/>
        </w:rPr>
      </w:pPr>
      <w:bookmarkStart w:id="489" w:name="_Toc462648526"/>
      <w:bookmarkStart w:id="490" w:name="_Toc464553148"/>
      <w:r>
        <w:lastRenderedPageBreak/>
        <w:t xml:space="preserve">Exhibit </w:t>
      </w:r>
      <w:fldSimple w:instr=" STYLEREF 6 \s ">
        <w:r w:rsidR="00A24205">
          <w:rPr>
            <w:noProof/>
          </w:rPr>
          <w:t>C</w:t>
        </w:r>
      </w:fldSimple>
      <w:r>
        <w:noBreakHyphen/>
      </w:r>
      <w:fldSimple w:instr=" SEQ Exhibit_Apx \* ARABIC \s 6 ">
        <w:r w:rsidR="00A24205">
          <w:rPr>
            <w:noProof/>
          </w:rPr>
          <w:t>5</w:t>
        </w:r>
      </w:fldSimple>
      <w:r>
        <w:br/>
      </w:r>
      <w:r w:rsidRPr="005E47C4">
        <w:t>Total Administrative and General Expense Per Customer</w:t>
      </w:r>
      <w:bookmarkEnd w:id="489"/>
      <w:bookmarkEnd w:id="490"/>
    </w:p>
    <w:p w:rsidR="00AC40FC" w:rsidRDefault="00AC40FC" w:rsidP="00A51C66">
      <w:pPr>
        <w:jc w:val="center"/>
      </w:pPr>
      <w:r w:rsidRPr="00626FC5">
        <w:rPr>
          <w:noProof/>
        </w:rPr>
        <w:drawing>
          <wp:inline distT="0" distB="0" distL="0" distR="0">
            <wp:extent cx="5535859" cy="6010275"/>
            <wp:effectExtent l="0" t="0" r="0" b="0"/>
            <wp:docPr id="126" name="Chart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AC40FC" w:rsidRPr="00CA43AC" w:rsidRDefault="00AC40FC" w:rsidP="00A51C66">
      <w:pPr>
        <w:widowControl w:val="0"/>
        <w:spacing w:before="74" w:after="0"/>
        <w:ind w:left="103" w:right="3549"/>
        <w:rPr>
          <w:rFonts w:eastAsia="Arial" w:cs="Arial"/>
          <w:sz w:val="20"/>
          <w:szCs w:val="20"/>
        </w:rPr>
      </w:pPr>
      <w:r w:rsidRPr="00CA43AC">
        <w:rPr>
          <w:rFonts w:eastAsia="Arial" w:cs="Arial"/>
          <w:sz w:val="20"/>
          <w:szCs w:val="20"/>
        </w:rPr>
        <w:t>SOURCE DATA: PA PUC ANNUAL REPORT</w:t>
      </w:r>
    </w:p>
    <w:p w:rsidR="00AC40FC" w:rsidRPr="00CA43AC" w:rsidRDefault="00AC40FC" w:rsidP="00BB665B">
      <w:pPr>
        <w:widowControl w:val="0"/>
        <w:spacing w:before="15"/>
        <w:ind w:left="864" w:right="1080"/>
        <w:rPr>
          <w:rFonts w:eastAsia="Arial" w:cs="Arial"/>
          <w:sz w:val="20"/>
          <w:szCs w:val="20"/>
        </w:rPr>
      </w:pPr>
      <w:r w:rsidRPr="00CA43AC">
        <w:rPr>
          <w:rFonts w:eastAsia="Arial" w:cs="Arial"/>
          <w:sz w:val="20"/>
          <w:szCs w:val="20"/>
        </w:rPr>
        <w:t>SCHEDULE 405</w:t>
      </w:r>
      <w:r>
        <w:rPr>
          <w:rFonts w:eastAsia="Arial" w:cs="Arial"/>
          <w:sz w:val="20"/>
          <w:szCs w:val="20"/>
        </w:rPr>
        <w:t>:</w:t>
      </w:r>
      <w:r w:rsidRPr="00CA43AC">
        <w:rPr>
          <w:rFonts w:eastAsia="Arial" w:cs="Arial"/>
          <w:sz w:val="20"/>
          <w:szCs w:val="20"/>
        </w:rPr>
        <w:t xml:space="preserve"> OPERATION AND MAINTENANCE EXPENSES</w:t>
      </w:r>
      <w:r>
        <w:rPr>
          <w:rFonts w:eastAsia="Arial" w:cs="Arial"/>
          <w:sz w:val="20"/>
          <w:szCs w:val="20"/>
        </w:rPr>
        <w:t xml:space="preserve"> - </w:t>
      </w:r>
      <w:r w:rsidRPr="00CA43AC">
        <w:rPr>
          <w:rFonts w:eastAsia="Arial" w:cs="Arial"/>
          <w:sz w:val="20"/>
          <w:szCs w:val="20"/>
        </w:rPr>
        <w:t>Total Administrative and General Operation Expenses</w:t>
      </w:r>
      <w:r>
        <w:rPr>
          <w:rFonts w:eastAsia="Arial" w:cs="Arial"/>
          <w:sz w:val="20"/>
          <w:szCs w:val="20"/>
        </w:rPr>
        <w:t>,</w:t>
      </w:r>
      <w:r w:rsidRPr="00CA43AC">
        <w:rPr>
          <w:rFonts w:eastAsia="Arial" w:cs="Arial"/>
          <w:sz w:val="20"/>
          <w:szCs w:val="20"/>
        </w:rPr>
        <w:t xml:space="preserve"> A</w:t>
      </w:r>
      <w:r>
        <w:rPr>
          <w:rFonts w:eastAsia="Arial" w:cs="Arial"/>
          <w:sz w:val="20"/>
          <w:szCs w:val="20"/>
        </w:rPr>
        <w:t>ccounts</w:t>
      </w:r>
      <w:r w:rsidRPr="00CA43AC">
        <w:rPr>
          <w:rFonts w:eastAsia="Arial" w:cs="Arial"/>
          <w:sz w:val="20"/>
          <w:szCs w:val="20"/>
        </w:rPr>
        <w:t xml:space="preserve"> 920.0 - 933.0</w:t>
      </w:r>
      <w:r>
        <w:rPr>
          <w:rFonts w:eastAsia="Arial" w:cs="Arial"/>
          <w:sz w:val="20"/>
          <w:szCs w:val="20"/>
        </w:rPr>
        <w:t>,</w:t>
      </w:r>
      <w:r w:rsidRPr="00CA43AC">
        <w:rPr>
          <w:rFonts w:eastAsia="Arial" w:cs="Arial"/>
          <w:sz w:val="20"/>
          <w:szCs w:val="20"/>
        </w:rPr>
        <w:t xml:space="preserve"> Divided by SCHEDULE 600</w:t>
      </w:r>
      <w:r>
        <w:rPr>
          <w:rFonts w:eastAsia="Arial" w:cs="Arial"/>
          <w:sz w:val="20"/>
          <w:szCs w:val="20"/>
        </w:rPr>
        <w:t xml:space="preserve">: </w:t>
      </w:r>
      <w:r w:rsidRPr="00CA43AC">
        <w:rPr>
          <w:rFonts w:eastAsia="Arial" w:cs="Arial"/>
          <w:sz w:val="20"/>
          <w:szCs w:val="20"/>
        </w:rPr>
        <w:t>CLASSIFICATION OF CUSTOMERS</w:t>
      </w:r>
      <w:r>
        <w:rPr>
          <w:rFonts w:eastAsia="Arial" w:cs="Arial"/>
          <w:sz w:val="20"/>
          <w:szCs w:val="20"/>
        </w:rPr>
        <w:t xml:space="preserve"> – </w:t>
      </w:r>
      <w:r w:rsidRPr="00CA43AC">
        <w:rPr>
          <w:rFonts w:eastAsia="Arial" w:cs="Arial"/>
          <w:sz w:val="20"/>
          <w:szCs w:val="20"/>
        </w:rPr>
        <w:t>Total Metered Sales C</w:t>
      </w:r>
      <w:r>
        <w:rPr>
          <w:rFonts w:eastAsia="Arial" w:cs="Arial"/>
          <w:sz w:val="20"/>
          <w:szCs w:val="20"/>
        </w:rPr>
        <w:t>olumn</w:t>
      </w:r>
      <w:r w:rsidRPr="00CA43AC">
        <w:rPr>
          <w:rFonts w:eastAsia="Arial" w:cs="Arial"/>
          <w:sz w:val="20"/>
          <w:szCs w:val="20"/>
        </w:rPr>
        <w:t xml:space="preserve"> (d) Average Number of Customers During the Year</w:t>
      </w:r>
    </w:p>
    <w:p w:rsidR="00AC40FC" w:rsidRPr="00CA43AC" w:rsidRDefault="00AC40FC" w:rsidP="00BB665B">
      <w:pPr>
        <w:ind w:left="900"/>
        <w:rPr>
          <w:sz w:val="20"/>
          <w:szCs w:val="20"/>
        </w:rPr>
      </w:pPr>
      <w:r w:rsidRPr="00CA43AC">
        <w:rPr>
          <w:rFonts w:eastAsia="Arial" w:cs="Arial"/>
          <w:b/>
          <w:sz w:val="20"/>
          <w:szCs w:val="20"/>
        </w:rPr>
        <w:t xml:space="preserve">* - </w:t>
      </w:r>
      <w:r w:rsidRPr="00CA43AC">
        <w:rPr>
          <w:rFonts w:eastAsia="Arial" w:cs="Arial"/>
          <w:position w:val="1"/>
          <w:sz w:val="20"/>
          <w:szCs w:val="20"/>
        </w:rPr>
        <w:t xml:space="preserve">2013 Data for Met Ed, Penelec, and West Penn was impacted by entries shown in ACCT 926.0 Employee Pensions </w:t>
      </w:r>
      <w:r w:rsidRPr="00CA43AC">
        <w:rPr>
          <w:rFonts w:eastAsia="Arial" w:cs="Arial"/>
          <w:sz w:val="20"/>
          <w:szCs w:val="20"/>
        </w:rPr>
        <w:t xml:space="preserve">and Benefits. See PUC Annual Report 2014, </w:t>
      </w:r>
      <w:r w:rsidRPr="00CA43AC">
        <w:rPr>
          <w:rFonts w:eastAsia="Arial" w:cs="Arial"/>
          <w:b/>
          <w:sz w:val="20"/>
          <w:szCs w:val="20"/>
        </w:rPr>
        <w:t>201 Notes to Balance Sheet - Note 2</w:t>
      </w:r>
      <w:r w:rsidRPr="00CA43AC">
        <w:rPr>
          <w:rFonts w:eastAsia="Arial" w:cs="Arial"/>
          <w:sz w:val="20"/>
          <w:szCs w:val="20"/>
        </w:rPr>
        <w:t>: Pensions and Other Postemployment Benefits. On August 24, 2014, the qualified pension plan was amended authorizing a voluntary cashout window program for certain eligible terminated participants with vested benefits. Additionally, during 2014, certain unions ratified their labor agreements that ended subsidized retiree health care resulting in a reduction to the OPEB benefit obligation.</w:t>
      </w:r>
    </w:p>
    <w:p w:rsidR="00AC40FC" w:rsidRPr="00435D18" w:rsidRDefault="00AC40FC" w:rsidP="005E47C4">
      <w:pPr>
        <w:pStyle w:val="Caption"/>
        <w:rPr>
          <w:rFonts w:cs="Arial"/>
          <w:b w:val="0"/>
          <w:szCs w:val="24"/>
        </w:rPr>
      </w:pPr>
      <w:bookmarkStart w:id="491" w:name="_Toc462648527"/>
      <w:bookmarkStart w:id="492" w:name="_Toc464553149"/>
      <w:r>
        <w:lastRenderedPageBreak/>
        <w:t xml:space="preserve">Exhibit </w:t>
      </w:r>
      <w:fldSimple w:instr=" STYLEREF 6 \s ">
        <w:r w:rsidR="00A24205">
          <w:rPr>
            <w:noProof/>
          </w:rPr>
          <w:t>C</w:t>
        </w:r>
      </w:fldSimple>
      <w:r>
        <w:noBreakHyphen/>
      </w:r>
      <w:fldSimple w:instr=" SEQ Exhibit_Apx \* ARABIC \s 6 ">
        <w:r w:rsidR="00A24205">
          <w:rPr>
            <w:noProof/>
          </w:rPr>
          <w:t>6</w:t>
        </w:r>
      </w:fldSimple>
      <w:r>
        <w:br/>
      </w:r>
      <w:r w:rsidRPr="005E47C4">
        <w:t>Aggregate Customer Service Expenses Per Customer</w:t>
      </w:r>
      <w:bookmarkEnd w:id="491"/>
      <w:bookmarkEnd w:id="492"/>
    </w:p>
    <w:p w:rsidR="00AC40FC" w:rsidRDefault="00AC40FC" w:rsidP="00A51C66">
      <w:pPr>
        <w:jc w:val="center"/>
      </w:pPr>
      <w:r w:rsidRPr="00CA43AC">
        <w:rPr>
          <w:noProof/>
        </w:rPr>
        <w:drawing>
          <wp:inline distT="0" distB="0" distL="0" distR="0">
            <wp:extent cx="5749485" cy="6981825"/>
            <wp:effectExtent l="0" t="0" r="0" b="0"/>
            <wp:docPr id="127" name="Chart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AC40FC" w:rsidRPr="00CA43AC" w:rsidRDefault="00AC40FC" w:rsidP="00A51C66">
      <w:pPr>
        <w:widowControl w:val="0"/>
        <w:spacing w:before="74" w:after="0"/>
        <w:ind w:left="103" w:right="3549"/>
        <w:rPr>
          <w:rFonts w:eastAsia="Arial" w:cs="Arial"/>
          <w:sz w:val="20"/>
          <w:szCs w:val="20"/>
        </w:rPr>
      </w:pPr>
      <w:r w:rsidRPr="00CA43AC">
        <w:rPr>
          <w:rFonts w:eastAsia="Arial" w:cs="Arial"/>
          <w:sz w:val="20"/>
          <w:szCs w:val="20"/>
        </w:rPr>
        <w:t>SOURCE DATA: PA PUC ANNUAL REPORT</w:t>
      </w:r>
    </w:p>
    <w:p w:rsidR="00AC40FC" w:rsidRPr="00CA43AC" w:rsidRDefault="00AC40FC" w:rsidP="00BB665B">
      <w:pPr>
        <w:widowControl w:val="0"/>
        <w:spacing w:before="15" w:after="0"/>
        <w:ind w:left="810" w:right="1080"/>
        <w:rPr>
          <w:sz w:val="20"/>
          <w:szCs w:val="20"/>
        </w:rPr>
      </w:pPr>
      <w:r w:rsidRPr="00CA43AC">
        <w:rPr>
          <w:rFonts w:eastAsia="Arial" w:cs="Arial"/>
          <w:sz w:val="20"/>
          <w:szCs w:val="20"/>
        </w:rPr>
        <w:t>SCHEDULE 405</w:t>
      </w:r>
      <w:r>
        <w:rPr>
          <w:rFonts w:eastAsia="Arial" w:cs="Arial"/>
          <w:sz w:val="20"/>
          <w:szCs w:val="20"/>
        </w:rPr>
        <w:t>:</w:t>
      </w:r>
      <w:r w:rsidRPr="00CA43AC">
        <w:rPr>
          <w:rFonts w:eastAsia="Arial" w:cs="Arial"/>
          <w:sz w:val="20"/>
          <w:szCs w:val="20"/>
        </w:rPr>
        <w:t xml:space="preserve"> OPERATION AND MAINTENANCE EXPENSES</w:t>
      </w:r>
      <w:r>
        <w:rPr>
          <w:rFonts w:eastAsia="Arial" w:cs="Arial"/>
          <w:sz w:val="20"/>
          <w:szCs w:val="20"/>
        </w:rPr>
        <w:t xml:space="preserve"> – Sum of,</w:t>
      </w:r>
      <w:r w:rsidRPr="00CA43AC">
        <w:rPr>
          <w:rFonts w:eastAsia="Arial" w:cs="Arial"/>
          <w:sz w:val="20"/>
          <w:szCs w:val="20"/>
        </w:rPr>
        <w:t xml:space="preserve"> C</w:t>
      </w:r>
      <w:r>
        <w:rPr>
          <w:rFonts w:eastAsia="Arial" w:cs="Arial"/>
          <w:sz w:val="20"/>
          <w:szCs w:val="20"/>
        </w:rPr>
        <w:t>ustomer</w:t>
      </w:r>
      <w:r w:rsidRPr="00CA43AC">
        <w:rPr>
          <w:rFonts w:eastAsia="Arial" w:cs="Arial"/>
          <w:sz w:val="20"/>
          <w:szCs w:val="20"/>
        </w:rPr>
        <w:t xml:space="preserve"> A</w:t>
      </w:r>
      <w:r>
        <w:rPr>
          <w:rFonts w:eastAsia="Arial" w:cs="Arial"/>
          <w:sz w:val="20"/>
          <w:szCs w:val="20"/>
        </w:rPr>
        <w:t>ccounts</w:t>
      </w:r>
      <w:r w:rsidRPr="00CA43AC">
        <w:rPr>
          <w:rFonts w:eastAsia="Arial" w:cs="Arial"/>
          <w:sz w:val="20"/>
          <w:szCs w:val="20"/>
        </w:rPr>
        <w:t xml:space="preserve"> O</w:t>
      </w:r>
      <w:r>
        <w:rPr>
          <w:rFonts w:eastAsia="Arial" w:cs="Arial"/>
          <w:sz w:val="20"/>
          <w:szCs w:val="20"/>
        </w:rPr>
        <w:t>perating Expense</w:t>
      </w:r>
      <w:r w:rsidRPr="00CA43AC">
        <w:rPr>
          <w:rFonts w:eastAsia="Arial" w:cs="Arial"/>
          <w:sz w:val="20"/>
          <w:szCs w:val="20"/>
        </w:rPr>
        <w:t xml:space="preserve"> + C</w:t>
      </w:r>
      <w:r>
        <w:rPr>
          <w:rFonts w:eastAsia="Arial" w:cs="Arial"/>
          <w:sz w:val="20"/>
          <w:szCs w:val="20"/>
        </w:rPr>
        <w:t>ustomer Service and Information Expenses</w:t>
      </w:r>
      <w:r w:rsidRPr="00CA43AC">
        <w:rPr>
          <w:rFonts w:eastAsia="Arial" w:cs="Arial"/>
          <w:sz w:val="20"/>
          <w:szCs w:val="20"/>
        </w:rPr>
        <w:t xml:space="preserve"> + S</w:t>
      </w:r>
      <w:r>
        <w:rPr>
          <w:rFonts w:eastAsia="Arial" w:cs="Arial"/>
          <w:sz w:val="20"/>
          <w:szCs w:val="20"/>
        </w:rPr>
        <w:t>ales Operating Expenses,</w:t>
      </w:r>
      <w:r w:rsidRPr="00CA43AC">
        <w:rPr>
          <w:rFonts w:eastAsia="Arial" w:cs="Arial"/>
          <w:sz w:val="20"/>
          <w:szCs w:val="20"/>
        </w:rPr>
        <w:t xml:space="preserve"> A</w:t>
      </w:r>
      <w:r>
        <w:rPr>
          <w:rFonts w:eastAsia="Arial" w:cs="Arial"/>
          <w:sz w:val="20"/>
          <w:szCs w:val="20"/>
        </w:rPr>
        <w:t>ccounts</w:t>
      </w:r>
      <w:r w:rsidRPr="00CA43AC">
        <w:rPr>
          <w:rFonts w:eastAsia="Arial" w:cs="Arial"/>
          <w:sz w:val="20"/>
          <w:szCs w:val="20"/>
        </w:rPr>
        <w:t xml:space="preserve"> 901.0 - 917.0</w:t>
      </w:r>
      <w:r>
        <w:rPr>
          <w:rFonts w:eastAsia="Arial" w:cs="Arial"/>
          <w:sz w:val="20"/>
          <w:szCs w:val="20"/>
        </w:rPr>
        <w:t xml:space="preserve">, </w:t>
      </w:r>
      <w:r w:rsidRPr="00CA43AC">
        <w:rPr>
          <w:rFonts w:eastAsia="Arial" w:cs="Arial"/>
          <w:sz w:val="20"/>
          <w:szCs w:val="20"/>
        </w:rPr>
        <w:t>Divided by SCHEDULE 600</w:t>
      </w:r>
      <w:r>
        <w:rPr>
          <w:rFonts w:eastAsia="Arial" w:cs="Arial"/>
          <w:sz w:val="20"/>
          <w:szCs w:val="20"/>
        </w:rPr>
        <w:t>:</w:t>
      </w:r>
      <w:r w:rsidRPr="00CA43AC">
        <w:rPr>
          <w:rFonts w:eastAsia="Arial" w:cs="Arial"/>
          <w:sz w:val="20"/>
          <w:szCs w:val="20"/>
        </w:rPr>
        <w:t xml:space="preserve"> CLASSIFICATION OF CUSTOMERS</w:t>
      </w:r>
      <w:r>
        <w:rPr>
          <w:rFonts w:eastAsia="Arial" w:cs="Arial"/>
          <w:sz w:val="20"/>
          <w:szCs w:val="20"/>
        </w:rPr>
        <w:t xml:space="preserve"> – </w:t>
      </w:r>
      <w:r w:rsidRPr="00CA43AC">
        <w:rPr>
          <w:rFonts w:eastAsia="Arial" w:cs="Arial"/>
          <w:sz w:val="20"/>
          <w:szCs w:val="20"/>
        </w:rPr>
        <w:t>Total Metered Sales C</w:t>
      </w:r>
      <w:r>
        <w:rPr>
          <w:rFonts w:eastAsia="Arial" w:cs="Arial"/>
          <w:sz w:val="20"/>
          <w:szCs w:val="20"/>
        </w:rPr>
        <w:t>olumn</w:t>
      </w:r>
      <w:r w:rsidRPr="00CA43AC">
        <w:rPr>
          <w:rFonts w:eastAsia="Arial" w:cs="Arial"/>
          <w:sz w:val="20"/>
          <w:szCs w:val="20"/>
        </w:rPr>
        <w:t xml:space="preserve"> (d) Average Number of Customers During the Year</w:t>
      </w:r>
    </w:p>
    <w:p w:rsidR="00AC40FC" w:rsidRPr="00435D18" w:rsidRDefault="00AC40FC" w:rsidP="005E47C4">
      <w:pPr>
        <w:pStyle w:val="Caption"/>
        <w:rPr>
          <w:rFonts w:cs="Arial"/>
          <w:b w:val="0"/>
          <w:szCs w:val="24"/>
        </w:rPr>
      </w:pPr>
      <w:bookmarkStart w:id="493" w:name="_Toc462648528"/>
      <w:bookmarkStart w:id="494" w:name="_Toc464553150"/>
      <w:r>
        <w:lastRenderedPageBreak/>
        <w:t xml:space="preserve">Exhibit </w:t>
      </w:r>
      <w:fldSimple w:instr=" STYLEREF 6 \s ">
        <w:r w:rsidR="00A24205">
          <w:rPr>
            <w:noProof/>
          </w:rPr>
          <w:t>C</w:t>
        </w:r>
      </w:fldSimple>
      <w:r>
        <w:noBreakHyphen/>
      </w:r>
      <w:fldSimple w:instr=" SEQ Exhibit_Apx \* ARABIC \s 6 ">
        <w:r w:rsidR="00A24205">
          <w:rPr>
            <w:noProof/>
          </w:rPr>
          <w:t>7</w:t>
        </w:r>
      </w:fldSimple>
      <w:r>
        <w:br/>
      </w:r>
      <w:r w:rsidRPr="005E47C4">
        <w:t>Aggregate Customer Service Expenses Per Customer</w:t>
      </w:r>
      <w:bookmarkEnd w:id="493"/>
      <w:bookmarkEnd w:id="494"/>
    </w:p>
    <w:p w:rsidR="00AC40FC" w:rsidRDefault="00AC40FC" w:rsidP="00A51C66">
      <w:pPr>
        <w:jc w:val="center"/>
      </w:pPr>
      <w:r w:rsidRPr="00292028">
        <w:rPr>
          <w:noProof/>
        </w:rPr>
        <w:drawing>
          <wp:inline distT="0" distB="0" distL="0" distR="0">
            <wp:extent cx="5882906" cy="7143750"/>
            <wp:effectExtent l="0" t="0" r="0" b="0"/>
            <wp:docPr id="128" name="Chart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AC40FC" w:rsidRPr="00292028" w:rsidRDefault="00AC40FC" w:rsidP="00A51C66">
      <w:pPr>
        <w:widowControl w:val="0"/>
        <w:spacing w:before="74" w:after="0"/>
        <w:ind w:left="103" w:right="3549"/>
        <w:rPr>
          <w:rFonts w:eastAsia="Arial" w:cs="Arial"/>
          <w:sz w:val="20"/>
          <w:szCs w:val="20"/>
        </w:rPr>
      </w:pPr>
      <w:r w:rsidRPr="00292028">
        <w:rPr>
          <w:rFonts w:eastAsia="Arial" w:cs="Arial"/>
          <w:sz w:val="20"/>
          <w:szCs w:val="20"/>
        </w:rPr>
        <w:t>SOURCE DATA: PA PUC ANNUAL REPORT</w:t>
      </w:r>
    </w:p>
    <w:p w:rsidR="00AC40FC" w:rsidRPr="00292028" w:rsidRDefault="00AC40FC" w:rsidP="00BB665B">
      <w:pPr>
        <w:widowControl w:val="0"/>
        <w:spacing w:before="15" w:after="0"/>
        <w:ind w:left="861" w:right="1080"/>
        <w:rPr>
          <w:sz w:val="20"/>
          <w:szCs w:val="20"/>
        </w:rPr>
      </w:pPr>
      <w:r w:rsidRPr="00292028">
        <w:rPr>
          <w:rFonts w:eastAsia="Arial" w:cs="Arial"/>
          <w:sz w:val="20"/>
          <w:szCs w:val="20"/>
        </w:rPr>
        <w:t>SCHEDULE 405</w:t>
      </w:r>
      <w:r>
        <w:rPr>
          <w:rFonts w:eastAsia="Arial" w:cs="Arial"/>
          <w:sz w:val="20"/>
          <w:szCs w:val="20"/>
        </w:rPr>
        <w:t>:</w:t>
      </w:r>
      <w:r w:rsidRPr="00292028">
        <w:rPr>
          <w:rFonts w:eastAsia="Arial" w:cs="Arial"/>
          <w:sz w:val="20"/>
          <w:szCs w:val="20"/>
        </w:rPr>
        <w:t xml:space="preserve"> OPERATION AND MAINTENANCE EXPENSES</w:t>
      </w:r>
      <w:r>
        <w:rPr>
          <w:rFonts w:eastAsia="Arial" w:cs="Arial"/>
          <w:sz w:val="20"/>
          <w:szCs w:val="20"/>
        </w:rPr>
        <w:t xml:space="preserve"> – </w:t>
      </w:r>
      <w:r w:rsidRPr="00292028">
        <w:rPr>
          <w:rFonts w:eastAsia="Arial" w:cs="Arial"/>
          <w:sz w:val="20"/>
          <w:szCs w:val="20"/>
        </w:rPr>
        <w:t>Customer Assistance Expenses</w:t>
      </w:r>
      <w:r>
        <w:rPr>
          <w:rFonts w:eastAsia="Arial" w:cs="Arial"/>
          <w:sz w:val="20"/>
          <w:szCs w:val="20"/>
        </w:rPr>
        <w:t>,</w:t>
      </w:r>
      <w:r w:rsidRPr="00292028">
        <w:rPr>
          <w:rFonts w:eastAsia="Arial" w:cs="Arial"/>
          <w:sz w:val="20"/>
          <w:szCs w:val="20"/>
        </w:rPr>
        <w:t xml:space="preserve"> A</w:t>
      </w:r>
      <w:r>
        <w:rPr>
          <w:rFonts w:eastAsia="Arial" w:cs="Arial"/>
          <w:sz w:val="20"/>
          <w:szCs w:val="20"/>
        </w:rPr>
        <w:t>ccount</w:t>
      </w:r>
      <w:r w:rsidRPr="00292028">
        <w:rPr>
          <w:rFonts w:eastAsia="Arial" w:cs="Arial"/>
          <w:sz w:val="20"/>
          <w:szCs w:val="20"/>
        </w:rPr>
        <w:t xml:space="preserve"> 908.0</w:t>
      </w:r>
      <w:r>
        <w:rPr>
          <w:rFonts w:eastAsia="Arial" w:cs="Arial"/>
          <w:sz w:val="20"/>
          <w:szCs w:val="20"/>
        </w:rPr>
        <w:t xml:space="preserve">, </w:t>
      </w:r>
      <w:r w:rsidRPr="00292028">
        <w:rPr>
          <w:rFonts w:eastAsia="Arial" w:cs="Arial"/>
          <w:sz w:val="20"/>
          <w:szCs w:val="20"/>
        </w:rPr>
        <w:t>Divided by SCHEDULE 600</w:t>
      </w:r>
      <w:r>
        <w:rPr>
          <w:rFonts w:eastAsia="Arial" w:cs="Arial"/>
          <w:sz w:val="20"/>
          <w:szCs w:val="20"/>
        </w:rPr>
        <w:t>:</w:t>
      </w:r>
      <w:r w:rsidRPr="00292028">
        <w:rPr>
          <w:rFonts w:eastAsia="Arial" w:cs="Arial"/>
          <w:sz w:val="20"/>
          <w:szCs w:val="20"/>
        </w:rPr>
        <w:t xml:space="preserve"> CLASSIFICATION OF CUSTOMERS</w:t>
      </w:r>
      <w:r>
        <w:rPr>
          <w:rFonts w:eastAsia="Arial" w:cs="Arial"/>
          <w:sz w:val="20"/>
          <w:szCs w:val="20"/>
        </w:rPr>
        <w:t xml:space="preserve"> – </w:t>
      </w:r>
      <w:r w:rsidRPr="00292028">
        <w:rPr>
          <w:rFonts w:eastAsia="Arial" w:cs="Arial"/>
          <w:sz w:val="20"/>
          <w:szCs w:val="20"/>
        </w:rPr>
        <w:t>Total Metered Sales C</w:t>
      </w:r>
      <w:r>
        <w:rPr>
          <w:rFonts w:eastAsia="Arial" w:cs="Arial"/>
          <w:sz w:val="20"/>
          <w:szCs w:val="20"/>
        </w:rPr>
        <w:t>olumn</w:t>
      </w:r>
      <w:r w:rsidRPr="00292028">
        <w:rPr>
          <w:rFonts w:eastAsia="Arial" w:cs="Arial"/>
          <w:sz w:val="20"/>
          <w:szCs w:val="20"/>
        </w:rPr>
        <w:t xml:space="preserve"> (d) Average Number of Customers During the Year</w:t>
      </w:r>
    </w:p>
    <w:p w:rsidR="00AC40FC" w:rsidRPr="00435D18" w:rsidRDefault="00AC40FC" w:rsidP="005E47C4">
      <w:pPr>
        <w:pStyle w:val="Caption"/>
        <w:rPr>
          <w:rFonts w:cs="Arial"/>
          <w:b w:val="0"/>
          <w:szCs w:val="24"/>
        </w:rPr>
      </w:pPr>
      <w:bookmarkStart w:id="495" w:name="_Toc462648529"/>
      <w:bookmarkStart w:id="496" w:name="_Toc464553151"/>
      <w:r>
        <w:lastRenderedPageBreak/>
        <w:t xml:space="preserve">Exhibit </w:t>
      </w:r>
      <w:fldSimple w:instr=" STYLEREF 6 \s ">
        <w:r w:rsidR="00A24205">
          <w:rPr>
            <w:noProof/>
          </w:rPr>
          <w:t>C</w:t>
        </w:r>
      </w:fldSimple>
      <w:r>
        <w:noBreakHyphen/>
      </w:r>
      <w:fldSimple w:instr=" SEQ Exhibit_Apx \* ARABIC \s 6 ">
        <w:r w:rsidR="00A24205">
          <w:rPr>
            <w:noProof/>
          </w:rPr>
          <w:t>8</w:t>
        </w:r>
      </w:fldSimple>
      <w:r>
        <w:br/>
      </w:r>
      <w:r w:rsidRPr="005E47C4">
        <w:t>Total Other Power Supply Expense Per Provider of Last Resort (POLR) Customer</w:t>
      </w:r>
      <w:bookmarkEnd w:id="495"/>
      <w:bookmarkEnd w:id="496"/>
    </w:p>
    <w:p w:rsidR="00AC40FC" w:rsidRDefault="00AC40FC" w:rsidP="00A51C66">
      <w:pPr>
        <w:jc w:val="center"/>
      </w:pPr>
      <w:r w:rsidRPr="00292028">
        <w:rPr>
          <w:noProof/>
        </w:rPr>
        <w:drawing>
          <wp:inline distT="0" distB="0" distL="0" distR="0">
            <wp:extent cx="5762625" cy="6997753"/>
            <wp:effectExtent l="0" t="0" r="9525" b="12700"/>
            <wp:docPr id="129" name="Chart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AC40FC" w:rsidRPr="00292028" w:rsidRDefault="00AC40FC" w:rsidP="00A51C66">
      <w:pPr>
        <w:widowControl w:val="0"/>
        <w:spacing w:before="74" w:after="0"/>
        <w:ind w:left="103" w:right="3549"/>
        <w:rPr>
          <w:rFonts w:eastAsia="Arial" w:cs="Arial"/>
          <w:sz w:val="20"/>
          <w:szCs w:val="20"/>
        </w:rPr>
      </w:pPr>
      <w:r>
        <w:rPr>
          <w:rFonts w:eastAsia="Arial" w:cs="Arial"/>
          <w:sz w:val="20"/>
          <w:szCs w:val="20"/>
        </w:rPr>
        <w:t>S</w:t>
      </w:r>
      <w:r w:rsidRPr="00292028">
        <w:rPr>
          <w:rFonts w:eastAsia="Arial" w:cs="Arial"/>
          <w:sz w:val="20"/>
          <w:szCs w:val="20"/>
        </w:rPr>
        <w:t>OURCE DATA: PA PUC ANNUAL REPORT</w:t>
      </w:r>
    </w:p>
    <w:p w:rsidR="00AC40FC" w:rsidRPr="00292028" w:rsidRDefault="00AC40FC" w:rsidP="00BB665B">
      <w:pPr>
        <w:widowControl w:val="0"/>
        <w:spacing w:before="60" w:after="0"/>
        <w:ind w:left="861" w:right="1080"/>
        <w:rPr>
          <w:rFonts w:eastAsia="Arial" w:cs="Arial"/>
          <w:sz w:val="20"/>
          <w:szCs w:val="20"/>
        </w:rPr>
      </w:pPr>
      <w:r w:rsidRPr="00292028">
        <w:rPr>
          <w:rFonts w:eastAsia="Arial" w:cs="Arial"/>
          <w:sz w:val="20"/>
          <w:szCs w:val="20"/>
        </w:rPr>
        <w:t>SCHEDULE 405</w:t>
      </w:r>
      <w:r>
        <w:rPr>
          <w:rFonts w:eastAsia="Arial" w:cs="Arial"/>
          <w:sz w:val="20"/>
          <w:szCs w:val="20"/>
        </w:rPr>
        <w:t>:</w:t>
      </w:r>
      <w:r w:rsidRPr="00292028">
        <w:rPr>
          <w:rFonts w:eastAsia="Arial" w:cs="Arial"/>
          <w:sz w:val="20"/>
          <w:szCs w:val="20"/>
        </w:rPr>
        <w:t xml:space="preserve"> OPERATION AND MAINTENANCE EXPENSES</w:t>
      </w:r>
      <w:r>
        <w:rPr>
          <w:rFonts w:eastAsia="Arial" w:cs="Arial"/>
          <w:sz w:val="20"/>
          <w:szCs w:val="20"/>
        </w:rPr>
        <w:t xml:space="preserve"> – </w:t>
      </w:r>
      <w:r w:rsidRPr="00292028">
        <w:rPr>
          <w:rFonts w:eastAsia="Arial" w:cs="Arial"/>
          <w:sz w:val="20"/>
          <w:szCs w:val="20"/>
        </w:rPr>
        <w:t>Total Other Power Supply Expenses</w:t>
      </w:r>
      <w:r>
        <w:rPr>
          <w:rFonts w:eastAsia="Arial" w:cs="Arial"/>
          <w:sz w:val="20"/>
          <w:szCs w:val="20"/>
        </w:rPr>
        <w:t>,</w:t>
      </w:r>
      <w:r w:rsidRPr="00292028">
        <w:rPr>
          <w:rFonts w:eastAsia="Arial" w:cs="Arial"/>
          <w:sz w:val="20"/>
          <w:szCs w:val="20"/>
        </w:rPr>
        <w:t xml:space="preserve"> A</w:t>
      </w:r>
      <w:r>
        <w:rPr>
          <w:rFonts w:eastAsia="Arial" w:cs="Arial"/>
          <w:sz w:val="20"/>
          <w:szCs w:val="20"/>
        </w:rPr>
        <w:t>ccounts</w:t>
      </w:r>
      <w:r w:rsidRPr="00292028">
        <w:rPr>
          <w:rFonts w:eastAsia="Arial" w:cs="Arial"/>
          <w:sz w:val="20"/>
          <w:szCs w:val="20"/>
        </w:rPr>
        <w:t xml:space="preserve"> 555.0 - 557.0</w:t>
      </w:r>
      <w:r>
        <w:rPr>
          <w:rFonts w:eastAsia="Arial" w:cs="Arial"/>
          <w:sz w:val="20"/>
          <w:szCs w:val="20"/>
        </w:rPr>
        <w:t>,</w:t>
      </w:r>
      <w:r w:rsidRPr="00292028">
        <w:rPr>
          <w:rFonts w:eastAsia="Arial" w:cs="Arial"/>
          <w:sz w:val="20"/>
          <w:szCs w:val="20"/>
        </w:rPr>
        <w:t xml:space="preserve"> Divided</w:t>
      </w:r>
      <w:r w:rsidRPr="00292028">
        <w:rPr>
          <w:rFonts w:eastAsia="Arial" w:cs="Arial"/>
          <w:spacing w:val="-11"/>
          <w:sz w:val="20"/>
          <w:szCs w:val="20"/>
        </w:rPr>
        <w:t xml:space="preserve"> </w:t>
      </w:r>
      <w:r w:rsidRPr="00292028">
        <w:rPr>
          <w:rFonts w:eastAsia="Arial" w:cs="Arial"/>
          <w:sz w:val="20"/>
          <w:szCs w:val="20"/>
        </w:rPr>
        <w:t>by</w:t>
      </w:r>
      <w:r w:rsidRPr="00292028">
        <w:rPr>
          <w:rFonts w:eastAsia="Arial" w:cs="Arial"/>
          <w:spacing w:val="-16"/>
          <w:sz w:val="20"/>
          <w:szCs w:val="20"/>
        </w:rPr>
        <w:t xml:space="preserve"> </w:t>
      </w:r>
      <w:r w:rsidRPr="00292028">
        <w:rPr>
          <w:rFonts w:eastAsia="Arial" w:cs="Arial"/>
          <w:sz w:val="20"/>
          <w:szCs w:val="20"/>
        </w:rPr>
        <w:t>SCHEDULE</w:t>
      </w:r>
      <w:r w:rsidRPr="00292028">
        <w:rPr>
          <w:rFonts w:eastAsia="Arial" w:cs="Arial"/>
          <w:spacing w:val="-11"/>
          <w:sz w:val="20"/>
          <w:szCs w:val="20"/>
        </w:rPr>
        <w:t xml:space="preserve"> </w:t>
      </w:r>
      <w:r w:rsidRPr="00292028">
        <w:rPr>
          <w:rFonts w:eastAsia="Arial" w:cs="Arial"/>
          <w:sz w:val="20"/>
          <w:szCs w:val="20"/>
        </w:rPr>
        <w:t>600</w:t>
      </w:r>
      <w:r>
        <w:rPr>
          <w:rFonts w:eastAsia="Arial" w:cs="Arial"/>
          <w:sz w:val="20"/>
          <w:szCs w:val="20"/>
        </w:rPr>
        <w:t>:</w:t>
      </w:r>
      <w:r w:rsidRPr="00292028">
        <w:rPr>
          <w:rFonts w:eastAsia="Arial" w:cs="Arial"/>
          <w:spacing w:val="-11"/>
          <w:sz w:val="20"/>
          <w:szCs w:val="20"/>
        </w:rPr>
        <w:t xml:space="preserve"> </w:t>
      </w:r>
      <w:r w:rsidRPr="00292028">
        <w:rPr>
          <w:rFonts w:eastAsia="Arial" w:cs="Arial"/>
          <w:sz w:val="20"/>
          <w:szCs w:val="20"/>
        </w:rPr>
        <w:t>CLASSIFICATION</w:t>
      </w:r>
      <w:r w:rsidRPr="00292028">
        <w:rPr>
          <w:rFonts w:eastAsia="Arial" w:cs="Arial"/>
          <w:spacing w:val="-10"/>
          <w:sz w:val="20"/>
          <w:szCs w:val="20"/>
        </w:rPr>
        <w:t xml:space="preserve"> </w:t>
      </w:r>
      <w:r w:rsidRPr="00292028">
        <w:rPr>
          <w:rFonts w:eastAsia="Arial" w:cs="Arial"/>
          <w:sz w:val="20"/>
          <w:szCs w:val="20"/>
        </w:rPr>
        <w:t>OF</w:t>
      </w:r>
      <w:r w:rsidRPr="00292028">
        <w:rPr>
          <w:rFonts w:eastAsia="Arial" w:cs="Arial"/>
          <w:spacing w:val="-10"/>
          <w:sz w:val="20"/>
          <w:szCs w:val="20"/>
        </w:rPr>
        <w:t xml:space="preserve"> </w:t>
      </w:r>
      <w:r w:rsidRPr="00292028">
        <w:rPr>
          <w:rFonts w:eastAsia="Arial" w:cs="Arial"/>
          <w:sz w:val="20"/>
          <w:szCs w:val="20"/>
        </w:rPr>
        <w:t>CUSTOMERS</w:t>
      </w:r>
      <w:r>
        <w:rPr>
          <w:rFonts w:eastAsia="Arial" w:cs="Arial"/>
          <w:sz w:val="20"/>
          <w:szCs w:val="20"/>
        </w:rPr>
        <w:t xml:space="preserve"> – </w:t>
      </w:r>
      <w:r w:rsidRPr="00292028">
        <w:rPr>
          <w:rFonts w:eastAsia="Arial" w:cs="Arial"/>
          <w:sz w:val="20"/>
          <w:szCs w:val="20"/>
        </w:rPr>
        <w:t>Total Metered Sales C</w:t>
      </w:r>
      <w:r>
        <w:rPr>
          <w:rFonts w:eastAsia="Arial" w:cs="Arial"/>
          <w:sz w:val="20"/>
          <w:szCs w:val="20"/>
        </w:rPr>
        <w:t>olumn</w:t>
      </w:r>
      <w:r w:rsidRPr="00292028">
        <w:rPr>
          <w:rFonts w:eastAsia="Arial" w:cs="Arial"/>
          <w:sz w:val="20"/>
          <w:szCs w:val="20"/>
        </w:rPr>
        <w:t xml:space="preserve"> (d) Average Number of Customers During the Year</w:t>
      </w:r>
    </w:p>
    <w:p w:rsidR="00AC40FC" w:rsidRPr="00435D18" w:rsidRDefault="00AC40FC" w:rsidP="005E47C4">
      <w:pPr>
        <w:pStyle w:val="Caption"/>
        <w:rPr>
          <w:rFonts w:cs="Arial"/>
          <w:b w:val="0"/>
          <w:szCs w:val="24"/>
        </w:rPr>
      </w:pPr>
      <w:bookmarkStart w:id="497" w:name="_Toc462648530"/>
      <w:bookmarkStart w:id="498" w:name="_Toc464553152"/>
      <w:r>
        <w:lastRenderedPageBreak/>
        <w:t xml:space="preserve">Exhibit </w:t>
      </w:r>
      <w:fldSimple w:instr=" STYLEREF 6 \s ">
        <w:r w:rsidR="00A24205">
          <w:rPr>
            <w:noProof/>
          </w:rPr>
          <w:t>C</w:t>
        </w:r>
      </w:fldSimple>
      <w:r>
        <w:noBreakHyphen/>
      </w:r>
      <w:fldSimple w:instr=" SEQ Exhibit_Apx \* ARABIC \s 6 ">
        <w:r w:rsidR="00A24205">
          <w:rPr>
            <w:noProof/>
          </w:rPr>
          <w:t>9</w:t>
        </w:r>
      </w:fldSimple>
      <w:r>
        <w:br/>
      </w:r>
      <w:r w:rsidRPr="005E47C4">
        <w:t>Total Transmission Plant Capital Additions Per Customer</w:t>
      </w:r>
      <w:bookmarkEnd w:id="497"/>
      <w:bookmarkEnd w:id="498"/>
    </w:p>
    <w:p w:rsidR="00AC40FC" w:rsidRDefault="00AC40FC" w:rsidP="00A51C66">
      <w:pPr>
        <w:jc w:val="center"/>
      </w:pPr>
      <w:r w:rsidRPr="00292028">
        <w:rPr>
          <w:noProof/>
        </w:rPr>
        <w:drawing>
          <wp:inline distT="0" distB="0" distL="0" distR="0">
            <wp:extent cx="5810250" cy="6972300"/>
            <wp:effectExtent l="0" t="0" r="0" b="0"/>
            <wp:docPr id="130" name="Chart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AC40FC" w:rsidRDefault="00AC40FC" w:rsidP="00BB665B">
      <w:pPr>
        <w:widowControl w:val="0"/>
        <w:spacing w:after="0" w:line="254" w:lineRule="auto"/>
        <w:ind w:left="861" w:right="1080" w:hanging="759"/>
        <w:rPr>
          <w:rFonts w:eastAsia="Arial" w:cs="Arial"/>
          <w:sz w:val="20"/>
          <w:szCs w:val="20"/>
        </w:rPr>
      </w:pPr>
      <w:r w:rsidRPr="00292028">
        <w:rPr>
          <w:rFonts w:eastAsia="Arial" w:cs="Arial"/>
          <w:sz w:val="20"/>
          <w:szCs w:val="20"/>
        </w:rPr>
        <w:t xml:space="preserve">SOURCE DATA: PA PUC ANNUAL REPORT </w:t>
      </w:r>
    </w:p>
    <w:p w:rsidR="00AC40FC" w:rsidRPr="00292028" w:rsidRDefault="00AC40FC" w:rsidP="00BB665B">
      <w:pPr>
        <w:widowControl w:val="0"/>
        <w:spacing w:after="0" w:line="254" w:lineRule="auto"/>
        <w:ind w:left="810" w:right="1080"/>
        <w:rPr>
          <w:rFonts w:eastAsia="Arial" w:cs="Arial"/>
          <w:sz w:val="20"/>
          <w:szCs w:val="20"/>
        </w:rPr>
      </w:pPr>
      <w:r w:rsidRPr="00292028">
        <w:rPr>
          <w:rFonts w:eastAsia="Arial" w:cs="Arial"/>
          <w:sz w:val="20"/>
          <w:szCs w:val="20"/>
        </w:rPr>
        <w:t>SCHEDULE 205</w:t>
      </w:r>
      <w:r>
        <w:rPr>
          <w:rFonts w:eastAsia="Arial" w:cs="Arial"/>
          <w:sz w:val="20"/>
          <w:szCs w:val="20"/>
        </w:rPr>
        <w:t>:</w:t>
      </w:r>
      <w:r w:rsidRPr="00292028">
        <w:rPr>
          <w:rFonts w:eastAsia="Arial" w:cs="Arial"/>
          <w:sz w:val="20"/>
          <w:szCs w:val="20"/>
        </w:rPr>
        <w:t xml:space="preserve"> UTILITY PLANT IN SERVICE</w:t>
      </w:r>
      <w:r>
        <w:rPr>
          <w:rFonts w:eastAsia="Arial" w:cs="Arial"/>
          <w:sz w:val="20"/>
          <w:szCs w:val="20"/>
        </w:rPr>
        <w:t xml:space="preserve"> – </w:t>
      </w:r>
      <w:r w:rsidRPr="00292028">
        <w:rPr>
          <w:rFonts w:eastAsia="Arial" w:cs="Arial"/>
          <w:sz w:val="20"/>
          <w:szCs w:val="20"/>
        </w:rPr>
        <w:t>Total Transmission Plant</w:t>
      </w:r>
      <w:r>
        <w:rPr>
          <w:rFonts w:eastAsia="Arial" w:cs="Arial"/>
          <w:sz w:val="20"/>
          <w:szCs w:val="20"/>
        </w:rPr>
        <w:t>,</w:t>
      </w:r>
      <w:r w:rsidRPr="00292028">
        <w:rPr>
          <w:rFonts w:eastAsia="Arial" w:cs="Arial"/>
          <w:sz w:val="20"/>
          <w:szCs w:val="20"/>
        </w:rPr>
        <w:t xml:space="preserve"> A</w:t>
      </w:r>
      <w:r>
        <w:rPr>
          <w:rFonts w:eastAsia="Arial" w:cs="Arial"/>
          <w:sz w:val="20"/>
          <w:szCs w:val="20"/>
        </w:rPr>
        <w:t>ccounts</w:t>
      </w:r>
      <w:r w:rsidRPr="00292028">
        <w:rPr>
          <w:rFonts w:eastAsia="Arial" w:cs="Arial"/>
          <w:sz w:val="20"/>
          <w:szCs w:val="20"/>
        </w:rPr>
        <w:t xml:space="preserve"> 350-359.1 (Column C-Additions)</w:t>
      </w:r>
      <w:r>
        <w:rPr>
          <w:rFonts w:eastAsia="Arial" w:cs="Arial"/>
          <w:sz w:val="20"/>
          <w:szCs w:val="20"/>
        </w:rPr>
        <w:t>,</w:t>
      </w:r>
      <w:r w:rsidRPr="00292028">
        <w:rPr>
          <w:rFonts w:eastAsia="Arial" w:cs="Arial"/>
          <w:sz w:val="20"/>
          <w:szCs w:val="20"/>
        </w:rPr>
        <w:t xml:space="preserve"> Divided by SCHEDULE 600</w:t>
      </w:r>
      <w:r>
        <w:rPr>
          <w:rFonts w:eastAsia="Arial" w:cs="Arial"/>
          <w:sz w:val="20"/>
          <w:szCs w:val="20"/>
        </w:rPr>
        <w:t>:</w:t>
      </w:r>
      <w:r w:rsidRPr="00292028">
        <w:rPr>
          <w:rFonts w:eastAsia="Arial" w:cs="Arial"/>
          <w:sz w:val="20"/>
          <w:szCs w:val="20"/>
        </w:rPr>
        <w:t xml:space="preserve"> CLASSIFICATION OF CUSTOMERS</w:t>
      </w:r>
      <w:r>
        <w:rPr>
          <w:rFonts w:eastAsia="Arial" w:cs="Arial"/>
          <w:sz w:val="20"/>
          <w:szCs w:val="20"/>
        </w:rPr>
        <w:t xml:space="preserve"> – </w:t>
      </w:r>
      <w:r w:rsidRPr="00292028">
        <w:rPr>
          <w:rFonts w:eastAsia="Arial" w:cs="Arial"/>
          <w:sz w:val="20"/>
          <w:szCs w:val="20"/>
        </w:rPr>
        <w:t>Total Metered Sales C</w:t>
      </w:r>
      <w:r>
        <w:rPr>
          <w:rFonts w:eastAsia="Arial" w:cs="Arial"/>
          <w:sz w:val="20"/>
          <w:szCs w:val="20"/>
        </w:rPr>
        <w:t>olumn</w:t>
      </w:r>
      <w:r w:rsidRPr="00292028">
        <w:rPr>
          <w:rFonts w:eastAsia="Arial" w:cs="Arial"/>
          <w:sz w:val="20"/>
          <w:szCs w:val="20"/>
        </w:rPr>
        <w:t xml:space="preserve"> (d) Average Number of Customers During the Year</w:t>
      </w:r>
    </w:p>
    <w:p w:rsidR="00AC40FC" w:rsidRPr="00435D18" w:rsidRDefault="00AC40FC" w:rsidP="005E47C4">
      <w:pPr>
        <w:pStyle w:val="Caption"/>
        <w:rPr>
          <w:rFonts w:cs="Arial"/>
          <w:b w:val="0"/>
          <w:szCs w:val="24"/>
        </w:rPr>
      </w:pPr>
      <w:bookmarkStart w:id="499" w:name="_Toc462648531"/>
      <w:bookmarkStart w:id="500" w:name="_Toc464553153"/>
      <w:r>
        <w:lastRenderedPageBreak/>
        <w:t xml:space="preserve">Exhibit </w:t>
      </w:r>
      <w:fldSimple w:instr=" STYLEREF 6 \s ">
        <w:r w:rsidR="00A24205">
          <w:rPr>
            <w:noProof/>
          </w:rPr>
          <w:t>C</w:t>
        </w:r>
      </w:fldSimple>
      <w:r>
        <w:noBreakHyphen/>
      </w:r>
      <w:fldSimple w:instr=" SEQ Exhibit_Apx \* ARABIC \s 6 ">
        <w:r w:rsidR="00A24205">
          <w:rPr>
            <w:noProof/>
          </w:rPr>
          <w:t>10</w:t>
        </w:r>
      </w:fldSimple>
      <w:r>
        <w:br/>
      </w:r>
      <w:r w:rsidRPr="005E47C4">
        <w:t>Total Distribution Plant Capital Additions Per Customer</w:t>
      </w:r>
      <w:bookmarkEnd w:id="499"/>
      <w:bookmarkEnd w:id="500"/>
    </w:p>
    <w:p w:rsidR="00AC40FC" w:rsidRDefault="00AC40FC" w:rsidP="00A51C66">
      <w:pPr>
        <w:jc w:val="center"/>
      </w:pPr>
      <w:r w:rsidRPr="00292028">
        <w:rPr>
          <w:noProof/>
        </w:rPr>
        <w:drawing>
          <wp:inline distT="0" distB="0" distL="0" distR="0">
            <wp:extent cx="5715000" cy="6858000"/>
            <wp:effectExtent l="0" t="0" r="0" b="0"/>
            <wp:docPr id="131" name="Chart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AC40FC" w:rsidRDefault="00AC40FC" w:rsidP="00BB665B">
      <w:pPr>
        <w:widowControl w:val="0"/>
        <w:spacing w:after="0" w:line="254" w:lineRule="auto"/>
        <w:ind w:left="861" w:right="1080" w:hanging="759"/>
        <w:rPr>
          <w:rFonts w:eastAsia="Arial" w:cs="Arial"/>
          <w:sz w:val="20"/>
          <w:szCs w:val="20"/>
        </w:rPr>
      </w:pPr>
      <w:r w:rsidRPr="00292028">
        <w:rPr>
          <w:rFonts w:eastAsia="Arial" w:cs="Arial"/>
          <w:sz w:val="20"/>
          <w:szCs w:val="20"/>
        </w:rPr>
        <w:t xml:space="preserve">SOURCE DATA: PA PUC ANNUAL REPORT </w:t>
      </w:r>
    </w:p>
    <w:p w:rsidR="00AC40FC" w:rsidRPr="00292028" w:rsidRDefault="00AC40FC" w:rsidP="00BB665B">
      <w:pPr>
        <w:widowControl w:val="0"/>
        <w:spacing w:after="0" w:line="254" w:lineRule="auto"/>
        <w:ind w:left="810" w:right="1080"/>
        <w:rPr>
          <w:rFonts w:eastAsia="Arial" w:cs="Arial"/>
          <w:sz w:val="20"/>
          <w:szCs w:val="20"/>
        </w:rPr>
      </w:pPr>
      <w:r w:rsidRPr="00292028">
        <w:rPr>
          <w:rFonts w:eastAsia="Arial" w:cs="Arial"/>
          <w:sz w:val="20"/>
          <w:szCs w:val="20"/>
        </w:rPr>
        <w:t>SCHEDULE 205</w:t>
      </w:r>
      <w:r>
        <w:rPr>
          <w:rFonts w:eastAsia="Arial" w:cs="Arial"/>
          <w:sz w:val="20"/>
          <w:szCs w:val="20"/>
        </w:rPr>
        <w:t>:</w:t>
      </w:r>
      <w:r w:rsidRPr="00292028">
        <w:rPr>
          <w:rFonts w:eastAsia="Arial" w:cs="Arial"/>
          <w:sz w:val="20"/>
          <w:szCs w:val="20"/>
        </w:rPr>
        <w:t xml:space="preserve"> UTILITY PLANT IN SERVICE</w:t>
      </w:r>
      <w:r>
        <w:rPr>
          <w:rFonts w:eastAsia="Arial" w:cs="Arial"/>
          <w:sz w:val="20"/>
          <w:szCs w:val="20"/>
        </w:rPr>
        <w:t xml:space="preserve"> – </w:t>
      </w:r>
      <w:r w:rsidRPr="00292028">
        <w:rPr>
          <w:rFonts w:eastAsia="Arial" w:cs="Arial"/>
          <w:sz w:val="20"/>
          <w:szCs w:val="20"/>
        </w:rPr>
        <w:t>Total Distribution Plant</w:t>
      </w:r>
      <w:r>
        <w:rPr>
          <w:rFonts w:eastAsia="Arial" w:cs="Arial"/>
          <w:sz w:val="20"/>
          <w:szCs w:val="20"/>
        </w:rPr>
        <w:t>,</w:t>
      </w:r>
      <w:r w:rsidRPr="00292028">
        <w:rPr>
          <w:rFonts w:eastAsia="Arial" w:cs="Arial"/>
          <w:sz w:val="20"/>
          <w:szCs w:val="20"/>
        </w:rPr>
        <w:t xml:space="preserve"> A</w:t>
      </w:r>
      <w:r>
        <w:rPr>
          <w:rFonts w:eastAsia="Arial" w:cs="Arial"/>
          <w:sz w:val="20"/>
          <w:szCs w:val="20"/>
        </w:rPr>
        <w:t>ccounts</w:t>
      </w:r>
      <w:r w:rsidRPr="00292028">
        <w:rPr>
          <w:rFonts w:eastAsia="Arial" w:cs="Arial"/>
          <w:sz w:val="20"/>
          <w:szCs w:val="20"/>
        </w:rPr>
        <w:t xml:space="preserve"> 360-373 (Column C-Additions)</w:t>
      </w:r>
      <w:r>
        <w:rPr>
          <w:rFonts w:eastAsia="Arial" w:cs="Arial"/>
          <w:sz w:val="20"/>
          <w:szCs w:val="20"/>
        </w:rPr>
        <w:t>,</w:t>
      </w:r>
      <w:r w:rsidRPr="00292028">
        <w:rPr>
          <w:rFonts w:eastAsia="Arial" w:cs="Arial"/>
          <w:sz w:val="20"/>
          <w:szCs w:val="20"/>
        </w:rPr>
        <w:t xml:space="preserve"> Divided by SCHEDULE 600</w:t>
      </w:r>
      <w:r>
        <w:rPr>
          <w:rFonts w:eastAsia="Arial" w:cs="Arial"/>
          <w:sz w:val="20"/>
          <w:szCs w:val="20"/>
        </w:rPr>
        <w:t>:</w:t>
      </w:r>
      <w:r w:rsidRPr="00292028">
        <w:rPr>
          <w:rFonts w:eastAsia="Arial" w:cs="Arial"/>
          <w:sz w:val="20"/>
          <w:szCs w:val="20"/>
        </w:rPr>
        <w:t xml:space="preserve"> CLASSIFICATION OF CUSTOMERS</w:t>
      </w:r>
      <w:r>
        <w:rPr>
          <w:rFonts w:eastAsia="Arial" w:cs="Arial"/>
          <w:sz w:val="20"/>
          <w:szCs w:val="20"/>
        </w:rPr>
        <w:t xml:space="preserve"> – </w:t>
      </w:r>
      <w:r w:rsidRPr="00292028">
        <w:rPr>
          <w:rFonts w:eastAsia="Arial" w:cs="Arial"/>
          <w:sz w:val="20"/>
          <w:szCs w:val="20"/>
        </w:rPr>
        <w:t>Total Metered Sales C</w:t>
      </w:r>
      <w:r>
        <w:rPr>
          <w:rFonts w:eastAsia="Arial" w:cs="Arial"/>
          <w:sz w:val="20"/>
          <w:szCs w:val="20"/>
        </w:rPr>
        <w:t>olumn</w:t>
      </w:r>
      <w:r w:rsidRPr="00292028">
        <w:rPr>
          <w:rFonts w:eastAsia="Arial" w:cs="Arial"/>
          <w:sz w:val="20"/>
          <w:szCs w:val="20"/>
        </w:rPr>
        <w:t xml:space="preserve"> (d) Average Number of Customers During the Year</w:t>
      </w:r>
    </w:p>
    <w:p w:rsidR="00AC40FC" w:rsidRDefault="00AC40FC" w:rsidP="005E47C4">
      <w:pPr>
        <w:pStyle w:val="Caption"/>
      </w:pPr>
      <w:bookmarkStart w:id="501" w:name="_Toc462648532"/>
      <w:bookmarkStart w:id="502" w:name="_Toc464553154"/>
      <w:r>
        <w:lastRenderedPageBreak/>
        <w:t xml:space="preserve">Exhibit </w:t>
      </w:r>
      <w:fldSimple w:instr=" STYLEREF 6 \s ">
        <w:r w:rsidR="00A24205">
          <w:rPr>
            <w:noProof/>
          </w:rPr>
          <w:t>C</w:t>
        </w:r>
      </w:fldSimple>
      <w:r>
        <w:noBreakHyphen/>
      </w:r>
      <w:fldSimple w:instr=" SEQ Exhibit_Apx \* ARABIC \s 6 ">
        <w:r w:rsidR="00A24205">
          <w:rPr>
            <w:noProof/>
          </w:rPr>
          <w:t>11</w:t>
        </w:r>
      </w:fldSimple>
      <w:r>
        <w:br/>
      </w:r>
      <w:r w:rsidRPr="005E47C4">
        <w:t>Net Plant in Service to Gross Plant in Service Ratio</w:t>
      </w:r>
      <w:bookmarkEnd w:id="501"/>
      <w:bookmarkEnd w:id="502"/>
    </w:p>
    <w:p w:rsidR="00AC40FC" w:rsidRDefault="00AC40FC" w:rsidP="00A51C66">
      <w:pPr>
        <w:jc w:val="center"/>
      </w:pPr>
      <w:r w:rsidRPr="00292028">
        <w:rPr>
          <w:noProof/>
        </w:rPr>
        <w:drawing>
          <wp:inline distT="0" distB="0" distL="0" distR="0">
            <wp:extent cx="5906475" cy="7172325"/>
            <wp:effectExtent l="0" t="0" r="0" b="0"/>
            <wp:docPr id="132" name="Chart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AC40FC" w:rsidRPr="00292028" w:rsidRDefault="00AC40FC" w:rsidP="00A51C66">
      <w:pPr>
        <w:widowControl w:val="0"/>
        <w:spacing w:before="116" w:after="0"/>
        <w:ind w:left="103" w:right="3549"/>
        <w:rPr>
          <w:rFonts w:eastAsia="Arial" w:cs="Arial"/>
          <w:sz w:val="20"/>
          <w:szCs w:val="20"/>
        </w:rPr>
      </w:pPr>
      <w:r w:rsidRPr="00292028">
        <w:rPr>
          <w:rFonts w:eastAsia="Arial" w:cs="Arial"/>
          <w:sz w:val="20"/>
          <w:szCs w:val="20"/>
        </w:rPr>
        <w:t>SOURCE DATA: PA PUC ANNUAL REPORT</w:t>
      </w:r>
    </w:p>
    <w:p w:rsidR="00AC40FC" w:rsidRPr="00292028" w:rsidRDefault="00AC40FC" w:rsidP="00BB665B">
      <w:pPr>
        <w:widowControl w:val="0"/>
        <w:spacing w:before="15" w:after="0" w:line="254" w:lineRule="auto"/>
        <w:ind w:left="806" w:right="1080"/>
        <w:rPr>
          <w:rFonts w:eastAsia="Arial" w:cs="Arial"/>
          <w:sz w:val="20"/>
          <w:szCs w:val="20"/>
        </w:rPr>
      </w:pPr>
      <w:r>
        <w:rPr>
          <w:rFonts w:eastAsia="Arial" w:cs="Arial"/>
          <w:sz w:val="20"/>
          <w:szCs w:val="20"/>
        </w:rPr>
        <w:t xml:space="preserve">SCHEDULE </w:t>
      </w:r>
      <w:r w:rsidRPr="00292028">
        <w:rPr>
          <w:rFonts w:eastAsia="Arial" w:cs="Arial"/>
          <w:sz w:val="20"/>
          <w:szCs w:val="20"/>
        </w:rPr>
        <w:t>200</w:t>
      </w:r>
      <w:r>
        <w:rPr>
          <w:rFonts w:eastAsia="Arial" w:cs="Arial"/>
          <w:sz w:val="20"/>
          <w:szCs w:val="20"/>
        </w:rPr>
        <w:t>:</w:t>
      </w:r>
      <w:r w:rsidRPr="00292028">
        <w:rPr>
          <w:rFonts w:eastAsia="Arial" w:cs="Arial"/>
          <w:sz w:val="20"/>
          <w:szCs w:val="20"/>
        </w:rPr>
        <w:t xml:space="preserve"> COMPARATIVE BALANCE SHEET</w:t>
      </w:r>
      <w:r>
        <w:rPr>
          <w:rFonts w:eastAsia="Arial" w:cs="Arial"/>
          <w:sz w:val="20"/>
          <w:szCs w:val="20"/>
        </w:rPr>
        <w:t xml:space="preserve"> – </w:t>
      </w:r>
      <w:r w:rsidRPr="00292028">
        <w:rPr>
          <w:rFonts w:eastAsia="Arial" w:cs="Arial"/>
          <w:sz w:val="20"/>
          <w:szCs w:val="20"/>
        </w:rPr>
        <w:t>ASSETS AND OTHER DEBITS NET PLANT IN SERVICE</w:t>
      </w:r>
      <w:r>
        <w:rPr>
          <w:rFonts w:eastAsia="Arial" w:cs="Arial"/>
          <w:sz w:val="20"/>
          <w:szCs w:val="20"/>
        </w:rPr>
        <w:t>,</w:t>
      </w:r>
      <w:r w:rsidRPr="00292028">
        <w:rPr>
          <w:rFonts w:eastAsia="Arial" w:cs="Arial"/>
          <w:sz w:val="20"/>
          <w:szCs w:val="20"/>
        </w:rPr>
        <w:t xml:space="preserve"> A</w:t>
      </w:r>
      <w:r>
        <w:rPr>
          <w:rFonts w:eastAsia="Arial" w:cs="Arial"/>
          <w:sz w:val="20"/>
          <w:szCs w:val="20"/>
        </w:rPr>
        <w:t>ccounts</w:t>
      </w:r>
      <w:r w:rsidRPr="00292028">
        <w:rPr>
          <w:rFonts w:eastAsia="Arial" w:cs="Arial"/>
          <w:sz w:val="20"/>
          <w:szCs w:val="20"/>
        </w:rPr>
        <w:t xml:space="preserve"> 101.0 - 111.0</w:t>
      </w:r>
      <w:r>
        <w:rPr>
          <w:rFonts w:eastAsia="Arial" w:cs="Arial"/>
          <w:sz w:val="20"/>
          <w:szCs w:val="20"/>
        </w:rPr>
        <w:t xml:space="preserve">, </w:t>
      </w:r>
      <w:r w:rsidRPr="00292028">
        <w:rPr>
          <w:rFonts w:eastAsia="Arial" w:cs="Arial"/>
          <w:sz w:val="20"/>
          <w:szCs w:val="20"/>
        </w:rPr>
        <w:t>Divided by</w:t>
      </w:r>
      <w:r>
        <w:rPr>
          <w:rFonts w:eastAsia="Arial" w:cs="Arial"/>
          <w:sz w:val="20"/>
          <w:szCs w:val="20"/>
        </w:rPr>
        <w:t xml:space="preserve"> </w:t>
      </w:r>
      <w:r w:rsidRPr="00292028">
        <w:rPr>
          <w:rFonts w:eastAsia="Arial" w:cs="Arial"/>
          <w:sz w:val="20"/>
          <w:szCs w:val="20"/>
        </w:rPr>
        <w:t>GROSS PLANT IN SERVICE</w:t>
      </w:r>
      <w:r>
        <w:rPr>
          <w:rFonts w:eastAsia="Arial" w:cs="Arial"/>
          <w:sz w:val="20"/>
          <w:szCs w:val="20"/>
        </w:rPr>
        <w:t>,</w:t>
      </w:r>
      <w:r w:rsidRPr="00292028">
        <w:rPr>
          <w:rFonts w:eastAsia="Arial" w:cs="Arial"/>
          <w:sz w:val="20"/>
          <w:szCs w:val="20"/>
        </w:rPr>
        <w:t xml:space="preserve"> A</w:t>
      </w:r>
      <w:r>
        <w:rPr>
          <w:rFonts w:eastAsia="Arial" w:cs="Arial"/>
          <w:sz w:val="20"/>
          <w:szCs w:val="20"/>
        </w:rPr>
        <w:t>ccounts</w:t>
      </w:r>
      <w:r w:rsidRPr="00292028">
        <w:rPr>
          <w:rFonts w:eastAsia="Arial" w:cs="Arial"/>
          <w:sz w:val="20"/>
          <w:szCs w:val="20"/>
        </w:rPr>
        <w:t xml:space="preserve"> 101.0 - 107.0</w:t>
      </w:r>
    </w:p>
    <w:p w:rsidR="00AC40FC" w:rsidRDefault="00AC40FC" w:rsidP="005E47C4">
      <w:pPr>
        <w:pStyle w:val="Caption"/>
      </w:pPr>
      <w:bookmarkStart w:id="503" w:name="_Toc462648533"/>
      <w:bookmarkStart w:id="504" w:name="_Toc464553155"/>
      <w:r>
        <w:lastRenderedPageBreak/>
        <w:t xml:space="preserve">Exhibit </w:t>
      </w:r>
      <w:fldSimple w:instr=" STYLEREF 6 \s ">
        <w:r w:rsidR="00A24205">
          <w:rPr>
            <w:noProof/>
          </w:rPr>
          <w:t>C</w:t>
        </w:r>
      </w:fldSimple>
      <w:r>
        <w:noBreakHyphen/>
      </w:r>
      <w:fldSimple w:instr=" SEQ Exhibit_Apx \* ARABIC \s 6 ">
        <w:r w:rsidR="00A24205">
          <w:rPr>
            <w:noProof/>
          </w:rPr>
          <w:t>12</w:t>
        </w:r>
      </w:fldSimple>
      <w:r>
        <w:br/>
      </w:r>
      <w:r w:rsidRPr="005E47C4">
        <w:t xml:space="preserve">Total Transmission </w:t>
      </w:r>
      <w:r w:rsidR="00B7713A">
        <w:t>Operation &amp; Maintenance Expense</w:t>
      </w:r>
      <w:r w:rsidRPr="005E47C4">
        <w:br/>
        <w:t>as a Percentage of Transmission Plant in Service</w:t>
      </w:r>
      <w:bookmarkEnd w:id="503"/>
      <w:bookmarkEnd w:id="504"/>
    </w:p>
    <w:p w:rsidR="00AC40FC" w:rsidRDefault="00AC40FC" w:rsidP="00A51C66">
      <w:pPr>
        <w:jc w:val="center"/>
      </w:pPr>
      <w:r w:rsidRPr="00144D39">
        <w:rPr>
          <w:noProof/>
        </w:rPr>
        <w:drawing>
          <wp:inline distT="0" distB="0" distL="0" distR="0">
            <wp:extent cx="5802313" cy="6962775"/>
            <wp:effectExtent l="0" t="0" r="0" b="0"/>
            <wp:docPr id="133" name="Chart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AC40FC" w:rsidRPr="00144D39" w:rsidRDefault="00AC40FC" w:rsidP="00A51C66">
      <w:pPr>
        <w:widowControl w:val="0"/>
        <w:spacing w:after="0"/>
        <w:ind w:left="103" w:right="3549"/>
        <w:rPr>
          <w:rFonts w:eastAsia="Arial" w:cs="Arial"/>
          <w:sz w:val="20"/>
          <w:szCs w:val="20"/>
        </w:rPr>
      </w:pPr>
      <w:r w:rsidRPr="00144D39">
        <w:rPr>
          <w:rFonts w:eastAsia="Arial" w:cs="Arial"/>
          <w:sz w:val="20"/>
          <w:szCs w:val="20"/>
        </w:rPr>
        <w:t>SOURCE DATA: PA PUC ANNUAL REPORT</w:t>
      </w:r>
    </w:p>
    <w:p w:rsidR="00AC40FC" w:rsidRPr="00144D39" w:rsidRDefault="00AC40FC" w:rsidP="00BB665B">
      <w:pPr>
        <w:widowControl w:val="0"/>
        <w:spacing w:before="15" w:after="0"/>
        <w:ind w:left="861" w:right="1080"/>
        <w:rPr>
          <w:rFonts w:eastAsia="Arial" w:cs="Arial"/>
          <w:sz w:val="20"/>
          <w:szCs w:val="20"/>
        </w:rPr>
      </w:pPr>
      <w:r w:rsidRPr="00144D39">
        <w:rPr>
          <w:rFonts w:eastAsia="Arial" w:cs="Arial"/>
          <w:sz w:val="20"/>
          <w:szCs w:val="20"/>
        </w:rPr>
        <w:t>SCHEDULE 405</w:t>
      </w:r>
      <w:r>
        <w:rPr>
          <w:rFonts w:eastAsia="Arial" w:cs="Arial"/>
          <w:sz w:val="20"/>
          <w:szCs w:val="20"/>
        </w:rPr>
        <w:t>:</w:t>
      </w:r>
      <w:r w:rsidRPr="00144D39">
        <w:rPr>
          <w:rFonts w:eastAsia="Arial" w:cs="Arial"/>
          <w:sz w:val="20"/>
          <w:szCs w:val="20"/>
        </w:rPr>
        <w:t xml:space="preserve"> OPERATION AND MAINTENANCE EXPENSES</w:t>
      </w:r>
      <w:r>
        <w:rPr>
          <w:rFonts w:eastAsia="Arial" w:cs="Arial"/>
          <w:sz w:val="20"/>
          <w:szCs w:val="20"/>
        </w:rPr>
        <w:t xml:space="preserve"> – </w:t>
      </w:r>
      <w:r w:rsidRPr="00144D39">
        <w:rPr>
          <w:rFonts w:eastAsia="Arial" w:cs="Arial"/>
          <w:sz w:val="20"/>
          <w:szCs w:val="20"/>
        </w:rPr>
        <w:t>TOTAL TRANSMISSION OPERATION AND MAINTENANCE EXPENSES</w:t>
      </w:r>
      <w:r>
        <w:rPr>
          <w:rFonts w:eastAsia="Arial" w:cs="Arial"/>
          <w:sz w:val="20"/>
          <w:szCs w:val="20"/>
        </w:rPr>
        <w:t>,</w:t>
      </w:r>
      <w:r w:rsidRPr="00144D39">
        <w:rPr>
          <w:rFonts w:eastAsia="Arial" w:cs="Arial"/>
          <w:sz w:val="20"/>
          <w:szCs w:val="20"/>
        </w:rPr>
        <w:t xml:space="preserve"> A</w:t>
      </w:r>
      <w:r>
        <w:rPr>
          <w:rFonts w:eastAsia="Arial" w:cs="Arial"/>
          <w:sz w:val="20"/>
          <w:szCs w:val="20"/>
        </w:rPr>
        <w:t>ccounts</w:t>
      </w:r>
      <w:r w:rsidRPr="00144D39">
        <w:rPr>
          <w:rFonts w:eastAsia="Arial" w:cs="Arial"/>
          <w:sz w:val="20"/>
          <w:szCs w:val="20"/>
        </w:rPr>
        <w:t xml:space="preserve"> 560-574</w:t>
      </w:r>
      <w:r>
        <w:rPr>
          <w:rFonts w:eastAsia="Arial" w:cs="Arial"/>
          <w:sz w:val="20"/>
          <w:szCs w:val="20"/>
        </w:rPr>
        <w:t>,</w:t>
      </w:r>
      <w:r w:rsidRPr="00144D39">
        <w:rPr>
          <w:rFonts w:eastAsia="Arial" w:cs="Arial"/>
          <w:sz w:val="20"/>
          <w:szCs w:val="20"/>
        </w:rPr>
        <w:t xml:space="preserve"> Divided by SCHEDULE 205</w:t>
      </w:r>
      <w:r>
        <w:rPr>
          <w:rFonts w:eastAsia="Arial" w:cs="Arial"/>
          <w:sz w:val="20"/>
          <w:szCs w:val="20"/>
        </w:rPr>
        <w:t>:</w:t>
      </w:r>
      <w:r w:rsidRPr="00144D39">
        <w:rPr>
          <w:rFonts w:eastAsia="Arial" w:cs="Arial"/>
          <w:sz w:val="20"/>
          <w:szCs w:val="20"/>
        </w:rPr>
        <w:t xml:space="preserve"> UTILITY PLANT IN SERVICE</w:t>
      </w:r>
      <w:r>
        <w:rPr>
          <w:rFonts w:eastAsia="Arial" w:cs="Arial"/>
          <w:sz w:val="20"/>
          <w:szCs w:val="20"/>
        </w:rPr>
        <w:t xml:space="preserve"> – </w:t>
      </w:r>
      <w:r w:rsidRPr="00144D39">
        <w:rPr>
          <w:rFonts w:eastAsia="Arial" w:cs="Arial"/>
          <w:sz w:val="20"/>
          <w:szCs w:val="20"/>
        </w:rPr>
        <w:t>Total Transmission Plant</w:t>
      </w:r>
      <w:r>
        <w:rPr>
          <w:rFonts w:eastAsia="Arial" w:cs="Arial"/>
          <w:sz w:val="20"/>
          <w:szCs w:val="20"/>
        </w:rPr>
        <w:t>,</w:t>
      </w:r>
      <w:r w:rsidRPr="00144D39">
        <w:rPr>
          <w:rFonts w:eastAsia="Arial" w:cs="Arial"/>
          <w:sz w:val="20"/>
          <w:szCs w:val="20"/>
        </w:rPr>
        <w:t xml:space="preserve"> A</w:t>
      </w:r>
      <w:r>
        <w:rPr>
          <w:rFonts w:eastAsia="Arial" w:cs="Arial"/>
          <w:sz w:val="20"/>
          <w:szCs w:val="20"/>
        </w:rPr>
        <w:t>ccounts</w:t>
      </w:r>
      <w:r w:rsidRPr="00144D39">
        <w:rPr>
          <w:rFonts w:eastAsia="Arial" w:cs="Arial"/>
          <w:sz w:val="20"/>
          <w:szCs w:val="20"/>
        </w:rPr>
        <w:t xml:space="preserve"> 350-359.1</w:t>
      </w:r>
    </w:p>
    <w:p w:rsidR="00AC40FC" w:rsidRDefault="00AC40FC" w:rsidP="005E47C4">
      <w:pPr>
        <w:pStyle w:val="Caption"/>
      </w:pPr>
      <w:bookmarkStart w:id="505" w:name="_Toc462648534"/>
      <w:bookmarkStart w:id="506" w:name="_Toc464553156"/>
      <w:r>
        <w:lastRenderedPageBreak/>
        <w:t xml:space="preserve">Exhibit </w:t>
      </w:r>
      <w:fldSimple w:instr=" STYLEREF 6 \s ">
        <w:r w:rsidR="00A24205">
          <w:rPr>
            <w:noProof/>
          </w:rPr>
          <w:t>C</w:t>
        </w:r>
      </w:fldSimple>
      <w:r>
        <w:noBreakHyphen/>
      </w:r>
      <w:fldSimple w:instr=" SEQ Exhibit_Apx \* ARABIC \s 6 ">
        <w:r w:rsidR="00A24205">
          <w:rPr>
            <w:noProof/>
          </w:rPr>
          <w:t>13</w:t>
        </w:r>
      </w:fldSimple>
      <w:r>
        <w:br/>
      </w:r>
      <w:r w:rsidRPr="005E47C4">
        <w:t>Total Distribution Operation &amp; Maintenance Expense</w:t>
      </w:r>
      <w:r w:rsidRPr="005E47C4">
        <w:br/>
        <w:t>as a Percentage of Distribution Plant in Service</w:t>
      </w:r>
      <w:bookmarkEnd w:id="505"/>
      <w:bookmarkEnd w:id="506"/>
    </w:p>
    <w:p w:rsidR="00AC40FC" w:rsidRDefault="00AC40FC" w:rsidP="00A51C66">
      <w:pPr>
        <w:jc w:val="center"/>
      </w:pPr>
      <w:r w:rsidRPr="00185E43">
        <w:rPr>
          <w:noProof/>
        </w:rPr>
        <w:drawing>
          <wp:inline distT="0" distB="0" distL="0" distR="0">
            <wp:extent cx="5857875" cy="7029450"/>
            <wp:effectExtent l="0" t="0" r="9525" b="0"/>
            <wp:docPr id="134" name="Chart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AC40FC" w:rsidRPr="00144D39" w:rsidRDefault="00AC40FC" w:rsidP="00A51C66">
      <w:pPr>
        <w:widowControl w:val="0"/>
        <w:spacing w:before="74" w:after="0"/>
        <w:ind w:left="103" w:right="3549"/>
        <w:rPr>
          <w:rFonts w:eastAsia="Arial" w:cs="Arial"/>
          <w:sz w:val="20"/>
          <w:szCs w:val="20"/>
        </w:rPr>
      </w:pPr>
      <w:r w:rsidRPr="00144D39">
        <w:rPr>
          <w:rFonts w:eastAsia="Arial" w:cs="Arial"/>
          <w:sz w:val="20"/>
          <w:szCs w:val="20"/>
        </w:rPr>
        <w:t>SOURCE DATA: PA PUC ANNUAL REPORT</w:t>
      </w:r>
    </w:p>
    <w:p w:rsidR="00AC40FC" w:rsidRPr="00144D39" w:rsidRDefault="00AC40FC" w:rsidP="00BB665B">
      <w:pPr>
        <w:widowControl w:val="0"/>
        <w:spacing w:before="15" w:after="0"/>
        <w:ind w:left="861" w:right="1080"/>
        <w:rPr>
          <w:rFonts w:eastAsia="Arial" w:cs="Arial"/>
          <w:sz w:val="20"/>
          <w:szCs w:val="20"/>
        </w:rPr>
      </w:pPr>
      <w:r w:rsidRPr="00144D39">
        <w:rPr>
          <w:rFonts w:eastAsia="Arial" w:cs="Arial"/>
          <w:sz w:val="20"/>
          <w:szCs w:val="20"/>
        </w:rPr>
        <w:t>SCHEDULE 405</w:t>
      </w:r>
      <w:r>
        <w:rPr>
          <w:rFonts w:eastAsia="Arial" w:cs="Arial"/>
          <w:sz w:val="20"/>
          <w:szCs w:val="20"/>
        </w:rPr>
        <w:t>:</w:t>
      </w:r>
      <w:r w:rsidRPr="00144D39">
        <w:rPr>
          <w:rFonts w:eastAsia="Arial" w:cs="Arial"/>
          <w:sz w:val="20"/>
          <w:szCs w:val="20"/>
        </w:rPr>
        <w:t xml:space="preserve"> OPERATION AND MAINTENANCE EXPENSES</w:t>
      </w:r>
      <w:r>
        <w:rPr>
          <w:rFonts w:eastAsia="Arial" w:cs="Arial"/>
          <w:sz w:val="20"/>
          <w:szCs w:val="20"/>
        </w:rPr>
        <w:t xml:space="preserve"> – </w:t>
      </w:r>
      <w:r w:rsidRPr="00144D39">
        <w:rPr>
          <w:rFonts w:eastAsia="Arial" w:cs="Arial"/>
          <w:sz w:val="20"/>
          <w:szCs w:val="20"/>
        </w:rPr>
        <w:t>TOTAL DISTRIBUTION OPERATION AND MAINTENANCE EXPENSES</w:t>
      </w:r>
      <w:r>
        <w:rPr>
          <w:rFonts w:eastAsia="Arial" w:cs="Arial"/>
          <w:sz w:val="20"/>
          <w:szCs w:val="20"/>
        </w:rPr>
        <w:t>,</w:t>
      </w:r>
      <w:r w:rsidRPr="00144D39">
        <w:rPr>
          <w:rFonts w:eastAsia="Arial" w:cs="Arial"/>
          <w:sz w:val="20"/>
          <w:szCs w:val="20"/>
        </w:rPr>
        <w:t xml:space="preserve"> A</w:t>
      </w:r>
      <w:r>
        <w:rPr>
          <w:rFonts w:eastAsia="Arial" w:cs="Arial"/>
          <w:sz w:val="20"/>
          <w:szCs w:val="20"/>
        </w:rPr>
        <w:t>ccounts</w:t>
      </w:r>
      <w:r w:rsidRPr="00144D39">
        <w:rPr>
          <w:rFonts w:eastAsia="Arial" w:cs="Arial"/>
          <w:sz w:val="20"/>
          <w:szCs w:val="20"/>
        </w:rPr>
        <w:t xml:space="preserve"> 575-598</w:t>
      </w:r>
      <w:r>
        <w:rPr>
          <w:rFonts w:eastAsia="Arial" w:cs="Arial"/>
          <w:sz w:val="20"/>
          <w:szCs w:val="20"/>
        </w:rPr>
        <w:t>,</w:t>
      </w:r>
      <w:r w:rsidRPr="00144D39">
        <w:rPr>
          <w:rFonts w:eastAsia="Arial" w:cs="Arial"/>
          <w:sz w:val="20"/>
          <w:szCs w:val="20"/>
        </w:rPr>
        <w:t xml:space="preserve"> Divided by SCHEDULE 205</w:t>
      </w:r>
      <w:r>
        <w:rPr>
          <w:rFonts w:eastAsia="Arial" w:cs="Arial"/>
          <w:sz w:val="20"/>
          <w:szCs w:val="20"/>
        </w:rPr>
        <w:t>:</w:t>
      </w:r>
      <w:r w:rsidRPr="00144D39">
        <w:rPr>
          <w:rFonts w:eastAsia="Arial" w:cs="Arial"/>
          <w:sz w:val="20"/>
          <w:szCs w:val="20"/>
        </w:rPr>
        <w:t xml:space="preserve"> UTILITY PLANT IN SERVICE</w:t>
      </w:r>
      <w:r>
        <w:rPr>
          <w:rFonts w:eastAsia="Arial" w:cs="Arial"/>
          <w:sz w:val="20"/>
          <w:szCs w:val="20"/>
        </w:rPr>
        <w:t xml:space="preserve"> – </w:t>
      </w:r>
      <w:r w:rsidRPr="00144D39">
        <w:rPr>
          <w:rFonts w:eastAsia="Arial" w:cs="Arial"/>
          <w:sz w:val="20"/>
          <w:szCs w:val="20"/>
        </w:rPr>
        <w:t>Total Distribution Plant</w:t>
      </w:r>
      <w:r>
        <w:rPr>
          <w:rFonts w:eastAsia="Arial" w:cs="Arial"/>
          <w:sz w:val="20"/>
          <w:szCs w:val="20"/>
        </w:rPr>
        <w:t>,</w:t>
      </w:r>
      <w:r w:rsidRPr="00144D39">
        <w:rPr>
          <w:rFonts w:eastAsia="Arial" w:cs="Arial"/>
          <w:sz w:val="20"/>
          <w:szCs w:val="20"/>
        </w:rPr>
        <w:t xml:space="preserve"> A</w:t>
      </w:r>
      <w:r>
        <w:rPr>
          <w:rFonts w:eastAsia="Arial" w:cs="Arial"/>
          <w:sz w:val="20"/>
          <w:szCs w:val="20"/>
        </w:rPr>
        <w:t>ccounts</w:t>
      </w:r>
      <w:r w:rsidRPr="00144D39">
        <w:rPr>
          <w:rFonts w:eastAsia="Arial" w:cs="Arial"/>
          <w:sz w:val="20"/>
          <w:szCs w:val="20"/>
        </w:rPr>
        <w:t xml:space="preserve"> 360-373</w:t>
      </w:r>
    </w:p>
    <w:p w:rsidR="00AC40FC" w:rsidRDefault="00AC40FC" w:rsidP="005E47C4">
      <w:pPr>
        <w:pStyle w:val="Caption"/>
      </w:pPr>
      <w:bookmarkStart w:id="507" w:name="_Toc462648535"/>
      <w:bookmarkStart w:id="508" w:name="_Toc464553157"/>
      <w:r>
        <w:lastRenderedPageBreak/>
        <w:t xml:space="preserve">Exhibit </w:t>
      </w:r>
      <w:fldSimple w:instr=" STYLEREF 6 \s ">
        <w:r w:rsidR="00A24205">
          <w:rPr>
            <w:noProof/>
          </w:rPr>
          <w:t>C</w:t>
        </w:r>
      </w:fldSimple>
      <w:r>
        <w:noBreakHyphen/>
      </w:r>
      <w:fldSimple w:instr=" SEQ Exhibit_Apx \* ARABIC \s 6 ">
        <w:r w:rsidR="00A24205">
          <w:rPr>
            <w:noProof/>
          </w:rPr>
          <w:t>14</w:t>
        </w:r>
      </w:fldSimple>
      <w:r>
        <w:br/>
      </w:r>
      <w:r w:rsidRPr="005E47C4">
        <w:t xml:space="preserve">Total Transmission &amp; Distribution Operation &amp; Maintenance Expense as a </w:t>
      </w:r>
      <w:r w:rsidRPr="005E47C4">
        <w:br/>
        <w:t>Percentage of Total Transmission &amp; Distribution Plant in Service</w:t>
      </w:r>
      <w:bookmarkEnd w:id="507"/>
      <w:bookmarkEnd w:id="508"/>
    </w:p>
    <w:p w:rsidR="00AC40FC" w:rsidRDefault="00AC40FC" w:rsidP="00A51C66">
      <w:pPr>
        <w:jc w:val="center"/>
      </w:pPr>
      <w:r w:rsidRPr="002A75EF">
        <w:rPr>
          <w:noProof/>
        </w:rPr>
        <w:drawing>
          <wp:inline distT="0" distB="0" distL="0" distR="0">
            <wp:extent cx="5743575" cy="6892290"/>
            <wp:effectExtent l="0" t="0" r="9525" b="3810"/>
            <wp:docPr id="135" name="Chart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AC40FC" w:rsidRPr="00144D39" w:rsidRDefault="00AC40FC" w:rsidP="00A51C66">
      <w:pPr>
        <w:widowControl w:val="0"/>
        <w:spacing w:before="74" w:after="0"/>
        <w:ind w:left="103" w:right="3549"/>
        <w:rPr>
          <w:rFonts w:eastAsia="Arial" w:cs="Arial"/>
          <w:sz w:val="20"/>
          <w:szCs w:val="20"/>
        </w:rPr>
      </w:pPr>
      <w:r w:rsidRPr="00144D39">
        <w:rPr>
          <w:rFonts w:eastAsia="Arial" w:cs="Arial"/>
          <w:sz w:val="20"/>
          <w:szCs w:val="20"/>
        </w:rPr>
        <w:t>SOURCE DATA: PA PUC ANNUAL REPORT</w:t>
      </w:r>
    </w:p>
    <w:p w:rsidR="00AC40FC" w:rsidRDefault="00AC40FC" w:rsidP="00BB665B">
      <w:pPr>
        <w:widowControl w:val="0"/>
        <w:spacing w:before="15" w:after="0" w:line="254" w:lineRule="auto"/>
        <w:ind w:left="810" w:right="1080"/>
        <w:rPr>
          <w:rFonts w:eastAsia="Arial" w:cs="Arial"/>
          <w:sz w:val="20"/>
          <w:szCs w:val="20"/>
        </w:rPr>
        <w:sectPr w:rsidR="00AC40FC" w:rsidSect="00A51C66">
          <w:headerReference w:type="default" r:id="rId109"/>
          <w:footerReference w:type="default" r:id="rId110"/>
          <w:pgSz w:w="12240" w:h="15840"/>
          <w:pgMar w:top="720" w:right="720" w:bottom="720" w:left="720" w:header="720" w:footer="576" w:gutter="0"/>
          <w:cols w:space="720"/>
          <w:docGrid w:linePitch="360"/>
        </w:sectPr>
      </w:pPr>
      <w:r w:rsidRPr="00144D39">
        <w:rPr>
          <w:rFonts w:eastAsia="Arial" w:cs="Arial"/>
          <w:sz w:val="20"/>
          <w:szCs w:val="20"/>
        </w:rPr>
        <w:t>SCHEDULE 405</w:t>
      </w:r>
      <w:r>
        <w:rPr>
          <w:rFonts w:eastAsia="Arial" w:cs="Arial"/>
          <w:sz w:val="20"/>
          <w:szCs w:val="20"/>
        </w:rPr>
        <w:t>:</w:t>
      </w:r>
      <w:r w:rsidRPr="00144D39">
        <w:rPr>
          <w:rFonts w:eastAsia="Arial" w:cs="Arial"/>
          <w:sz w:val="20"/>
          <w:szCs w:val="20"/>
        </w:rPr>
        <w:t xml:space="preserve"> OPERATION AND MAINTENANCE EXPENSES</w:t>
      </w:r>
      <w:r>
        <w:rPr>
          <w:rFonts w:eastAsia="Arial" w:cs="Arial"/>
          <w:sz w:val="20"/>
          <w:szCs w:val="20"/>
        </w:rPr>
        <w:t xml:space="preserve"> – </w:t>
      </w:r>
      <w:r w:rsidRPr="00144D39">
        <w:rPr>
          <w:rFonts w:eastAsia="Arial" w:cs="Arial"/>
          <w:sz w:val="20"/>
          <w:szCs w:val="20"/>
        </w:rPr>
        <w:t>S</w:t>
      </w:r>
      <w:r>
        <w:rPr>
          <w:rFonts w:eastAsia="Arial" w:cs="Arial"/>
          <w:sz w:val="20"/>
          <w:szCs w:val="20"/>
        </w:rPr>
        <w:t>um of,</w:t>
      </w:r>
      <w:r w:rsidRPr="00144D39">
        <w:rPr>
          <w:rFonts w:eastAsia="Arial" w:cs="Arial"/>
          <w:sz w:val="20"/>
          <w:szCs w:val="20"/>
        </w:rPr>
        <w:t xml:space="preserve"> TOTAL TRANSMISSION O&amp;M EXP</w:t>
      </w:r>
      <w:r>
        <w:rPr>
          <w:rFonts w:eastAsia="Arial" w:cs="Arial"/>
          <w:sz w:val="20"/>
          <w:szCs w:val="20"/>
        </w:rPr>
        <w:t>ENSE,</w:t>
      </w:r>
      <w:r w:rsidRPr="00144D39">
        <w:rPr>
          <w:rFonts w:eastAsia="Arial" w:cs="Arial"/>
          <w:sz w:val="20"/>
          <w:szCs w:val="20"/>
        </w:rPr>
        <w:t xml:space="preserve"> A</w:t>
      </w:r>
      <w:r>
        <w:rPr>
          <w:rFonts w:eastAsia="Arial" w:cs="Arial"/>
          <w:sz w:val="20"/>
          <w:szCs w:val="20"/>
        </w:rPr>
        <w:t>ccounts</w:t>
      </w:r>
      <w:r w:rsidRPr="00144D39">
        <w:rPr>
          <w:rFonts w:eastAsia="Arial" w:cs="Arial"/>
          <w:sz w:val="20"/>
          <w:szCs w:val="20"/>
        </w:rPr>
        <w:t xml:space="preserve"> 560-574</w:t>
      </w:r>
      <w:r>
        <w:rPr>
          <w:rFonts w:eastAsia="Arial" w:cs="Arial"/>
          <w:sz w:val="20"/>
          <w:szCs w:val="20"/>
        </w:rPr>
        <w:t>,</w:t>
      </w:r>
      <w:r w:rsidRPr="00144D39">
        <w:rPr>
          <w:rFonts w:eastAsia="Arial" w:cs="Arial"/>
          <w:sz w:val="20"/>
          <w:szCs w:val="20"/>
        </w:rPr>
        <w:t xml:space="preserve"> + TOTAL DISTRIBUTION O&amp;M EXP</w:t>
      </w:r>
      <w:r>
        <w:rPr>
          <w:rFonts w:eastAsia="Arial" w:cs="Arial"/>
          <w:sz w:val="20"/>
          <w:szCs w:val="20"/>
        </w:rPr>
        <w:t>ENSE,</w:t>
      </w:r>
      <w:r w:rsidRPr="00144D39">
        <w:rPr>
          <w:rFonts w:eastAsia="Arial" w:cs="Arial"/>
          <w:sz w:val="20"/>
          <w:szCs w:val="20"/>
        </w:rPr>
        <w:t xml:space="preserve"> A</w:t>
      </w:r>
      <w:r>
        <w:rPr>
          <w:rFonts w:eastAsia="Arial" w:cs="Arial"/>
          <w:sz w:val="20"/>
          <w:szCs w:val="20"/>
        </w:rPr>
        <w:t>ccounts</w:t>
      </w:r>
      <w:r w:rsidRPr="00144D39">
        <w:rPr>
          <w:rFonts w:eastAsia="Arial" w:cs="Arial"/>
          <w:sz w:val="20"/>
          <w:szCs w:val="20"/>
        </w:rPr>
        <w:t xml:space="preserve"> 575-598</w:t>
      </w:r>
      <w:r>
        <w:rPr>
          <w:rFonts w:eastAsia="Arial" w:cs="Arial"/>
          <w:sz w:val="20"/>
          <w:szCs w:val="20"/>
        </w:rPr>
        <w:t xml:space="preserve">, </w:t>
      </w:r>
      <w:r w:rsidRPr="00144D39">
        <w:rPr>
          <w:rFonts w:eastAsia="Arial" w:cs="Arial"/>
          <w:sz w:val="20"/>
          <w:szCs w:val="20"/>
        </w:rPr>
        <w:t>Divided by SCHEDULE 205</w:t>
      </w:r>
      <w:r>
        <w:rPr>
          <w:rFonts w:eastAsia="Arial" w:cs="Arial"/>
          <w:sz w:val="20"/>
          <w:szCs w:val="20"/>
        </w:rPr>
        <w:t>:</w:t>
      </w:r>
      <w:r w:rsidRPr="00144D39">
        <w:rPr>
          <w:rFonts w:eastAsia="Arial" w:cs="Arial"/>
          <w:sz w:val="20"/>
          <w:szCs w:val="20"/>
        </w:rPr>
        <w:t xml:space="preserve"> UTILITY PLANT IN SERVICE</w:t>
      </w:r>
      <w:r>
        <w:rPr>
          <w:rFonts w:eastAsia="Arial" w:cs="Arial"/>
          <w:sz w:val="20"/>
          <w:szCs w:val="20"/>
        </w:rPr>
        <w:t xml:space="preserve"> – Sum of,</w:t>
      </w:r>
      <w:r w:rsidRPr="00144D39">
        <w:rPr>
          <w:rFonts w:eastAsia="Arial" w:cs="Arial"/>
          <w:sz w:val="20"/>
          <w:szCs w:val="20"/>
        </w:rPr>
        <w:t xml:space="preserve"> Total Transmission Plant</w:t>
      </w:r>
      <w:r>
        <w:rPr>
          <w:rFonts w:eastAsia="Arial" w:cs="Arial"/>
          <w:sz w:val="20"/>
          <w:szCs w:val="20"/>
        </w:rPr>
        <w:t>,</w:t>
      </w:r>
      <w:r w:rsidRPr="00144D39">
        <w:rPr>
          <w:rFonts w:eastAsia="Arial" w:cs="Arial"/>
          <w:sz w:val="20"/>
          <w:szCs w:val="20"/>
        </w:rPr>
        <w:t xml:space="preserve"> A</w:t>
      </w:r>
      <w:r>
        <w:rPr>
          <w:rFonts w:eastAsia="Arial" w:cs="Arial"/>
          <w:sz w:val="20"/>
          <w:szCs w:val="20"/>
        </w:rPr>
        <w:t>ccounts</w:t>
      </w:r>
      <w:r w:rsidRPr="00144D39">
        <w:rPr>
          <w:rFonts w:eastAsia="Arial" w:cs="Arial"/>
          <w:sz w:val="20"/>
          <w:szCs w:val="20"/>
        </w:rPr>
        <w:t xml:space="preserve"> 350-359.1</w:t>
      </w:r>
      <w:r>
        <w:rPr>
          <w:rFonts w:eastAsia="Arial" w:cs="Arial"/>
          <w:sz w:val="20"/>
          <w:szCs w:val="20"/>
        </w:rPr>
        <w:t>,</w:t>
      </w:r>
      <w:r w:rsidRPr="00144D39">
        <w:rPr>
          <w:rFonts w:eastAsia="Arial" w:cs="Arial"/>
          <w:sz w:val="20"/>
          <w:szCs w:val="20"/>
        </w:rPr>
        <w:t xml:space="preserve"> + Total Distribution Plant</w:t>
      </w:r>
      <w:r>
        <w:rPr>
          <w:rFonts w:eastAsia="Arial" w:cs="Arial"/>
          <w:sz w:val="20"/>
          <w:szCs w:val="20"/>
        </w:rPr>
        <w:t>,</w:t>
      </w:r>
      <w:r w:rsidRPr="00144D39">
        <w:rPr>
          <w:rFonts w:eastAsia="Arial" w:cs="Arial"/>
          <w:sz w:val="20"/>
          <w:szCs w:val="20"/>
        </w:rPr>
        <w:t xml:space="preserve"> A</w:t>
      </w:r>
      <w:r>
        <w:rPr>
          <w:rFonts w:eastAsia="Arial" w:cs="Arial"/>
          <w:sz w:val="20"/>
          <w:szCs w:val="20"/>
        </w:rPr>
        <w:t>ccounts</w:t>
      </w:r>
      <w:r w:rsidRPr="00144D39">
        <w:rPr>
          <w:rFonts w:eastAsia="Arial" w:cs="Arial"/>
          <w:sz w:val="20"/>
          <w:szCs w:val="20"/>
        </w:rPr>
        <w:t xml:space="preserve"> 360-374</w:t>
      </w:r>
    </w:p>
    <w:p w:rsidR="00AC40FC" w:rsidRPr="00332771" w:rsidRDefault="00AC40FC" w:rsidP="0095125D">
      <w:pPr>
        <w:pStyle w:val="Heading6"/>
      </w:pPr>
      <w:bookmarkStart w:id="509" w:name="_Toc461088615"/>
      <w:bookmarkStart w:id="510" w:name="_Toc464486126"/>
      <w:r>
        <w:lastRenderedPageBreak/>
        <w:t>PPL Electric utilities CORPORATION</w:t>
      </w:r>
      <w:r>
        <w:br/>
        <w:t>comparative customer service performance metrics</w:t>
      </w:r>
      <w:r>
        <w:br/>
        <w:t>for the pennsylvania panel 2010</w:t>
      </w:r>
      <w:r>
        <w:rPr>
          <w:rFonts w:hint="eastAsia"/>
        </w:rPr>
        <w:t>–</w:t>
      </w:r>
      <w:r>
        <w:rPr>
          <w:rFonts w:hint="eastAsia"/>
        </w:rPr>
        <w:t>2014</w:t>
      </w:r>
      <w:bookmarkEnd w:id="509"/>
      <w:bookmarkEnd w:id="510"/>
    </w:p>
    <w:p w:rsidR="00AC40FC" w:rsidRPr="00144D39" w:rsidRDefault="00AC40FC" w:rsidP="005E47C4">
      <w:pPr>
        <w:pStyle w:val="Caption"/>
        <w:rPr>
          <w:rFonts w:cs="Arial"/>
          <w:b w:val="0"/>
          <w:szCs w:val="24"/>
        </w:rPr>
      </w:pPr>
      <w:bookmarkStart w:id="511" w:name="_Toc462648536"/>
      <w:bookmarkStart w:id="512" w:name="_Toc464553158"/>
      <w:r>
        <w:t xml:space="preserve">Exhibit </w:t>
      </w:r>
      <w:fldSimple w:instr=" STYLEREF 6 \s ">
        <w:r w:rsidR="00A24205">
          <w:rPr>
            <w:noProof/>
          </w:rPr>
          <w:t>D</w:t>
        </w:r>
      </w:fldSimple>
      <w:r>
        <w:noBreakHyphen/>
      </w:r>
      <w:fldSimple w:instr=" SEQ Exhibit_Apx \* ARABIC \s 6 ">
        <w:r w:rsidR="00A24205">
          <w:rPr>
            <w:noProof/>
          </w:rPr>
          <w:t>1</w:t>
        </w:r>
      </w:fldSimple>
      <w:r>
        <w:br/>
      </w:r>
      <w:r w:rsidRPr="005E47C4">
        <w:t>EDCs Percent of Calls Answered within 30 Seconds *</w:t>
      </w:r>
      <w:bookmarkEnd w:id="511"/>
      <w:bookmarkEnd w:id="512"/>
    </w:p>
    <w:p w:rsidR="00AC40FC" w:rsidRDefault="00AC40FC" w:rsidP="00A51C66">
      <w:pPr>
        <w:jc w:val="center"/>
      </w:pPr>
      <w:r w:rsidRPr="00144D39">
        <w:rPr>
          <w:noProof/>
        </w:rPr>
        <w:drawing>
          <wp:inline distT="0" distB="0" distL="0" distR="0">
            <wp:extent cx="5819775" cy="5981700"/>
            <wp:effectExtent l="0" t="0" r="9525" b="0"/>
            <wp:docPr id="136" name="Chart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AC40FC" w:rsidRPr="00144D39" w:rsidRDefault="00AC40FC" w:rsidP="00A21EC8">
      <w:pPr>
        <w:widowControl w:val="0"/>
        <w:spacing w:before="74"/>
        <w:ind w:left="238"/>
        <w:rPr>
          <w:rFonts w:eastAsia="Arial" w:cs="Arial"/>
          <w:sz w:val="20"/>
          <w:szCs w:val="20"/>
        </w:rPr>
      </w:pPr>
      <w:r w:rsidRPr="00144D39">
        <w:rPr>
          <w:rFonts w:eastAsia="Arial" w:cs="Arial"/>
          <w:sz w:val="20"/>
          <w:szCs w:val="20"/>
        </w:rPr>
        <w:t>SOURCE DATA: PA PUC ANNUAL CUTOMER SERVICE PERFORMANCE REPORTS 2010-2014</w:t>
      </w:r>
    </w:p>
    <w:p w:rsidR="00AC40FC" w:rsidRPr="00144D39" w:rsidRDefault="00AC40FC" w:rsidP="00A21EC8">
      <w:pPr>
        <w:widowControl w:val="0"/>
        <w:spacing w:before="15"/>
        <w:ind w:left="694"/>
        <w:rPr>
          <w:rFonts w:eastAsia="Arial" w:cs="Arial"/>
          <w:sz w:val="20"/>
          <w:szCs w:val="20"/>
        </w:rPr>
      </w:pPr>
      <w:r w:rsidRPr="00144D39">
        <w:rPr>
          <w:rFonts w:eastAsia="Arial" w:cs="Arial"/>
          <w:sz w:val="20"/>
          <w:szCs w:val="20"/>
        </w:rPr>
        <w:t>* 12-month average</w:t>
      </w:r>
    </w:p>
    <w:p w:rsidR="00AC40FC" w:rsidRPr="00144D39" w:rsidRDefault="00AC40FC" w:rsidP="00A21EC8">
      <w:pPr>
        <w:widowControl w:val="0"/>
        <w:spacing w:before="22" w:line="256" w:lineRule="auto"/>
        <w:ind w:left="694"/>
        <w:rPr>
          <w:rFonts w:eastAsia="Arial" w:cs="Arial"/>
          <w:sz w:val="20"/>
          <w:szCs w:val="20"/>
        </w:rPr>
      </w:pPr>
      <w:r w:rsidRPr="00144D39">
        <w:rPr>
          <w:rFonts w:eastAsia="Arial" w:cs="Arial"/>
          <w:sz w:val="20"/>
          <w:szCs w:val="20"/>
        </w:rPr>
        <w:t>**Although the four FirstEnergy companies use the same call centers, only Met-Ed, Penelec, and Penn Power are combined under FirstEnergy; due to the commitments made in the PA Merger Settlement Agreement, West Penn’s telephone access data is tracked and reported separately for this report.</w:t>
      </w:r>
    </w:p>
    <w:p w:rsidR="00AC40FC" w:rsidRPr="00144D39" w:rsidRDefault="00AC40FC" w:rsidP="00A51C66">
      <w:pPr>
        <w:widowControl w:val="0"/>
        <w:spacing w:before="8" w:after="0"/>
        <w:ind w:left="694"/>
        <w:rPr>
          <w:rFonts w:eastAsia="Arial" w:cs="Arial"/>
          <w:b/>
          <w:sz w:val="20"/>
        </w:rPr>
      </w:pPr>
      <w:r w:rsidRPr="00144D39">
        <w:rPr>
          <w:rFonts w:eastAsia="Arial" w:cs="Arial"/>
          <w:b/>
          <w:sz w:val="20"/>
        </w:rPr>
        <w:t>NOTE: Penn Power is not considered a member of the original panel for current statistical purposes.</w:t>
      </w:r>
    </w:p>
    <w:p w:rsidR="00AC40FC" w:rsidRPr="00144D39" w:rsidRDefault="00AC40FC" w:rsidP="005E47C4">
      <w:pPr>
        <w:pStyle w:val="Caption"/>
        <w:rPr>
          <w:rFonts w:cs="Arial"/>
          <w:b w:val="0"/>
          <w:szCs w:val="24"/>
        </w:rPr>
      </w:pPr>
      <w:bookmarkStart w:id="513" w:name="_Toc462648537"/>
      <w:bookmarkStart w:id="514" w:name="_Toc464553159"/>
      <w:r>
        <w:lastRenderedPageBreak/>
        <w:t xml:space="preserve">Exhibit </w:t>
      </w:r>
      <w:fldSimple w:instr=" STYLEREF 6 \s ">
        <w:r w:rsidR="00A24205">
          <w:rPr>
            <w:noProof/>
          </w:rPr>
          <w:t>D</w:t>
        </w:r>
      </w:fldSimple>
      <w:r>
        <w:noBreakHyphen/>
      </w:r>
      <w:fldSimple w:instr=" SEQ Exhibit_Apx \* ARABIC \s 6 ">
        <w:r w:rsidR="00A24205">
          <w:rPr>
            <w:noProof/>
          </w:rPr>
          <w:t>2</w:t>
        </w:r>
      </w:fldSimple>
      <w:r>
        <w:br/>
      </w:r>
      <w:r w:rsidRPr="005E47C4">
        <w:t>EDCs Call Abandonment Rate *</w:t>
      </w:r>
      <w:bookmarkEnd w:id="513"/>
      <w:bookmarkEnd w:id="514"/>
    </w:p>
    <w:p w:rsidR="00AC40FC" w:rsidRDefault="00AC40FC" w:rsidP="00A51C66">
      <w:pPr>
        <w:jc w:val="center"/>
      </w:pPr>
      <w:r w:rsidRPr="00144D39">
        <w:rPr>
          <w:noProof/>
        </w:rPr>
        <w:drawing>
          <wp:inline distT="0" distB="0" distL="0" distR="0">
            <wp:extent cx="5875171" cy="6715125"/>
            <wp:effectExtent l="0" t="0" r="11430" b="9525"/>
            <wp:docPr id="137" name="Chart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AC40FC" w:rsidRPr="00A51C66" w:rsidRDefault="00AC40FC" w:rsidP="00A51C66">
      <w:pPr>
        <w:pStyle w:val="BodyText"/>
        <w:spacing w:before="74"/>
        <w:ind w:left="258"/>
        <w:rPr>
          <w:sz w:val="20"/>
          <w:szCs w:val="20"/>
        </w:rPr>
      </w:pPr>
      <w:r w:rsidRPr="00A51C66">
        <w:rPr>
          <w:sz w:val="20"/>
          <w:szCs w:val="20"/>
        </w:rPr>
        <w:t>SOURCE DATA: PA PUC ANNUAL CUTOMER SERVICE PERFORMANCE REPORTS 2010-2014</w:t>
      </w:r>
    </w:p>
    <w:p w:rsidR="00AC40FC" w:rsidRPr="00A51C66" w:rsidRDefault="00AC40FC" w:rsidP="00A51C66">
      <w:pPr>
        <w:pStyle w:val="BodyText"/>
        <w:spacing w:before="15"/>
        <w:ind w:left="714"/>
        <w:rPr>
          <w:sz w:val="20"/>
          <w:szCs w:val="20"/>
        </w:rPr>
      </w:pPr>
      <w:r w:rsidRPr="00A51C66">
        <w:rPr>
          <w:sz w:val="20"/>
          <w:szCs w:val="20"/>
        </w:rPr>
        <w:t>* 12-month average</w:t>
      </w:r>
    </w:p>
    <w:p w:rsidR="00AC40FC" w:rsidRPr="00A51C66" w:rsidRDefault="00AC40FC" w:rsidP="00A51C66">
      <w:pPr>
        <w:pStyle w:val="BodyText"/>
        <w:spacing w:before="22" w:line="256" w:lineRule="auto"/>
        <w:ind w:left="714"/>
        <w:rPr>
          <w:sz w:val="20"/>
          <w:szCs w:val="20"/>
        </w:rPr>
      </w:pPr>
      <w:r w:rsidRPr="00A51C66">
        <w:rPr>
          <w:sz w:val="20"/>
          <w:szCs w:val="20"/>
        </w:rPr>
        <w:t>**Although the four FirstEnergy companies use the same call centers, only Met-Ed, Penelec, and Penn Power are combined under FirstEnergy; due to the commitments made in the PA Merger Settlement Agreement, West Penn’s telephone access data is tracked and reported separately for this report.</w:t>
      </w:r>
    </w:p>
    <w:p w:rsidR="00AC40FC" w:rsidRPr="00A51C66" w:rsidRDefault="00AC40FC" w:rsidP="00A51C66">
      <w:pPr>
        <w:spacing w:before="8"/>
        <w:ind w:left="714"/>
        <w:rPr>
          <w:b/>
          <w:sz w:val="20"/>
          <w:szCs w:val="20"/>
        </w:rPr>
      </w:pPr>
      <w:r w:rsidRPr="00A51C66">
        <w:rPr>
          <w:b/>
          <w:sz w:val="20"/>
          <w:szCs w:val="20"/>
        </w:rPr>
        <w:t>NOTE: Penn Power is not considered a member of the original panel for current statistical purposes.</w:t>
      </w:r>
    </w:p>
    <w:p w:rsidR="00AC40FC" w:rsidRPr="00144D39" w:rsidRDefault="00AC40FC" w:rsidP="005E47C4">
      <w:pPr>
        <w:pStyle w:val="Caption"/>
        <w:rPr>
          <w:rFonts w:cs="Arial"/>
          <w:b w:val="0"/>
          <w:szCs w:val="24"/>
        </w:rPr>
      </w:pPr>
      <w:bookmarkStart w:id="515" w:name="_Toc462648538"/>
      <w:bookmarkStart w:id="516" w:name="_Toc464553160"/>
      <w:r>
        <w:lastRenderedPageBreak/>
        <w:t xml:space="preserve">Exhibit </w:t>
      </w:r>
      <w:fldSimple w:instr=" STYLEREF 6 \s ">
        <w:r w:rsidR="00A24205">
          <w:rPr>
            <w:noProof/>
          </w:rPr>
          <w:t>D</w:t>
        </w:r>
      </w:fldSimple>
      <w:r>
        <w:noBreakHyphen/>
      </w:r>
      <w:fldSimple w:instr=" SEQ Exhibit_Apx \* ARABIC \s 6 ">
        <w:r w:rsidR="00A24205">
          <w:rPr>
            <w:noProof/>
          </w:rPr>
          <w:t>3</w:t>
        </w:r>
      </w:fldSimple>
      <w:r>
        <w:br/>
      </w:r>
      <w:r w:rsidRPr="005E47C4">
        <w:t>Percent of E</w:t>
      </w:r>
      <w:r w:rsidR="00B7713A">
        <w:t>DCs Residential Meters Not Read</w:t>
      </w:r>
      <w:r w:rsidRPr="005E47C4">
        <w:br/>
        <w:t>by Company or Customer in Six (6) Months *</w:t>
      </w:r>
      <w:bookmarkEnd w:id="515"/>
      <w:bookmarkEnd w:id="516"/>
    </w:p>
    <w:p w:rsidR="00AC40FC" w:rsidRDefault="00AC40FC" w:rsidP="00A51C66">
      <w:pPr>
        <w:jc w:val="center"/>
      </w:pPr>
      <w:r w:rsidRPr="00A407C8">
        <w:rPr>
          <w:noProof/>
        </w:rPr>
        <w:drawing>
          <wp:inline distT="0" distB="0" distL="0" distR="0">
            <wp:extent cx="5743575" cy="7026331"/>
            <wp:effectExtent l="0" t="0" r="9525" b="3175"/>
            <wp:docPr id="138" name="Chart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AC40FC" w:rsidRPr="00A51C66" w:rsidRDefault="00AC40FC">
      <w:pPr>
        <w:rPr>
          <w:sz w:val="20"/>
          <w:szCs w:val="20"/>
        </w:rPr>
      </w:pPr>
    </w:p>
    <w:p w:rsidR="00AC40FC" w:rsidRPr="00A51C66" w:rsidRDefault="00AC40FC" w:rsidP="00A51C66">
      <w:pPr>
        <w:pStyle w:val="BodyText"/>
        <w:spacing w:before="74"/>
        <w:ind w:left="258"/>
        <w:rPr>
          <w:sz w:val="20"/>
          <w:szCs w:val="20"/>
        </w:rPr>
      </w:pPr>
      <w:r w:rsidRPr="00A51C66">
        <w:rPr>
          <w:sz w:val="20"/>
          <w:szCs w:val="20"/>
        </w:rPr>
        <w:t>SOURCE DATA: PA PUC ANNUAL CUTOMER SERVICE PERFORMANCE REPORTS 2010-2014</w:t>
      </w:r>
    </w:p>
    <w:p w:rsidR="00AC40FC" w:rsidRPr="00A21EC8" w:rsidRDefault="00AC40FC" w:rsidP="00A21EC8">
      <w:pPr>
        <w:pStyle w:val="BodyText"/>
        <w:spacing w:before="15"/>
        <w:ind w:left="714"/>
        <w:rPr>
          <w:sz w:val="20"/>
          <w:szCs w:val="20"/>
        </w:rPr>
      </w:pPr>
      <w:r w:rsidRPr="00A51C66">
        <w:rPr>
          <w:sz w:val="20"/>
          <w:szCs w:val="20"/>
        </w:rPr>
        <w:t>* 12-month average</w:t>
      </w:r>
    </w:p>
    <w:p w:rsidR="00AC40FC" w:rsidRPr="005E47C4" w:rsidRDefault="00AC40FC" w:rsidP="005E47C4">
      <w:pPr>
        <w:pStyle w:val="Caption"/>
      </w:pPr>
      <w:bookmarkStart w:id="517" w:name="_Toc462648539"/>
      <w:bookmarkStart w:id="518" w:name="_Toc464553161"/>
      <w:r>
        <w:lastRenderedPageBreak/>
        <w:t xml:space="preserve">Exhibit </w:t>
      </w:r>
      <w:fldSimple w:instr=" STYLEREF 6 \s ">
        <w:r w:rsidR="00A24205">
          <w:rPr>
            <w:noProof/>
          </w:rPr>
          <w:t>D</w:t>
        </w:r>
      </w:fldSimple>
      <w:r>
        <w:noBreakHyphen/>
      </w:r>
      <w:fldSimple w:instr=" SEQ Exhibit_Apx \* ARABIC \s 6 ">
        <w:r w:rsidR="00A24205">
          <w:rPr>
            <w:noProof/>
          </w:rPr>
          <w:t>4</w:t>
        </w:r>
      </w:fldSimple>
      <w:r>
        <w:br/>
      </w:r>
      <w:r w:rsidRPr="005E47C4">
        <w:t>Residential Electric Gross Write-Offs Per Residential Electric Customer</w:t>
      </w:r>
      <w:bookmarkEnd w:id="517"/>
      <w:bookmarkEnd w:id="518"/>
    </w:p>
    <w:p w:rsidR="00AC40FC" w:rsidRDefault="00AC40FC" w:rsidP="00A51C66">
      <w:pPr>
        <w:jc w:val="center"/>
      </w:pPr>
      <w:r w:rsidRPr="00A407C8">
        <w:rPr>
          <w:noProof/>
        </w:rPr>
        <w:drawing>
          <wp:inline distT="0" distB="0" distL="0" distR="0">
            <wp:extent cx="5846100" cy="6448425"/>
            <wp:effectExtent l="0" t="0" r="0" b="0"/>
            <wp:docPr id="139" name="Chart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AC40FC" w:rsidRPr="00A407C8" w:rsidRDefault="00AC40FC">
      <w:pPr>
        <w:widowControl w:val="0"/>
        <w:spacing w:after="0" w:line="256" w:lineRule="auto"/>
        <w:ind w:left="103"/>
        <w:rPr>
          <w:rFonts w:eastAsia="Arial" w:cs="Arial"/>
          <w:sz w:val="20"/>
          <w:szCs w:val="20"/>
        </w:rPr>
      </w:pPr>
      <w:r w:rsidRPr="00A407C8">
        <w:rPr>
          <w:rFonts w:eastAsia="Arial" w:cs="Arial"/>
          <w:sz w:val="20"/>
          <w:szCs w:val="20"/>
        </w:rPr>
        <w:t>SOURCE DATA: PA PUC 2010-2014 Annual Report on Universal Service Programs</w:t>
      </w:r>
      <w:r>
        <w:rPr>
          <w:rFonts w:eastAsia="Arial" w:cs="Arial"/>
          <w:sz w:val="20"/>
          <w:szCs w:val="20"/>
        </w:rPr>
        <w:t xml:space="preserve"> (USP)</w:t>
      </w:r>
      <w:r w:rsidRPr="00A407C8">
        <w:rPr>
          <w:rFonts w:eastAsia="Arial" w:cs="Arial"/>
          <w:sz w:val="20"/>
          <w:szCs w:val="20"/>
        </w:rPr>
        <w:t xml:space="preserve"> </w:t>
      </w:r>
      <w:r>
        <w:rPr>
          <w:rFonts w:eastAsia="Arial" w:cs="Arial"/>
          <w:sz w:val="20"/>
          <w:szCs w:val="20"/>
        </w:rPr>
        <w:t>&amp;</w:t>
      </w:r>
      <w:r w:rsidRPr="00A407C8">
        <w:rPr>
          <w:rFonts w:eastAsia="Arial" w:cs="Arial"/>
          <w:sz w:val="20"/>
          <w:szCs w:val="20"/>
        </w:rPr>
        <w:t xml:space="preserve"> Collections Performance of the Pennsylvania Electric Distribution Companies (EDC) and Natural Gas Distribution Companies (NGDC)</w:t>
      </w:r>
      <w:r>
        <w:rPr>
          <w:rFonts w:eastAsia="Arial" w:cs="Arial"/>
          <w:sz w:val="20"/>
          <w:szCs w:val="20"/>
        </w:rPr>
        <w:t>; PA PUC Annual Reports for 2010-2014.</w:t>
      </w:r>
    </w:p>
    <w:p w:rsidR="00AC40FC" w:rsidRPr="00A407C8" w:rsidRDefault="00AC40FC" w:rsidP="00BB665B">
      <w:pPr>
        <w:widowControl w:val="0"/>
        <w:spacing w:before="18"/>
        <w:ind w:left="864"/>
        <w:rPr>
          <w:rFonts w:eastAsia="Arial" w:cs="Arial"/>
          <w:sz w:val="20"/>
          <w:szCs w:val="20"/>
        </w:rPr>
      </w:pPr>
      <w:r>
        <w:rPr>
          <w:rFonts w:eastAsia="Arial" w:cs="Arial"/>
          <w:sz w:val="20"/>
          <w:szCs w:val="20"/>
        </w:rPr>
        <w:t xml:space="preserve">PA PUC 2010-2014 Annual Report on USP and Collections Performance – </w:t>
      </w:r>
      <w:r w:rsidRPr="00A407C8">
        <w:rPr>
          <w:rFonts w:eastAsia="Arial" w:cs="Arial"/>
          <w:sz w:val="20"/>
          <w:szCs w:val="20"/>
        </w:rPr>
        <w:t>GROSS RESIDENTIAL EDC WRITE-OFFS IN DOLLARS FOR RESIDENTIAL ELECTRIC CUSTOMERS</w:t>
      </w:r>
      <w:r>
        <w:rPr>
          <w:rFonts w:eastAsia="Arial" w:cs="Arial"/>
          <w:sz w:val="20"/>
          <w:szCs w:val="20"/>
        </w:rPr>
        <w:t xml:space="preserve">, </w:t>
      </w:r>
      <w:r w:rsidRPr="00A407C8">
        <w:rPr>
          <w:rFonts w:eastAsia="Arial" w:cs="Arial"/>
          <w:sz w:val="20"/>
          <w:szCs w:val="20"/>
        </w:rPr>
        <w:t xml:space="preserve">Divided by PA PUC </w:t>
      </w:r>
      <w:r>
        <w:rPr>
          <w:rFonts w:eastAsia="Arial" w:cs="Arial"/>
          <w:sz w:val="20"/>
          <w:szCs w:val="20"/>
        </w:rPr>
        <w:t>Annual Reports for</w:t>
      </w:r>
      <w:r w:rsidRPr="00A407C8">
        <w:rPr>
          <w:rFonts w:eastAsia="Arial" w:cs="Arial"/>
          <w:sz w:val="20"/>
          <w:szCs w:val="20"/>
        </w:rPr>
        <w:t xml:space="preserve"> 2010-2014</w:t>
      </w:r>
      <w:r>
        <w:rPr>
          <w:rFonts w:eastAsia="Arial" w:cs="Arial"/>
          <w:sz w:val="20"/>
          <w:szCs w:val="20"/>
        </w:rPr>
        <w:t xml:space="preserve"> </w:t>
      </w:r>
      <w:r w:rsidRPr="00A407C8">
        <w:rPr>
          <w:rFonts w:eastAsia="Arial" w:cs="Arial"/>
          <w:sz w:val="20"/>
          <w:szCs w:val="20"/>
        </w:rPr>
        <w:t>SCHEDULE 600</w:t>
      </w:r>
      <w:r>
        <w:rPr>
          <w:rFonts w:eastAsia="Arial" w:cs="Arial"/>
          <w:sz w:val="20"/>
          <w:szCs w:val="20"/>
        </w:rPr>
        <w:t>:</w:t>
      </w:r>
      <w:r w:rsidRPr="00A407C8">
        <w:rPr>
          <w:rFonts w:eastAsia="Arial" w:cs="Arial"/>
          <w:sz w:val="20"/>
          <w:szCs w:val="20"/>
        </w:rPr>
        <w:t xml:space="preserve"> CLASSIFICATION OF CUSTOMERS, UNITS SOLD, AND OPERATING REVENUE</w:t>
      </w:r>
      <w:r>
        <w:rPr>
          <w:rFonts w:eastAsia="Arial" w:cs="Arial"/>
          <w:sz w:val="20"/>
          <w:szCs w:val="20"/>
        </w:rPr>
        <w:t xml:space="preserve"> – </w:t>
      </w:r>
      <w:r w:rsidRPr="00A407C8">
        <w:rPr>
          <w:rFonts w:eastAsia="Arial" w:cs="Arial"/>
          <w:sz w:val="20"/>
          <w:szCs w:val="20"/>
        </w:rPr>
        <w:t>Total Residential Metered Sales C</w:t>
      </w:r>
      <w:r>
        <w:rPr>
          <w:rFonts w:eastAsia="Arial" w:cs="Arial"/>
          <w:sz w:val="20"/>
          <w:szCs w:val="20"/>
        </w:rPr>
        <w:t>olumn</w:t>
      </w:r>
      <w:r w:rsidRPr="00A407C8">
        <w:rPr>
          <w:rFonts w:eastAsia="Arial" w:cs="Arial"/>
          <w:sz w:val="20"/>
          <w:szCs w:val="20"/>
        </w:rPr>
        <w:t xml:space="preserve"> (c) Number of Customers End of Year</w:t>
      </w:r>
    </w:p>
    <w:p w:rsidR="00AC40FC" w:rsidRPr="00A407C8" w:rsidRDefault="00AC40FC" w:rsidP="00BB665B">
      <w:pPr>
        <w:widowControl w:val="0"/>
        <w:spacing w:after="0"/>
        <w:ind w:left="900"/>
        <w:rPr>
          <w:rFonts w:eastAsia="Arial" w:cs="Arial"/>
          <w:sz w:val="20"/>
          <w:szCs w:val="20"/>
        </w:rPr>
      </w:pPr>
      <w:r w:rsidRPr="00A407C8">
        <w:rPr>
          <w:rFonts w:eastAsia="Arial" w:cs="Arial"/>
          <w:sz w:val="20"/>
          <w:szCs w:val="20"/>
        </w:rPr>
        <w:t>* - 2010 Universal Service Programs Annual Report data for West Penn Power was not available.</w:t>
      </w:r>
    </w:p>
    <w:p w:rsidR="00AC40FC" w:rsidRPr="00144D39" w:rsidRDefault="00AC40FC" w:rsidP="005E47C4">
      <w:pPr>
        <w:pStyle w:val="Caption"/>
        <w:rPr>
          <w:rFonts w:cs="Arial"/>
          <w:b w:val="0"/>
          <w:szCs w:val="24"/>
        </w:rPr>
      </w:pPr>
      <w:bookmarkStart w:id="519" w:name="_Toc462648540"/>
      <w:bookmarkStart w:id="520" w:name="_Toc464553162"/>
      <w:r>
        <w:lastRenderedPageBreak/>
        <w:t xml:space="preserve">Exhibit </w:t>
      </w:r>
      <w:fldSimple w:instr=" STYLEREF 6 \s ">
        <w:r w:rsidR="00A24205">
          <w:rPr>
            <w:noProof/>
          </w:rPr>
          <w:t>D</w:t>
        </w:r>
      </w:fldSimple>
      <w:r>
        <w:noBreakHyphen/>
      </w:r>
      <w:fldSimple w:instr=" SEQ Exhibit_Apx \* ARABIC \s 6 ">
        <w:r w:rsidR="00A24205">
          <w:rPr>
            <w:noProof/>
          </w:rPr>
          <w:t>5</w:t>
        </w:r>
      </w:fldSimple>
      <w:r>
        <w:br/>
      </w:r>
      <w:r w:rsidRPr="005E47C4">
        <w:t>Residential Electric G</w:t>
      </w:r>
      <w:r w:rsidR="00B7713A">
        <w:t>ross Write-Offs as a Percentage</w:t>
      </w:r>
      <w:r w:rsidRPr="005E47C4">
        <w:br/>
        <w:t>of Total Residential Operating Revenue</w:t>
      </w:r>
      <w:bookmarkEnd w:id="519"/>
      <w:bookmarkEnd w:id="520"/>
    </w:p>
    <w:p w:rsidR="00AC40FC" w:rsidRDefault="00AC40FC" w:rsidP="00A51C66">
      <w:pPr>
        <w:jc w:val="center"/>
      </w:pPr>
      <w:r w:rsidRPr="00A03021">
        <w:rPr>
          <w:noProof/>
        </w:rPr>
        <w:drawing>
          <wp:inline distT="0" distB="0" distL="0" distR="0">
            <wp:extent cx="5699250" cy="6286500"/>
            <wp:effectExtent l="0" t="0" r="0" b="0"/>
            <wp:docPr id="140" name="Chart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AC40FC" w:rsidRPr="00B80CCD" w:rsidRDefault="00AC40FC" w:rsidP="00A51C66">
      <w:pPr>
        <w:widowControl w:val="0"/>
        <w:spacing w:before="74" w:after="0" w:line="256" w:lineRule="auto"/>
        <w:ind w:left="103"/>
        <w:rPr>
          <w:rFonts w:eastAsia="Arial" w:cs="Arial"/>
          <w:sz w:val="20"/>
          <w:szCs w:val="20"/>
        </w:rPr>
      </w:pPr>
      <w:r w:rsidRPr="00B80CCD">
        <w:rPr>
          <w:rFonts w:eastAsia="Arial" w:cs="Arial"/>
          <w:sz w:val="20"/>
          <w:szCs w:val="20"/>
        </w:rPr>
        <w:t xml:space="preserve">SOURCE DATA: PA PUC 2010-2014 Annual Report on Universal Service Programs </w:t>
      </w:r>
      <w:r>
        <w:rPr>
          <w:rFonts w:eastAsia="Arial" w:cs="Arial"/>
          <w:sz w:val="20"/>
          <w:szCs w:val="20"/>
        </w:rPr>
        <w:t xml:space="preserve">(USP) </w:t>
      </w:r>
      <w:r w:rsidRPr="00B80CCD">
        <w:rPr>
          <w:rFonts w:eastAsia="Arial" w:cs="Arial"/>
          <w:sz w:val="20"/>
          <w:szCs w:val="20"/>
        </w:rPr>
        <w:t>&amp; Collections Performance of the Pennsylvania Electric Distribution Companies (EDC) &amp; Natural Gas Distribution Companies (NGDC)</w:t>
      </w:r>
      <w:r>
        <w:rPr>
          <w:rFonts w:eastAsia="Arial" w:cs="Arial"/>
          <w:sz w:val="20"/>
          <w:szCs w:val="20"/>
        </w:rPr>
        <w:t>; PA PUC Annual Reports for 2010-2014.</w:t>
      </w:r>
    </w:p>
    <w:p w:rsidR="00AC40FC" w:rsidRPr="00A51C66" w:rsidRDefault="00AC40FC" w:rsidP="00BB665B">
      <w:pPr>
        <w:widowControl w:val="0"/>
        <w:spacing w:before="25"/>
        <w:ind w:left="864"/>
        <w:rPr>
          <w:rFonts w:eastAsia="Arial" w:cs="Arial"/>
          <w:sz w:val="20"/>
          <w:szCs w:val="20"/>
        </w:rPr>
      </w:pPr>
      <w:r>
        <w:rPr>
          <w:rFonts w:eastAsia="Arial" w:cs="Arial"/>
          <w:sz w:val="20"/>
          <w:szCs w:val="20"/>
        </w:rPr>
        <w:t xml:space="preserve">PA PUC 2010-2014 Annual Report on USP &amp; Collections Performance – </w:t>
      </w:r>
      <w:r w:rsidRPr="00B80CCD">
        <w:rPr>
          <w:rFonts w:eastAsia="Arial" w:cs="Arial"/>
          <w:sz w:val="20"/>
          <w:szCs w:val="20"/>
        </w:rPr>
        <w:t>GROSS RESIDENTIAL EDC WRITE-OFFS IN DOLLARS FOR RESIDENTIAL ELECTRIC CUSTOMERS</w:t>
      </w:r>
      <w:r>
        <w:rPr>
          <w:rFonts w:eastAsia="Arial" w:cs="Arial"/>
          <w:sz w:val="20"/>
          <w:szCs w:val="20"/>
        </w:rPr>
        <w:t xml:space="preserve">, </w:t>
      </w:r>
      <w:r w:rsidRPr="00B80CCD">
        <w:rPr>
          <w:rFonts w:eastAsia="Arial" w:cs="Arial"/>
          <w:sz w:val="20"/>
          <w:szCs w:val="20"/>
        </w:rPr>
        <w:t>Divided b</w:t>
      </w:r>
      <w:r>
        <w:rPr>
          <w:rFonts w:eastAsia="Arial" w:cs="Arial"/>
          <w:sz w:val="20"/>
          <w:szCs w:val="20"/>
        </w:rPr>
        <w:t xml:space="preserve">y PA PUC Annual Reports for 2010-2014 </w:t>
      </w:r>
      <w:r w:rsidRPr="00B80CCD">
        <w:rPr>
          <w:rFonts w:eastAsia="Arial" w:cs="Arial"/>
          <w:sz w:val="20"/>
          <w:szCs w:val="20"/>
        </w:rPr>
        <w:t>SCHEDULE 600</w:t>
      </w:r>
      <w:r>
        <w:rPr>
          <w:rFonts w:eastAsia="Arial" w:cs="Arial"/>
          <w:sz w:val="20"/>
          <w:szCs w:val="20"/>
        </w:rPr>
        <w:t>:</w:t>
      </w:r>
      <w:r w:rsidRPr="00B80CCD">
        <w:rPr>
          <w:rFonts w:eastAsia="Arial" w:cs="Arial"/>
          <w:sz w:val="20"/>
          <w:szCs w:val="20"/>
        </w:rPr>
        <w:t xml:space="preserve"> CLASSIFICATION OF CUSTOMERS, UNITS SOLD &amp; OPERATING REVENUE</w:t>
      </w:r>
      <w:r>
        <w:rPr>
          <w:rFonts w:eastAsia="Arial" w:cs="Arial"/>
          <w:sz w:val="20"/>
          <w:szCs w:val="20"/>
        </w:rPr>
        <w:t xml:space="preserve"> – </w:t>
      </w:r>
      <w:r w:rsidRPr="00B80CCD">
        <w:rPr>
          <w:rFonts w:eastAsia="Arial" w:cs="Arial"/>
          <w:sz w:val="20"/>
          <w:szCs w:val="20"/>
        </w:rPr>
        <w:t>Total Residential Metered Sales C</w:t>
      </w:r>
      <w:r>
        <w:rPr>
          <w:rFonts w:eastAsia="Arial" w:cs="Arial"/>
          <w:sz w:val="20"/>
          <w:szCs w:val="20"/>
        </w:rPr>
        <w:t>olumn</w:t>
      </w:r>
      <w:r w:rsidRPr="00B80CCD">
        <w:rPr>
          <w:rFonts w:eastAsia="Arial" w:cs="Arial"/>
          <w:sz w:val="20"/>
          <w:szCs w:val="20"/>
        </w:rPr>
        <w:t xml:space="preserve"> (f) Total Operating Revenue</w:t>
      </w:r>
    </w:p>
    <w:p w:rsidR="00AC40FC" w:rsidRPr="00B80CCD" w:rsidRDefault="00AC40FC" w:rsidP="00BB665B">
      <w:pPr>
        <w:widowControl w:val="0"/>
        <w:spacing w:after="0"/>
        <w:ind w:left="900"/>
        <w:rPr>
          <w:rFonts w:eastAsia="Arial" w:cs="Arial"/>
          <w:sz w:val="20"/>
          <w:szCs w:val="20"/>
        </w:rPr>
      </w:pPr>
      <w:r w:rsidRPr="00B80CCD">
        <w:rPr>
          <w:rFonts w:eastAsia="Arial" w:cs="Arial"/>
          <w:sz w:val="20"/>
          <w:szCs w:val="20"/>
        </w:rPr>
        <w:t>* - 2010 Universal Service Programs Annual Report data for West Penn Power was not available.</w:t>
      </w:r>
    </w:p>
    <w:p w:rsidR="00F3143C" w:rsidRDefault="00F3143C" w:rsidP="00F3143C">
      <w:pPr>
        <w:spacing w:after="0"/>
      </w:pPr>
    </w:p>
    <w:sectPr w:rsidR="00F3143C" w:rsidSect="00A51C66">
      <w:footerReference w:type="default" r:id="rId116"/>
      <w:pgSz w:w="12240" w:h="15840"/>
      <w:pgMar w:top="720" w:right="720" w:bottom="720" w:left="720" w:header="720" w:footer="576"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40E0" w:rsidRDefault="005C40E0" w:rsidP="00B84010">
      <w:pPr>
        <w:spacing w:after="0"/>
      </w:pPr>
      <w:r>
        <w:separator/>
      </w:r>
    </w:p>
  </w:endnote>
  <w:endnote w:type="continuationSeparator" w:id="0">
    <w:p w:rsidR="005C40E0" w:rsidRDefault="005C40E0" w:rsidP="00B8401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YSFTE Z+ Delicious">
    <w:altName w:val="Delicious"/>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Rockwell">
    <w:altName w:val="UPCA b"/>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altName w:val="Times"/>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3584" w:rsidRDefault="00653584">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205" w:rsidRDefault="00A24205" w:rsidP="00991912">
    <w:pPr>
      <w:pStyle w:val="Footer"/>
      <w:pBdr>
        <w:top w:val="thinThickSmallGap" w:sz="24" w:space="0" w:color="A5CD7E"/>
      </w:pBdr>
      <w:rPr>
        <w:rFonts w:cs="Arial"/>
        <w:color w:val="000000"/>
        <w:sz w:val="20"/>
      </w:rPr>
    </w:pPr>
    <w:r>
      <w:rPr>
        <w:rFonts w:eastAsiaTheme="majorEastAsia" w:cs="Arial"/>
        <w:sz w:val="20"/>
      </w:rPr>
      <w:t xml:space="preserve">Vondle &amp; Associates, Inc. </w:t>
    </w:r>
    <w:r>
      <w:rPr>
        <w:rFonts w:cs="Arial"/>
        <w:color w:val="000000"/>
        <w:sz w:val="20"/>
      </w:rPr>
      <w:t xml:space="preserve">Stratified Management and Operations Audit of </w:t>
    </w:r>
  </w:p>
  <w:p w:rsidR="00A24205" w:rsidRDefault="00A24205" w:rsidP="00991912">
    <w:pPr>
      <w:pStyle w:val="Footer"/>
      <w:pBdr>
        <w:top w:val="thinThickSmallGap" w:sz="24" w:space="0" w:color="A5CD7E"/>
      </w:pBdr>
      <w:rPr>
        <w:rFonts w:eastAsiaTheme="majorEastAsia" w:cs="Arial"/>
        <w:sz w:val="20"/>
      </w:rPr>
    </w:pPr>
    <w:r>
      <w:rPr>
        <w:rFonts w:cs="Arial"/>
        <w:color w:val="000000"/>
        <w:sz w:val="20"/>
      </w:rPr>
      <w:t>PPL Electric Utilities Corporation for the Pennsylvania Public Utility Commission</w:t>
    </w:r>
  </w:p>
  <w:p w:rsidR="00A24205" w:rsidRPr="009B421B" w:rsidRDefault="00A24205" w:rsidP="00F3143C">
    <w:pPr>
      <w:pStyle w:val="Footer"/>
      <w:pBdr>
        <w:top w:val="thinThickSmallGap" w:sz="24" w:space="0" w:color="A5CD7E"/>
      </w:pBdr>
      <w:tabs>
        <w:tab w:val="left" w:pos="2190"/>
        <w:tab w:val="right" w:pos="12960"/>
      </w:tabs>
      <w:rPr>
        <w:rFonts w:eastAsiaTheme="majorEastAsia" w:cs="Arial"/>
        <w:sz w:val="20"/>
      </w:rPr>
    </w:pPr>
    <w:r>
      <w:rPr>
        <w:rFonts w:eastAsiaTheme="majorEastAsia" w:cs="Arial"/>
        <w:sz w:val="20"/>
      </w:rPr>
      <w:t>Chapter XIII. Executive Compensation</w:t>
    </w:r>
    <w:r>
      <w:rPr>
        <w:rFonts w:eastAsiaTheme="majorEastAsia" w:cs="Arial"/>
        <w:sz w:val="20"/>
      </w:rPr>
      <w:tab/>
    </w:r>
    <w:r>
      <w:rPr>
        <w:rFonts w:eastAsiaTheme="majorEastAsia" w:cs="Arial"/>
        <w:sz w:val="20"/>
      </w:rPr>
      <w:tab/>
    </w:r>
    <w:r>
      <w:rPr>
        <w:rFonts w:eastAsiaTheme="majorEastAsia" w:cs="Arial"/>
        <w:sz w:val="20"/>
      </w:rPr>
      <w:tab/>
    </w:r>
    <w:r w:rsidR="00AD5784" w:rsidRPr="001E3253">
      <w:rPr>
        <w:rFonts w:eastAsiaTheme="majorEastAsia" w:cs="Arial"/>
        <w:szCs w:val="24"/>
      </w:rPr>
      <w:fldChar w:fldCharType="begin"/>
    </w:r>
    <w:r w:rsidRPr="001E3253">
      <w:rPr>
        <w:rFonts w:eastAsiaTheme="majorEastAsia" w:cs="Arial"/>
        <w:szCs w:val="24"/>
      </w:rPr>
      <w:instrText xml:space="preserve"> PAGE   \* MERGEFORMAT </w:instrText>
    </w:r>
    <w:r w:rsidR="00AD5784" w:rsidRPr="001E3253">
      <w:rPr>
        <w:rFonts w:eastAsiaTheme="majorEastAsia" w:cs="Arial"/>
        <w:szCs w:val="24"/>
      </w:rPr>
      <w:fldChar w:fldCharType="separate"/>
    </w:r>
    <w:r w:rsidR="00DB0F63">
      <w:rPr>
        <w:rFonts w:eastAsiaTheme="majorEastAsia" w:cs="Arial"/>
        <w:noProof/>
        <w:szCs w:val="24"/>
      </w:rPr>
      <w:t>486</w:t>
    </w:r>
    <w:r w:rsidR="00AD5784" w:rsidRPr="001E3253">
      <w:rPr>
        <w:rFonts w:eastAsiaTheme="majorEastAsia" w:cs="Arial"/>
        <w:noProof/>
        <w:szCs w:val="24"/>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205" w:rsidRDefault="00A24205" w:rsidP="00E551B0">
    <w:pPr>
      <w:pStyle w:val="Footer"/>
      <w:pBdr>
        <w:top w:val="thinThickSmallGap" w:sz="24" w:space="0" w:color="A5CD7E"/>
      </w:pBdr>
      <w:rPr>
        <w:rFonts w:cs="Arial"/>
        <w:color w:val="000000"/>
        <w:sz w:val="20"/>
      </w:rPr>
    </w:pPr>
    <w:r>
      <w:rPr>
        <w:rFonts w:eastAsiaTheme="majorEastAsia" w:cs="Arial"/>
        <w:sz w:val="20"/>
      </w:rPr>
      <w:t xml:space="preserve">Vondle &amp; Associates, Inc. </w:t>
    </w:r>
    <w:r>
      <w:rPr>
        <w:rFonts w:cs="Arial"/>
        <w:color w:val="000000"/>
        <w:sz w:val="20"/>
      </w:rPr>
      <w:t xml:space="preserve">Stratified Management and Operations Audit of </w:t>
    </w:r>
  </w:p>
  <w:p w:rsidR="00A24205" w:rsidRDefault="00A24205" w:rsidP="00E551B0">
    <w:pPr>
      <w:pStyle w:val="Footer"/>
      <w:pBdr>
        <w:top w:val="thinThickSmallGap" w:sz="24" w:space="0" w:color="A5CD7E"/>
      </w:pBdr>
      <w:rPr>
        <w:rFonts w:eastAsiaTheme="majorEastAsia" w:cs="Arial"/>
        <w:sz w:val="20"/>
      </w:rPr>
    </w:pPr>
    <w:r>
      <w:rPr>
        <w:rFonts w:cs="Arial"/>
        <w:color w:val="000000"/>
        <w:sz w:val="20"/>
      </w:rPr>
      <w:t>PPL Electric Utilities Corporation for the Pennsylvania Public Utility Commission</w:t>
    </w:r>
  </w:p>
  <w:p w:rsidR="00A24205" w:rsidRPr="00E551B0" w:rsidRDefault="00A24205" w:rsidP="00E551B0">
    <w:pPr>
      <w:pStyle w:val="Footer"/>
      <w:pBdr>
        <w:top w:val="thinThickSmallGap" w:sz="24" w:space="0" w:color="A5CD7E"/>
      </w:pBdr>
      <w:tabs>
        <w:tab w:val="left" w:pos="2190"/>
        <w:tab w:val="right" w:pos="12960"/>
      </w:tabs>
      <w:rPr>
        <w:rFonts w:eastAsiaTheme="majorEastAsia" w:cs="Arial"/>
        <w:sz w:val="20"/>
      </w:rPr>
    </w:pPr>
    <w:r>
      <w:rPr>
        <w:rFonts w:eastAsiaTheme="majorEastAsia" w:cs="Arial"/>
        <w:sz w:val="20"/>
      </w:rPr>
      <w:t>Chapter XIII. Executive Compensation</w:t>
    </w:r>
    <w:r>
      <w:rPr>
        <w:rFonts w:eastAsiaTheme="majorEastAsia" w:cs="Arial"/>
        <w:sz w:val="20"/>
      </w:rPr>
      <w:tab/>
    </w:r>
    <w:r>
      <w:rPr>
        <w:rFonts w:eastAsiaTheme="majorEastAsia" w:cs="Arial"/>
        <w:sz w:val="20"/>
      </w:rPr>
      <w:tab/>
    </w:r>
    <w:r w:rsidR="00AD5784" w:rsidRPr="001E3253">
      <w:rPr>
        <w:rFonts w:eastAsiaTheme="majorEastAsia" w:cs="Arial"/>
        <w:szCs w:val="24"/>
      </w:rPr>
      <w:fldChar w:fldCharType="begin"/>
    </w:r>
    <w:r w:rsidRPr="001E3253">
      <w:rPr>
        <w:rFonts w:eastAsiaTheme="majorEastAsia" w:cs="Arial"/>
        <w:szCs w:val="24"/>
      </w:rPr>
      <w:instrText xml:space="preserve"> PAGE   \* MERGEFORMAT </w:instrText>
    </w:r>
    <w:r w:rsidR="00AD5784" w:rsidRPr="001E3253">
      <w:rPr>
        <w:rFonts w:eastAsiaTheme="majorEastAsia" w:cs="Arial"/>
        <w:szCs w:val="24"/>
      </w:rPr>
      <w:fldChar w:fldCharType="separate"/>
    </w:r>
    <w:r w:rsidR="00DB0F63">
      <w:rPr>
        <w:rFonts w:eastAsiaTheme="majorEastAsia" w:cs="Arial"/>
        <w:noProof/>
        <w:szCs w:val="24"/>
      </w:rPr>
      <w:t>498</w:t>
    </w:r>
    <w:r w:rsidR="00AD5784" w:rsidRPr="001E3253">
      <w:rPr>
        <w:rFonts w:eastAsiaTheme="majorEastAsia" w:cs="Arial"/>
        <w:noProof/>
        <w:szCs w:val="24"/>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205" w:rsidRDefault="00A24205" w:rsidP="00E551B0">
    <w:pPr>
      <w:pStyle w:val="Footer"/>
      <w:pBdr>
        <w:top w:val="thinThickSmallGap" w:sz="24" w:space="0" w:color="A5CD7E"/>
      </w:pBdr>
      <w:rPr>
        <w:rFonts w:cs="Arial"/>
        <w:color w:val="000000"/>
        <w:sz w:val="20"/>
      </w:rPr>
    </w:pPr>
    <w:r>
      <w:rPr>
        <w:rFonts w:eastAsiaTheme="majorEastAsia" w:cs="Arial"/>
        <w:sz w:val="20"/>
      </w:rPr>
      <w:t xml:space="preserve">Vondle &amp; Associates, Inc. </w:t>
    </w:r>
    <w:r>
      <w:rPr>
        <w:rFonts w:cs="Arial"/>
        <w:color w:val="000000"/>
        <w:sz w:val="20"/>
      </w:rPr>
      <w:t xml:space="preserve">Stratified Management and Operations Audit of </w:t>
    </w:r>
  </w:p>
  <w:p w:rsidR="00A24205" w:rsidRDefault="00A24205" w:rsidP="00E551B0">
    <w:pPr>
      <w:pStyle w:val="Footer"/>
      <w:pBdr>
        <w:top w:val="thinThickSmallGap" w:sz="24" w:space="0" w:color="A5CD7E"/>
      </w:pBdr>
      <w:rPr>
        <w:rFonts w:eastAsiaTheme="majorEastAsia" w:cs="Arial"/>
        <w:sz w:val="20"/>
      </w:rPr>
    </w:pPr>
    <w:r>
      <w:rPr>
        <w:rFonts w:cs="Arial"/>
        <w:color w:val="000000"/>
        <w:sz w:val="20"/>
      </w:rPr>
      <w:t>PPL Electric Utilities Corporation for the Pennsylvania Public Utility Commission</w:t>
    </w:r>
  </w:p>
  <w:p w:rsidR="00A24205" w:rsidRPr="00E551B0" w:rsidRDefault="00A24205" w:rsidP="00E551B0">
    <w:pPr>
      <w:pStyle w:val="Footer"/>
      <w:pBdr>
        <w:top w:val="thinThickSmallGap" w:sz="24" w:space="0" w:color="A5CD7E"/>
      </w:pBdr>
      <w:tabs>
        <w:tab w:val="left" w:pos="2190"/>
        <w:tab w:val="right" w:pos="13680"/>
      </w:tabs>
      <w:rPr>
        <w:rFonts w:eastAsiaTheme="majorEastAsia" w:cs="Arial"/>
        <w:sz w:val="20"/>
      </w:rPr>
    </w:pPr>
    <w:r>
      <w:rPr>
        <w:rFonts w:eastAsiaTheme="majorEastAsia" w:cs="Arial"/>
        <w:sz w:val="20"/>
      </w:rPr>
      <w:t>Chapter XIV. Diversity and Equal Employment Opportunity</w:t>
    </w:r>
    <w:r>
      <w:rPr>
        <w:rFonts w:eastAsiaTheme="majorEastAsia" w:cs="Arial"/>
        <w:sz w:val="20"/>
      </w:rPr>
      <w:tab/>
    </w:r>
    <w:r w:rsidR="00AD5784" w:rsidRPr="001E3253">
      <w:rPr>
        <w:rFonts w:eastAsiaTheme="majorEastAsia" w:cs="Arial"/>
        <w:szCs w:val="24"/>
      </w:rPr>
      <w:fldChar w:fldCharType="begin"/>
    </w:r>
    <w:r w:rsidRPr="001E3253">
      <w:rPr>
        <w:rFonts w:eastAsiaTheme="majorEastAsia" w:cs="Arial"/>
        <w:szCs w:val="24"/>
      </w:rPr>
      <w:instrText xml:space="preserve"> PAGE   \* MERGEFORMAT </w:instrText>
    </w:r>
    <w:r w:rsidR="00AD5784" w:rsidRPr="001E3253">
      <w:rPr>
        <w:rFonts w:eastAsiaTheme="majorEastAsia" w:cs="Arial"/>
        <w:szCs w:val="24"/>
      </w:rPr>
      <w:fldChar w:fldCharType="separate"/>
    </w:r>
    <w:r w:rsidR="00DB0F63">
      <w:rPr>
        <w:rFonts w:eastAsiaTheme="majorEastAsia" w:cs="Arial"/>
        <w:noProof/>
        <w:szCs w:val="24"/>
      </w:rPr>
      <w:t>505</w:t>
    </w:r>
    <w:r w:rsidR="00AD5784" w:rsidRPr="001E3253">
      <w:rPr>
        <w:rFonts w:eastAsiaTheme="majorEastAsia" w:cs="Arial"/>
        <w:noProof/>
        <w:szCs w:val="24"/>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205" w:rsidRDefault="00A24205" w:rsidP="00E551B0">
    <w:pPr>
      <w:pStyle w:val="Footer"/>
      <w:pBdr>
        <w:top w:val="thinThickSmallGap" w:sz="24" w:space="0" w:color="A5CD7E"/>
      </w:pBdr>
      <w:rPr>
        <w:rFonts w:cs="Arial"/>
        <w:color w:val="000000"/>
        <w:sz w:val="20"/>
      </w:rPr>
    </w:pPr>
    <w:r>
      <w:rPr>
        <w:rFonts w:eastAsiaTheme="majorEastAsia" w:cs="Arial"/>
        <w:sz w:val="20"/>
      </w:rPr>
      <w:t xml:space="preserve">Vondle &amp; Associates, Inc. </w:t>
    </w:r>
    <w:r>
      <w:rPr>
        <w:rFonts w:cs="Arial"/>
        <w:color w:val="000000"/>
        <w:sz w:val="20"/>
      </w:rPr>
      <w:t xml:space="preserve">Stratified Management and Operations Audit of </w:t>
    </w:r>
  </w:p>
  <w:p w:rsidR="00A24205" w:rsidRDefault="00A24205" w:rsidP="00E551B0">
    <w:pPr>
      <w:pStyle w:val="Footer"/>
      <w:pBdr>
        <w:top w:val="thinThickSmallGap" w:sz="24" w:space="0" w:color="A5CD7E"/>
      </w:pBdr>
      <w:rPr>
        <w:rFonts w:eastAsiaTheme="majorEastAsia" w:cs="Arial"/>
        <w:sz w:val="20"/>
      </w:rPr>
    </w:pPr>
    <w:r>
      <w:rPr>
        <w:rFonts w:cs="Arial"/>
        <w:color w:val="000000"/>
        <w:sz w:val="20"/>
      </w:rPr>
      <w:t>PPL Electric Utilities Corporation for the Pennsylvania Public Utility Commission</w:t>
    </w:r>
  </w:p>
  <w:p w:rsidR="00A24205" w:rsidRPr="00E551B0" w:rsidRDefault="00A24205" w:rsidP="00E551B0">
    <w:pPr>
      <w:pStyle w:val="Footer"/>
      <w:pBdr>
        <w:top w:val="thinThickSmallGap" w:sz="24" w:space="0" w:color="A5CD7E"/>
      </w:pBdr>
      <w:tabs>
        <w:tab w:val="clear" w:pos="9360"/>
        <w:tab w:val="left" w:pos="2190"/>
        <w:tab w:val="right" w:pos="12960"/>
      </w:tabs>
      <w:rPr>
        <w:rFonts w:eastAsiaTheme="majorEastAsia" w:cs="Arial"/>
        <w:sz w:val="20"/>
      </w:rPr>
    </w:pPr>
    <w:r>
      <w:rPr>
        <w:rFonts w:eastAsiaTheme="majorEastAsia" w:cs="Arial"/>
        <w:sz w:val="20"/>
      </w:rPr>
      <w:t>Chapter XIV. Diversity and Equal Employment Opportunity</w:t>
    </w:r>
    <w:r>
      <w:rPr>
        <w:rFonts w:eastAsiaTheme="majorEastAsia" w:cs="Arial"/>
        <w:sz w:val="20"/>
      </w:rPr>
      <w:tab/>
    </w:r>
    <w:r w:rsidR="00AD5784" w:rsidRPr="001E3253">
      <w:rPr>
        <w:rFonts w:eastAsiaTheme="majorEastAsia" w:cs="Arial"/>
        <w:szCs w:val="24"/>
      </w:rPr>
      <w:fldChar w:fldCharType="begin"/>
    </w:r>
    <w:r w:rsidRPr="001E3253">
      <w:rPr>
        <w:rFonts w:eastAsiaTheme="majorEastAsia" w:cs="Arial"/>
        <w:szCs w:val="24"/>
      </w:rPr>
      <w:instrText xml:space="preserve"> PAGE   \* MERGEFORMAT </w:instrText>
    </w:r>
    <w:r w:rsidR="00AD5784" w:rsidRPr="001E3253">
      <w:rPr>
        <w:rFonts w:eastAsiaTheme="majorEastAsia" w:cs="Arial"/>
        <w:szCs w:val="24"/>
      </w:rPr>
      <w:fldChar w:fldCharType="separate"/>
    </w:r>
    <w:r w:rsidR="00DB0F63">
      <w:rPr>
        <w:rFonts w:eastAsiaTheme="majorEastAsia" w:cs="Arial"/>
        <w:noProof/>
        <w:szCs w:val="24"/>
      </w:rPr>
      <w:t>506</w:t>
    </w:r>
    <w:r w:rsidR="00AD5784" w:rsidRPr="001E3253">
      <w:rPr>
        <w:rFonts w:eastAsiaTheme="majorEastAsia" w:cs="Arial"/>
        <w:noProof/>
        <w:szCs w:val="24"/>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205" w:rsidRDefault="00A24205" w:rsidP="00E551B0">
    <w:pPr>
      <w:pStyle w:val="Footer"/>
      <w:pBdr>
        <w:top w:val="thinThickSmallGap" w:sz="24" w:space="0" w:color="A5CD7E"/>
      </w:pBdr>
      <w:rPr>
        <w:rFonts w:cs="Arial"/>
        <w:color w:val="000000"/>
        <w:sz w:val="20"/>
      </w:rPr>
    </w:pPr>
    <w:r>
      <w:rPr>
        <w:rFonts w:eastAsiaTheme="majorEastAsia" w:cs="Arial"/>
        <w:sz w:val="20"/>
      </w:rPr>
      <w:t xml:space="preserve">Vondle &amp; Associates, Inc. </w:t>
    </w:r>
    <w:r>
      <w:rPr>
        <w:rFonts w:cs="Arial"/>
        <w:color w:val="000000"/>
        <w:sz w:val="20"/>
      </w:rPr>
      <w:t xml:space="preserve">Stratified Management and Operations Audit of </w:t>
    </w:r>
  </w:p>
  <w:p w:rsidR="00A24205" w:rsidRDefault="00A24205" w:rsidP="00E551B0">
    <w:pPr>
      <w:pStyle w:val="Footer"/>
      <w:pBdr>
        <w:top w:val="thinThickSmallGap" w:sz="24" w:space="0" w:color="A5CD7E"/>
      </w:pBdr>
      <w:rPr>
        <w:rFonts w:eastAsiaTheme="majorEastAsia" w:cs="Arial"/>
        <w:sz w:val="20"/>
      </w:rPr>
    </w:pPr>
    <w:r>
      <w:rPr>
        <w:rFonts w:cs="Arial"/>
        <w:color w:val="000000"/>
        <w:sz w:val="20"/>
      </w:rPr>
      <w:t>PPL Electric Utilities Corporation for the Pennsylvania Public Utility Commission</w:t>
    </w:r>
  </w:p>
  <w:p w:rsidR="00A24205" w:rsidRPr="00E551B0" w:rsidRDefault="00A24205" w:rsidP="00E551B0">
    <w:pPr>
      <w:pStyle w:val="Footer"/>
      <w:pBdr>
        <w:top w:val="thinThickSmallGap" w:sz="24" w:space="0" w:color="A5CD7E"/>
      </w:pBdr>
      <w:tabs>
        <w:tab w:val="left" w:pos="2190"/>
        <w:tab w:val="right" w:pos="13680"/>
      </w:tabs>
      <w:rPr>
        <w:rFonts w:eastAsiaTheme="majorEastAsia" w:cs="Arial"/>
        <w:sz w:val="20"/>
      </w:rPr>
    </w:pPr>
    <w:r>
      <w:rPr>
        <w:rFonts w:eastAsiaTheme="majorEastAsia" w:cs="Arial"/>
        <w:sz w:val="20"/>
      </w:rPr>
      <w:t>Chapter XIV. Diversity and Equal Employment Opportunity</w:t>
    </w:r>
    <w:r>
      <w:rPr>
        <w:rFonts w:eastAsiaTheme="majorEastAsia" w:cs="Arial"/>
        <w:sz w:val="20"/>
      </w:rPr>
      <w:tab/>
    </w:r>
    <w:r w:rsidR="00AD5784" w:rsidRPr="001E3253">
      <w:rPr>
        <w:rFonts w:eastAsiaTheme="majorEastAsia" w:cs="Arial"/>
        <w:szCs w:val="24"/>
      </w:rPr>
      <w:fldChar w:fldCharType="begin"/>
    </w:r>
    <w:r w:rsidRPr="001E3253">
      <w:rPr>
        <w:rFonts w:eastAsiaTheme="majorEastAsia" w:cs="Arial"/>
        <w:szCs w:val="24"/>
      </w:rPr>
      <w:instrText xml:space="preserve"> PAGE   \* MERGEFORMAT </w:instrText>
    </w:r>
    <w:r w:rsidR="00AD5784" w:rsidRPr="001E3253">
      <w:rPr>
        <w:rFonts w:eastAsiaTheme="majorEastAsia" w:cs="Arial"/>
        <w:szCs w:val="24"/>
      </w:rPr>
      <w:fldChar w:fldCharType="separate"/>
    </w:r>
    <w:r w:rsidR="00DB0F63">
      <w:rPr>
        <w:rFonts w:eastAsiaTheme="majorEastAsia" w:cs="Arial"/>
        <w:noProof/>
        <w:szCs w:val="24"/>
      </w:rPr>
      <w:t>519</w:t>
    </w:r>
    <w:r w:rsidR="00AD5784" w:rsidRPr="001E3253">
      <w:rPr>
        <w:rFonts w:eastAsiaTheme="majorEastAsia" w:cs="Arial"/>
        <w:noProof/>
        <w:szCs w:val="24"/>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205" w:rsidRDefault="00A24205" w:rsidP="00E551B0">
    <w:pPr>
      <w:pStyle w:val="Footer"/>
      <w:pBdr>
        <w:top w:val="thinThickSmallGap" w:sz="24" w:space="0" w:color="A5CD7E"/>
      </w:pBdr>
      <w:rPr>
        <w:rFonts w:cs="Arial"/>
        <w:color w:val="000000"/>
        <w:sz w:val="20"/>
      </w:rPr>
    </w:pPr>
    <w:r>
      <w:rPr>
        <w:rFonts w:eastAsiaTheme="majorEastAsia" w:cs="Arial"/>
        <w:sz w:val="20"/>
      </w:rPr>
      <w:t xml:space="preserve">Vondle &amp; Associates, Inc. </w:t>
    </w:r>
    <w:r>
      <w:rPr>
        <w:rFonts w:cs="Arial"/>
        <w:color w:val="000000"/>
        <w:sz w:val="20"/>
      </w:rPr>
      <w:t xml:space="preserve">Stratified Management and Operations Audit of </w:t>
    </w:r>
  </w:p>
  <w:p w:rsidR="00A24205" w:rsidRDefault="00A24205" w:rsidP="00E551B0">
    <w:pPr>
      <w:pStyle w:val="Footer"/>
      <w:pBdr>
        <w:top w:val="thinThickSmallGap" w:sz="24" w:space="0" w:color="A5CD7E"/>
      </w:pBdr>
      <w:rPr>
        <w:rFonts w:eastAsiaTheme="majorEastAsia" w:cs="Arial"/>
        <w:sz w:val="20"/>
      </w:rPr>
    </w:pPr>
    <w:r>
      <w:rPr>
        <w:rFonts w:cs="Arial"/>
        <w:color w:val="000000"/>
        <w:sz w:val="20"/>
      </w:rPr>
      <w:t>PPL Electric Utilities Corporation for the Pennsylvania Public Utility Commission</w:t>
    </w:r>
  </w:p>
  <w:p w:rsidR="00A24205" w:rsidRPr="00E551B0" w:rsidRDefault="00A24205" w:rsidP="00E551B0">
    <w:pPr>
      <w:pStyle w:val="Footer"/>
      <w:pBdr>
        <w:top w:val="thinThickSmallGap" w:sz="24" w:space="0" w:color="A5CD7E"/>
      </w:pBdr>
      <w:tabs>
        <w:tab w:val="clear" w:pos="9360"/>
        <w:tab w:val="left" w:pos="2190"/>
        <w:tab w:val="right" w:pos="13680"/>
      </w:tabs>
      <w:rPr>
        <w:rFonts w:eastAsiaTheme="majorEastAsia" w:cs="Arial"/>
        <w:sz w:val="20"/>
      </w:rPr>
    </w:pPr>
    <w:r>
      <w:rPr>
        <w:rFonts w:eastAsiaTheme="majorEastAsia" w:cs="Arial"/>
        <w:sz w:val="20"/>
      </w:rPr>
      <w:t>Chapter XIV. Diversity and Equal Employment Opportunity</w:t>
    </w:r>
    <w:r>
      <w:rPr>
        <w:rFonts w:eastAsiaTheme="majorEastAsia" w:cs="Arial"/>
        <w:sz w:val="20"/>
      </w:rPr>
      <w:tab/>
    </w:r>
    <w:r w:rsidR="00AD5784" w:rsidRPr="001E3253">
      <w:rPr>
        <w:rFonts w:eastAsiaTheme="majorEastAsia" w:cs="Arial"/>
        <w:szCs w:val="24"/>
      </w:rPr>
      <w:fldChar w:fldCharType="begin"/>
    </w:r>
    <w:r w:rsidRPr="001E3253">
      <w:rPr>
        <w:rFonts w:eastAsiaTheme="majorEastAsia" w:cs="Arial"/>
        <w:szCs w:val="24"/>
      </w:rPr>
      <w:instrText xml:space="preserve"> PAGE   \* MERGEFORMAT </w:instrText>
    </w:r>
    <w:r w:rsidR="00AD5784" w:rsidRPr="001E3253">
      <w:rPr>
        <w:rFonts w:eastAsiaTheme="majorEastAsia" w:cs="Arial"/>
        <w:szCs w:val="24"/>
      </w:rPr>
      <w:fldChar w:fldCharType="separate"/>
    </w:r>
    <w:r w:rsidR="00DB0F63">
      <w:rPr>
        <w:rFonts w:eastAsiaTheme="majorEastAsia" w:cs="Arial"/>
        <w:noProof/>
        <w:szCs w:val="24"/>
      </w:rPr>
      <w:t>521</w:t>
    </w:r>
    <w:r w:rsidR="00AD5784" w:rsidRPr="001E3253">
      <w:rPr>
        <w:rFonts w:eastAsiaTheme="majorEastAsia" w:cs="Arial"/>
        <w:noProof/>
        <w:szCs w:val="24"/>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205" w:rsidRDefault="00A24205" w:rsidP="009C0673">
    <w:pPr>
      <w:pStyle w:val="Footer"/>
      <w:pBdr>
        <w:top w:val="thinThickSmallGap" w:sz="24" w:space="0" w:color="A5CD7E"/>
      </w:pBdr>
      <w:rPr>
        <w:rFonts w:cs="Arial"/>
        <w:color w:val="000000"/>
        <w:sz w:val="20"/>
      </w:rPr>
    </w:pPr>
    <w:r>
      <w:rPr>
        <w:rFonts w:eastAsiaTheme="majorEastAsia" w:cs="Arial"/>
        <w:sz w:val="20"/>
      </w:rPr>
      <w:t xml:space="preserve">Vondle &amp; Associates, Inc. </w:t>
    </w:r>
    <w:r>
      <w:rPr>
        <w:rFonts w:cs="Arial"/>
        <w:color w:val="000000"/>
        <w:sz w:val="20"/>
      </w:rPr>
      <w:t xml:space="preserve">Stratified Management and Operations Audit of </w:t>
    </w:r>
  </w:p>
  <w:p w:rsidR="00A24205" w:rsidRDefault="00A24205" w:rsidP="009C0673">
    <w:pPr>
      <w:pStyle w:val="Footer"/>
      <w:pBdr>
        <w:top w:val="thinThickSmallGap" w:sz="24" w:space="0" w:color="A5CD7E"/>
      </w:pBdr>
      <w:rPr>
        <w:rFonts w:eastAsiaTheme="majorEastAsia" w:cs="Arial"/>
        <w:sz w:val="20"/>
      </w:rPr>
    </w:pPr>
    <w:r>
      <w:rPr>
        <w:rFonts w:cs="Arial"/>
        <w:color w:val="000000"/>
        <w:sz w:val="20"/>
      </w:rPr>
      <w:t>PPL Electric Utilities Corporation for the Pennsylvania Public Utility Commission</w:t>
    </w:r>
  </w:p>
  <w:p w:rsidR="00A24205" w:rsidRPr="009C0673" w:rsidRDefault="00A24205" w:rsidP="009C0673">
    <w:pPr>
      <w:pStyle w:val="Footer"/>
      <w:pBdr>
        <w:top w:val="thinThickSmallGap" w:sz="24" w:space="0" w:color="A5CD7E"/>
      </w:pBdr>
      <w:tabs>
        <w:tab w:val="left" w:pos="2190"/>
        <w:tab w:val="right" w:pos="13680"/>
      </w:tabs>
      <w:rPr>
        <w:rFonts w:eastAsiaTheme="majorEastAsia" w:cs="Arial"/>
        <w:sz w:val="20"/>
      </w:rPr>
    </w:pPr>
    <w:r>
      <w:rPr>
        <w:rFonts w:eastAsiaTheme="majorEastAsia" w:cs="Arial"/>
        <w:sz w:val="20"/>
      </w:rPr>
      <w:t>Chapter XIV. Diversity and Equal Employment Opportunity</w:t>
    </w:r>
    <w:r>
      <w:rPr>
        <w:rFonts w:eastAsiaTheme="majorEastAsia" w:cs="Arial"/>
        <w:sz w:val="20"/>
      </w:rPr>
      <w:tab/>
    </w:r>
    <w:r w:rsidR="00AD5784" w:rsidRPr="001E3253">
      <w:rPr>
        <w:rFonts w:eastAsiaTheme="majorEastAsia" w:cs="Arial"/>
        <w:szCs w:val="24"/>
      </w:rPr>
      <w:fldChar w:fldCharType="begin"/>
    </w:r>
    <w:r w:rsidRPr="001E3253">
      <w:rPr>
        <w:rFonts w:eastAsiaTheme="majorEastAsia" w:cs="Arial"/>
        <w:szCs w:val="24"/>
      </w:rPr>
      <w:instrText xml:space="preserve"> PAGE   \* MERGEFORMAT </w:instrText>
    </w:r>
    <w:r w:rsidR="00AD5784" w:rsidRPr="001E3253">
      <w:rPr>
        <w:rFonts w:eastAsiaTheme="majorEastAsia" w:cs="Arial"/>
        <w:szCs w:val="24"/>
      </w:rPr>
      <w:fldChar w:fldCharType="separate"/>
    </w:r>
    <w:r w:rsidR="00DB0F63">
      <w:rPr>
        <w:rFonts w:eastAsiaTheme="majorEastAsia" w:cs="Arial"/>
        <w:noProof/>
        <w:szCs w:val="24"/>
      </w:rPr>
      <w:t>524</w:t>
    </w:r>
    <w:r w:rsidR="00AD5784" w:rsidRPr="001E3253">
      <w:rPr>
        <w:rFonts w:eastAsiaTheme="majorEastAsia" w:cs="Arial"/>
        <w:noProof/>
        <w:szCs w:val="24"/>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205" w:rsidRDefault="00A24205" w:rsidP="009C0673">
    <w:pPr>
      <w:pStyle w:val="Footer"/>
      <w:pBdr>
        <w:top w:val="thinThickSmallGap" w:sz="24" w:space="0" w:color="A5CD7E"/>
      </w:pBdr>
      <w:rPr>
        <w:rFonts w:cs="Arial"/>
        <w:color w:val="000000"/>
        <w:sz w:val="20"/>
      </w:rPr>
    </w:pPr>
    <w:r>
      <w:rPr>
        <w:rFonts w:eastAsiaTheme="majorEastAsia" w:cs="Arial"/>
        <w:sz w:val="20"/>
      </w:rPr>
      <w:t xml:space="preserve">Vondle &amp; Associates, Inc. </w:t>
    </w:r>
    <w:r>
      <w:rPr>
        <w:rFonts w:cs="Arial"/>
        <w:color w:val="000000"/>
        <w:sz w:val="20"/>
      </w:rPr>
      <w:t xml:space="preserve">Stratified Management and Operations Audit of </w:t>
    </w:r>
  </w:p>
  <w:p w:rsidR="00A24205" w:rsidRDefault="00A24205" w:rsidP="009C0673">
    <w:pPr>
      <w:pStyle w:val="Footer"/>
      <w:pBdr>
        <w:top w:val="thinThickSmallGap" w:sz="24" w:space="0" w:color="A5CD7E"/>
      </w:pBdr>
      <w:rPr>
        <w:rFonts w:eastAsiaTheme="majorEastAsia" w:cs="Arial"/>
        <w:sz w:val="20"/>
      </w:rPr>
    </w:pPr>
    <w:r>
      <w:rPr>
        <w:rFonts w:cs="Arial"/>
        <w:color w:val="000000"/>
        <w:sz w:val="20"/>
      </w:rPr>
      <w:t>PPL Electric Utilities Corporation for the Pennsylvania Public Utility Commission</w:t>
    </w:r>
  </w:p>
  <w:p w:rsidR="00A24205" w:rsidRPr="009C0673" w:rsidRDefault="00A24205" w:rsidP="009C0673">
    <w:pPr>
      <w:pStyle w:val="Footer"/>
      <w:pBdr>
        <w:top w:val="thinThickSmallGap" w:sz="24" w:space="0" w:color="A5CD7E"/>
      </w:pBdr>
      <w:tabs>
        <w:tab w:val="left" w:pos="2190"/>
        <w:tab w:val="right" w:pos="13680"/>
      </w:tabs>
      <w:rPr>
        <w:rFonts w:eastAsiaTheme="majorEastAsia" w:cs="Arial"/>
        <w:sz w:val="20"/>
      </w:rPr>
    </w:pPr>
    <w:r>
      <w:rPr>
        <w:rFonts w:eastAsiaTheme="majorEastAsia" w:cs="Arial"/>
        <w:sz w:val="20"/>
      </w:rPr>
      <w:t>Chapter XV. Staffing Planning Process</w:t>
    </w:r>
    <w:r>
      <w:rPr>
        <w:rFonts w:eastAsiaTheme="majorEastAsia" w:cs="Arial"/>
        <w:sz w:val="20"/>
      </w:rPr>
      <w:tab/>
    </w:r>
    <w:r>
      <w:rPr>
        <w:rFonts w:eastAsiaTheme="majorEastAsia" w:cs="Arial"/>
        <w:sz w:val="20"/>
      </w:rPr>
      <w:tab/>
    </w:r>
    <w:r w:rsidR="00AD5784" w:rsidRPr="001E3253">
      <w:rPr>
        <w:rFonts w:eastAsiaTheme="majorEastAsia" w:cs="Arial"/>
        <w:szCs w:val="24"/>
      </w:rPr>
      <w:fldChar w:fldCharType="begin"/>
    </w:r>
    <w:r w:rsidRPr="001E3253">
      <w:rPr>
        <w:rFonts w:eastAsiaTheme="majorEastAsia" w:cs="Arial"/>
        <w:szCs w:val="24"/>
      </w:rPr>
      <w:instrText xml:space="preserve"> PAGE   \* MERGEFORMAT </w:instrText>
    </w:r>
    <w:r w:rsidR="00AD5784" w:rsidRPr="001E3253">
      <w:rPr>
        <w:rFonts w:eastAsiaTheme="majorEastAsia" w:cs="Arial"/>
        <w:szCs w:val="24"/>
      </w:rPr>
      <w:fldChar w:fldCharType="separate"/>
    </w:r>
    <w:r w:rsidR="00DB0F63">
      <w:rPr>
        <w:rFonts w:eastAsiaTheme="majorEastAsia" w:cs="Arial"/>
        <w:noProof/>
        <w:szCs w:val="24"/>
      </w:rPr>
      <w:t>585</w:t>
    </w:r>
    <w:r w:rsidR="00AD5784" w:rsidRPr="001E3253">
      <w:rPr>
        <w:rFonts w:eastAsiaTheme="majorEastAsia" w:cs="Arial"/>
        <w:noProof/>
        <w:szCs w:val="24"/>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205" w:rsidRDefault="00A24205" w:rsidP="00A51C66">
    <w:pPr>
      <w:pStyle w:val="Footer"/>
      <w:pBdr>
        <w:top w:val="thinThickSmallGap" w:sz="24" w:space="0" w:color="A5CD7E"/>
      </w:pBdr>
      <w:rPr>
        <w:rFonts w:cs="Arial"/>
        <w:color w:val="000000"/>
        <w:sz w:val="20"/>
      </w:rPr>
    </w:pPr>
    <w:r w:rsidRPr="00332771">
      <w:rPr>
        <w:rFonts w:cs="Arial"/>
        <w:sz w:val="20"/>
      </w:rPr>
      <w:t xml:space="preserve">Vondle &amp; Associates, Inc. </w:t>
    </w:r>
    <w:r w:rsidRPr="00332771">
      <w:rPr>
        <w:rFonts w:cs="Arial"/>
        <w:color w:val="000000"/>
        <w:sz w:val="20"/>
      </w:rPr>
      <w:t xml:space="preserve">Stratified Management and Operations Audit of </w:t>
    </w:r>
  </w:p>
  <w:p w:rsidR="00A24205" w:rsidRPr="00332771" w:rsidRDefault="00A24205" w:rsidP="00A51C66">
    <w:pPr>
      <w:pStyle w:val="Footer"/>
      <w:pBdr>
        <w:top w:val="thinThickSmallGap" w:sz="24" w:space="0" w:color="A5CD7E"/>
      </w:pBdr>
      <w:rPr>
        <w:rFonts w:cs="Arial"/>
        <w:sz w:val="20"/>
      </w:rPr>
    </w:pPr>
    <w:r w:rsidRPr="00332771">
      <w:rPr>
        <w:rFonts w:cs="Arial"/>
        <w:color w:val="000000"/>
        <w:sz w:val="20"/>
      </w:rPr>
      <w:t xml:space="preserve">PPL Electric Utilities Corporation for the </w:t>
    </w:r>
    <w:r>
      <w:rPr>
        <w:rFonts w:cs="Arial"/>
        <w:color w:val="000000"/>
        <w:sz w:val="20"/>
      </w:rPr>
      <w:t>Pennsylvania Public Utility Commission</w:t>
    </w:r>
  </w:p>
  <w:p w:rsidR="00A24205" w:rsidRPr="00332771" w:rsidRDefault="00A24205" w:rsidP="005E47C4">
    <w:pPr>
      <w:pStyle w:val="Footer"/>
      <w:pBdr>
        <w:top w:val="thinThickSmallGap" w:sz="24" w:space="0" w:color="A5CD7E"/>
      </w:pBdr>
      <w:tabs>
        <w:tab w:val="left" w:pos="2190"/>
        <w:tab w:val="right" w:pos="14400"/>
      </w:tabs>
      <w:rPr>
        <w:rFonts w:cs="Arial"/>
        <w:sz w:val="20"/>
      </w:rPr>
    </w:pPr>
    <w:r>
      <w:rPr>
        <w:rFonts w:eastAsiaTheme="majorEastAsia" w:cs="Arial"/>
        <w:sz w:val="20"/>
      </w:rPr>
      <w:t>Chapter XVI. Merger Synergy Opportunities</w:t>
    </w:r>
    <w:r w:rsidRPr="00332771">
      <w:rPr>
        <w:rFonts w:cs="Arial"/>
        <w:sz w:val="20"/>
      </w:rPr>
      <w:tab/>
    </w:r>
    <w:r>
      <w:rPr>
        <w:rFonts w:cs="Arial"/>
        <w:sz w:val="20"/>
      </w:rPr>
      <w:tab/>
    </w:r>
    <w:r w:rsidR="00AD5784" w:rsidRPr="00332771">
      <w:rPr>
        <w:rFonts w:cs="Arial"/>
        <w:szCs w:val="24"/>
      </w:rPr>
      <w:fldChar w:fldCharType="begin"/>
    </w:r>
    <w:r w:rsidRPr="00332771">
      <w:rPr>
        <w:rFonts w:cs="Arial"/>
        <w:szCs w:val="24"/>
      </w:rPr>
      <w:instrText xml:space="preserve"> PAGE   \* MERGEFORMAT </w:instrText>
    </w:r>
    <w:r w:rsidR="00AD5784" w:rsidRPr="00332771">
      <w:rPr>
        <w:rFonts w:cs="Arial"/>
        <w:szCs w:val="24"/>
      </w:rPr>
      <w:fldChar w:fldCharType="separate"/>
    </w:r>
    <w:r w:rsidR="00DB0F63">
      <w:rPr>
        <w:rFonts w:cs="Arial"/>
        <w:noProof/>
        <w:szCs w:val="24"/>
      </w:rPr>
      <w:t>620</w:t>
    </w:r>
    <w:r w:rsidR="00AD5784" w:rsidRPr="00332771">
      <w:rPr>
        <w:rFonts w:cs="Arial"/>
        <w:noProof/>
        <w:szCs w:val="24"/>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205" w:rsidRDefault="00A24205" w:rsidP="00A51C66">
    <w:pPr>
      <w:pStyle w:val="Footer"/>
      <w:pBdr>
        <w:top w:val="thinThickSmallGap" w:sz="24" w:space="0" w:color="A5CD7E"/>
      </w:pBdr>
      <w:rPr>
        <w:rFonts w:cs="Arial"/>
        <w:color w:val="000000"/>
        <w:sz w:val="20"/>
      </w:rPr>
    </w:pPr>
    <w:r w:rsidRPr="00332771">
      <w:rPr>
        <w:rFonts w:cs="Arial"/>
        <w:sz w:val="20"/>
      </w:rPr>
      <w:t xml:space="preserve">Vondle &amp; Associates, Inc. </w:t>
    </w:r>
    <w:r w:rsidRPr="00332771">
      <w:rPr>
        <w:rFonts w:cs="Arial"/>
        <w:color w:val="000000"/>
        <w:sz w:val="20"/>
      </w:rPr>
      <w:t xml:space="preserve">Stratified Management and Operations Audit of </w:t>
    </w:r>
  </w:p>
  <w:p w:rsidR="00A24205" w:rsidRPr="00332771" w:rsidRDefault="00A24205" w:rsidP="00A51C66">
    <w:pPr>
      <w:pStyle w:val="Footer"/>
      <w:pBdr>
        <w:top w:val="thinThickSmallGap" w:sz="24" w:space="0" w:color="A5CD7E"/>
      </w:pBdr>
      <w:rPr>
        <w:rFonts w:cs="Arial"/>
        <w:sz w:val="20"/>
      </w:rPr>
    </w:pPr>
    <w:r w:rsidRPr="00332771">
      <w:rPr>
        <w:rFonts w:cs="Arial"/>
        <w:color w:val="000000"/>
        <w:sz w:val="20"/>
      </w:rPr>
      <w:t xml:space="preserve">PPL Electric Utilities Corporation for the </w:t>
    </w:r>
    <w:r>
      <w:rPr>
        <w:rFonts w:cs="Arial"/>
        <w:color w:val="000000"/>
        <w:sz w:val="20"/>
      </w:rPr>
      <w:t>Pennsylvania Public Utility Commission</w:t>
    </w:r>
  </w:p>
  <w:p w:rsidR="00A24205" w:rsidRPr="00332771" w:rsidRDefault="00A24205" w:rsidP="00A51C66">
    <w:pPr>
      <w:pStyle w:val="Footer"/>
      <w:pBdr>
        <w:top w:val="thinThickSmallGap" w:sz="24" w:space="0" w:color="A5CD7E"/>
      </w:pBdr>
      <w:tabs>
        <w:tab w:val="clear" w:pos="9360"/>
        <w:tab w:val="left" w:pos="2190"/>
        <w:tab w:val="right" w:pos="14400"/>
      </w:tabs>
      <w:rPr>
        <w:rFonts w:cs="Arial"/>
        <w:sz w:val="20"/>
      </w:rPr>
    </w:pPr>
    <w:r w:rsidRPr="00332771">
      <w:rPr>
        <w:rFonts w:cs="Arial"/>
        <w:sz w:val="20"/>
      </w:rPr>
      <w:t>Appendix A</w:t>
    </w:r>
    <w:r w:rsidRPr="00332771">
      <w:rPr>
        <w:rFonts w:cs="Arial"/>
        <w:sz w:val="20"/>
      </w:rPr>
      <w:tab/>
    </w:r>
    <w:r w:rsidRPr="00332771">
      <w:rPr>
        <w:rFonts w:cs="Arial"/>
        <w:sz w:val="20"/>
      </w:rPr>
      <w:tab/>
    </w:r>
    <w:r w:rsidRPr="00332771">
      <w:rPr>
        <w:rFonts w:cs="Arial"/>
        <w:sz w:val="20"/>
      </w:rPr>
      <w:tab/>
    </w:r>
    <w:r w:rsidR="00AD5784" w:rsidRPr="00332771">
      <w:rPr>
        <w:rFonts w:cs="Arial"/>
        <w:szCs w:val="24"/>
      </w:rPr>
      <w:fldChar w:fldCharType="begin"/>
    </w:r>
    <w:r w:rsidRPr="00332771">
      <w:rPr>
        <w:rFonts w:cs="Arial"/>
        <w:szCs w:val="24"/>
      </w:rPr>
      <w:instrText xml:space="preserve"> PAGE   \* MERGEFORMAT </w:instrText>
    </w:r>
    <w:r w:rsidR="00AD5784" w:rsidRPr="00332771">
      <w:rPr>
        <w:rFonts w:cs="Arial"/>
        <w:szCs w:val="24"/>
      </w:rPr>
      <w:fldChar w:fldCharType="separate"/>
    </w:r>
    <w:r w:rsidR="00DB0F63">
      <w:rPr>
        <w:rFonts w:cs="Arial"/>
        <w:noProof/>
        <w:szCs w:val="24"/>
      </w:rPr>
      <w:t>624</w:t>
    </w:r>
    <w:r w:rsidR="00AD5784" w:rsidRPr="00332771">
      <w:rPr>
        <w:rFonts w:cs="Arial"/>
        <w:noProof/>
        <w:szCs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205" w:rsidRPr="00F23E86" w:rsidRDefault="00A24205" w:rsidP="00653584">
    <w:pPr>
      <w:pStyle w:val="Footer"/>
      <w:tabs>
        <w:tab w:val="clear" w:pos="4680"/>
      </w:tabs>
      <w:spacing w:after="120"/>
      <w:jc w:val="center"/>
      <w:rPr>
        <w:rFonts w:ascii="Cambria" w:hAnsi="Cambria"/>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205" w:rsidRDefault="00A24205" w:rsidP="00A51C66">
    <w:pPr>
      <w:pStyle w:val="Footer"/>
      <w:pBdr>
        <w:top w:val="thinThickSmallGap" w:sz="24" w:space="0" w:color="A5CD7E"/>
      </w:pBdr>
      <w:rPr>
        <w:rFonts w:cs="Arial"/>
        <w:color w:val="000000"/>
        <w:sz w:val="20"/>
      </w:rPr>
    </w:pPr>
    <w:r w:rsidRPr="00332771">
      <w:rPr>
        <w:rFonts w:cs="Arial"/>
        <w:sz w:val="20"/>
      </w:rPr>
      <w:t xml:space="preserve">Vondle &amp; Associates, Inc. </w:t>
    </w:r>
    <w:r w:rsidRPr="00332771">
      <w:rPr>
        <w:rFonts w:cs="Arial"/>
        <w:color w:val="000000"/>
        <w:sz w:val="20"/>
      </w:rPr>
      <w:t xml:space="preserve">Stratified Management and Operations Audit of </w:t>
    </w:r>
  </w:p>
  <w:p w:rsidR="00A24205" w:rsidRPr="00332771" w:rsidRDefault="00A24205" w:rsidP="00A51C66">
    <w:pPr>
      <w:pStyle w:val="Footer"/>
      <w:pBdr>
        <w:top w:val="thinThickSmallGap" w:sz="24" w:space="0" w:color="A5CD7E"/>
      </w:pBdr>
      <w:rPr>
        <w:rFonts w:cs="Arial"/>
        <w:sz w:val="20"/>
      </w:rPr>
    </w:pPr>
    <w:r w:rsidRPr="00332771">
      <w:rPr>
        <w:rFonts w:cs="Arial"/>
        <w:color w:val="000000"/>
        <w:sz w:val="20"/>
      </w:rPr>
      <w:t xml:space="preserve">PPL Electric Utilities Corporation for the </w:t>
    </w:r>
    <w:r>
      <w:rPr>
        <w:rFonts w:cs="Arial"/>
        <w:color w:val="000000"/>
        <w:sz w:val="20"/>
      </w:rPr>
      <w:t>Pennsylvania Public Utility Commission</w:t>
    </w:r>
  </w:p>
  <w:p w:rsidR="00A24205" w:rsidRPr="00332771" w:rsidRDefault="00A24205" w:rsidP="00A51C66">
    <w:pPr>
      <w:pStyle w:val="Footer"/>
      <w:pBdr>
        <w:top w:val="thinThickSmallGap" w:sz="24" w:space="0" w:color="A5CD7E"/>
      </w:pBdr>
      <w:tabs>
        <w:tab w:val="clear" w:pos="9360"/>
        <w:tab w:val="left" w:pos="2190"/>
        <w:tab w:val="right" w:pos="14400"/>
      </w:tabs>
      <w:rPr>
        <w:rFonts w:cs="Arial"/>
        <w:sz w:val="20"/>
      </w:rPr>
    </w:pPr>
    <w:r w:rsidRPr="00332771">
      <w:rPr>
        <w:rFonts w:cs="Arial"/>
        <w:sz w:val="20"/>
      </w:rPr>
      <w:t xml:space="preserve">Appendix </w:t>
    </w:r>
    <w:r>
      <w:rPr>
        <w:rFonts w:cs="Arial"/>
        <w:sz w:val="20"/>
      </w:rPr>
      <w:t>B</w:t>
    </w:r>
    <w:r w:rsidRPr="00332771">
      <w:rPr>
        <w:rFonts w:cs="Arial"/>
        <w:sz w:val="20"/>
      </w:rPr>
      <w:tab/>
    </w:r>
    <w:r w:rsidRPr="00332771">
      <w:rPr>
        <w:rFonts w:cs="Arial"/>
        <w:sz w:val="20"/>
      </w:rPr>
      <w:tab/>
    </w:r>
    <w:r w:rsidRPr="00332771">
      <w:rPr>
        <w:rFonts w:cs="Arial"/>
        <w:sz w:val="20"/>
      </w:rPr>
      <w:tab/>
    </w:r>
    <w:r w:rsidR="00AD5784" w:rsidRPr="00332771">
      <w:rPr>
        <w:rFonts w:cs="Arial"/>
        <w:szCs w:val="24"/>
      </w:rPr>
      <w:fldChar w:fldCharType="begin"/>
    </w:r>
    <w:r w:rsidRPr="00332771">
      <w:rPr>
        <w:rFonts w:cs="Arial"/>
        <w:szCs w:val="24"/>
      </w:rPr>
      <w:instrText xml:space="preserve"> PAGE   \* MERGEFORMAT </w:instrText>
    </w:r>
    <w:r w:rsidR="00AD5784" w:rsidRPr="00332771">
      <w:rPr>
        <w:rFonts w:cs="Arial"/>
        <w:szCs w:val="24"/>
      </w:rPr>
      <w:fldChar w:fldCharType="separate"/>
    </w:r>
    <w:r w:rsidR="00DB0F63">
      <w:rPr>
        <w:rFonts w:cs="Arial"/>
        <w:noProof/>
        <w:szCs w:val="24"/>
      </w:rPr>
      <w:t>628</w:t>
    </w:r>
    <w:r w:rsidR="00AD5784" w:rsidRPr="00332771">
      <w:rPr>
        <w:rFonts w:cs="Arial"/>
        <w:noProof/>
        <w:szCs w:val="24"/>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205" w:rsidRDefault="00A24205" w:rsidP="009C0673">
    <w:pPr>
      <w:pStyle w:val="Footer"/>
      <w:pBdr>
        <w:top w:val="thinThickSmallGap" w:sz="24" w:space="0" w:color="A5CD7E"/>
      </w:pBdr>
      <w:rPr>
        <w:rFonts w:cs="Arial"/>
        <w:color w:val="000000"/>
        <w:sz w:val="20"/>
      </w:rPr>
    </w:pPr>
    <w:r>
      <w:rPr>
        <w:rFonts w:eastAsiaTheme="majorEastAsia" w:cs="Arial"/>
        <w:sz w:val="20"/>
      </w:rPr>
      <w:t xml:space="preserve">Vondle &amp; Associates, Inc. </w:t>
    </w:r>
    <w:r>
      <w:rPr>
        <w:rFonts w:cs="Arial"/>
        <w:color w:val="000000"/>
        <w:sz w:val="20"/>
      </w:rPr>
      <w:t xml:space="preserve">Stratified Management and Operations Audit of </w:t>
    </w:r>
  </w:p>
  <w:p w:rsidR="00A24205" w:rsidRDefault="00A24205" w:rsidP="009C0673">
    <w:pPr>
      <w:pStyle w:val="Footer"/>
      <w:pBdr>
        <w:top w:val="thinThickSmallGap" w:sz="24" w:space="0" w:color="A5CD7E"/>
      </w:pBdr>
      <w:rPr>
        <w:rFonts w:eastAsiaTheme="majorEastAsia" w:cs="Arial"/>
        <w:sz w:val="20"/>
      </w:rPr>
    </w:pPr>
    <w:r>
      <w:rPr>
        <w:rFonts w:cs="Arial"/>
        <w:color w:val="000000"/>
        <w:sz w:val="20"/>
      </w:rPr>
      <w:t>PPL Electric Utilities Corporation for the Pennsylvania Public Utility Commission</w:t>
    </w:r>
  </w:p>
  <w:p w:rsidR="00A24205" w:rsidRPr="009C0673" w:rsidRDefault="00A24205" w:rsidP="009E3132">
    <w:pPr>
      <w:pStyle w:val="Footer"/>
      <w:pBdr>
        <w:top w:val="thinThickSmallGap" w:sz="24" w:space="0" w:color="A5CD7E"/>
      </w:pBdr>
      <w:tabs>
        <w:tab w:val="clear" w:pos="9360"/>
        <w:tab w:val="left" w:pos="2190"/>
        <w:tab w:val="right" w:pos="10800"/>
        <w:tab w:val="right" w:pos="12960"/>
      </w:tabs>
      <w:rPr>
        <w:rFonts w:eastAsiaTheme="majorEastAsia" w:cs="Arial"/>
        <w:sz w:val="20"/>
      </w:rPr>
    </w:pPr>
    <w:r>
      <w:rPr>
        <w:rFonts w:eastAsiaTheme="majorEastAsia" w:cs="Arial"/>
        <w:sz w:val="20"/>
      </w:rPr>
      <w:t>Appendix C</w:t>
    </w:r>
    <w:r>
      <w:rPr>
        <w:rFonts w:eastAsiaTheme="majorEastAsia" w:cs="Arial"/>
        <w:sz w:val="20"/>
      </w:rPr>
      <w:tab/>
    </w:r>
    <w:r>
      <w:rPr>
        <w:rFonts w:eastAsiaTheme="majorEastAsia" w:cs="Arial"/>
        <w:sz w:val="20"/>
      </w:rPr>
      <w:tab/>
    </w:r>
    <w:r>
      <w:rPr>
        <w:rFonts w:eastAsiaTheme="majorEastAsia" w:cs="Arial"/>
        <w:sz w:val="20"/>
      </w:rPr>
      <w:tab/>
    </w:r>
    <w:r w:rsidR="00AD5784" w:rsidRPr="001E3253">
      <w:rPr>
        <w:rFonts w:eastAsiaTheme="majorEastAsia" w:cs="Arial"/>
        <w:szCs w:val="24"/>
      </w:rPr>
      <w:fldChar w:fldCharType="begin"/>
    </w:r>
    <w:r w:rsidRPr="001E3253">
      <w:rPr>
        <w:rFonts w:eastAsiaTheme="majorEastAsia" w:cs="Arial"/>
        <w:szCs w:val="24"/>
      </w:rPr>
      <w:instrText xml:space="preserve"> PAGE   \* MERGEFORMAT </w:instrText>
    </w:r>
    <w:r w:rsidR="00AD5784" w:rsidRPr="001E3253">
      <w:rPr>
        <w:rFonts w:eastAsiaTheme="majorEastAsia" w:cs="Arial"/>
        <w:szCs w:val="24"/>
      </w:rPr>
      <w:fldChar w:fldCharType="separate"/>
    </w:r>
    <w:r w:rsidR="00DB0F63">
      <w:rPr>
        <w:rFonts w:eastAsiaTheme="majorEastAsia" w:cs="Arial"/>
        <w:noProof/>
        <w:szCs w:val="24"/>
      </w:rPr>
      <w:t>642</w:t>
    </w:r>
    <w:r w:rsidR="00AD5784" w:rsidRPr="001E3253">
      <w:rPr>
        <w:rFonts w:eastAsiaTheme="majorEastAsia" w:cs="Arial"/>
        <w:noProof/>
        <w:szCs w:val="24"/>
      </w:rP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205" w:rsidRDefault="00A24205" w:rsidP="009C0673">
    <w:pPr>
      <w:pStyle w:val="Footer"/>
      <w:pBdr>
        <w:top w:val="thinThickSmallGap" w:sz="24" w:space="0" w:color="A5CD7E"/>
      </w:pBdr>
      <w:rPr>
        <w:rFonts w:cs="Arial"/>
        <w:color w:val="000000"/>
        <w:sz w:val="20"/>
      </w:rPr>
    </w:pPr>
    <w:r>
      <w:rPr>
        <w:rFonts w:eastAsiaTheme="majorEastAsia" w:cs="Arial"/>
        <w:sz w:val="20"/>
      </w:rPr>
      <w:t xml:space="preserve">Vondle &amp; Associates, Inc. </w:t>
    </w:r>
    <w:r>
      <w:rPr>
        <w:rFonts w:cs="Arial"/>
        <w:color w:val="000000"/>
        <w:sz w:val="20"/>
      </w:rPr>
      <w:t xml:space="preserve">Stratified Management and Operations Audit of </w:t>
    </w:r>
  </w:p>
  <w:p w:rsidR="00A24205" w:rsidRDefault="00A24205" w:rsidP="009C0673">
    <w:pPr>
      <w:pStyle w:val="Footer"/>
      <w:pBdr>
        <w:top w:val="thinThickSmallGap" w:sz="24" w:space="0" w:color="A5CD7E"/>
      </w:pBdr>
      <w:rPr>
        <w:rFonts w:eastAsiaTheme="majorEastAsia" w:cs="Arial"/>
        <w:sz w:val="20"/>
      </w:rPr>
    </w:pPr>
    <w:r>
      <w:rPr>
        <w:rFonts w:cs="Arial"/>
        <w:color w:val="000000"/>
        <w:sz w:val="20"/>
      </w:rPr>
      <w:t>PPL Electric Utilities Corporation for the Pennsylvania Public Utility Commission</w:t>
    </w:r>
  </w:p>
  <w:p w:rsidR="00A24205" w:rsidRPr="009C0673" w:rsidRDefault="00A24205" w:rsidP="009E3132">
    <w:pPr>
      <w:pStyle w:val="Footer"/>
      <w:pBdr>
        <w:top w:val="thinThickSmallGap" w:sz="24" w:space="0" w:color="A5CD7E"/>
      </w:pBdr>
      <w:tabs>
        <w:tab w:val="clear" w:pos="9360"/>
        <w:tab w:val="left" w:pos="2190"/>
        <w:tab w:val="right" w:pos="10800"/>
        <w:tab w:val="right" w:pos="12960"/>
      </w:tabs>
      <w:rPr>
        <w:rFonts w:eastAsiaTheme="majorEastAsia" w:cs="Arial"/>
        <w:sz w:val="20"/>
      </w:rPr>
    </w:pPr>
    <w:r>
      <w:rPr>
        <w:rFonts w:eastAsiaTheme="majorEastAsia" w:cs="Arial"/>
        <w:sz w:val="20"/>
      </w:rPr>
      <w:t>Appendix D</w:t>
    </w:r>
    <w:r>
      <w:rPr>
        <w:rFonts w:eastAsiaTheme="majorEastAsia" w:cs="Arial"/>
        <w:sz w:val="20"/>
      </w:rPr>
      <w:tab/>
    </w:r>
    <w:r>
      <w:rPr>
        <w:rFonts w:eastAsiaTheme="majorEastAsia" w:cs="Arial"/>
        <w:sz w:val="20"/>
      </w:rPr>
      <w:tab/>
    </w:r>
    <w:r>
      <w:rPr>
        <w:rFonts w:eastAsiaTheme="majorEastAsia" w:cs="Arial"/>
        <w:sz w:val="20"/>
      </w:rPr>
      <w:tab/>
    </w:r>
    <w:r w:rsidR="00AD5784" w:rsidRPr="001E3253">
      <w:rPr>
        <w:rFonts w:eastAsiaTheme="majorEastAsia" w:cs="Arial"/>
        <w:szCs w:val="24"/>
      </w:rPr>
      <w:fldChar w:fldCharType="begin"/>
    </w:r>
    <w:r w:rsidRPr="001E3253">
      <w:rPr>
        <w:rFonts w:eastAsiaTheme="majorEastAsia" w:cs="Arial"/>
        <w:szCs w:val="24"/>
      </w:rPr>
      <w:instrText xml:space="preserve"> PAGE   \* MERGEFORMAT </w:instrText>
    </w:r>
    <w:r w:rsidR="00AD5784" w:rsidRPr="001E3253">
      <w:rPr>
        <w:rFonts w:eastAsiaTheme="majorEastAsia" w:cs="Arial"/>
        <w:szCs w:val="24"/>
      </w:rPr>
      <w:fldChar w:fldCharType="separate"/>
    </w:r>
    <w:r w:rsidR="00DB0F63">
      <w:rPr>
        <w:rFonts w:eastAsiaTheme="majorEastAsia" w:cs="Arial"/>
        <w:noProof/>
        <w:szCs w:val="24"/>
      </w:rPr>
      <w:t>647</w:t>
    </w:r>
    <w:r w:rsidR="00AD5784" w:rsidRPr="001E3253">
      <w:rPr>
        <w:rFonts w:eastAsiaTheme="majorEastAsia" w:cs="Arial"/>
        <w:noProof/>
        <w:szCs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3584" w:rsidRDefault="0065358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3584" w:rsidRDefault="00653584" w:rsidP="00D44CAA">
    <w:pPr>
      <w:pStyle w:val="Footer"/>
      <w:pBdr>
        <w:top w:val="thinThickSmallGap" w:sz="24" w:space="0" w:color="A5CD7E"/>
      </w:pBdr>
      <w:jc w:val="left"/>
      <w:rPr>
        <w:rFonts w:cs="Arial"/>
        <w:color w:val="000000"/>
        <w:sz w:val="20"/>
      </w:rPr>
    </w:pPr>
    <w:r>
      <w:rPr>
        <w:rFonts w:eastAsiaTheme="majorEastAsia" w:cs="Arial"/>
        <w:sz w:val="20"/>
      </w:rPr>
      <w:t xml:space="preserve">Vondle &amp; Associates, Inc. </w:t>
    </w:r>
    <w:r>
      <w:rPr>
        <w:rFonts w:cs="Arial"/>
        <w:color w:val="000000"/>
        <w:sz w:val="20"/>
      </w:rPr>
      <w:t xml:space="preserve">Stratified Management and Operations Audit of </w:t>
    </w:r>
  </w:p>
  <w:p w:rsidR="00653584" w:rsidRDefault="00653584" w:rsidP="00D44CAA">
    <w:pPr>
      <w:pStyle w:val="Footer"/>
      <w:pBdr>
        <w:top w:val="thinThickSmallGap" w:sz="24" w:space="0" w:color="A5CD7E"/>
      </w:pBdr>
      <w:jc w:val="left"/>
      <w:rPr>
        <w:rFonts w:eastAsiaTheme="majorEastAsia" w:cs="Arial"/>
        <w:sz w:val="20"/>
      </w:rPr>
    </w:pPr>
    <w:r>
      <w:rPr>
        <w:rFonts w:cs="Arial"/>
        <w:color w:val="000000"/>
        <w:sz w:val="20"/>
      </w:rPr>
      <w:t>PPL Electric Utilities Corporation for the Pennsylvania Public Utility Commission</w:t>
    </w:r>
    <w:r>
      <w:rPr>
        <w:rFonts w:cs="Arial"/>
        <w:color w:val="000000"/>
        <w:sz w:val="20"/>
      </w:rPr>
      <w:tab/>
    </w:r>
    <w:r w:rsidR="00AD5784" w:rsidRPr="001E3253">
      <w:rPr>
        <w:rFonts w:eastAsiaTheme="majorEastAsia" w:cs="Arial"/>
        <w:sz w:val="20"/>
      </w:rPr>
      <w:fldChar w:fldCharType="begin"/>
    </w:r>
    <w:r w:rsidRPr="001E3253">
      <w:rPr>
        <w:rFonts w:eastAsiaTheme="majorEastAsia" w:cs="Arial"/>
        <w:sz w:val="20"/>
      </w:rPr>
      <w:instrText xml:space="preserve"> PAGE   \* MERGEFORMAT </w:instrText>
    </w:r>
    <w:r w:rsidR="00AD5784" w:rsidRPr="001E3253">
      <w:rPr>
        <w:rFonts w:eastAsiaTheme="majorEastAsia" w:cs="Arial"/>
        <w:sz w:val="20"/>
      </w:rPr>
      <w:fldChar w:fldCharType="separate"/>
    </w:r>
    <w:r w:rsidR="00DB0F63">
      <w:rPr>
        <w:rFonts w:eastAsiaTheme="majorEastAsia" w:cs="Arial"/>
        <w:noProof/>
        <w:sz w:val="20"/>
      </w:rPr>
      <w:t>xiv</w:t>
    </w:r>
    <w:r w:rsidR="00AD5784" w:rsidRPr="001E3253">
      <w:rPr>
        <w:rFonts w:eastAsiaTheme="majorEastAsia" w:cs="Arial"/>
        <w:noProof/>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205" w:rsidRDefault="00A24205" w:rsidP="00991912">
    <w:pPr>
      <w:pStyle w:val="Footer"/>
      <w:pBdr>
        <w:top w:val="thinThickSmallGap" w:sz="24" w:space="0" w:color="A5CD7E"/>
      </w:pBdr>
      <w:rPr>
        <w:rFonts w:cs="Arial"/>
        <w:color w:val="000000"/>
        <w:sz w:val="20"/>
      </w:rPr>
    </w:pPr>
    <w:r>
      <w:rPr>
        <w:rFonts w:eastAsiaTheme="majorEastAsia" w:cs="Arial"/>
        <w:sz w:val="20"/>
      </w:rPr>
      <w:t xml:space="preserve">Vondle &amp; Associates, Inc. </w:t>
    </w:r>
    <w:r>
      <w:rPr>
        <w:rFonts w:cs="Arial"/>
        <w:color w:val="000000"/>
        <w:sz w:val="20"/>
      </w:rPr>
      <w:t xml:space="preserve">Stratified Management and Operations Audit of </w:t>
    </w:r>
  </w:p>
  <w:p w:rsidR="00A24205" w:rsidRDefault="00A24205" w:rsidP="00991912">
    <w:pPr>
      <w:pStyle w:val="Footer"/>
      <w:pBdr>
        <w:top w:val="thinThickSmallGap" w:sz="24" w:space="0" w:color="A5CD7E"/>
      </w:pBdr>
      <w:rPr>
        <w:rFonts w:eastAsiaTheme="majorEastAsia" w:cs="Arial"/>
        <w:sz w:val="20"/>
      </w:rPr>
    </w:pPr>
    <w:r>
      <w:rPr>
        <w:rFonts w:cs="Arial"/>
        <w:color w:val="000000"/>
        <w:sz w:val="20"/>
      </w:rPr>
      <w:t>PPL Electric Utilities Corporation for the Pennsylvania Public Utility Commission</w:t>
    </w:r>
  </w:p>
  <w:p w:rsidR="00A24205" w:rsidRPr="009B421B" w:rsidRDefault="00A24205" w:rsidP="00F3143C">
    <w:pPr>
      <w:pStyle w:val="Footer"/>
      <w:pBdr>
        <w:top w:val="thinThickSmallGap" w:sz="24" w:space="0" w:color="A5CD7E"/>
      </w:pBdr>
      <w:tabs>
        <w:tab w:val="left" w:pos="2190"/>
        <w:tab w:val="right" w:pos="12960"/>
      </w:tabs>
      <w:rPr>
        <w:rFonts w:eastAsiaTheme="majorEastAsia" w:cs="Arial"/>
        <w:sz w:val="20"/>
      </w:rPr>
    </w:pPr>
    <w:r>
      <w:rPr>
        <w:rFonts w:eastAsiaTheme="majorEastAsia" w:cs="Arial"/>
        <w:sz w:val="20"/>
      </w:rPr>
      <w:t>Chapter IX. Customer Services</w:t>
    </w:r>
    <w:r>
      <w:rPr>
        <w:rFonts w:eastAsiaTheme="majorEastAsia" w:cs="Arial"/>
        <w:sz w:val="20"/>
      </w:rPr>
      <w:tab/>
    </w:r>
    <w:r>
      <w:rPr>
        <w:rFonts w:eastAsiaTheme="majorEastAsia" w:cs="Arial"/>
        <w:sz w:val="20"/>
      </w:rPr>
      <w:tab/>
    </w:r>
    <w:r w:rsidR="00AD5784" w:rsidRPr="001E3253">
      <w:rPr>
        <w:rFonts w:eastAsiaTheme="majorEastAsia" w:cs="Arial"/>
        <w:szCs w:val="24"/>
      </w:rPr>
      <w:fldChar w:fldCharType="begin"/>
    </w:r>
    <w:r w:rsidRPr="001E3253">
      <w:rPr>
        <w:rFonts w:eastAsiaTheme="majorEastAsia" w:cs="Arial"/>
        <w:szCs w:val="24"/>
      </w:rPr>
      <w:instrText xml:space="preserve"> PAGE   \* MERGEFORMAT </w:instrText>
    </w:r>
    <w:r w:rsidR="00AD5784" w:rsidRPr="001E3253">
      <w:rPr>
        <w:rFonts w:eastAsiaTheme="majorEastAsia" w:cs="Arial"/>
        <w:szCs w:val="24"/>
      </w:rPr>
      <w:fldChar w:fldCharType="separate"/>
    </w:r>
    <w:r w:rsidR="00DB0F63">
      <w:rPr>
        <w:rFonts w:eastAsiaTheme="majorEastAsia" w:cs="Arial"/>
        <w:noProof/>
        <w:szCs w:val="24"/>
      </w:rPr>
      <w:t>369</w:t>
    </w:r>
    <w:r w:rsidR="00AD5784" w:rsidRPr="001E3253">
      <w:rPr>
        <w:rFonts w:eastAsiaTheme="majorEastAsia" w:cs="Arial"/>
        <w:noProof/>
        <w:szCs w:val="24"/>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205" w:rsidRDefault="00A24205" w:rsidP="00991912">
    <w:pPr>
      <w:pStyle w:val="Footer"/>
      <w:pBdr>
        <w:top w:val="thinThickSmallGap" w:sz="24" w:space="0" w:color="A5CD7E"/>
      </w:pBdr>
      <w:rPr>
        <w:rFonts w:cs="Arial"/>
        <w:color w:val="000000"/>
        <w:sz w:val="20"/>
      </w:rPr>
    </w:pPr>
    <w:r>
      <w:rPr>
        <w:rFonts w:eastAsiaTheme="majorEastAsia" w:cs="Arial"/>
        <w:sz w:val="20"/>
      </w:rPr>
      <w:t xml:space="preserve">Vondle &amp; Associates, Inc. </w:t>
    </w:r>
    <w:r>
      <w:rPr>
        <w:rFonts w:cs="Arial"/>
        <w:color w:val="000000"/>
        <w:sz w:val="20"/>
      </w:rPr>
      <w:t xml:space="preserve">Stratified Management and Operations Audit of </w:t>
    </w:r>
  </w:p>
  <w:p w:rsidR="00A24205" w:rsidRDefault="00A24205" w:rsidP="00991912">
    <w:pPr>
      <w:pStyle w:val="Footer"/>
      <w:pBdr>
        <w:top w:val="thinThickSmallGap" w:sz="24" w:space="0" w:color="A5CD7E"/>
      </w:pBdr>
      <w:rPr>
        <w:rFonts w:eastAsiaTheme="majorEastAsia" w:cs="Arial"/>
        <w:sz w:val="20"/>
      </w:rPr>
    </w:pPr>
    <w:r>
      <w:rPr>
        <w:rFonts w:cs="Arial"/>
        <w:color w:val="000000"/>
        <w:sz w:val="20"/>
      </w:rPr>
      <w:t>PPL Electric Utilities Corporation for the Pennsylvania Public Utility Commission</w:t>
    </w:r>
  </w:p>
  <w:p w:rsidR="00A24205" w:rsidRPr="009B421B" w:rsidRDefault="00A24205" w:rsidP="00F3143C">
    <w:pPr>
      <w:pStyle w:val="Footer"/>
      <w:pBdr>
        <w:top w:val="thinThickSmallGap" w:sz="24" w:space="0" w:color="A5CD7E"/>
      </w:pBdr>
      <w:tabs>
        <w:tab w:val="left" w:pos="2190"/>
        <w:tab w:val="right" w:pos="12960"/>
      </w:tabs>
      <w:rPr>
        <w:rFonts w:eastAsiaTheme="majorEastAsia" w:cs="Arial"/>
        <w:sz w:val="20"/>
      </w:rPr>
    </w:pPr>
    <w:r>
      <w:rPr>
        <w:rFonts w:eastAsiaTheme="majorEastAsia" w:cs="Arial"/>
        <w:sz w:val="20"/>
      </w:rPr>
      <w:t>Chapter X. Customer Assistance Programs</w:t>
    </w:r>
    <w:r>
      <w:rPr>
        <w:rFonts w:eastAsiaTheme="majorEastAsia" w:cs="Arial"/>
        <w:sz w:val="20"/>
      </w:rPr>
      <w:tab/>
    </w:r>
    <w:r>
      <w:rPr>
        <w:rFonts w:eastAsiaTheme="majorEastAsia" w:cs="Arial"/>
        <w:sz w:val="20"/>
      </w:rPr>
      <w:tab/>
    </w:r>
    <w:r w:rsidR="00AD5784" w:rsidRPr="001E3253">
      <w:rPr>
        <w:rFonts w:eastAsiaTheme="majorEastAsia" w:cs="Arial"/>
        <w:szCs w:val="24"/>
      </w:rPr>
      <w:fldChar w:fldCharType="begin"/>
    </w:r>
    <w:r w:rsidRPr="001E3253">
      <w:rPr>
        <w:rFonts w:eastAsiaTheme="majorEastAsia" w:cs="Arial"/>
        <w:szCs w:val="24"/>
      </w:rPr>
      <w:instrText xml:space="preserve"> PAGE   \* MERGEFORMAT </w:instrText>
    </w:r>
    <w:r w:rsidR="00AD5784" w:rsidRPr="001E3253">
      <w:rPr>
        <w:rFonts w:eastAsiaTheme="majorEastAsia" w:cs="Arial"/>
        <w:szCs w:val="24"/>
      </w:rPr>
      <w:fldChar w:fldCharType="separate"/>
    </w:r>
    <w:r w:rsidR="00DB0F63">
      <w:rPr>
        <w:rFonts w:eastAsiaTheme="majorEastAsia" w:cs="Arial"/>
        <w:noProof/>
        <w:szCs w:val="24"/>
      </w:rPr>
      <w:t>422</w:t>
    </w:r>
    <w:r w:rsidR="00AD5784" w:rsidRPr="001E3253">
      <w:rPr>
        <w:rFonts w:eastAsiaTheme="majorEastAsia" w:cs="Arial"/>
        <w:noProof/>
        <w:szCs w:val="24"/>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205" w:rsidRDefault="00A24205" w:rsidP="00991912">
    <w:pPr>
      <w:pStyle w:val="Footer"/>
      <w:pBdr>
        <w:top w:val="thinThickSmallGap" w:sz="24" w:space="0" w:color="A5CD7E"/>
      </w:pBdr>
      <w:rPr>
        <w:rFonts w:cs="Arial"/>
        <w:color w:val="000000"/>
        <w:sz w:val="20"/>
      </w:rPr>
    </w:pPr>
    <w:r>
      <w:rPr>
        <w:rFonts w:eastAsiaTheme="majorEastAsia" w:cs="Arial"/>
        <w:sz w:val="20"/>
      </w:rPr>
      <w:t xml:space="preserve">Vondle &amp; Associates, Inc. </w:t>
    </w:r>
    <w:r>
      <w:rPr>
        <w:rFonts w:cs="Arial"/>
        <w:color w:val="000000"/>
        <w:sz w:val="20"/>
      </w:rPr>
      <w:t xml:space="preserve">Stratified Management and Operations Audit of </w:t>
    </w:r>
  </w:p>
  <w:p w:rsidR="00A24205" w:rsidRDefault="00A24205" w:rsidP="00991912">
    <w:pPr>
      <w:pStyle w:val="Footer"/>
      <w:pBdr>
        <w:top w:val="thinThickSmallGap" w:sz="24" w:space="0" w:color="A5CD7E"/>
      </w:pBdr>
      <w:rPr>
        <w:rFonts w:eastAsiaTheme="majorEastAsia" w:cs="Arial"/>
        <w:sz w:val="20"/>
      </w:rPr>
    </w:pPr>
    <w:r>
      <w:rPr>
        <w:rFonts w:cs="Arial"/>
        <w:color w:val="000000"/>
        <w:sz w:val="20"/>
      </w:rPr>
      <w:t>PPL Electric Utilities Corporation for the Pennsylvania Public Utility Commission</w:t>
    </w:r>
  </w:p>
  <w:p w:rsidR="00A24205" w:rsidRPr="009B421B" w:rsidRDefault="00A24205" w:rsidP="00F3143C">
    <w:pPr>
      <w:pStyle w:val="Footer"/>
      <w:pBdr>
        <w:top w:val="thinThickSmallGap" w:sz="24" w:space="0" w:color="A5CD7E"/>
      </w:pBdr>
      <w:tabs>
        <w:tab w:val="left" w:pos="2190"/>
        <w:tab w:val="right" w:pos="12960"/>
      </w:tabs>
      <w:rPr>
        <w:rFonts w:eastAsiaTheme="majorEastAsia" w:cs="Arial"/>
        <w:sz w:val="20"/>
      </w:rPr>
    </w:pPr>
    <w:r>
      <w:rPr>
        <w:rFonts w:eastAsiaTheme="majorEastAsia" w:cs="Arial"/>
        <w:sz w:val="20"/>
      </w:rPr>
      <w:t>Chapter XI. Information Technology</w:t>
    </w:r>
    <w:r>
      <w:rPr>
        <w:rFonts w:eastAsiaTheme="majorEastAsia" w:cs="Arial"/>
        <w:sz w:val="20"/>
      </w:rPr>
      <w:tab/>
    </w:r>
    <w:r>
      <w:rPr>
        <w:rFonts w:eastAsiaTheme="majorEastAsia" w:cs="Arial"/>
        <w:sz w:val="20"/>
      </w:rPr>
      <w:tab/>
    </w:r>
    <w:r w:rsidR="00AD5784" w:rsidRPr="001E3253">
      <w:rPr>
        <w:rFonts w:eastAsiaTheme="majorEastAsia" w:cs="Arial"/>
        <w:szCs w:val="24"/>
      </w:rPr>
      <w:fldChar w:fldCharType="begin"/>
    </w:r>
    <w:r w:rsidRPr="001E3253">
      <w:rPr>
        <w:rFonts w:eastAsiaTheme="majorEastAsia" w:cs="Arial"/>
        <w:szCs w:val="24"/>
      </w:rPr>
      <w:instrText xml:space="preserve"> PAGE   \* MERGEFORMAT </w:instrText>
    </w:r>
    <w:r w:rsidR="00AD5784" w:rsidRPr="001E3253">
      <w:rPr>
        <w:rFonts w:eastAsiaTheme="majorEastAsia" w:cs="Arial"/>
        <w:szCs w:val="24"/>
      </w:rPr>
      <w:fldChar w:fldCharType="separate"/>
    </w:r>
    <w:r w:rsidR="00DB0F63">
      <w:rPr>
        <w:rFonts w:eastAsiaTheme="majorEastAsia" w:cs="Arial"/>
        <w:noProof/>
        <w:szCs w:val="24"/>
      </w:rPr>
      <w:t>446</w:t>
    </w:r>
    <w:r w:rsidR="00AD5784" w:rsidRPr="001E3253">
      <w:rPr>
        <w:rFonts w:eastAsiaTheme="majorEastAsia" w:cs="Arial"/>
        <w:noProof/>
        <w:szCs w:val="24"/>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205" w:rsidRDefault="00A24205" w:rsidP="00991912">
    <w:pPr>
      <w:pStyle w:val="Footer"/>
      <w:pBdr>
        <w:top w:val="thinThickSmallGap" w:sz="24" w:space="0" w:color="A5CD7E"/>
      </w:pBdr>
      <w:rPr>
        <w:rFonts w:cs="Arial"/>
        <w:color w:val="000000"/>
        <w:sz w:val="20"/>
      </w:rPr>
    </w:pPr>
    <w:r>
      <w:rPr>
        <w:rFonts w:eastAsiaTheme="majorEastAsia" w:cs="Arial"/>
        <w:sz w:val="20"/>
      </w:rPr>
      <w:t xml:space="preserve">Vondle &amp; Associates, Inc. </w:t>
    </w:r>
    <w:r>
      <w:rPr>
        <w:rFonts w:cs="Arial"/>
        <w:color w:val="000000"/>
        <w:sz w:val="20"/>
      </w:rPr>
      <w:t xml:space="preserve">Stratified Management and Operations Audit of </w:t>
    </w:r>
  </w:p>
  <w:p w:rsidR="00A24205" w:rsidRDefault="00A24205" w:rsidP="00991912">
    <w:pPr>
      <w:pStyle w:val="Footer"/>
      <w:pBdr>
        <w:top w:val="thinThickSmallGap" w:sz="24" w:space="0" w:color="A5CD7E"/>
      </w:pBdr>
      <w:rPr>
        <w:rFonts w:eastAsiaTheme="majorEastAsia" w:cs="Arial"/>
        <w:sz w:val="20"/>
      </w:rPr>
    </w:pPr>
    <w:r>
      <w:rPr>
        <w:rFonts w:cs="Arial"/>
        <w:color w:val="000000"/>
        <w:sz w:val="20"/>
      </w:rPr>
      <w:t>PPL Electric Utilities Corporation for the Pennsylvania Public Utility Commission</w:t>
    </w:r>
  </w:p>
  <w:p w:rsidR="00A24205" w:rsidRPr="009B421B" w:rsidRDefault="00A24205" w:rsidP="00F3143C">
    <w:pPr>
      <w:pStyle w:val="Footer"/>
      <w:pBdr>
        <w:top w:val="thinThickSmallGap" w:sz="24" w:space="0" w:color="A5CD7E"/>
      </w:pBdr>
      <w:tabs>
        <w:tab w:val="left" w:pos="2190"/>
        <w:tab w:val="right" w:pos="12960"/>
      </w:tabs>
      <w:rPr>
        <w:rFonts w:eastAsiaTheme="majorEastAsia" w:cs="Arial"/>
        <w:sz w:val="20"/>
      </w:rPr>
    </w:pPr>
    <w:r>
      <w:rPr>
        <w:rFonts w:eastAsiaTheme="majorEastAsia" w:cs="Arial"/>
        <w:sz w:val="20"/>
      </w:rPr>
      <w:t>Chapter XII. Human Resources</w:t>
    </w:r>
    <w:r>
      <w:rPr>
        <w:rFonts w:eastAsiaTheme="majorEastAsia" w:cs="Arial"/>
        <w:sz w:val="20"/>
      </w:rPr>
      <w:tab/>
    </w:r>
    <w:r>
      <w:rPr>
        <w:rFonts w:eastAsiaTheme="majorEastAsia" w:cs="Arial"/>
        <w:sz w:val="20"/>
      </w:rPr>
      <w:tab/>
    </w:r>
    <w:r w:rsidR="00AD5784" w:rsidRPr="001E3253">
      <w:rPr>
        <w:rFonts w:eastAsiaTheme="majorEastAsia" w:cs="Arial"/>
        <w:szCs w:val="24"/>
      </w:rPr>
      <w:fldChar w:fldCharType="begin"/>
    </w:r>
    <w:r w:rsidRPr="001E3253">
      <w:rPr>
        <w:rFonts w:eastAsiaTheme="majorEastAsia" w:cs="Arial"/>
        <w:szCs w:val="24"/>
      </w:rPr>
      <w:instrText xml:space="preserve"> PAGE   \* MERGEFORMAT </w:instrText>
    </w:r>
    <w:r w:rsidR="00AD5784" w:rsidRPr="001E3253">
      <w:rPr>
        <w:rFonts w:eastAsiaTheme="majorEastAsia" w:cs="Arial"/>
        <w:szCs w:val="24"/>
      </w:rPr>
      <w:fldChar w:fldCharType="separate"/>
    </w:r>
    <w:r w:rsidR="00DB0F63">
      <w:rPr>
        <w:rFonts w:eastAsiaTheme="majorEastAsia" w:cs="Arial"/>
        <w:noProof/>
        <w:szCs w:val="24"/>
      </w:rPr>
      <w:t>469</w:t>
    </w:r>
    <w:r w:rsidR="00AD5784" w:rsidRPr="001E3253">
      <w:rPr>
        <w:rFonts w:eastAsiaTheme="majorEastAsia" w:cs="Arial"/>
        <w:noProof/>
        <w:szCs w:val="24"/>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205" w:rsidRDefault="00A24205" w:rsidP="00991912">
    <w:pPr>
      <w:pStyle w:val="Footer"/>
      <w:pBdr>
        <w:top w:val="thinThickSmallGap" w:sz="24" w:space="0" w:color="A5CD7E"/>
      </w:pBdr>
      <w:rPr>
        <w:rFonts w:cs="Arial"/>
        <w:color w:val="000000"/>
        <w:sz w:val="20"/>
      </w:rPr>
    </w:pPr>
    <w:r>
      <w:rPr>
        <w:rFonts w:eastAsiaTheme="majorEastAsia" w:cs="Arial"/>
        <w:sz w:val="20"/>
      </w:rPr>
      <w:t xml:space="preserve">Vondle &amp; Associates, Inc. </w:t>
    </w:r>
    <w:r>
      <w:rPr>
        <w:rFonts w:cs="Arial"/>
        <w:color w:val="000000"/>
        <w:sz w:val="20"/>
      </w:rPr>
      <w:t xml:space="preserve">Stratified Management and Operations Audit of </w:t>
    </w:r>
  </w:p>
  <w:p w:rsidR="00A24205" w:rsidRDefault="00A24205" w:rsidP="00991912">
    <w:pPr>
      <w:pStyle w:val="Footer"/>
      <w:pBdr>
        <w:top w:val="thinThickSmallGap" w:sz="24" w:space="0" w:color="A5CD7E"/>
      </w:pBdr>
      <w:rPr>
        <w:rFonts w:eastAsiaTheme="majorEastAsia" w:cs="Arial"/>
        <w:sz w:val="20"/>
      </w:rPr>
    </w:pPr>
    <w:r>
      <w:rPr>
        <w:rFonts w:cs="Arial"/>
        <w:color w:val="000000"/>
        <w:sz w:val="20"/>
      </w:rPr>
      <w:t>PPL Electric Utilities Corporation for the Pennsylvania Public Utility Commission</w:t>
    </w:r>
  </w:p>
  <w:p w:rsidR="00A24205" w:rsidRPr="009B421B" w:rsidRDefault="00A24205" w:rsidP="00F3143C">
    <w:pPr>
      <w:pStyle w:val="Footer"/>
      <w:pBdr>
        <w:top w:val="thinThickSmallGap" w:sz="24" w:space="0" w:color="A5CD7E"/>
      </w:pBdr>
      <w:tabs>
        <w:tab w:val="left" w:pos="2190"/>
        <w:tab w:val="right" w:pos="12960"/>
      </w:tabs>
      <w:rPr>
        <w:rFonts w:eastAsiaTheme="majorEastAsia" w:cs="Arial"/>
        <w:sz w:val="20"/>
      </w:rPr>
    </w:pPr>
    <w:r>
      <w:rPr>
        <w:rFonts w:eastAsiaTheme="majorEastAsia" w:cs="Arial"/>
        <w:sz w:val="20"/>
      </w:rPr>
      <w:t>Chapter XIII. Executive Compensation</w:t>
    </w:r>
    <w:r>
      <w:rPr>
        <w:rFonts w:eastAsiaTheme="majorEastAsia" w:cs="Arial"/>
        <w:sz w:val="20"/>
      </w:rPr>
      <w:tab/>
    </w:r>
    <w:r>
      <w:rPr>
        <w:rFonts w:eastAsiaTheme="majorEastAsia" w:cs="Arial"/>
        <w:sz w:val="20"/>
      </w:rPr>
      <w:tab/>
    </w:r>
    <w:r w:rsidR="00AD5784" w:rsidRPr="001E3253">
      <w:rPr>
        <w:rFonts w:eastAsiaTheme="majorEastAsia" w:cs="Arial"/>
        <w:szCs w:val="24"/>
      </w:rPr>
      <w:fldChar w:fldCharType="begin"/>
    </w:r>
    <w:r w:rsidRPr="001E3253">
      <w:rPr>
        <w:rFonts w:eastAsiaTheme="majorEastAsia" w:cs="Arial"/>
        <w:szCs w:val="24"/>
      </w:rPr>
      <w:instrText xml:space="preserve"> PAGE   \* MERGEFORMAT </w:instrText>
    </w:r>
    <w:r w:rsidR="00AD5784" w:rsidRPr="001E3253">
      <w:rPr>
        <w:rFonts w:eastAsiaTheme="majorEastAsia" w:cs="Arial"/>
        <w:szCs w:val="24"/>
      </w:rPr>
      <w:fldChar w:fldCharType="separate"/>
    </w:r>
    <w:r w:rsidR="00DB0F63">
      <w:rPr>
        <w:rFonts w:eastAsiaTheme="majorEastAsia" w:cs="Arial"/>
        <w:noProof/>
        <w:szCs w:val="24"/>
      </w:rPr>
      <w:t>482</w:t>
    </w:r>
    <w:r w:rsidR="00AD5784" w:rsidRPr="001E3253">
      <w:rPr>
        <w:rFonts w:eastAsiaTheme="majorEastAsia" w:cs="Arial"/>
        <w:noProof/>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40E0" w:rsidRDefault="005C40E0" w:rsidP="00B84010">
      <w:pPr>
        <w:spacing w:after="0"/>
      </w:pPr>
      <w:r>
        <w:separator/>
      </w:r>
    </w:p>
  </w:footnote>
  <w:footnote w:type="continuationSeparator" w:id="0">
    <w:p w:rsidR="005C40E0" w:rsidRDefault="005C40E0" w:rsidP="00B8401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3584" w:rsidRDefault="0065358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3584" w:rsidRDefault="0065358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3584" w:rsidRDefault="0065358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205" w:rsidRPr="00920B20" w:rsidRDefault="00A24205" w:rsidP="00920B20">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205" w:rsidRPr="00920B20" w:rsidRDefault="00A24205" w:rsidP="00920B20">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205" w:rsidRPr="00920B20" w:rsidRDefault="00A24205" w:rsidP="00920B20">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205" w:rsidRPr="00920B20" w:rsidRDefault="00A24205" w:rsidP="00920B2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A2B0F"/>
    <w:multiLevelType w:val="hybridMultilevel"/>
    <w:tmpl w:val="E6167432"/>
    <w:lvl w:ilvl="0" w:tplc="D2188398">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
    <w:nsid w:val="028263BA"/>
    <w:multiLevelType w:val="hybridMultilevel"/>
    <w:tmpl w:val="355A380C"/>
    <w:lvl w:ilvl="0" w:tplc="16A050F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AB5E51"/>
    <w:multiLevelType w:val="hybridMultilevel"/>
    <w:tmpl w:val="3ABCB1DC"/>
    <w:lvl w:ilvl="0" w:tplc="04090013">
      <w:start w:val="1"/>
      <w:numFmt w:val="upp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7C82E3A"/>
    <w:multiLevelType w:val="hybridMultilevel"/>
    <w:tmpl w:val="5928C8C8"/>
    <w:lvl w:ilvl="0" w:tplc="D2188398">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
    <w:nsid w:val="0B782171"/>
    <w:multiLevelType w:val="hybridMultilevel"/>
    <w:tmpl w:val="9110AC9C"/>
    <w:lvl w:ilvl="0" w:tplc="D2188398">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
    <w:nsid w:val="0BEC1AF4"/>
    <w:multiLevelType w:val="hybridMultilevel"/>
    <w:tmpl w:val="9110AC9C"/>
    <w:lvl w:ilvl="0" w:tplc="D2188398">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
    <w:nsid w:val="0D9676FD"/>
    <w:multiLevelType w:val="hybridMultilevel"/>
    <w:tmpl w:val="12104804"/>
    <w:lvl w:ilvl="0" w:tplc="D2188398">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
    <w:nsid w:val="0E8241BE"/>
    <w:multiLevelType w:val="hybridMultilevel"/>
    <w:tmpl w:val="410CCCBE"/>
    <w:lvl w:ilvl="0" w:tplc="9732C81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6426F1"/>
    <w:multiLevelType w:val="hybridMultilevel"/>
    <w:tmpl w:val="0106A86C"/>
    <w:lvl w:ilvl="0" w:tplc="D2188398">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9">
    <w:nsid w:val="150F08B9"/>
    <w:multiLevelType w:val="hybridMultilevel"/>
    <w:tmpl w:val="7E16A7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6B3CBB"/>
    <w:multiLevelType w:val="hybridMultilevel"/>
    <w:tmpl w:val="4D4CAA96"/>
    <w:lvl w:ilvl="0" w:tplc="09C414AC">
      <w:start w:val="1"/>
      <w:numFmt w:val="bullet"/>
      <w:pStyle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5E7F77"/>
    <w:multiLevelType w:val="hybridMultilevel"/>
    <w:tmpl w:val="0106A86C"/>
    <w:lvl w:ilvl="0" w:tplc="D2188398">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2">
    <w:nsid w:val="1A5567A2"/>
    <w:multiLevelType w:val="hybridMultilevel"/>
    <w:tmpl w:val="DD2EC3FE"/>
    <w:lvl w:ilvl="0" w:tplc="D2188398">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3">
    <w:nsid w:val="1A973ECF"/>
    <w:multiLevelType w:val="hybridMultilevel"/>
    <w:tmpl w:val="355A380C"/>
    <w:lvl w:ilvl="0" w:tplc="16A050F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B25210C"/>
    <w:multiLevelType w:val="hybridMultilevel"/>
    <w:tmpl w:val="08D41A52"/>
    <w:lvl w:ilvl="0" w:tplc="D2188398">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5">
    <w:nsid w:val="1C7E3F97"/>
    <w:multiLevelType w:val="hybridMultilevel"/>
    <w:tmpl w:val="5928C8C8"/>
    <w:lvl w:ilvl="0" w:tplc="D2188398">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6">
    <w:nsid w:val="1CF10B6B"/>
    <w:multiLevelType w:val="hybridMultilevel"/>
    <w:tmpl w:val="82BE1B2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D5911DF"/>
    <w:multiLevelType w:val="hybridMultilevel"/>
    <w:tmpl w:val="786C4942"/>
    <w:lvl w:ilvl="0" w:tplc="F87A1D00">
      <w:start w:val="1"/>
      <w:numFmt w:val="bullet"/>
      <w:pStyle w:val="Bullets"/>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E7F3119"/>
    <w:multiLevelType w:val="hybridMultilevel"/>
    <w:tmpl w:val="08D41A52"/>
    <w:lvl w:ilvl="0" w:tplc="D2188398">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9">
    <w:nsid w:val="1EAB4875"/>
    <w:multiLevelType w:val="hybridMultilevel"/>
    <w:tmpl w:val="1B7835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FDC710E"/>
    <w:multiLevelType w:val="hybridMultilevel"/>
    <w:tmpl w:val="410CCCBE"/>
    <w:lvl w:ilvl="0" w:tplc="9732C81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0C132C7"/>
    <w:multiLevelType w:val="hybridMultilevel"/>
    <w:tmpl w:val="613A6E58"/>
    <w:lvl w:ilvl="0" w:tplc="F266C38A">
      <w:start w:val="1"/>
      <w:numFmt w:val="upperLetter"/>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0F935FF"/>
    <w:multiLevelType w:val="hybridMultilevel"/>
    <w:tmpl w:val="0588A2E2"/>
    <w:lvl w:ilvl="0" w:tplc="8D348D10">
      <w:start w:val="9"/>
      <w:numFmt w:val="upperRoman"/>
      <w:pStyle w:val="Heading1"/>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125463A"/>
    <w:multiLevelType w:val="hybridMultilevel"/>
    <w:tmpl w:val="8690DBB2"/>
    <w:lvl w:ilvl="0" w:tplc="9084AA02">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4">
    <w:nsid w:val="23331A06"/>
    <w:multiLevelType w:val="hybridMultilevel"/>
    <w:tmpl w:val="08D41A52"/>
    <w:lvl w:ilvl="0" w:tplc="D2188398">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5">
    <w:nsid w:val="23EC59EE"/>
    <w:multiLevelType w:val="hybridMultilevel"/>
    <w:tmpl w:val="5928C8C8"/>
    <w:lvl w:ilvl="0" w:tplc="D2188398">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6">
    <w:nsid w:val="23F405A8"/>
    <w:multiLevelType w:val="hybridMultilevel"/>
    <w:tmpl w:val="E6167432"/>
    <w:lvl w:ilvl="0" w:tplc="D2188398">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7">
    <w:nsid w:val="26540E51"/>
    <w:multiLevelType w:val="hybridMultilevel"/>
    <w:tmpl w:val="9110AC9C"/>
    <w:lvl w:ilvl="0" w:tplc="D2188398">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8">
    <w:nsid w:val="26787672"/>
    <w:multiLevelType w:val="hybridMultilevel"/>
    <w:tmpl w:val="80E094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A286B39"/>
    <w:multiLevelType w:val="hybridMultilevel"/>
    <w:tmpl w:val="410CCCBE"/>
    <w:lvl w:ilvl="0" w:tplc="9732C81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A3455FA"/>
    <w:multiLevelType w:val="hybridMultilevel"/>
    <w:tmpl w:val="82AC67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B047477"/>
    <w:multiLevelType w:val="hybridMultilevel"/>
    <w:tmpl w:val="E6167432"/>
    <w:lvl w:ilvl="0" w:tplc="D2188398">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2">
    <w:nsid w:val="2B7440C8"/>
    <w:multiLevelType w:val="hybridMultilevel"/>
    <w:tmpl w:val="52D64D80"/>
    <w:lvl w:ilvl="0" w:tplc="D2188398">
      <w:start w:val="1"/>
      <w:numFmt w:val="decimal"/>
      <w:pStyle w:val="Numbering6ptafter"/>
      <w:lvlText w:val="%1."/>
      <w:lvlJc w:val="left"/>
      <w:pPr>
        <w:ind w:left="720" w:hanging="36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3">
    <w:nsid w:val="2E5351F3"/>
    <w:multiLevelType w:val="hybridMultilevel"/>
    <w:tmpl w:val="410CCCBE"/>
    <w:lvl w:ilvl="0" w:tplc="9732C81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5D45363"/>
    <w:multiLevelType w:val="hybridMultilevel"/>
    <w:tmpl w:val="2E12C7A6"/>
    <w:lvl w:ilvl="0" w:tplc="5A70CCB8">
      <w:start w:val="1"/>
      <w:numFmt w:val="decimal"/>
      <w:pStyle w:val="Findings"/>
      <w:lvlText w:val="%1."/>
      <w:lvlJc w:val="left"/>
      <w:pPr>
        <w:ind w:left="720" w:hanging="36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5">
    <w:nsid w:val="385D0CC7"/>
    <w:multiLevelType w:val="hybridMultilevel"/>
    <w:tmpl w:val="08D41A52"/>
    <w:lvl w:ilvl="0" w:tplc="D2188398">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6">
    <w:nsid w:val="399075B6"/>
    <w:multiLevelType w:val="hybridMultilevel"/>
    <w:tmpl w:val="5928C8C8"/>
    <w:lvl w:ilvl="0" w:tplc="D2188398">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7">
    <w:nsid w:val="3C25075B"/>
    <w:multiLevelType w:val="hybridMultilevel"/>
    <w:tmpl w:val="5928C8C8"/>
    <w:lvl w:ilvl="0" w:tplc="D2188398">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8">
    <w:nsid w:val="3D3E21A7"/>
    <w:multiLevelType w:val="hybridMultilevel"/>
    <w:tmpl w:val="5928C8C8"/>
    <w:lvl w:ilvl="0" w:tplc="D2188398">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9">
    <w:nsid w:val="3D506DAC"/>
    <w:multiLevelType w:val="hybridMultilevel"/>
    <w:tmpl w:val="DD2EC3FE"/>
    <w:lvl w:ilvl="0" w:tplc="D2188398">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0">
    <w:nsid w:val="3E1B42FB"/>
    <w:multiLevelType w:val="hybridMultilevel"/>
    <w:tmpl w:val="5794650A"/>
    <w:lvl w:ilvl="0" w:tplc="C7A230C4">
      <w:start w:val="1"/>
      <w:numFmt w:val="bullet"/>
      <w:pStyle w:val="Bullet-indent1"/>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4196650C"/>
    <w:multiLevelType w:val="hybridMultilevel"/>
    <w:tmpl w:val="8690DBB2"/>
    <w:lvl w:ilvl="0" w:tplc="9084AA02">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2">
    <w:nsid w:val="48436C4D"/>
    <w:multiLevelType w:val="hybridMultilevel"/>
    <w:tmpl w:val="08D41A52"/>
    <w:lvl w:ilvl="0" w:tplc="D2188398">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3">
    <w:nsid w:val="48924F3C"/>
    <w:multiLevelType w:val="hybridMultilevel"/>
    <w:tmpl w:val="410CCCBE"/>
    <w:lvl w:ilvl="0" w:tplc="9732C81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9E63BA5"/>
    <w:multiLevelType w:val="hybridMultilevel"/>
    <w:tmpl w:val="E6167432"/>
    <w:lvl w:ilvl="0" w:tplc="D2188398">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5">
    <w:nsid w:val="4AA032A1"/>
    <w:multiLevelType w:val="hybridMultilevel"/>
    <w:tmpl w:val="E6167432"/>
    <w:lvl w:ilvl="0" w:tplc="D2188398">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6">
    <w:nsid w:val="4FDE4430"/>
    <w:multiLevelType w:val="multilevel"/>
    <w:tmpl w:val="1E680454"/>
    <w:styleLink w:val="Decision"/>
    <w:lvl w:ilvl="0">
      <w:start w:val="1"/>
      <w:numFmt w:val="upperRoman"/>
      <w:lvlText w:val="%1."/>
      <w:lvlJc w:val="left"/>
      <w:pPr>
        <w:tabs>
          <w:tab w:val="num" w:pos="360"/>
        </w:tabs>
        <w:ind w:left="0" w:firstLine="0"/>
      </w:pPr>
      <w:rPr>
        <w:rFonts w:hint="default"/>
        <w:sz w:val="24"/>
      </w:rPr>
    </w:lvl>
    <w:lvl w:ilvl="1">
      <w:start w:val="1"/>
      <w:numFmt w:val="upperLetter"/>
      <w:pStyle w:val="Heading20"/>
      <w:lvlText w:val="%2."/>
      <w:lvlJc w:val="left"/>
      <w:pPr>
        <w:tabs>
          <w:tab w:val="num" w:pos="1080"/>
        </w:tabs>
        <w:ind w:left="720" w:hanging="72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rPr>
        <w:rFonts w:hint="default"/>
      </w:rPr>
    </w:lvl>
    <w:lvl w:ilvl="4">
      <w:start w:val="1"/>
      <w:numFmt w:val="lowerRoman"/>
      <w:pStyle w:val="Heading5"/>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7">
    <w:nsid w:val="50FF091A"/>
    <w:multiLevelType w:val="hybridMultilevel"/>
    <w:tmpl w:val="D4B0F32C"/>
    <w:lvl w:ilvl="0" w:tplc="372AB972">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8">
    <w:nsid w:val="5348283D"/>
    <w:multiLevelType w:val="hybridMultilevel"/>
    <w:tmpl w:val="6A968CFE"/>
    <w:lvl w:ilvl="0" w:tplc="16A050F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34D74F0"/>
    <w:multiLevelType w:val="hybridMultilevel"/>
    <w:tmpl w:val="4D342350"/>
    <w:lvl w:ilvl="0" w:tplc="B66C0588">
      <w:start w:val="1"/>
      <w:numFmt w:val="decimal"/>
      <w:pStyle w:val="Numbering"/>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56EA2969"/>
    <w:multiLevelType w:val="hybridMultilevel"/>
    <w:tmpl w:val="15A2618C"/>
    <w:lvl w:ilvl="0" w:tplc="178461B6">
      <w:start w:val="1"/>
      <w:numFmt w:val="upperLetter"/>
      <w:pStyle w:val="Heading6"/>
      <w:lvlText w:val="Appendix %1."/>
      <w:lvlJc w:val="left"/>
      <w:pPr>
        <w:ind w:left="37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75C2356"/>
    <w:multiLevelType w:val="hybridMultilevel"/>
    <w:tmpl w:val="BFC680BE"/>
    <w:lvl w:ilvl="0" w:tplc="579C951C">
      <w:start w:val="1"/>
      <w:numFmt w:val="bullet"/>
      <w:pStyle w:val="Bullet-indent2"/>
      <w:lvlText w:val="-"/>
      <w:lvlJc w:val="left"/>
      <w:pPr>
        <w:ind w:left="1440" w:hanging="360"/>
      </w:pPr>
      <w:rPr>
        <w:rFonts w:ascii="Arial" w:eastAsia="Times New Roman" w:hAnsi="Aria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57A81591"/>
    <w:multiLevelType w:val="hybridMultilevel"/>
    <w:tmpl w:val="28A4796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8CE142A"/>
    <w:multiLevelType w:val="hybridMultilevel"/>
    <w:tmpl w:val="E6167432"/>
    <w:lvl w:ilvl="0" w:tplc="D2188398">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4">
    <w:nsid w:val="59A268EC"/>
    <w:multiLevelType w:val="hybridMultilevel"/>
    <w:tmpl w:val="410CCCBE"/>
    <w:lvl w:ilvl="0" w:tplc="9732C81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ACA3152"/>
    <w:multiLevelType w:val="hybridMultilevel"/>
    <w:tmpl w:val="89A4D6B4"/>
    <w:lvl w:ilvl="0" w:tplc="3416797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B2F6342"/>
    <w:multiLevelType w:val="hybridMultilevel"/>
    <w:tmpl w:val="9110AC9C"/>
    <w:lvl w:ilvl="0" w:tplc="D2188398">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7">
    <w:nsid w:val="5C16054E"/>
    <w:multiLevelType w:val="hybridMultilevel"/>
    <w:tmpl w:val="1B7835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F477128"/>
    <w:multiLevelType w:val="hybridMultilevel"/>
    <w:tmpl w:val="A69C25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06B2B2B"/>
    <w:multiLevelType w:val="hybridMultilevel"/>
    <w:tmpl w:val="5928C8C8"/>
    <w:lvl w:ilvl="0" w:tplc="D2188398">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0">
    <w:nsid w:val="624126DE"/>
    <w:multiLevelType w:val="hybridMultilevel"/>
    <w:tmpl w:val="8EB0675A"/>
    <w:lvl w:ilvl="0" w:tplc="CE62065C">
      <w:start w:val="1"/>
      <w:numFmt w:val="decimal"/>
      <w:pStyle w:val="NumberList"/>
      <w:lvlText w:val="%1."/>
      <w:lvlJc w:val="left"/>
      <w:pPr>
        <w:tabs>
          <w:tab w:val="num" w:pos="1080"/>
        </w:tabs>
        <w:ind w:left="1080" w:hanging="360"/>
      </w:pPr>
      <w:rPr>
        <w:rFonts w:hint="default"/>
        <w:b/>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64803D49"/>
    <w:multiLevelType w:val="hybridMultilevel"/>
    <w:tmpl w:val="944CA03C"/>
    <w:lvl w:ilvl="0" w:tplc="B134CA9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58E338B"/>
    <w:multiLevelType w:val="hybridMultilevel"/>
    <w:tmpl w:val="08D41A52"/>
    <w:lvl w:ilvl="0" w:tplc="D2188398">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3">
    <w:nsid w:val="66B45996"/>
    <w:multiLevelType w:val="hybridMultilevel"/>
    <w:tmpl w:val="0106A86C"/>
    <w:lvl w:ilvl="0" w:tplc="D2188398">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4">
    <w:nsid w:val="67EB61ED"/>
    <w:multiLevelType w:val="hybridMultilevel"/>
    <w:tmpl w:val="9110AC9C"/>
    <w:lvl w:ilvl="0" w:tplc="D2188398">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5">
    <w:nsid w:val="68067EFD"/>
    <w:multiLevelType w:val="hybridMultilevel"/>
    <w:tmpl w:val="410CCCBE"/>
    <w:lvl w:ilvl="0" w:tplc="9732C81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8F72AA6"/>
    <w:multiLevelType w:val="hybridMultilevel"/>
    <w:tmpl w:val="AC56F95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69954316"/>
    <w:multiLevelType w:val="hybridMultilevel"/>
    <w:tmpl w:val="410CCCBE"/>
    <w:lvl w:ilvl="0" w:tplc="9732C81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A14403D"/>
    <w:multiLevelType w:val="hybridMultilevel"/>
    <w:tmpl w:val="410CCCBE"/>
    <w:lvl w:ilvl="0" w:tplc="9732C81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C681DF6"/>
    <w:multiLevelType w:val="hybridMultilevel"/>
    <w:tmpl w:val="0106A86C"/>
    <w:lvl w:ilvl="0" w:tplc="D2188398">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0">
    <w:nsid w:val="6CCF1E58"/>
    <w:multiLevelType w:val="hybridMultilevel"/>
    <w:tmpl w:val="410CCCBE"/>
    <w:lvl w:ilvl="0" w:tplc="9732C81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03622F5"/>
    <w:multiLevelType w:val="hybridMultilevel"/>
    <w:tmpl w:val="D152C462"/>
    <w:lvl w:ilvl="0" w:tplc="04090013">
      <w:start w:val="1"/>
      <w:numFmt w:val="upperRoman"/>
      <w:lvlText w:val="%1."/>
      <w:lvlJc w:val="right"/>
      <w:pPr>
        <w:ind w:left="1080" w:hanging="360"/>
      </w:pPr>
    </w:lvl>
    <w:lvl w:ilvl="1" w:tplc="04090015">
      <w:start w:val="1"/>
      <w:numFmt w:val="upperLetter"/>
      <w:lvlText w:val="%2."/>
      <w:lvlJc w:val="left"/>
      <w:pPr>
        <w:ind w:left="1800" w:hanging="360"/>
      </w:pPr>
    </w:lvl>
    <w:lvl w:ilvl="2" w:tplc="A118B6E0">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70CC1095"/>
    <w:multiLevelType w:val="hybridMultilevel"/>
    <w:tmpl w:val="CA9C3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5062942"/>
    <w:multiLevelType w:val="hybridMultilevel"/>
    <w:tmpl w:val="E6167432"/>
    <w:lvl w:ilvl="0" w:tplc="D2188398">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4">
    <w:nsid w:val="757F5561"/>
    <w:multiLevelType w:val="hybridMultilevel"/>
    <w:tmpl w:val="1B7835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88976BC"/>
    <w:multiLevelType w:val="hybridMultilevel"/>
    <w:tmpl w:val="0106A86C"/>
    <w:lvl w:ilvl="0" w:tplc="D2188398">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6">
    <w:nsid w:val="7C6E487E"/>
    <w:multiLevelType w:val="hybridMultilevel"/>
    <w:tmpl w:val="410CCCBE"/>
    <w:lvl w:ilvl="0" w:tplc="9732C81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D767D9B"/>
    <w:multiLevelType w:val="hybridMultilevel"/>
    <w:tmpl w:val="0106A86C"/>
    <w:lvl w:ilvl="0" w:tplc="D2188398">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8">
    <w:nsid w:val="7F204A14"/>
    <w:multiLevelType w:val="hybridMultilevel"/>
    <w:tmpl w:val="BB5C4FD2"/>
    <w:lvl w:ilvl="0" w:tplc="D2188398">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9">
    <w:nsid w:val="7F91336A"/>
    <w:multiLevelType w:val="hybridMultilevel"/>
    <w:tmpl w:val="355A380C"/>
    <w:lvl w:ilvl="0" w:tplc="16A050F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40"/>
  </w:num>
  <w:num w:numId="3">
    <w:abstractNumId w:val="51"/>
  </w:num>
  <w:num w:numId="4">
    <w:abstractNumId w:val="21"/>
  </w:num>
  <w:num w:numId="5">
    <w:abstractNumId w:val="21"/>
    <w:lvlOverride w:ilvl="0">
      <w:startOverride w:val="1"/>
    </w:lvlOverride>
  </w:num>
  <w:num w:numId="6">
    <w:abstractNumId w:val="49"/>
  </w:num>
  <w:num w:numId="7">
    <w:abstractNumId w:val="46"/>
  </w:num>
  <w:num w:numId="8">
    <w:abstractNumId w:val="21"/>
    <w:lvlOverride w:ilvl="0">
      <w:startOverride w:val="1"/>
    </w:lvlOverride>
  </w:num>
  <w:num w:numId="9">
    <w:abstractNumId w:val="19"/>
  </w:num>
  <w:num w:numId="10">
    <w:abstractNumId w:val="17"/>
  </w:num>
  <w:num w:numId="11">
    <w:abstractNumId w:val="78"/>
    <w:lvlOverride w:ilvl="0">
      <w:startOverride w:val="1"/>
    </w:lvlOverride>
  </w:num>
  <w:num w:numId="12">
    <w:abstractNumId w:val="60"/>
  </w:num>
  <w:num w:numId="13">
    <w:abstractNumId w:val="52"/>
  </w:num>
  <w:num w:numId="14">
    <w:abstractNumId w:val="16"/>
  </w:num>
  <w:num w:numId="15">
    <w:abstractNumId w:val="21"/>
    <w:lvlOverride w:ilvl="0">
      <w:startOverride w:val="1"/>
    </w:lvlOverride>
  </w:num>
  <w:num w:numId="16">
    <w:abstractNumId w:val="21"/>
    <w:lvlOverride w:ilvl="0">
      <w:startOverride w:val="1"/>
    </w:lvlOverride>
  </w:num>
  <w:num w:numId="17">
    <w:abstractNumId w:val="28"/>
  </w:num>
  <w:num w:numId="18">
    <w:abstractNumId w:val="21"/>
    <w:lvlOverride w:ilvl="0">
      <w:startOverride w:val="1"/>
    </w:lvlOverride>
  </w:num>
  <w:num w:numId="19">
    <w:abstractNumId w:val="63"/>
  </w:num>
  <w:num w:numId="20">
    <w:abstractNumId w:val="8"/>
  </w:num>
  <w:num w:numId="21">
    <w:abstractNumId w:val="23"/>
  </w:num>
  <w:num w:numId="22">
    <w:abstractNumId w:val="41"/>
  </w:num>
  <w:num w:numId="23">
    <w:abstractNumId w:val="30"/>
  </w:num>
  <w:num w:numId="24">
    <w:abstractNumId w:val="21"/>
    <w:lvlOverride w:ilvl="0">
      <w:startOverride w:val="1"/>
    </w:lvlOverride>
  </w:num>
  <w:num w:numId="25">
    <w:abstractNumId w:val="11"/>
  </w:num>
  <w:num w:numId="26">
    <w:abstractNumId w:val="42"/>
  </w:num>
  <w:num w:numId="27">
    <w:abstractNumId w:val="18"/>
  </w:num>
  <w:num w:numId="28">
    <w:abstractNumId w:val="35"/>
  </w:num>
  <w:num w:numId="29">
    <w:abstractNumId w:val="62"/>
  </w:num>
  <w:num w:numId="30">
    <w:abstractNumId w:val="24"/>
  </w:num>
  <w:num w:numId="31">
    <w:abstractNumId w:val="14"/>
  </w:num>
  <w:num w:numId="32">
    <w:abstractNumId w:val="19"/>
    <w:lvlOverride w:ilvl="0">
      <w:startOverride w:val="1"/>
    </w:lvlOverride>
  </w:num>
  <w:num w:numId="33">
    <w:abstractNumId w:val="21"/>
    <w:lvlOverride w:ilvl="0">
      <w:startOverride w:val="1"/>
    </w:lvlOverride>
  </w:num>
  <w:num w:numId="34">
    <w:abstractNumId w:val="57"/>
  </w:num>
  <w:num w:numId="35">
    <w:abstractNumId w:val="6"/>
  </w:num>
  <w:num w:numId="36">
    <w:abstractNumId w:val="5"/>
  </w:num>
  <w:num w:numId="37">
    <w:abstractNumId w:val="27"/>
  </w:num>
  <w:num w:numId="38">
    <w:abstractNumId w:val="56"/>
  </w:num>
  <w:num w:numId="39">
    <w:abstractNumId w:val="64"/>
  </w:num>
  <w:num w:numId="40">
    <w:abstractNumId w:val="4"/>
  </w:num>
  <w:num w:numId="41">
    <w:abstractNumId w:val="69"/>
  </w:num>
  <w:num w:numId="42">
    <w:abstractNumId w:val="12"/>
  </w:num>
  <w:num w:numId="43">
    <w:abstractNumId w:val="39"/>
  </w:num>
  <w:num w:numId="44">
    <w:abstractNumId w:val="32"/>
  </w:num>
  <w:num w:numId="45">
    <w:abstractNumId w:val="0"/>
  </w:num>
  <w:num w:numId="46">
    <w:abstractNumId w:val="26"/>
  </w:num>
  <w:num w:numId="47">
    <w:abstractNumId w:val="31"/>
  </w:num>
  <w:num w:numId="48">
    <w:abstractNumId w:val="44"/>
  </w:num>
  <w:num w:numId="49">
    <w:abstractNumId w:val="53"/>
  </w:num>
  <w:num w:numId="50">
    <w:abstractNumId w:val="45"/>
  </w:num>
  <w:num w:numId="51">
    <w:abstractNumId w:val="73"/>
  </w:num>
  <w:num w:numId="52">
    <w:abstractNumId w:val="77"/>
  </w:num>
  <w:num w:numId="53">
    <w:abstractNumId w:val="3"/>
  </w:num>
  <w:num w:numId="54">
    <w:abstractNumId w:val="25"/>
  </w:num>
  <w:num w:numId="55">
    <w:abstractNumId w:val="36"/>
  </w:num>
  <w:num w:numId="56">
    <w:abstractNumId w:val="15"/>
  </w:num>
  <w:num w:numId="57">
    <w:abstractNumId w:val="37"/>
  </w:num>
  <w:num w:numId="58">
    <w:abstractNumId w:val="59"/>
  </w:num>
  <w:num w:numId="59">
    <w:abstractNumId w:val="38"/>
  </w:num>
  <w:num w:numId="60">
    <w:abstractNumId w:val="34"/>
  </w:num>
  <w:num w:numId="61">
    <w:abstractNumId w:val="47"/>
  </w:num>
  <w:num w:numId="62">
    <w:abstractNumId w:val="34"/>
    <w:lvlOverride w:ilvl="0">
      <w:startOverride w:val="1"/>
    </w:lvlOverride>
  </w:num>
  <w:num w:numId="63">
    <w:abstractNumId w:val="34"/>
    <w:lvlOverride w:ilvl="0">
      <w:startOverride w:val="1"/>
    </w:lvlOverride>
  </w:num>
  <w:num w:numId="64">
    <w:abstractNumId w:val="34"/>
    <w:lvlOverride w:ilvl="0">
      <w:startOverride w:val="1"/>
    </w:lvlOverride>
  </w:num>
  <w:num w:numId="65">
    <w:abstractNumId w:val="34"/>
    <w:lvlOverride w:ilvl="0">
      <w:startOverride w:val="1"/>
    </w:lvlOverride>
  </w:num>
  <w:num w:numId="66">
    <w:abstractNumId w:val="34"/>
    <w:lvlOverride w:ilvl="0">
      <w:startOverride w:val="1"/>
    </w:lvlOverride>
  </w:num>
  <w:num w:numId="67">
    <w:abstractNumId w:val="34"/>
    <w:lvlOverride w:ilvl="0">
      <w:startOverride w:val="1"/>
    </w:lvlOverride>
  </w:num>
  <w:num w:numId="68">
    <w:abstractNumId w:val="34"/>
    <w:lvlOverride w:ilvl="0">
      <w:startOverride w:val="1"/>
    </w:lvlOverride>
  </w:num>
  <w:num w:numId="69">
    <w:abstractNumId w:val="34"/>
    <w:lvlOverride w:ilvl="0">
      <w:startOverride w:val="1"/>
    </w:lvlOverride>
  </w:num>
  <w:num w:numId="70">
    <w:abstractNumId w:val="34"/>
    <w:lvlOverride w:ilvl="0">
      <w:startOverride w:val="1"/>
    </w:lvlOverride>
  </w:num>
  <w:num w:numId="71">
    <w:abstractNumId w:val="34"/>
    <w:lvlOverride w:ilvl="0">
      <w:startOverride w:val="1"/>
    </w:lvlOverride>
  </w:num>
  <w:num w:numId="72">
    <w:abstractNumId w:val="34"/>
    <w:lvlOverride w:ilvl="0">
      <w:startOverride w:val="1"/>
    </w:lvlOverride>
  </w:num>
  <w:num w:numId="73">
    <w:abstractNumId w:val="34"/>
    <w:lvlOverride w:ilvl="0">
      <w:startOverride w:val="1"/>
    </w:lvlOverride>
  </w:num>
  <w:num w:numId="74">
    <w:abstractNumId w:val="34"/>
    <w:lvlOverride w:ilvl="0">
      <w:startOverride w:val="1"/>
    </w:lvlOverride>
  </w:num>
  <w:num w:numId="75">
    <w:abstractNumId w:val="34"/>
    <w:lvlOverride w:ilvl="0">
      <w:startOverride w:val="1"/>
    </w:lvlOverride>
  </w:num>
  <w:num w:numId="76">
    <w:abstractNumId w:val="34"/>
    <w:lvlOverride w:ilvl="0">
      <w:startOverride w:val="1"/>
    </w:lvlOverride>
  </w:num>
  <w:num w:numId="77">
    <w:abstractNumId w:val="34"/>
    <w:lvlOverride w:ilvl="0">
      <w:startOverride w:val="1"/>
    </w:lvlOverride>
  </w:num>
  <w:num w:numId="78">
    <w:abstractNumId w:val="34"/>
    <w:lvlOverride w:ilvl="0">
      <w:startOverride w:val="1"/>
    </w:lvlOverride>
  </w:num>
  <w:num w:numId="79">
    <w:abstractNumId w:val="34"/>
    <w:lvlOverride w:ilvl="0">
      <w:startOverride w:val="1"/>
    </w:lvlOverride>
  </w:num>
  <w:num w:numId="80">
    <w:abstractNumId w:val="34"/>
    <w:lvlOverride w:ilvl="0">
      <w:startOverride w:val="1"/>
    </w:lvlOverride>
  </w:num>
  <w:num w:numId="81">
    <w:abstractNumId w:val="34"/>
    <w:lvlOverride w:ilvl="0">
      <w:startOverride w:val="1"/>
    </w:lvlOverride>
  </w:num>
  <w:num w:numId="82">
    <w:abstractNumId w:val="34"/>
    <w:lvlOverride w:ilvl="0">
      <w:startOverride w:val="1"/>
    </w:lvlOverride>
  </w:num>
  <w:num w:numId="83">
    <w:abstractNumId w:val="34"/>
    <w:lvlOverride w:ilvl="0">
      <w:startOverride w:val="1"/>
    </w:lvlOverride>
  </w:num>
  <w:num w:numId="84">
    <w:abstractNumId w:val="34"/>
    <w:lvlOverride w:ilvl="0">
      <w:startOverride w:val="1"/>
    </w:lvlOverride>
  </w:num>
  <w:num w:numId="85">
    <w:abstractNumId w:val="34"/>
    <w:lvlOverride w:ilvl="0">
      <w:startOverride w:val="1"/>
    </w:lvlOverride>
  </w:num>
  <w:num w:numId="86">
    <w:abstractNumId w:val="34"/>
    <w:lvlOverride w:ilvl="0">
      <w:startOverride w:val="1"/>
    </w:lvlOverride>
  </w:num>
  <w:num w:numId="87">
    <w:abstractNumId w:val="75"/>
  </w:num>
  <w:num w:numId="88">
    <w:abstractNumId w:val="38"/>
    <w:lvlOverride w:ilvl="0">
      <w:startOverride w:val="1"/>
    </w:lvlOverride>
  </w:num>
  <w:num w:numId="89">
    <w:abstractNumId w:val="34"/>
    <w:lvlOverride w:ilvl="0">
      <w:startOverride w:val="2"/>
    </w:lvlOverride>
  </w:num>
  <w:num w:numId="90">
    <w:abstractNumId w:val="55"/>
  </w:num>
  <w:num w:numId="91">
    <w:abstractNumId w:val="74"/>
  </w:num>
  <w:num w:numId="92">
    <w:abstractNumId w:val="22"/>
  </w:num>
  <w:num w:numId="93">
    <w:abstractNumId w:val="49"/>
    <w:lvlOverride w:ilvl="0">
      <w:startOverride w:val="1"/>
    </w:lvlOverride>
  </w:num>
  <w:num w:numId="94">
    <w:abstractNumId w:val="61"/>
  </w:num>
  <w:num w:numId="95">
    <w:abstractNumId w:val="58"/>
  </w:num>
  <w:num w:numId="96">
    <w:abstractNumId w:val="2"/>
  </w:num>
  <w:num w:numId="97">
    <w:abstractNumId w:val="71"/>
  </w:num>
  <w:num w:numId="98">
    <w:abstractNumId w:val="33"/>
  </w:num>
  <w:num w:numId="99">
    <w:abstractNumId w:val="29"/>
  </w:num>
  <w:num w:numId="100">
    <w:abstractNumId w:val="68"/>
  </w:num>
  <w:num w:numId="101">
    <w:abstractNumId w:val="7"/>
  </w:num>
  <w:num w:numId="102">
    <w:abstractNumId w:val="79"/>
  </w:num>
  <w:num w:numId="103">
    <w:abstractNumId w:val="48"/>
  </w:num>
  <w:num w:numId="104">
    <w:abstractNumId w:val="1"/>
  </w:num>
  <w:num w:numId="105">
    <w:abstractNumId w:val="13"/>
  </w:num>
  <w:num w:numId="106">
    <w:abstractNumId w:val="66"/>
  </w:num>
  <w:num w:numId="107">
    <w:abstractNumId w:val="72"/>
  </w:num>
  <w:num w:numId="108">
    <w:abstractNumId w:val="65"/>
  </w:num>
  <w:num w:numId="109">
    <w:abstractNumId w:val="67"/>
  </w:num>
  <w:num w:numId="110">
    <w:abstractNumId w:val="43"/>
  </w:num>
  <w:num w:numId="111">
    <w:abstractNumId w:val="70"/>
  </w:num>
  <w:num w:numId="112">
    <w:abstractNumId w:val="20"/>
  </w:num>
  <w:num w:numId="113">
    <w:abstractNumId w:val="76"/>
  </w:num>
  <w:num w:numId="114">
    <w:abstractNumId w:val="9"/>
  </w:num>
  <w:num w:numId="115">
    <w:abstractNumId w:val="54"/>
  </w:num>
  <w:num w:numId="116">
    <w:abstractNumId w:val="50"/>
  </w:num>
  <w:num w:numId="117">
    <w:abstractNumId w:val="21"/>
    <w:lvlOverride w:ilvl="0">
      <w:startOverride w:val="1"/>
    </w:lvlOverride>
  </w:num>
  <w:num w:numId="118">
    <w:abstractNumId w:val="34"/>
    <w:lvlOverride w:ilvl="0">
      <w:startOverride w:val="1"/>
    </w:lvlOverride>
  </w:num>
  <w:num w:numId="119">
    <w:abstractNumId w:val="21"/>
    <w:lvlOverride w:ilvl="0">
      <w:startOverride w:val="1"/>
    </w:lvlOverride>
  </w:num>
  <w:num w:numId="120">
    <w:abstractNumId w:val="34"/>
    <w:lvlOverride w:ilvl="0">
      <w:startOverride w:val="1"/>
    </w:lvlOverride>
  </w:num>
  <w:num w:numId="121">
    <w:abstractNumId w:val="34"/>
    <w:lvlOverride w:ilvl="0">
      <w:startOverride w:val="1"/>
    </w:lvlOverride>
  </w:num>
  <w:num w:numId="122">
    <w:abstractNumId w:val="21"/>
    <w:lvlOverride w:ilvl="0">
      <w:startOverride w:val="1"/>
    </w:lvlOverride>
  </w:num>
  <w:num w:numId="123">
    <w:abstractNumId w:val="49"/>
    <w:lvlOverride w:ilvl="0">
      <w:startOverride w:val="1"/>
    </w:lvlOverride>
  </w:num>
  <w:num w:numId="124">
    <w:abstractNumId w:val="34"/>
    <w:lvlOverride w:ilvl="0">
      <w:startOverride w:val="2"/>
    </w:lvlOverride>
  </w:num>
  <w:num w:numId="125">
    <w:abstractNumId w:val="21"/>
    <w:lvlOverride w:ilvl="0">
      <w:startOverride w:val="1"/>
    </w:lvlOverride>
  </w:num>
  <w:num w:numId="126">
    <w:abstractNumId w:val="34"/>
    <w:lvlOverride w:ilvl="0">
      <w:startOverride w:val="1"/>
    </w:lvlOverride>
  </w:num>
  <w:num w:numId="127">
    <w:abstractNumId w:val="34"/>
    <w:lvlOverride w:ilvl="0">
      <w:startOverride w:val="1"/>
    </w:lvlOverride>
  </w:num>
  <w:num w:numId="128">
    <w:abstractNumId w:val="21"/>
    <w:lvlOverride w:ilvl="0">
      <w:startOverride w:val="1"/>
    </w:lvlOverride>
  </w:num>
  <w:num w:numId="129">
    <w:abstractNumId w:val="34"/>
    <w:lvlOverride w:ilvl="0">
      <w:startOverride w:val="1"/>
    </w:lvlOverride>
  </w:num>
  <w:num w:numId="130">
    <w:abstractNumId w:val="34"/>
    <w:lvlOverride w:ilvl="0">
      <w:startOverride w:val="1"/>
    </w:lvlOverride>
  </w:num>
  <w:num w:numId="131">
    <w:abstractNumId w:val="34"/>
    <w:lvlOverride w:ilvl="0">
      <w:startOverride w:val="1"/>
    </w:lvlOverride>
  </w:num>
  <w:num w:numId="132">
    <w:abstractNumId w:val="34"/>
    <w:lvlOverride w:ilvl="0">
      <w:startOverride w:val="1"/>
    </w:lvlOverride>
  </w:num>
  <w:num w:numId="133">
    <w:abstractNumId w:val="34"/>
    <w:lvlOverride w:ilvl="0">
      <w:startOverride w:val="1"/>
    </w:lvlOverride>
  </w:num>
  <w:num w:numId="134">
    <w:abstractNumId w:val="34"/>
    <w:lvlOverride w:ilvl="0">
      <w:startOverride w:val="1"/>
    </w:lvlOverride>
  </w:num>
  <w:num w:numId="135">
    <w:abstractNumId w:val="21"/>
    <w:lvlOverride w:ilvl="0">
      <w:startOverride w:val="1"/>
    </w:lvlOverride>
  </w:num>
  <w:num w:numId="136">
    <w:abstractNumId w:val="34"/>
    <w:lvlOverride w:ilvl="0">
      <w:startOverride w:val="1"/>
    </w:lvlOverride>
  </w:num>
  <w:num w:numId="137">
    <w:abstractNumId w:val="34"/>
    <w:lvlOverride w:ilvl="0">
      <w:startOverride w:val="1"/>
    </w:lvlOverride>
  </w:num>
  <w:num w:numId="138">
    <w:abstractNumId w:val="34"/>
    <w:lvlOverride w:ilvl="0">
      <w:startOverride w:val="1"/>
    </w:lvlOverride>
  </w:num>
  <w:num w:numId="139">
    <w:abstractNumId w:val="34"/>
    <w:lvlOverride w:ilvl="0">
      <w:startOverride w:val="1"/>
    </w:lvlOverride>
  </w:num>
  <w:num w:numId="140">
    <w:abstractNumId w:val="34"/>
    <w:lvlOverride w:ilvl="0">
      <w:startOverride w:val="1"/>
    </w:lvlOverride>
  </w:num>
  <w:num w:numId="141">
    <w:abstractNumId w:val="34"/>
    <w:lvlOverride w:ilvl="0">
      <w:startOverride w:val="1"/>
    </w:lvlOverride>
  </w:num>
  <w:num w:numId="142">
    <w:abstractNumId w:val="34"/>
    <w:lvlOverride w:ilvl="0">
      <w:startOverride w:val="1"/>
    </w:lvlOverride>
  </w:num>
  <w:num w:numId="143">
    <w:abstractNumId w:val="34"/>
    <w:lvlOverride w:ilvl="0">
      <w:startOverride w:val="1"/>
    </w:lvlOverride>
  </w:num>
  <w:num w:numId="144">
    <w:abstractNumId w:val="34"/>
    <w:lvlOverride w:ilvl="0">
      <w:startOverride w:val="1"/>
    </w:lvlOverride>
  </w:num>
  <w:num w:numId="145">
    <w:abstractNumId w:val="21"/>
    <w:lvlOverride w:ilvl="0">
      <w:startOverride w:val="1"/>
    </w:lvlOverride>
  </w:num>
  <w:num w:numId="146">
    <w:abstractNumId w:val="49"/>
    <w:lvlOverride w:ilvl="0">
      <w:startOverride w:val="1"/>
    </w:lvlOverride>
  </w:num>
  <w:num w:numId="147">
    <w:abstractNumId w:val="34"/>
    <w:lvlOverride w:ilvl="0">
      <w:startOverride w:val="1"/>
    </w:lvlOverride>
  </w:num>
  <w:num w:numId="148">
    <w:abstractNumId w:val="34"/>
    <w:lvlOverride w:ilvl="0">
      <w:startOverride w:val="1"/>
    </w:lvlOverride>
  </w:num>
  <w:num w:numId="149">
    <w:abstractNumId w:val="49"/>
    <w:lvlOverride w:ilvl="0">
      <w:startOverride w:val="1"/>
    </w:lvlOverride>
  </w:num>
  <w:num w:numId="150">
    <w:abstractNumId w:val="21"/>
    <w:lvlOverride w:ilvl="0">
      <w:startOverride w:val="1"/>
    </w:lvlOverride>
  </w:num>
  <w:numIdMacAtCleanup w:val="1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028"/>
  <w:defaultTabStop w:val="720"/>
  <w:characterSpacingControl w:val="doNotCompress"/>
  <w:hdrShapeDefaults>
    <o:shapedefaults v:ext="edit" spidmax="8194"/>
  </w:hdrShapeDefaults>
  <w:footnotePr>
    <w:footnote w:id="-1"/>
    <w:footnote w:id="0"/>
  </w:footnotePr>
  <w:endnotePr>
    <w:endnote w:id="-1"/>
    <w:endnote w:id="0"/>
  </w:endnotePr>
  <w:compat/>
  <w:rsids>
    <w:rsidRoot w:val="009063E9"/>
    <w:rsid w:val="000015D0"/>
    <w:rsid w:val="000052DB"/>
    <w:rsid w:val="000055D6"/>
    <w:rsid w:val="00005EA5"/>
    <w:rsid w:val="00012B19"/>
    <w:rsid w:val="000131CA"/>
    <w:rsid w:val="00013677"/>
    <w:rsid w:val="00014490"/>
    <w:rsid w:val="00015DEF"/>
    <w:rsid w:val="00020CD4"/>
    <w:rsid w:val="00022524"/>
    <w:rsid w:val="000256C3"/>
    <w:rsid w:val="000263B5"/>
    <w:rsid w:val="00026D14"/>
    <w:rsid w:val="0002796C"/>
    <w:rsid w:val="00030AB0"/>
    <w:rsid w:val="0003122E"/>
    <w:rsid w:val="00033821"/>
    <w:rsid w:val="00034D29"/>
    <w:rsid w:val="00034E81"/>
    <w:rsid w:val="00037F84"/>
    <w:rsid w:val="00040171"/>
    <w:rsid w:val="00044A00"/>
    <w:rsid w:val="00044C3A"/>
    <w:rsid w:val="00045476"/>
    <w:rsid w:val="000458E3"/>
    <w:rsid w:val="00045D0E"/>
    <w:rsid w:val="000476C6"/>
    <w:rsid w:val="0005097C"/>
    <w:rsid w:val="00053E31"/>
    <w:rsid w:val="0005428B"/>
    <w:rsid w:val="00054EEF"/>
    <w:rsid w:val="00055381"/>
    <w:rsid w:val="00055806"/>
    <w:rsid w:val="00055F2B"/>
    <w:rsid w:val="000565F1"/>
    <w:rsid w:val="00056713"/>
    <w:rsid w:val="00056FF1"/>
    <w:rsid w:val="00057E8B"/>
    <w:rsid w:val="000603FD"/>
    <w:rsid w:val="00061621"/>
    <w:rsid w:val="00062BE6"/>
    <w:rsid w:val="00062E73"/>
    <w:rsid w:val="00063101"/>
    <w:rsid w:val="00063156"/>
    <w:rsid w:val="00063242"/>
    <w:rsid w:val="00063C04"/>
    <w:rsid w:val="00065013"/>
    <w:rsid w:val="000656F3"/>
    <w:rsid w:val="000659A6"/>
    <w:rsid w:val="000702C1"/>
    <w:rsid w:val="00070ADC"/>
    <w:rsid w:val="000723C1"/>
    <w:rsid w:val="00076CF0"/>
    <w:rsid w:val="000779ED"/>
    <w:rsid w:val="00077F0C"/>
    <w:rsid w:val="00080A87"/>
    <w:rsid w:val="00081F1B"/>
    <w:rsid w:val="00082A55"/>
    <w:rsid w:val="000830CF"/>
    <w:rsid w:val="000832B8"/>
    <w:rsid w:val="000862A8"/>
    <w:rsid w:val="00086956"/>
    <w:rsid w:val="00087472"/>
    <w:rsid w:val="00092E9F"/>
    <w:rsid w:val="000933C6"/>
    <w:rsid w:val="0009411A"/>
    <w:rsid w:val="00097207"/>
    <w:rsid w:val="00097510"/>
    <w:rsid w:val="00097FEF"/>
    <w:rsid w:val="000A0529"/>
    <w:rsid w:val="000A071F"/>
    <w:rsid w:val="000A0B98"/>
    <w:rsid w:val="000A0F30"/>
    <w:rsid w:val="000A21BD"/>
    <w:rsid w:val="000A6423"/>
    <w:rsid w:val="000A6BF3"/>
    <w:rsid w:val="000A6DD7"/>
    <w:rsid w:val="000A76CE"/>
    <w:rsid w:val="000A785E"/>
    <w:rsid w:val="000B2538"/>
    <w:rsid w:val="000B2F1F"/>
    <w:rsid w:val="000B39F6"/>
    <w:rsid w:val="000B565D"/>
    <w:rsid w:val="000B6541"/>
    <w:rsid w:val="000B7290"/>
    <w:rsid w:val="000B742C"/>
    <w:rsid w:val="000B7D91"/>
    <w:rsid w:val="000B7D94"/>
    <w:rsid w:val="000B7FC4"/>
    <w:rsid w:val="000C07B4"/>
    <w:rsid w:val="000C2219"/>
    <w:rsid w:val="000C316B"/>
    <w:rsid w:val="000C4738"/>
    <w:rsid w:val="000C4D6B"/>
    <w:rsid w:val="000C7523"/>
    <w:rsid w:val="000D04BD"/>
    <w:rsid w:val="000D0E50"/>
    <w:rsid w:val="000D0EF3"/>
    <w:rsid w:val="000D142C"/>
    <w:rsid w:val="000D342D"/>
    <w:rsid w:val="000D5B8E"/>
    <w:rsid w:val="000E016B"/>
    <w:rsid w:val="000E1A17"/>
    <w:rsid w:val="000E1F11"/>
    <w:rsid w:val="000E2D4E"/>
    <w:rsid w:val="000E2E32"/>
    <w:rsid w:val="000E2E67"/>
    <w:rsid w:val="000E34CD"/>
    <w:rsid w:val="000E3A30"/>
    <w:rsid w:val="000E4DD6"/>
    <w:rsid w:val="000E6A44"/>
    <w:rsid w:val="000E7317"/>
    <w:rsid w:val="000E76D9"/>
    <w:rsid w:val="000E7999"/>
    <w:rsid w:val="000E7B4F"/>
    <w:rsid w:val="000F162F"/>
    <w:rsid w:val="000F463B"/>
    <w:rsid w:val="000F4CF0"/>
    <w:rsid w:val="000F5E36"/>
    <w:rsid w:val="000F5FF3"/>
    <w:rsid w:val="000F6F5E"/>
    <w:rsid w:val="000F7AE0"/>
    <w:rsid w:val="00101062"/>
    <w:rsid w:val="00102515"/>
    <w:rsid w:val="00102DA7"/>
    <w:rsid w:val="001039DD"/>
    <w:rsid w:val="0010443B"/>
    <w:rsid w:val="00105C30"/>
    <w:rsid w:val="001060B6"/>
    <w:rsid w:val="0011052F"/>
    <w:rsid w:val="001114C7"/>
    <w:rsid w:val="001118F0"/>
    <w:rsid w:val="00111B33"/>
    <w:rsid w:val="00112024"/>
    <w:rsid w:val="0011351C"/>
    <w:rsid w:val="001144BB"/>
    <w:rsid w:val="00114642"/>
    <w:rsid w:val="00115885"/>
    <w:rsid w:val="00115E46"/>
    <w:rsid w:val="00116073"/>
    <w:rsid w:val="001162C0"/>
    <w:rsid w:val="001207DE"/>
    <w:rsid w:val="00121323"/>
    <w:rsid w:val="0012308C"/>
    <w:rsid w:val="0012336A"/>
    <w:rsid w:val="00123BDD"/>
    <w:rsid w:val="00123FCD"/>
    <w:rsid w:val="0012492D"/>
    <w:rsid w:val="00125669"/>
    <w:rsid w:val="00127840"/>
    <w:rsid w:val="0013074C"/>
    <w:rsid w:val="001308F8"/>
    <w:rsid w:val="0013382E"/>
    <w:rsid w:val="00133B81"/>
    <w:rsid w:val="00133BC1"/>
    <w:rsid w:val="00134406"/>
    <w:rsid w:val="00134C70"/>
    <w:rsid w:val="0013529E"/>
    <w:rsid w:val="0013569A"/>
    <w:rsid w:val="00136F6F"/>
    <w:rsid w:val="00137E7F"/>
    <w:rsid w:val="00140FBD"/>
    <w:rsid w:val="001417E8"/>
    <w:rsid w:val="00142B6A"/>
    <w:rsid w:val="0014440F"/>
    <w:rsid w:val="001445AE"/>
    <w:rsid w:val="00144C8A"/>
    <w:rsid w:val="00145257"/>
    <w:rsid w:val="001452EE"/>
    <w:rsid w:val="0014676F"/>
    <w:rsid w:val="001478C8"/>
    <w:rsid w:val="00150726"/>
    <w:rsid w:val="001518DC"/>
    <w:rsid w:val="00151AC2"/>
    <w:rsid w:val="00151B99"/>
    <w:rsid w:val="00152655"/>
    <w:rsid w:val="001528AA"/>
    <w:rsid w:val="001537F5"/>
    <w:rsid w:val="00154895"/>
    <w:rsid w:val="00155D89"/>
    <w:rsid w:val="00155DDD"/>
    <w:rsid w:val="001613DA"/>
    <w:rsid w:val="001629FB"/>
    <w:rsid w:val="001655F6"/>
    <w:rsid w:val="00165B0A"/>
    <w:rsid w:val="00166ACD"/>
    <w:rsid w:val="00166B9D"/>
    <w:rsid w:val="00166C28"/>
    <w:rsid w:val="001677AD"/>
    <w:rsid w:val="00171ADC"/>
    <w:rsid w:val="001720E8"/>
    <w:rsid w:val="001722F7"/>
    <w:rsid w:val="0017242A"/>
    <w:rsid w:val="00172A00"/>
    <w:rsid w:val="0017322A"/>
    <w:rsid w:val="00173CC6"/>
    <w:rsid w:val="0017439E"/>
    <w:rsid w:val="00174C86"/>
    <w:rsid w:val="00175A69"/>
    <w:rsid w:val="00175D93"/>
    <w:rsid w:val="00180E26"/>
    <w:rsid w:val="00183BC3"/>
    <w:rsid w:val="00183CC4"/>
    <w:rsid w:val="00186148"/>
    <w:rsid w:val="0018773D"/>
    <w:rsid w:val="001878A3"/>
    <w:rsid w:val="001907E0"/>
    <w:rsid w:val="00192275"/>
    <w:rsid w:val="00192C02"/>
    <w:rsid w:val="001942F2"/>
    <w:rsid w:val="001957C4"/>
    <w:rsid w:val="0019736A"/>
    <w:rsid w:val="001A320F"/>
    <w:rsid w:val="001A438B"/>
    <w:rsid w:val="001A4929"/>
    <w:rsid w:val="001A4931"/>
    <w:rsid w:val="001A7B05"/>
    <w:rsid w:val="001B07F7"/>
    <w:rsid w:val="001B0D88"/>
    <w:rsid w:val="001B0EC1"/>
    <w:rsid w:val="001B2125"/>
    <w:rsid w:val="001B381A"/>
    <w:rsid w:val="001B3E71"/>
    <w:rsid w:val="001B461A"/>
    <w:rsid w:val="001B62E0"/>
    <w:rsid w:val="001B73EF"/>
    <w:rsid w:val="001B7976"/>
    <w:rsid w:val="001B7BA6"/>
    <w:rsid w:val="001C0281"/>
    <w:rsid w:val="001C1CE8"/>
    <w:rsid w:val="001C259D"/>
    <w:rsid w:val="001C3E9A"/>
    <w:rsid w:val="001C4427"/>
    <w:rsid w:val="001C48A3"/>
    <w:rsid w:val="001C56F8"/>
    <w:rsid w:val="001C5806"/>
    <w:rsid w:val="001C7047"/>
    <w:rsid w:val="001C787F"/>
    <w:rsid w:val="001D009E"/>
    <w:rsid w:val="001D2CF6"/>
    <w:rsid w:val="001D3006"/>
    <w:rsid w:val="001D434E"/>
    <w:rsid w:val="001D7EDA"/>
    <w:rsid w:val="001E0FA8"/>
    <w:rsid w:val="001E10B7"/>
    <w:rsid w:val="001E1B2E"/>
    <w:rsid w:val="001E3253"/>
    <w:rsid w:val="001E52E3"/>
    <w:rsid w:val="001E5CB9"/>
    <w:rsid w:val="001E6ABF"/>
    <w:rsid w:val="001E70F0"/>
    <w:rsid w:val="001F0CE2"/>
    <w:rsid w:val="001F24C7"/>
    <w:rsid w:val="001F2C0D"/>
    <w:rsid w:val="001F4FCA"/>
    <w:rsid w:val="001F510C"/>
    <w:rsid w:val="001F6FAE"/>
    <w:rsid w:val="00200AE1"/>
    <w:rsid w:val="00200E18"/>
    <w:rsid w:val="00201A06"/>
    <w:rsid w:val="00201C61"/>
    <w:rsid w:val="00202119"/>
    <w:rsid w:val="002034CF"/>
    <w:rsid w:val="0020400B"/>
    <w:rsid w:val="0020493C"/>
    <w:rsid w:val="00204F68"/>
    <w:rsid w:val="00206A32"/>
    <w:rsid w:val="002073D0"/>
    <w:rsid w:val="00207477"/>
    <w:rsid w:val="00207D83"/>
    <w:rsid w:val="00212877"/>
    <w:rsid w:val="00212B4F"/>
    <w:rsid w:val="00212BFA"/>
    <w:rsid w:val="00212D48"/>
    <w:rsid w:val="00213DAF"/>
    <w:rsid w:val="00213DD3"/>
    <w:rsid w:val="0021468D"/>
    <w:rsid w:val="00215673"/>
    <w:rsid w:val="00216437"/>
    <w:rsid w:val="00216A49"/>
    <w:rsid w:val="00216BAC"/>
    <w:rsid w:val="002202EA"/>
    <w:rsid w:val="00221B2B"/>
    <w:rsid w:val="00221ECD"/>
    <w:rsid w:val="002230AB"/>
    <w:rsid w:val="00224739"/>
    <w:rsid w:val="00225768"/>
    <w:rsid w:val="002300D7"/>
    <w:rsid w:val="0023086F"/>
    <w:rsid w:val="002313A0"/>
    <w:rsid w:val="002329E8"/>
    <w:rsid w:val="00234825"/>
    <w:rsid w:val="00234962"/>
    <w:rsid w:val="002355AA"/>
    <w:rsid w:val="00235910"/>
    <w:rsid w:val="00236579"/>
    <w:rsid w:val="002374E2"/>
    <w:rsid w:val="0024190D"/>
    <w:rsid w:val="00241C4F"/>
    <w:rsid w:val="00242811"/>
    <w:rsid w:val="0024577E"/>
    <w:rsid w:val="002509F1"/>
    <w:rsid w:val="00250F20"/>
    <w:rsid w:val="002514BB"/>
    <w:rsid w:val="00251A6B"/>
    <w:rsid w:val="00252486"/>
    <w:rsid w:val="00252683"/>
    <w:rsid w:val="00252CF2"/>
    <w:rsid w:val="0025532B"/>
    <w:rsid w:val="002570A3"/>
    <w:rsid w:val="00257B9D"/>
    <w:rsid w:val="00261071"/>
    <w:rsid w:val="00261D0B"/>
    <w:rsid w:val="0026241C"/>
    <w:rsid w:val="002626F8"/>
    <w:rsid w:val="0026377F"/>
    <w:rsid w:val="00264A1B"/>
    <w:rsid w:val="00264AB6"/>
    <w:rsid w:val="00266AB9"/>
    <w:rsid w:val="00266C45"/>
    <w:rsid w:val="002678C2"/>
    <w:rsid w:val="002708E8"/>
    <w:rsid w:val="00270FD6"/>
    <w:rsid w:val="002714BD"/>
    <w:rsid w:val="0027184C"/>
    <w:rsid w:val="00272E1D"/>
    <w:rsid w:val="00273F5B"/>
    <w:rsid w:val="002769B8"/>
    <w:rsid w:val="00276E1D"/>
    <w:rsid w:val="00277A63"/>
    <w:rsid w:val="002803F8"/>
    <w:rsid w:val="00282E30"/>
    <w:rsid w:val="002834C3"/>
    <w:rsid w:val="0028408E"/>
    <w:rsid w:val="002846F9"/>
    <w:rsid w:val="002847C3"/>
    <w:rsid w:val="00285EC7"/>
    <w:rsid w:val="00286644"/>
    <w:rsid w:val="00286C71"/>
    <w:rsid w:val="002913D2"/>
    <w:rsid w:val="00291C4D"/>
    <w:rsid w:val="0029370F"/>
    <w:rsid w:val="00293F20"/>
    <w:rsid w:val="00294E9F"/>
    <w:rsid w:val="002967C8"/>
    <w:rsid w:val="00297ABB"/>
    <w:rsid w:val="002A2C2C"/>
    <w:rsid w:val="002A3121"/>
    <w:rsid w:val="002A383A"/>
    <w:rsid w:val="002A42AF"/>
    <w:rsid w:val="002A549F"/>
    <w:rsid w:val="002A569D"/>
    <w:rsid w:val="002A574E"/>
    <w:rsid w:val="002A5DD6"/>
    <w:rsid w:val="002A6229"/>
    <w:rsid w:val="002A68A9"/>
    <w:rsid w:val="002B2314"/>
    <w:rsid w:val="002B2953"/>
    <w:rsid w:val="002B3172"/>
    <w:rsid w:val="002B40F2"/>
    <w:rsid w:val="002C1CCB"/>
    <w:rsid w:val="002C1F52"/>
    <w:rsid w:val="002C1F91"/>
    <w:rsid w:val="002C30EE"/>
    <w:rsid w:val="002C5BFC"/>
    <w:rsid w:val="002D0594"/>
    <w:rsid w:val="002D0FE9"/>
    <w:rsid w:val="002D2515"/>
    <w:rsid w:val="002D3B68"/>
    <w:rsid w:val="002D40C0"/>
    <w:rsid w:val="002D436A"/>
    <w:rsid w:val="002D43B2"/>
    <w:rsid w:val="002D4465"/>
    <w:rsid w:val="002D4CB9"/>
    <w:rsid w:val="002D4F1F"/>
    <w:rsid w:val="002D50D7"/>
    <w:rsid w:val="002D7686"/>
    <w:rsid w:val="002E0BCC"/>
    <w:rsid w:val="002E1582"/>
    <w:rsid w:val="002E39B3"/>
    <w:rsid w:val="002E3C5B"/>
    <w:rsid w:val="002E72F8"/>
    <w:rsid w:val="002E7F77"/>
    <w:rsid w:val="002F03A0"/>
    <w:rsid w:val="002F2706"/>
    <w:rsid w:val="002F2B3C"/>
    <w:rsid w:val="002F48C2"/>
    <w:rsid w:val="002F4BBB"/>
    <w:rsid w:val="002F5846"/>
    <w:rsid w:val="002F6183"/>
    <w:rsid w:val="002F6216"/>
    <w:rsid w:val="002F680D"/>
    <w:rsid w:val="00300798"/>
    <w:rsid w:val="00301021"/>
    <w:rsid w:val="00301F4F"/>
    <w:rsid w:val="00303CDE"/>
    <w:rsid w:val="003049DF"/>
    <w:rsid w:val="003057E4"/>
    <w:rsid w:val="00305A27"/>
    <w:rsid w:val="00306EAA"/>
    <w:rsid w:val="00307461"/>
    <w:rsid w:val="003101EF"/>
    <w:rsid w:val="00310F00"/>
    <w:rsid w:val="003118FA"/>
    <w:rsid w:val="0031252A"/>
    <w:rsid w:val="00312EAE"/>
    <w:rsid w:val="003146A8"/>
    <w:rsid w:val="00314905"/>
    <w:rsid w:val="0031584A"/>
    <w:rsid w:val="00315869"/>
    <w:rsid w:val="00316879"/>
    <w:rsid w:val="0032237A"/>
    <w:rsid w:val="00322899"/>
    <w:rsid w:val="0032290C"/>
    <w:rsid w:val="00322A40"/>
    <w:rsid w:val="00323488"/>
    <w:rsid w:val="00323492"/>
    <w:rsid w:val="003243A9"/>
    <w:rsid w:val="0032699A"/>
    <w:rsid w:val="00330730"/>
    <w:rsid w:val="003307E9"/>
    <w:rsid w:val="00334281"/>
    <w:rsid w:val="003353D1"/>
    <w:rsid w:val="00335D28"/>
    <w:rsid w:val="00335DDD"/>
    <w:rsid w:val="00335F2F"/>
    <w:rsid w:val="00336BE2"/>
    <w:rsid w:val="00337304"/>
    <w:rsid w:val="00342A21"/>
    <w:rsid w:val="00343F56"/>
    <w:rsid w:val="003448A8"/>
    <w:rsid w:val="00345DF8"/>
    <w:rsid w:val="003500F5"/>
    <w:rsid w:val="00350BFE"/>
    <w:rsid w:val="00351771"/>
    <w:rsid w:val="00351948"/>
    <w:rsid w:val="00351EB1"/>
    <w:rsid w:val="00353219"/>
    <w:rsid w:val="003534B4"/>
    <w:rsid w:val="00354249"/>
    <w:rsid w:val="0035430C"/>
    <w:rsid w:val="00356110"/>
    <w:rsid w:val="00356BAC"/>
    <w:rsid w:val="00356C0C"/>
    <w:rsid w:val="00360AA1"/>
    <w:rsid w:val="0036114A"/>
    <w:rsid w:val="00361635"/>
    <w:rsid w:val="00361E98"/>
    <w:rsid w:val="00362B2D"/>
    <w:rsid w:val="00364151"/>
    <w:rsid w:val="00364AE2"/>
    <w:rsid w:val="0036579C"/>
    <w:rsid w:val="00365BE0"/>
    <w:rsid w:val="00365E9F"/>
    <w:rsid w:val="0036718D"/>
    <w:rsid w:val="0036778D"/>
    <w:rsid w:val="00367A61"/>
    <w:rsid w:val="00367DCB"/>
    <w:rsid w:val="00371FC0"/>
    <w:rsid w:val="0037223A"/>
    <w:rsid w:val="0037319D"/>
    <w:rsid w:val="003733B1"/>
    <w:rsid w:val="003748BE"/>
    <w:rsid w:val="003762F4"/>
    <w:rsid w:val="003776F3"/>
    <w:rsid w:val="00377857"/>
    <w:rsid w:val="00382D83"/>
    <w:rsid w:val="00382E30"/>
    <w:rsid w:val="00384F8E"/>
    <w:rsid w:val="00387CDF"/>
    <w:rsid w:val="0039024B"/>
    <w:rsid w:val="003907AC"/>
    <w:rsid w:val="00390C79"/>
    <w:rsid w:val="003910EE"/>
    <w:rsid w:val="0039121B"/>
    <w:rsid w:val="00391A7D"/>
    <w:rsid w:val="00391B1D"/>
    <w:rsid w:val="003926DD"/>
    <w:rsid w:val="00393CFB"/>
    <w:rsid w:val="00393F2D"/>
    <w:rsid w:val="00395A99"/>
    <w:rsid w:val="00397D4E"/>
    <w:rsid w:val="00397EA6"/>
    <w:rsid w:val="003A07CD"/>
    <w:rsid w:val="003A098C"/>
    <w:rsid w:val="003A09D6"/>
    <w:rsid w:val="003A1C09"/>
    <w:rsid w:val="003A1F60"/>
    <w:rsid w:val="003A32BD"/>
    <w:rsid w:val="003A35EF"/>
    <w:rsid w:val="003A3B64"/>
    <w:rsid w:val="003A5770"/>
    <w:rsid w:val="003A65E9"/>
    <w:rsid w:val="003A6C14"/>
    <w:rsid w:val="003A7630"/>
    <w:rsid w:val="003B1069"/>
    <w:rsid w:val="003B1255"/>
    <w:rsid w:val="003B228A"/>
    <w:rsid w:val="003B2E80"/>
    <w:rsid w:val="003B2EDC"/>
    <w:rsid w:val="003B4CA9"/>
    <w:rsid w:val="003B6FA1"/>
    <w:rsid w:val="003C0A04"/>
    <w:rsid w:val="003C0CDC"/>
    <w:rsid w:val="003C0D60"/>
    <w:rsid w:val="003C7A27"/>
    <w:rsid w:val="003D232F"/>
    <w:rsid w:val="003D4238"/>
    <w:rsid w:val="003D430C"/>
    <w:rsid w:val="003D47D8"/>
    <w:rsid w:val="003D5043"/>
    <w:rsid w:val="003D6EA5"/>
    <w:rsid w:val="003D7970"/>
    <w:rsid w:val="003E0783"/>
    <w:rsid w:val="003E3DE9"/>
    <w:rsid w:val="003E43D8"/>
    <w:rsid w:val="003E4D23"/>
    <w:rsid w:val="003E6AFC"/>
    <w:rsid w:val="003E6F80"/>
    <w:rsid w:val="003E7E88"/>
    <w:rsid w:val="003F13FF"/>
    <w:rsid w:val="003F2C19"/>
    <w:rsid w:val="003F325B"/>
    <w:rsid w:val="003F3418"/>
    <w:rsid w:val="003F3432"/>
    <w:rsid w:val="003F713C"/>
    <w:rsid w:val="00401246"/>
    <w:rsid w:val="004012E3"/>
    <w:rsid w:val="00403D7D"/>
    <w:rsid w:val="00405AEE"/>
    <w:rsid w:val="00407A72"/>
    <w:rsid w:val="00407D0F"/>
    <w:rsid w:val="00407E73"/>
    <w:rsid w:val="00410128"/>
    <w:rsid w:val="004120F9"/>
    <w:rsid w:val="00412669"/>
    <w:rsid w:val="00412E87"/>
    <w:rsid w:val="00413DA9"/>
    <w:rsid w:val="004152AA"/>
    <w:rsid w:val="00420F52"/>
    <w:rsid w:val="004217F8"/>
    <w:rsid w:val="00422D42"/>
    <w:rsid w:val="00422DD0"/>
    <w:rsid w:val="00423FDA"/>
    <w:rsid w:val="00427466"/>
    <w:rsid w:val="00427808"/>
    <w:rsid w:val="00431BD6"/>
    <w:rsid w:val="004328DF"/>
    <w:rsid w:val="00433A61"/>
    <w:rsid w:val="004340B9"/>
    <w:rsid w:val="004352C8"/>
    <w:rsid w:val="004355EC"/>
    <w:rsid w:val="00436317"/>
    <w:rsid w:val="00436DF8"/>
    <w:rsid w:val="00440B39"/>
    <w:rsid w:val="00441831"/>
    <w:rsid w:val="00441F5D"/>
    <w:rsid w:val="00443428"/>
    <w:rsid w:val="00443962"/>
    <w:rsid w:val="00444942"/>
    <w:rsid w:val="004452A6"/>
    <w:rsid w:val="004460D7"/>
    <w:rsid w:val="00446F58"/>
    <w:rsid w:val="00447D1C"/>
    <w:rsid w:val="00451E86"/>
    <w:rsid w:val="0045398B"/>
    <w:rsid w:val="0045407E"/>
    <w:rsid w:val="00454FDD"/>
    <w:rsid w:val="004567FE"/>
    <w:rsid w:val="0045758B"/>
    <w:rsid w:val="00457F21"/>
    <w:rsid w:val="004606C4"/>
    <w:rsid w:val="00460E9C"/>
    <w:rsid w:val="00461FC1"/>
    <w:rsid w:val="0046333E"/>
    <w:rsid w:val="004637C1"/>
    <w:rsid w:val="004641D5"/>
    <w:rsid w:val="004644E3"/>
    <w:rsid w:val="00467959"/>
    <w:rsid w:val="0047051E"/>
    <w:rsid w:val="00473B2C"/>
    <w:rsid w:val="0047459D"/>
    <w:rsid w:val="00474958"/>
    <w:rsid w:val="004750F1"/>
    <w:rsid w:val="00475FBE"/>
    <w:rsid w:val="0047627B"/>
    <w:rsid w:val="00481A8F"/>
    <w:rsid w:val="00481D3E"/>
    <w:rsid w:val="00482883"/>
    <w:rsid w:val="0048291E"/>
    <w:rsid w:val="00482EDF"/>
    <w:rsid w:val="0048401E"/>
    <w:rsid w:val="00485BB2"/>
    <w:rsid w:val="00486857"/>
    <w:rsid w:val="00490791"/>
    <w:rsid w:val="004927D3"/>
    <w:rsid w:val="004929DF"/>
    <w:rsid w:val="004933AE"/>
    <w:rsid w:val="00493518"/>
    <w:rsid w:val="00493B48"/>
    <w:rsid w:val="00493BA5"/>
    <w:rsid w:val="00493CD3"/>
    <w:rsid w:val="00494D51"/>
    <w:rsid w:val="00494E09"/>
    <w:rsid w:val="004953C8"/>
    <w:rsid w:val="0049591B"/>
    <w:rsid w:val="004966B1"/>
    <w:rsid w:val="00497610"/>
    <w:rsid w:val="004A1D72"/>
    <w:rsid w:val="004A2D1E"/>
    <w:rsid w:val="004A309D"/>
    <w:rsid w:val="004A375A"/>
    <w:rsid w:val="004A42C1"/>
    <w:rsid w:val="004A4D26"/>
    <w:rsid w:val="004A4E24"/>
    <w:rsid w:val="004A5599"/>
    <w:rsid w:val="004B0AE3"/>
    <w:rsid w:val="004B1196"/>
    <w:rsid w:val="004B2E83"/>
    <w:rsid w:val="004B49C7"/>
    <w:rsid w:val="004B6B07"/>
    <w:rsid w:val="004C0D4E"/>
    <w:rsid w:val="004C2ED0"/>
    <w:rsid w:val="004C3068"/>
    <w:rsid w:val="004C35E6"/>
    <w:rsid w:val="004C561C"/>
    <w:rsid w:val="004C6C84"/>
    <w:rsid w:val="004C7A7B"/>
    <w:rsid w:val="004D280F"/>
    <w:rsid w:val="004D2935"/>
    <w:rsid w:val="004D44F4"/>
    <w:rsid w:val="004D549E"/>
    <w:rsid w:val="004D6501"/>
    <w:rsid w:val="004D6F3A"/>
    <w:rsid w:val="004E114A"/>
    <w:rsid w:val="004E1ADA"/>
    <w:rsid w:val="004E3025"/>
    <w:rsid w:val="004E4FB5"/>
    <w:rsid w:val="004E62F1"/>
    <w:rsid w:val="004E6CFD"/>
    <w:rsid w:val="004E753B"/>
    <w:rsid w:val="004F00E5"/>
    <w:rsid w:val="004F0E41"/>
    <w:rsid w:val="004F2B1E"/>
    <w:rsid w:val="004F2C28"/>
    <w:rsid w:val="004F345A"/>
    <w:rsid w:val="004F3A44"/>
    <w:rsid w:val="004F5040"/>
    <w:rsid w:val="004F5396"/>
    <w:rsid w:val="004F5678"/>
    <w:rsid w:val="004F73E7"/>
    <w:rsid w:val="004F7837"/>
    <w:rsid w:val="00502B30"/>
    <w:rsid w:val="00503599"/>
    <w:rsid w:val="00505441"/>
    <w:rsid w:val="0050632B"/>
    <w:rsid w:val="005069A3"/>
    <w:rsid w:val="00507D16"/>
    <w:rsid w:val="00507E43"/>
    <w:rsid w:val="00507EA0"/>
    <w:rsid w:val="0051163D"/>
    <w:rsid w:val="00511CC2"/>
    <w:rsid w:val="00511EFB"/>
    <w:rsid w:val="005123A6"/>
    <w:rsid w:val="00513241"/>
    <w:rsid w:val="00514F12"/>
    <w:rsid w:val="00515E47"/>
    <w:rsid w:val="00515FB5"/>
    <w:rsid w:val="005205A6"/>
    <w:rsid w:val="005209BD"/>
    <w:rsid w:val="00521750"/>
    <w:rsid w:val="00521E7D"/>
    <w:rsid w:val="00524754"/>
    <w:rsid w:val="005249FE"/>
    <w:rsid w:val="0052607D"/>
    <w:rsid w:val="00526329"/>
    <w:rsid w:val="00527746"/>
    <w:rsid w:val="00531318"/>
    <w:rsid w:val="00531D84"/>
    <w:rsid w:val="00533615"/>
    <w:rsid w:val="005338CA"/>
    <w:rsid w:val="005342FA"/>
    <w:rsid w:val="005348DB"/>
    <w:rsid w:val="00536323"/>
    <w:rsid w:val="00536783"/>
    <w:rsid w:val="005405FA"/>
    <w:rsid w:val="005410AB"/>
    <w:rsid w:val="00541D50"/>
    <w:rsid w:val="00542094"/>
    <w:rsid w:val="005422D2"/>
    <w:rsid w:val="00543355"/>
    <w:rsid w:val="00551CD9"/>
    <w:rsid w:val="00551EDC"/>
    <w:rsid w:val="00552ABF"/>
    <w:rsid w:val="00552D8E"/>
    <w:rsid w:val="0055308C"/>
    <w:rsid w:val="005538BF"/>
    <w:rsid w:val="0055415A"/>
    <w:rsid w:val="00554670"/>
    <w:rsid w:val="00555B9D"/>
    <w:rsid w:val="00556570"/>
    <w:rsid w:val="00557D10"/>
    <w:rsid w:val="00560B1C"/>
    <w:rsid w:val="00560E9F"/>
    <w:rsid w:val="00561A29"/>
    <w:rsid w:val="00561B0D"/>
    <w:rsid w:val="00565959"/>
    <w:rsid w:val="005659BC"/>
    <w:rsid w:val="005662BD"/>
    <w:rsid w:val="0056685F"/>
    <w:rsid w:val="00566ACA"/>
    <w:rsid w:val="005672FB"/>
    <w:rsid w:val="00571A33"/>
    <w:rsid w:val="00571AD4"/>
    <w:rsid w:val="0057208A"/>
    <w:rsid w:val="00573549"/>
    <w:rsid w:val="00573E10"/>
    <w:rsid w:val="005740A9"/>
    <w:rsid w:val="00575149"/>
    <w:rsid w:val="00576301"/>
    <w:rsid w:val="0057686D"/>
    <w:rsid w:val="00580A27"/>
    <w:rsid w:val="005816A7"/>
    <w:rsid w:val="00581946"/>
    <w:rsid w:val="00581F6A"/>
    <w:rsid w:val="00582143"/>
    <w:rsid w:val="005824FA"/>
    <w:rsid w:val="0058323C"/>
    <w:rsid w:val="005837E0"/>
    <w:rsid w:val="00583C1E"/>
    <w:rsid w:val="00584294"/>
    <w:rsid w:val="00584806"/>
    <w:rsid w:val="00585080"/>
    <w:rsid w:val="00586629"/>
    <w:rsid w:val="00590A63"/>
    <w:rsid w:val="00591297"/>
    <w:rsid w:val="005933E9"/>
    <w:rsid w:val="00593D1B"/>
    <w:rsid w:val="005941F9"/>
    <w:rsid w:val="00595662"/>
    <w:rsid w:val="00596B19"/>
    <w:rsid w:val="005974C8"/>
    <w:rsid w:val="005A1330"/>
    <w:rsid w:val="005A23C6"/>
    <w:rsid w:val="005A38F1"/>
    <w:rsid w:val="005A439B"/>
    <w:rsid w:val="005A460E"/>
    <w:rsid w:val="005A56E1"/>
    <w:rsid w:val="005A761C"/>
    <w:rsid w:val="005A7834"/>
    <w:rsid w:val="005A7F8F"/>
    <w:rsid w:val="005B2A02"/>
    <w:rsid w:val="005B2A7C"/>
    <w:rsid w:val="005B3298"/>
    <w:rsid w:val="005B6950"/>
    <w:rsid w:val="005C3513"/>
    <w:rsid w:val="005C36C1"/>
    <w:rsid w:val="005C37CA"/>
    <w:rsid w:val="005C402E"/>
    <w:rsid w:val="005C40E0"/>
    <w:rsid w:val="005C4908"/>
    <w:rsid w:val="005C5363"/>
    <w:rsid w:val="005C5EA6"/>
    <w:rsid w:val="005C68EB"/>
    <w:rsid w:val="005D1765"/>
    <w:rsid w:val="005D2D2D"/>
    <w:rsid w:val="005D2F0F"/>
    <w:rsid w:val="005D30D2"/>
    <w:rsid w:val="005D523B"/>
    <w:rsid w:val="005D6D4E"/>
    <w:rsid w:val="005D7BF1"/>
    <w:rsid w:val="005E019E"/>
    <w:rsid w:val="005E213D"/>
    <w:rsid w:val="005E3126"/>
    <w:rsid w:val="005E42AC"/>
    <w:rsid w:val="005E47C4"/>
    <w:rsid w:val="005E4BED"/>
    <w:rsid w:val="005E56E3"/>
    <w:rsid w:val="005E68B3"/>
    <w:rsid w:val="005E6B12"/>
    <w:rsid w:val="005E7F15"/>
    <w:rsid w:val="005F0DBA"/>
    <w:rsid w:val="005F1E8C"/>
    <w:rsid w:val="005F2AAB"/>
    <w:rsid w:val="005F2ED0"/>
    <w:rsid w:val="005F4336"/>
    <w:rsid w:val="005F5094"/>
    <w:rsid w:val="005F55A5"/>
    <w:rsid w:val="005F5BB9"/>
    <w:rsid w:val="005F5DDA"/>
    <w:rsid w:val="005F67C9"/>
    <w:rsid w:val="005F732F"/>
    <w:rsid w:val="00601599"/>
    <w:rsid w:val="00601CE7"/>
    <w:rsid w:val="0060567F"/>
    <w:rsid w:val="006058BF"/>
    <w:rsid w:val="00606EBA"/>
    <w:rsid w:val="00607659"/>
    <w:rsid w:val="0061010E"/>
    <w:rsid w:val="006109F0"/>
    <w:rsid w:val="00610CAF"/>
    <w:rsid w:val="00612383"/>
    <w:rsid w:val="00613198"/>
    <w:rsid w:val="006134E8"/>
    <w:rsid w:val="00615D45"/>
    <w:rsid w:val="00617612"/>
    <w:rsid w:val="0062000D"/>
    <w:rsid w:val="006228C4"/>
    <w:rsid w:val="006304A4"/>
    <w:rsid w:val="00630A3E"/>
    <w:rsid w:val="00631A05"/>
    <w:rsid w:val="00631BBC"/>
    <w:rsid w:val="00632F9C"/>
    <w:rsid w:val="0063347A"/>
    <w:rsid w:val="00633735"/>
    <w:rsid w:val="0063547E"/>
    <w:rsid w:val="0063651F"/>
    <w:rsid w:val="00636DBC"/>
    <w:rsid w:val="006376F4"/>
    <w:rsid w:val="00637AF4"/>
    <w:rsid w:val="00637D02"/>
    <w:rsid w:val="006409A7"/>
    <w:rsid w:val="00640F3C"/>
    <w:rsid w:val="00641097"/>
    <w:rsid w:val="00642FF1"/>
    <w:rsid w:val="00643507"/>
    <w:rsid w:val="006436C5"/>
    <w:rsid w:val="0064391B"/>
    <w:rsid w:val="0064398C"/>
    <w:rsid w:val="00644B6B"/>
    <w:rsid w:val="00645744"/>
    <w:rsid w:val="006458AD"/>
    <w:rsid w:val="00647B95"/>
    <w:rsid w:val="0065076A"/>
    <w:rsid w:val="006518BA"/>
    <w:rsid w:val="00652B0E"/>
    <w:rsid w:val="00652F50"/>
    <w:rsid w:val="006532B3"/>
    <w:rsid w:val="00653584"/>
    <w:rsid w:val="006537EB"/>
    <w:rsid w:val="006558FA"/>
    <w:rsid w:val="006563BE"/>
    <w:rsid w:val="006566BE"/>
    <w:rsid w:val="00657DFE"/>
    <w:rsid w:val="0066046C"/>
    <w:rsid w:val="006613E2"/>
    <w:rsid w:val="006628DA"/>
    <w:rsid w:val="00664DF2"/>
    <w:rsid w:val="0067045F"/>
    <w:rsid w:val="00671AC7"/>
    <w:rsid w:val="006721D8"/>
    <w:rsid w:val="00674F9B"/>
    <w:rsid w:val="0067581B"/>
    <w:rsid w:val="00676479"/>
    <w:rsid w:val="00677223"/>
    <w:rsid w:val="0067777C"/>
    <w:rsid w:val="006809F7"/>
    <w:rsid w:val="00680B53"/>
    <w:rsid w:val="00681434"/>
    <w:rsid w:val="006864D1"/>
    <w:rsid w:val="00686D9A"/>
    <w:rsid w:val="006879A9"/>
    <w:rsid w:val="00687B3E"/>
    <w:rsid w:val="006917F8"/>
    <w:rsid w:val="00691B4F"/>
    <w:rsid w:val="00692039"/>
    <w:rsid w:val="006929CD"/>
    <w:rsid w:val="00694ADF"/>
    <w:rsid w:val="00695648"/>
    <w:rsid w:val="00696AB9"/>
    <w:rsid w:val="00697E33"/>
    <w:rsid w:val="00697F58"/>
    <w:rsid w:val="006A214F"/>
    <w:rsid w:val="006A3715"/>
    <w:rsid w:val="006A4D2E"/>
    <w:rsid w:val="006A78DF"/>
    <w:rsid w:val="006A7D44"/>
    <w:rsid w:val="006A7D7E"/>
    <w:rsid w:val="006A7EA4"/>
    <w:rsid w:val="006B12E2"/>
    <w:rsid w:val="006B1F4D"/>
    <w:rsid w:val="006B2C8D"/>
    <w:rsid w:val="006B2D74"/>
    <w:rsid w:val="006B3CE3"/>
    <w:rsid w:val="006B4DBA"/>
    <w:rsid w:val="006B51A2"/>
    <w:rsid w:val="006B71B6"/>
    <w:rsid w:val="006C09BB"/>
    <w:rsid w:val="006C238A"/>
    <w:rsid w:val="006C3366"/>
    <w:rsid w:val="006C622A"/>
    <w:rsid w:val="006C74A6"/>
    <w:rsid w:val="006D32C2"/>
    <w:rsid w:val="006D47DE"/>
    <w:rsid w:val="006D50D3"/>
    <w:rsid w:val="006D73C8"/>
    <w:rsid w:val="006D76FB"/>
    <w:rsid w:val="006E0942"/>
    <w:rsid w:val="006E0A8D"/>
    <w:rsid w:val="006E400D"/>
    <w:rsid w:val="006E7395"/>
    <w:rsid w:val="006F03F3"/>
    <w:rsid w:val="006F1294"/>
    <w:rsid w:val="006F27F0"/>
    <w:rsid w:val="006F50C6"/>
    <w:rsid w:val="006F57F7"/>
    <w:rsid w:val="00701DCF"/>
    <w:rsid w:val="007024F5"/>
    <w:rsid w:val="0070276E"/>
    <w:rsid w:val="00703E47"/>
    <w:rsid w:val="00705B07"/>
    <w:rsid w:val="00707A37"/>
    <w:rsid w:val="0071124C"/>
    <w:rsid w:val="007175ED"/>
    <w:rsid w:val="0072390D"/>
    <w:rsid w:val="00725100"/>
    <w:rsid w:val="00726917"/>
    <w:rsid w:val="00730CE0"/>
    <w:rsid w:val="00732E31"/>
    <w:rsid w:val="00734666"/>
    <w:rsid w:val="0073519D"/>
    <w:rsid w:val="00735312"/>
    <w:rsid w:val="00735CBD"/>
    <w:rsid w:val="007364E2"/>
    <w:rsid w:val="00736E3A"/>
    <w:rsid w:val="007370C9"/>
    <w:rsid w:val="0073715E"/>
    <w:rsid w:val="007421A0"/>
    <w:rsid w:val="007421FB"/>
    <w:rsid w:val="00743CDE"/>
    <w:rsid w:val="00744100"/>
    <w:rsid w:val="007451D2"/>
    <w:rsid w:val="00745B2B"/>
    <w:rsid w:val="00746539"/>
    <w:rsid w:val="007522DC"/>
    <w:rsid w:val="007547BF"/>
    <w:rsid w:val="00756656"/>
    <w:rsid w:val="007601E4"/>
    <w:rsid w:val="0076020E"/>
    <w:rsid w:val="00760B6E"/>
    <w:rsid w:val="007610EA"/>
    <w:rsid w:val="00761298"/>
    <w:rsid w:val="00761505"/>
    <w:rsid w:val="00763CD1"/>
    <w:rsid w:val="00763DEA"/>
    <w:rsid w:val="00764860"/>
    <w:rsid w:val="00766D16"/>
    <w:rsid w:val="00767872"/>
    <w:rsid w:val="007701A9"/>
    <w:rsid w:val="00771921"/>
    <w:rsid w:val="00771FE1"/>
    <w:rsid w:val="0077221F"/>
    <w:rsid w:val="00772CDB"/>
    <w:rsid w:val="0077443B"/>
    <w:rsid w:val="007744BF"/>
    <w:rsid w:val="00774562"/>
    <w:rsid w:val="00777C48"/>
    <w:rsid w:val="00781832"/>
    <w:rsid w:val="0078205C"/>
    <w:rsid w:val="0078290F"/>
    <w:rsid w:val="0078302C"/>
    <w:rsid w:val="00783071"/>
    <w:rsid w:val="00784A22"/>
    <w:rsid w:val="00786019"/>
    <w:rsid w:val="00786363"/>
    <w:rsid w:val="007864C8"/>
    <w:rsid w:val="00786779"/>
    <w:rsid w:val="007875A6"/>
    <w:rsid w:val="0079227C"/>
    <w:rsid w:val="0079289B"/>
    <w:rsid w:val="00792DC1"/>
    <w:rsid w:val="00794592"/>
    <w:rsid w:val="0079613D"/>
    <w:rsid w:val="00797E86"/>
    <w:rsid w:val="007A3029"/>
    <w:rsid w:val="007A3BAC"/>
    <w:rsid w:val="007A47D8"/>
    <w:rsid w:val="007A7162"/>
    <w:rsid w:val="007B04C2"/>
    <w:rsid w:val="007B4187"/>
    <w:rsid w:val="007B54B0"/>
    <w:rsid w:val="007B5BCD"/>
    <w:rsid w:val="007B65E8"/>
    <w:rsid w:val="007B6CFF"/>
    <w:rsid w:val="007B744E"/>
    <w:rsid w:val="007B7458"/>
    <w:rsid w:val="007B796C"/>
    <w:rsid w:val="007C0692"/>
    <w:rsid w:val="007C2077"/>
    <w:rsid w:val="007C3EEE"/>
    <w:rsid w:val="007C4103"/>
    <w:rsid w:val="007C47FE"/>
    <w:rsid w:val="007C4FE0"/>
    <w:rsid w:val="007C55D8"/>
    <w:rsid w:val="007D01D5"/>
    <w:rsid w:val="007D0A29"/>
    <w:rsid w:val="007D5045"/>
    <w:rsid w:val="007D5A95"/>
    <w:rsid w:val="007D6FEA"/>
    <w:rsid w:val="007D77B4"/>
    <w:rsid w:val="007E1B3F"/>
    <w:rsid w:val="007E4344"/>
    <w:rsid w:val="007E58D8"/>
    <w:rsid w:val="007F1650"/>
    <w:rsid w:val="007F2807"/>
    <w:rsid w:val="007F5B15"/>
    <w:rsid w:val="007F6D37"/>
    <w:rsid w:val="008000CF"/>
    <w:rsid w:val="00801C5D"/>
    <w:rsid w:val="00811E0E"/>
    <w:rsid w:val="00812CDD"/>
    <w:rsid w:val="00815240"/>
    <w:rsid w:val="00816737"/>
    <w:rsid w:val="008236C1"/>
    <w:rsid w:val="008275B1"/>
    <w:rsid w:val="00827683"/>
    <w:rsid w:val="0082770B"/>
    <w:rsid w:val="00830546"/>
    <w:rsid w:val="008305C3"/>
    <w:rsid w:val="00830C67"/>
    <w:rsid w:val="00833683"/>
    <w:rsid w:val="00835AE7"/>
    <w:rsid w:val="008370F2"/>
    <w:rsid w:val="00837915"/>
    <w:rsid w:val="008410C6"/>
    <w:rsid w:val="0084125D"/>
    <w:rsid w:val="00841CA8"/>
    <w:rsid w:val="00844A68"/>
    <w:rsid w:val="0084514D"/>
    <w:rsid w:val="00845591"/>
    <w:rsid w:val="008455CA"/>
    <w:rsid w:val="00845B25"/>
    <w:rsid w:val="00845EDD"/>
    <w:rsid w:val="00846F24"/>
    <w:rsid w:val="00847A71"/>
    <w:rsid w:val="00850B2D"/>
    <w:rsid w:val="00851668"/>
    <w:rsid w:val="00851CFA"/>
    <w:rsid w:val="00851FCE"/>
    <w:rsid w:val="00853E1B"/>
    <w:rsid w:val="0085499D"/>
    <w:rsid w:val="00854A88"/>
    <w:rsid w:val="00856754"/>
    <w:rsid w:val="0085688A"/>
    <w:rsid w:val="008608C2"/>
    <w:rsid w:val="0086292D"/>
    <w:rsid w:val="008642C9"/>
    <w:rsid w:val="008649D3"/>
    <w:rsid w:val="00864BDD"/>
    <w:rsid w:val="0086562A"/>
    <w:rsid w:val="00865892"/>
    <w:rsid w:val="00865CA9"/>
    <w:rsid w:val="0086616E"/>
    <w:rsid w:val="00872218"/>
    <w:rsid w:val="00873B50"/>
    <w:rsid w:val="00876A9D"/>
    <w:rsid w:val="00876F48"/>
    <w:rsid w:val="00877402"/>
    <w:rsid w:val="00877CD2"/>
    <w:rsid w:val="008810BD"/>
    <w:rsid w:val="00881E91"/>
    <w:rsid w:val="00882CCA"/>
    <w:rsid w:val="00884D8C"/>
    <w:rsid w:val="0088681D"/>
    <w:rsid w:val="00886B32"/>
    <w:rsid w:val="0088701C"/>
    <w:rsid w:val="00887250"/>
    <w:rsid w:val="00890F82"/>
    <w:rsid w:val="00891079"/>
    <w:rsid w:val="0089185F"/>
    <w:rsid w:val="00892EB8"/>
    <w:rsid w:val="00894B43"/>
    <w:rsid w:val="00894F87"/>
    <w:rsid w:val="008A087E"/>
    <w:rsid w:val="008A0EB6"/>
    <w:rsid w:val="008A139D"/>
    <w:rsid w:val="008A2CCA"/>
    <w:rsid w:val="008A42F0"/>
    <w:rsid w:val="008A4A3D"/>
    <w:rsid w:val="008A4C37"/>
    <w:rsid w:val="008A4E85"/>
    <w:rsid w:val="008B04C8"/>
    <w:rsid w:val="008B0A61"/>
    <w:rsid w:val="008B1CC4"/>
    <w:rsid w:val="008B411F"/>
    <w:rsid w:val="008B4FC6"/>
    <w:rsid w:val="008B5C95"/>
    <w:rsid w:val="008B72E1"/>
    <w:rsid w:val="008B781A"/>
    <w:rsid w:val="008C0367"/>
    <w:rsid w:val="008C050A"/>
    <w:rsid w:val="008C1B26"/>
    <w:rsid w:val="008C7C69"/>
    <w:rsid w:val="008D0341"/>
    <w:rsid w:val="008D219B"/>
    <w:rsid w:val="008D3174"/>
    <w:rsid w:val="008D3C86"/>
    <w:rsid w:val="008D3FB9"/>
    <w:rsid w:val="008D45D7"/>
    <w:rsid w:val="008D63DB"/>
    <w:rsid w:val="008D7339"/>
    <w:rsid w:val="008E04A5"/>
    <w:rsid w:val="008E1A50"/>
    <w:rsid w:val="008E1CB9"/>
    <w:rsid w:val="008E2BD7"/>
    <w:rsid w:val="008E57EF"/>
    <w:rsid w:val="008E593B"/>
    <w:rsid w:val="008E6540"/>
    <w:rsid w:val="008E72E5"/>
    <w:rsid w:val="008F0269"/>
    <w:rsid w:val="008F0626"/>
    <w:rsid w:val="008F2B3F"/>
    <w:rsid w:val="008F30B6"/>
    <w:rsid w:val="008F3E5E"/>
    <w:rsid w:val="008F4618"/>
    <w:rsid w:val="008F5070"/>
    <w:rsid w:val="008F5270"/>
    <w:rsid w:val="0090039B"/>
    <w:rsid w:val="00900971"/>
    <w:rsid w:val="00901161"/>
    <w:rsid w:val="00901593"/>
    <w:rsid w:val="00901A54"/>
    <w:rsid w:val="0090320E"/>
    <w:rsid w:val="00904395"/>
    <w:rsid w:val="00904AA0"/>
    <w:rsid w:val="00904E41"/>
    <w:rsid w:val="00904E45"/>
    <w:rsid w:val="009056AE"/>
    <w:rsid w:val="009063E9"/>
    <w:rsid w:val="00906E50"/>
    <w:rsid w:val="009102B5"/>
    <w:rsid w:val="00910525"/>
    <w:rsid w:val="009121C2"/>
    <w:rsid w:val="00913A0A"/>
    <w:rsid w:val="00913E44"/>
    <w:rsid w:val="0091412B"/>
    <w:rsid w:val="00914FCE"/>
    <w:rsid w:val="00920B20"/>
    <w:rsid w:val="00921010"/>
    <w:rsid w:val="009210AE"/>
    <w:rsid w:val="0092194D"/>
    <w:rsid w:val="009252B9"/>
    <w:rsid w:val="00925B43"/>
    <w:rsid w:val="0092768E"/>
    <w:rsid w:val="00930CCE"/>
    <w:rsid w:val="00931E6C"/>
    <w:rsid w:val="00932F18"/>
    <w:rsid w:val="00932FB5"/>
    <w:rsid w:val="00933480"/>
    <w:rsid w:val="0093465B"/>
    <w:rsid w:val="00935281"/>
    <w:rsid w:val="00935719"/>
    <w:rsid w:val="00936B47"/>
    <w:rsid w:val="0094072B"/>
    <w:rsid w:val="00942BC9"/>
    <w:rsid w:val="00943830"/>
    <w:rsid w:val="00944035"/>
    <w:rsid w:val="00951258"/>
    <w:rsid w:val="0095125D"/>
    <w:rsid w:val="009512C1"/>
    <w:rsid w:val="00952A6C"/>
    <w:rsid w:val="00952D50"/>
    <w:rsid w:val="00953F86"/>
    <w:rsid w:val="009541AE"/>
    <w:rsid w:val="0095420E"/>
    <w:rsid w:val="009542DD"/>
    <w:rsid w:val="00954801"/>
    <w:rsid w:val="00955662"/>
    <w:rsid w:val="00955DDF"/>
    <w:rsid w:val="00956D25"/>
    <w:rsid w:val="0096133A"/>
    <w:rsid w:val="00962081"/>
    <w:rsid w:val="00963325"/>
    <w:rsid w:val="009638D8"/>
    <w:rsid w:val="00963F67"/>
    <w:rsid w:val="00965EBF"/>
    <w:rsid w:val="00967A74"/>
    <w:rsid w:val="00970032"/>
    <w:rsid w:val="009730BE"/>
    <w:rsid w:val="009749D4"/>
    <w:rsid w:val="0097503C"/>
    <w:rsid w:val="00976A4A"/>
    <w:rsid w:val="00976C36"/>
    <w:rsid w:val="00977AA3"/>
    <w:rsid w:val="00977C7C"/>
    <w:rsid w:val="00977CA4"/>
    <w:rsid w:val="00980AE7"/>
    <w:rsid w:val="00980FEF"/>
    <w:rsid w:val="00982059"/>
    <w:rsid w:val="009821DF"/>
    <w:rsid w:val="00982CCC"/>
    <w:rsid w:val="00983577"/>
    <w:rsid w:val="0098479C"/>
    <w:rsid w:val="00984C64"/>
    <w:rsid w:val="00985019"/>
    <w:rsid w:val="0098547F"/>
    <w:rsid w:val="00986355"/>
    <w:rsid w:val="00986E61"/>
    <w:rsid w:val="00987065"/>
    <w:rsid w:val="00987D51"/>
    <w:rsid w:val="00987F51"/>
    <w:rsid w:val="00990653"/>
    <w:rsid w:val="00990D7A"/>
    <w:rsid w:val="00991912"/>
    <w:rsid w:val="00991FF2"/>
    <w:rsid w:val="00992348"/>
    <w:rsid w:val="009939B5"/>
    <w:rsid w:val="00994315"/>
    <w:rsid w:val="00994EA7"/>
    <w:rsid w:val="0099577C"/>
    <w:rsid w:val="00995B6B"/>
    <w:rsid w:val="00995FE3"/>
    <w:rsid w:val="009961AC"/>
    <w:rsid w:val="00996D62"/>
    <w:rsid w:val="009A17E0"/>
    <w:rsid w:val="009A1FB3"/>
    <w:rsid w:val="009A27E4"/>
    <w:rsid w:val="009A2FB5"/>
    <w:rsid w:val="009A3E36"/>
    <w:rsid w:val="009A7041"/>
    <w:rsid w:val="009A77AB"/>
    <w:rsid w:val="009B421B"/>
    <w:rsid w:val="009B4760"/>
    <w:rsid w:val="009B5A93"/>
    <w:rsid w:val="009B5DC4"/>
    <w:rsid w:val="009B76D5"/>
    <w:rsid w:val="009B7DB0"/>
    <w:rsid w:val="009C047F"/>
    <w:rsid w:val="009C0673"/>
    <w:rsid w:val="009C2618"/>
    <w:rsid w:val="009C3073"/>
    <w:rsid w:val="009C32D2"/>
    <w:rsid w:val="009C353D"/>
    <w:rsid w:val="009C3DCB"/>
    <w:rsid w:val="009C435A"/>
    <w:rsid w:val="009C4A34"/>
    <w:rsid w:val="009C534C"/>
    <w:rsid w:val="009C6D83"/>
    <w:rsid w:val="009C705E"/>
    <w:rsid w:val="009C7F22"/>
    <w:rsid w:val="009D225F"/>
    <w:rsid w:val="009D5746"/>
    <w:rsid w:val="009D6206"/>
    <w:rsid w:val="009D66DD"/>
    <w:rsid w:val="009D7DA6"/>
    <w:rsid w:val="009D7FDA"/>
    <w:rsid w:val="009E0624"/>
    <w:rsid w:val="009E13D8"/>
    <w:rsid w:val="009E3132"/>
    <w:rsid w:val="009E384D"/>
    <w:rsid w:val="009E579C"/>
    <w:rsid w:val="009E5A24"/>
    <w:rsid w:val="009E715C"/>
    <w:rsid w:val="009E74C2"/>
    <w:rsid w:val="009E75CB"/>
    <w:rsid w:val="009E79A6"/>
    <w:rsid w:val="009F0AAD"/>
    <w:rsid w:val="009F0FE2"/>
    <w:rsid w:val="009F1745"/>
    <w:rsid w:val="009F364E"/>
    <w:rsid w:val="009F7316"/>
    <w:rsid w:val="00A0065F"/>
    <w:rsid w:val="00A018A3"/>
    <w:rsid w:val="00A02094"/>
    <w:rsid w:val="00A02E40"/>
    <w:rsid w:val="00A04F3E"/>
    <w:rsid w:val="00A052DD"/>
    <w:rsid w:val="00A05C94"/>
    <w:rsid w:val="00A10500"/>
    <w:rsid w:val="00A113F8"/>
    <w:rsid w:val="00A11E78"/>
    <w:rsid w:val="00A15758"/>
    <w:rsid w:val="00A163CD"/>
    <w:rsid w:val="00A16E9F"/>
    <w:rsid w:val="00A17B2F"/>
    <w:rsid w:val="00A17DD4"/>
    <w:rsid w:val="00A20765"/>
    <w:rsid w:val="00A21EC8"/>
    <w:rsid w:val="00A24205"/>
    <w:rsid w:val="00A25EC4"/>
    <w:rsid w:val="00A31136"/>
    <w:rsid w:val="00A31253"/>
    <w:rsid w:val="00A31D2E"/>
    <w:rsid w:val="00A32CE9"/>
    <w:rsid w:val="00A42442"/>
    <w:rsid w:val="00A426C4"/>
    <w:rsid w:val="00A44BA1"/>
    <w:rsid w:val="00A4650E"/>
    <w:rsid w:val="00A4674E"/>
    <w:rsid w:val="00A4781D"/>
    <w:rsid w:val="00A50655"/>
    <w:rsid w:val="00A50887"/>
    <w:rsid w:val="00A51C66"/>
    <w:rsid w:val="00A52935"/>
    <w:rsid w:val="00A529F0"/>
    <w:rsid w:val="00A537A5"/>
    <w:rsid w:val="00A53C12"/>
    <w:rsid w:val="00A53F8E"/>
    <w:rsid w:val="00A5530D"/>
    <w:rsid w:val="00A56EDD"/>
    <w:rsid w:val="00A574C4"/>
    <w:rsid w:val="00A57D87"/>
    <w:rsid w:val="00A60C12"/>
    <w:rsid w:val="00A62540"/>
    <w:rsid w:val="00A62861"/>
    <w:rsid w:val="00A6412F"/>
    <w:rsid w:val="00A64AC4"/>
    <w:rsid w:val="00A650C0"/>
    <w:rsid w:val="00A66DC9"/>
    <w:rsid w:val="00A670F5"/>
    <w:rsid w:val="00A67DF1"/>
    <w:rsid w:val="00A70030"/>
    <w:rsid w:val="00A70EFC"/>
    <w:rsid w:val="00A7174B"/>
    <w:rsid w:val="00A723D9"/>
    <w:rsid w:val="00A77FA1"/>
    <w:rsid w:val="00A801B1"/>
    <w:rsid w:val="00A81FE8"/>
    <w:rsid w:val="00A825BE"/>
    <w:rsid w:val="00A82C0D"/>
    <w:rsid w:val="00A83094"/>
    <w:rsid w:val="00A85252"/>
    <w:rsid w:val="00A8652A"/>
    <w:rsid w:val="00A9053A"/>
    <w:rsid w:val="00A90803"/>
    <w:rsid w:val="00A90B40"/>
    <w:rsid w:val="00A91F2F"/>
    <w:rsid w:val="00A945C4"/>
    <w:rsid w:val="00A94909"/>
    <w:rsid w:val="00A958CE"/>
    <w:rsid w:val="00AA050C"/>
    <w:rsid w:val="00AA20AD"/>
    <w:rsid w:val="00AA248A"/>
    <w:rsid w:val="00AA67AC"/>
    <w:rsid w:val="00AA72E3"/>
    <w:rsid w:val="00AB0283"/>
    <w:rsid w:val="00AB1AF9"/>
    <w:rsid w:val="00AB2332"/>
    <w:rsid w:val="00AB2424"/>
    <w:rsid w:val="00AB30BE"/>
    <w:rsid w:val="00AB3298"/>
    <w:rsid w:val="00AB3C23"/>
    <w:rsid w:val="00AB5503"/>
    <w:rsid w:val="00AB7452"/>
    <w:rsid w:val="00AC02FA"/>
    <w:rsid w:val="00AC0321"/>
    <w:rsid w:val="00AC0FFA"/>
    <w:rsid w:val="00AC1561"/>
    <w:rsid w:val="00AC2B65"/>
    <w:rsid w:val="00AC37C7"/>
    <w:rsid w:val="00AC3BDB"/>
    <w:rsid w:val="00AC40FC"/>
    <w:rsid w:val="00AC5FF5"/>
    <w:rsid w:val="00AC7D37"/>
    <w:rsid w:val="00AD2223"/>
    <w:rsid w:val="00AD3529"/>
    <w:rsid w:val="00AD3A32"/>
    <w:rsid w:val="00AD5784"/>
    <w:rsid w:val="00AE1E3F"/>
    <w:rsid w:val="00AE1ED0"/>
    <w:rsid w:val="00AE2FD7"/>
    <w:rsid w:val="00AE4364"/>
    <w:rsid w:val="00AE4DE0"/>
    <w:rsid w:val="00AE554B"/>
    <w:rsid w:val="00AE616E"/>
    <w:rsid w:val="00AF03A7"/>
    <w:rsid w:val="00AF0F0D"/>
    <w:rsid w:val="00AF1D62"/>
    <w:rsid w:val="00AF4F5A"/>
    <w:rsid w:val="00AF643B"/>
    <w:rsid w:val="00AF72AD"/>
    <w:rsid w:val="00AF7B9E"/>
    <w:rsid w:val="00B0162A"/>
    <w:rsid w:val="00B019A6"/>
    <w:rsid w:val="00B03C2D"/>
    <w:rsid w:val="00B03D9B"/>
    <w:rsid w:val="00B042FC"/>
    <w:rsid w:val="00B052DB"/>
    <w:rsid w:val="00B072B1"/>
    <w:rsid w:val="00B11D56"/>
    <w:rsid w:val="00B1256E"/>
    <w:rsid w:val="00B131F4"/>
    <w:rsid w:val="00B14FFF"/>
    <w:rsid w:val="00B1536F"/>
    <w:rsid w:val="00B1770C"/>
    <w:rsid w:val="00B179D0"/>
    <w:rsid w:val="00B208FF"/>
    <w:rsid w:val="00B20FE4"/>
    <w:rsid w:val="00B2245E"/>
    <w:rsid w:val="00B2530D"/>
    <w:rsid w:val="00B25372"/>
    <w:rsid w:val="00B26110"/>
    <w:rsid w:val="00B26B5C"/>
    <w:rsid w:val="00B306CB"/>
    <w:rsid w:val="00B31EDA"/>
    <w:rsid w:val="00B32328"/>
    <w:rsid w:val="00B32E69"/>
    <w:rsid w:val="00B3309A"/>
    <w:rsid w:val="00B3476F"/>
    <w:rsid w:val="00B35A94"/>
    <w:rsid w:val="00B36ED0"/>
    <w:rsid w:val="00B40A2A"/>
    <w:rsid w:val="00B411B3"/>
    <w:rsid w:val="00B414C8"/>
    <w:rsid w:val="00B422DA"/>
    <w:rsid w:val="00B42AEA"/>
    <w:rsid w:val="00B43BFB"/>
    <w:rsid w:val="00B44AB5"/>
    <w:rsid w:val="00B452C9"/>
    <w:rsid w:val="00B463D1"/>
    <w:rsid w:val="00B47C78"/>
    <w:rsid w:val="00B5148C"/>
    <w:rsid w:val="00B51947"/>
    <w:rsid w:val="00B52102"/>
    <w:rsid w:val="00B523CF"/>
    <w:rsid w:val="00B54375"/>
    <w:rsid w:val="00B5576D"/>
    <w:rsid w:val="00B559BB"/>
    <w:rsid w:val="00B563A9"/>
    <w:rsid w:val="00B6717D"/>
    <w:rsid w:val="00B67A82"/>
    <w:rsid w:val="00B67C99"/>
    <w:rsid w:val="00B70299"/>
    <w:rsid w:val="00B705D7"/>
    <w:rsid w:val="00B71B8B"/>
    <w:rsid w:val="00B7299E"/>
    <w:rsid w:val="00B7486F"/>
    <w:rsid w:val="00B74B10"/>
    <w:rsid w:val="00B75E36"/>
    <w:rsid w:val="00B7613F"/>
    <w:rsid w:val="00B76BA6"/>
    <w:rsid w:val="00B7713A"/>
    <w:rsid w:val="00B805F5"/>
    <w:rsid w:val="00B80801"/>
    <w:rsid w:val="00B81475"/>
    <w:rsid w:val="00B82281"/>
    <w:rsid w:val="00B8367C"/>
    <w:rsid w:val="00B83CCC"/>
    <w:rsid w:val="00B84010"/>
    <w:rsid w:val="00B86FA4"/>
    <w:rsid w:val="00B877AD"/>
    <w:rsid w:val="00B87D02"/>
    <w:rsid w:val="00B87E67"/>
    <w:rsid w:val="00B904D2"/>
    <w:rsid w:val="00B91D36"/>
    <w:rsid w:val="00B93227"/>
    <w:rsid w:val="00B95C27"/>
    <w:rsid w:val="00B9624F"/>
    <w:rsid w:val="00B97744"/>
    <w:rsid w:val="00BA001C"/>
    <w:rsid w:val="00BA1C87"/>
    <w:rsid w:val="00BA2FEE"/>
    <w:rsid w:val="00BA4324"/>
    <w:rsid w:val="00BA5614"/>
    <w:rsid w:val="00BA614C"/>
    <w:rsid w:val="00BA644D"/>
    <w:rsid w:val="00BA6F2E"/>
    <w:rsid w:val="00BA6FDE"/>
    <w:rsid w:val="00BA701A"/>
    <w:rsid w:val="00BA71F0"/>
    <w:rsid w:val="00BB04C5"/>
    <w:rsid w:val="00BB0C47"/>
    <w:rsid w:val="00BB11D7"/>
    <w:rsid w:val="00BB2E4B"/>
    <w:rsid w:val="00BB352D"/>
    <w:rsid w:val="00BB665B"/>
    <w:rsid w:val="00BB70B7"/>
    <w:rsid w:val="00BB7765"/>
    <w:rsid w:val="00BC02B1"/>
    <w:rsid w:val="00BC2112"/>
    <w:rsid w:val="00BC2FE5"/>
    <w:rsid w:val="00BC39A5"/>
    <w:rsid w:val="00BC46CC"/>
    <w:rsid w:val="00BC4A07"/>
    <w:rsid w:val="00BC4DA9"/>
    <w:rsid w:val="00BC4EF1"/>
    <w:rsid w:val="00BC52B7"/>
    <w:rsid w:val="00BC54DE"/>
    <w:rsid w:val="00BC56DD"/>
    <w:rsid w:val="00BC5B6D"/>
    <w:rsid w:val="00BC6642"/>
    <w:rsid w:val="00BD0271"/>
    <w:rsid w:val="00BD154F"/>
    <w:rsid w:val="00BD174A"/>
    <w:rsid w:val="00BD1B1F"/>
    <w:rsid w:val="00BD3287"/>
    <w:rsid w:val="00BD33BF"/>
    <w:rsid w:val="00BD3ED3"/>
    <w:rsid w:val="00BD6153"/>
    <w:rsid w:val="00BD6C48"/>
    <w:rsid w:val="00BD7507"/>
    <w:rsid w:val="00BD79B0"/>
    <w:rsid w:val="00BE02D5"/>
    <w:rsid w:val="00BE1CC2"/>
    <w:rsid w:val="00BE2BC1"/>
    <w:rsid w:val="00BE2ED3"/>
    <w:rsid w:val="00BE4E19"/>
    <w:rsid w:val="00BE7434"/>
    <w:rsid w:val="00BE767E"/>
    <w:rsid w:val="00BF0196"/>
    <w:rsid w:val="00BF38CC"/>
    <w:rsid w:val="00BF3C55"/>
    <w:rsid w:val="00BF590E"/>
    <w:rsid w:val="00BF638E"/>
    <w:rsid w:val="00BF63E2"/>
    <w:rsid w:val="00BF78CE"/>
    <w:rsid w:val="00BF7D0F"/>
    <w:rsid w:val="00C01E66"/>
    <w:rsid w:val="00C023CE"/>
    <w:rsid w:val="00C02982"/>
    <w:rsid w:val="00C0371D"/>
    <w:rsid w:val="00C03B02"/>
    <w:rsid w:val="00C03F04"/>
    <w:rsid w:val="00C046D9"/>
    <w:rsid w:val="00C0746F"/>
    <w:rsid w:val="00C10005"/>
    <w:rsid w:val="00C11F4E"/>
    <w:rsid w:val="00C12B5E"/>
    <w:rsid w:val="00C12CD7"/>
    <w:rsid w:val="00C153CD"/>
    <w:rsid w:val="00C157CD"/>
    <w:rsid w:val="00C15A55"/>
    <w:rsid w:val="00C17E0E"/>
    <w:rsid w:val="00C20AB1"/>
    <w:rsid w:val="00C20CEA"/>
    <w:rsid w:val="00C21CBD"/>
    <w:rsid w:val="00C227DC"/>
    <w:rsid w:val="00C23953"/>
    <w:rsid w:val="00C2598F"/>
    <w:rsid w:val="00C27FF9"/>
    <w:rsid w:val="00C301B4"/>
    <w:rsid w:val="00C313F1"/>
    <w:rsid w:val="00C32674"/>
    <w:rsid w:val="00C3276A"/>
    <w:rsid w:val="00C34091"/>
    <w:rsid w:val="00C352EF"/>
    <w:rsid w:val="00C35647"/>
    <w:rsid w:val="00C373BB"/>
    <w:rsid w:val="00C37874"/>
    <w:rsid w:val="00C41901"/>
    <w:rsid w:val="00C423C0"/>
    <w:rsid w:val="00C424F8"/>
    <w:rsid w:val="00C42645"/>
    <w:rsid w:val="00C448D2"/>
    <w:rsid w:val="00C459A1"/>
    <w:rsid w:val="00C46C4B"/>
    <w:rsid w:val="00C5038D"/>
    <w:rsid w:val="00C51D01"/>
    <w:rsid w:val="00C5237F"/>
    <w:rsid w:val="00C524D3"/>
    <w:rsid w:val="00C52B3F"/>
    <w:rsid w:val="00C53B30"/>
    <w:rsid w:val="00C55347"/>
    <w:rsid w:val="00C5576D"/>
    <w:rsid w:val="00C561F0"/>
    <w:rsid w:val="00C56646"/>
    <w:rsid w:val="00C56E69"/>
    <w:rsid w:val="00C57ABE"/>
    <w:rsid w:val="00C615F8"/>
    <w:rsid w:val="00C62567"/>
    <w:rsid w:val="00C62B14"/>
    <w:rsid w:val="00C62D39"/>
    <w:rsid w:val="00C630BF"/>
    <w:rsid w:val="00C630FB"/>
    <w:rsid w:val="00C63F4F"/>
    <w:rsid w:val="00C64FA2"/>
    <w:rsid w:val="00C65C28"/>
    <w:rsid w:val="00C67763"/>
    <w:rsid w:val="00C70017"/>
    <w:rsid w:val="00C701A2"/>
    <w:rsid w:val="00C70560"/>
    <w:rsid w:val="00C73126"/>
    <w:rsid w:val="00C73199"/>
    <w:rsid w:val="00C74474"/>
    <w:rsid w:val="00C7472A"/>
    <w:rsid w:val="00C74858"/>
    <w:rsid w:val="00C74B70"/>
    <w:rsid w:val="00C7614C"/>
    <w:rsid w:val="00C81EC7"/>
    <w:rsid w:val="00C82004"/>
    <w:rsid w:val="00C83052"/>
    <w:rsid w:val="00C83C19"/>
    <w:rsid w:val="00C84C25"/>
    <w:rsid w:val="00C85269"/>
    <w:rsid w:val="00C85946"/>
    <w:rsid w:val="00C85CB5"/>
    <w:rsid w:val="00C86C86"/>
    <w:rsid w:val="00C90481"/>
    <w:rsid w:val="00C90CF7"/>
    <w:rsid w:val="00C912C9"/>
    <w:rsid w:val="00C919A6"/>
    <w:rsid w:val="00C929CE"/>
    <w:rsid w:val="00C9314F"/>
    <w:rsid w:val="00C944B8"/>
    <w:rsid w:val="00C94951"/>
    <w:rsid w:val="00C952F6"/>
    <w:rsid w:val="00CA136A"/>
    <w:rsid w:val="00CA2747"/>
    <w:rsid w:val="00CA308E"/>
    <w:rsid w:val="00CA3BDB"/>
    <w:rsid w:val="00CA5DD3"/>
    <w:rsid w:val="00CA6B4D"/>
    <w:rsid w:val="00CA7244"/>
    <w:rsid w:val="00CB0D2A"/>
    <w:rsid w:val="00CB42B2"/>
    <w:rsid w:val="00CB666B"/>
    <w:rsid w:val="00CB79FB"/>
    <w:rsid w:val="00CC07D6"/>
    <w:rsid w:val="00CC1B9B"/>
    <w:rsid w:val="00CC2437"/>
    <w:rsid w:val="00CC25AC"/>
    <w:rsid w:val="00CC2690"/>
    <w:rsid w:val="00CC3FB0"/>
    <w:rsid w:val="00CC4366"/>
    <w:rsid w:val="00CC4B32"/>
    <w:rsid w:val="00CC4FC5"/>
    <w:rsid w:val="00CC5859"/>
    <w:rsid w:val="00CC5A42"/>
    <w:rsid w:val="00CC794E"/>
    <w:rsid w:val="00CD13C1"/>
    <w:rsid w:val="00CD1859"/>
    <w:rsid w:val="00CD1DAA"/>
    <w:rsid w:val="00CD350B"/>
    <w:rsid w:val="00CD5956"/>
    <w:rsid w:val="00CD69A2"/>
    <w:rsid w:val="00CD69AC"/>
    <w:rsid w:val="00CD69C9"/>
    <w:rsid w:val="00CD76B5"/>
    <w:rsid w:val="00CD7F7C"/>
    <w:rsid w:val="00CE0385"/>
    <w:rsid w:val="00CE16CA"/>
    <w:rsid w:val="00CE1D3E"/>
    <w:rsid w:val="00CE284E"/>
    <w:rsid w:val="00CE38BA"/>
    <w:rsid w:val="00CE53FB"/>
    <w:rsid w:val="00CE54F3"/>
    <w:rsid w:val="00CE5A5D"/>
    <w:rsid w:val="00CF0C98"/>
    <w:rsid w:val="00CF101E"/>
    <w:rsid w:val="00CF103A"/>
    <w:rsid w:val="00CF1890"/>
    <w:rsid w:val="00CF21A4"/>
    <w:rsid w:val="00CF3FCE"/>
    <w:rsid w:val="00CF419C"/>
    <w:rsid w:val="00CF4615"/>
    <w:rsid w:val="00CF4AE6"/>
    <w:rsid w:val="00CF53F4"/>
    <w:rsid w:val="00CF67D7"/>
    <w:rsid w:val="00CF6950"/>
    <w:rsid w:val="00CF7706"/>
    <w:rsid w:val="00D00406"/>
    <w:rsid w:val="00D03D6E"/>
    <w:rsid w:val="00D05DA6"/>
    <w:rsid w:val="00D06D3D"/>
    <w:rsid w:val="00D07309"/>
    <w:rsid w:val="00D07588"/>
    <w:rsid w:val="00D10053"/>
    <w:rsid w:val="00D10652"/>
    <w:rsid w:val="00D10F3F"/>
    <w:rsid w:val="00D110E4"/>
    <w:rsid w:val="00D111B6"/>
    <w:rsid w:val="00D11A37"/>
    <w:rsid w:val="00D1230F"/>
    <w:rsid w:val="00D1332C"/>
    <w:rsid w:val="00D151EA"/>
    <w:rsid w:val="00D15E9A"/>
    <w:rsid w:val="00D1695B"/>
    <w:rsid w:val="00D17972"/>
    <w:rsid w:val="00D2035E"/>
    <w:rsid w:val="00D214E6"/>
    <w:rsid w:val="00D2267E"/>
    <w:rsid w:val="00D22F43"/>
    <w:rsid w:val="00D23D66"/>
    <w:rsid w:val="00D2439F"/>
    <w:rsid w:val="00D25D2C"/>
    <w:rsid w:val="00D26502"/>
    <w:rsid w:val="00D26BC0"/>
    <w:rsid w:val="00D26CA1"/>
    <w:rsid w:val="00D31B93"/>
    <w:rsid w:val="00D3216F"/>
    <w:rsid w:val="00D33CE9"/>
    <w:rsid w:val="00D3403A"/>
    <w:rsid w:val="00D34C7B"/>
    <w:rsid w:val="00D35FB8"/>
    <w:rsid w:val="00D3601D"/>
    <w:rsid w:val="00D360FF"/>
    <w:rsid w:val="00D36A35"/>
    <w:rsid w:val="00D41AD0"/>
    <w:rsid w:val="00D42475"/>
    <w:rsid w:val="00D42929"/>
    <w:rsid w:val="00D42E1C"/>
    <w:rsid w:val="00D42E4E"/>
    <w:rsid w:val="00D44863"/>
    <w:rsid w:val="00D44A39"/>
    <w:rsid w:val="00D44CAA"/>
    <w:rsid w:val="00D45505"/>
    <w:rsid w:val="00D45F06"/>
    <w:rsid w:val="00D46D8B"/>
    <w:rsid w:val="00D46F81"/>
    <w:rsid w:val="00D50A69"/>
    <w:rsid w:val="00D50EC3"/>
    <w:rsid w:val="00D51002"/>
    <w:rsid w:val="00D52091"/>
    <w:rsid w:val="00D52196"/>
    <w:rsid w:val="00D5268A"/>
    <w:rsid w:val="00D529E6"/>
    <w:rsid w:val="00D540A4"/>
    <w:rsid w:val="00D5412E"/>
    <w:rsid w:val="00D54A72"/>
    <w:rsid w:val="00D56CDC"/>
    <w:rsid w:val="00D57C3B"/>
    <w:rsid w:val="00D605C1"/>
    <w:rsid w:val="00D6083E"/>
    <w:rsid w:val="00D60E6D"/>
    <w:rsid w:val="00D61A4F"/>
    <w:rsid w:val="00D62FF7"/>
    <w:rsid w:val="00D63B2E"/>
    <w:rsid w:val="00D65B88"/>
    <w:rsid w:val="00D663F9"/>
    <w:rsid w:val="00D67C0F"/>
    <w:rsid w:val="00D67C17"/>
    <w:rsid w:val="00D735A4"/>
    <w:rsid w:val="00D73F07"/>
    <w:rsid w:val="00D75ADF"/>
    <w:rsid w:val="00D75AFA"/>
    <w:rsid w:val="00D75CF6"/>
    <w:rsid w:val="00D77389"/>
    <w:rsid w:val="00D801C7"/>
    <w:rsid w:val="00D81268"/>
    <w:rsid w:val="00D818AD"/>
    <w:rsid w:val="00D822B6"/>
    <w:rsid w:val="00D837E6"/>
    <w:rsid w:val="00D856BA"/>
    <w:rsid w:val="00D859FC"/>
    <w:rsid w:val="00D8791E"/>
    <w:rsid w:val="00D87976"/>
    <w:rsid w:val="00D904A6"/>
    <w:rsid w:val="00D918CE"/>
    <w:rsid w:val="00D928AA"/>
    <w:rsid w:val="00D93950"/>
    <w:rsid w:val="00D94F0B"/>
    <w:rsid w:val="00D969AE"/>
    <w:rsid w:val="00DA03C6"/>
    <w:rsid w:val="00DA0E9D"/>
    <w:rsid w:val="00DA1CE8"/>
    <w:rsid w:val="00DA57A3"/>
    <w:rsid w:val="00DA587D"/>
    <w:rsid w:val="00DA5FCE"/>
    <w:rsid w:val="00DA61EC"/>
    <w:rsid w:val="00DA7A54"/>
    <w:rsid w:val="00DA7D21"/>
    <w:rsid w:val="00DA7D6D"/>
    <w:rsid w:val="00DB0C70"/>
    <w:rsid w:val="00DB0F22"/>
    <w:rsid w:val="00DB0F63"/>
    <w:rsid w:val="00DB1214"/>
    <w:rsid w:val="00DB160A"/>
    <w:rsid w:val="00DB3577"/>
    <w:rsid w:val="00DB58E4"/>
    <w:rsid w:val="00DB59D3"/>
    <w:rsid w:val="00DB5EBE"/>
    <w:rsid w:val="00DB7CBC"/>
    <w:rsid w:val="00DB7CE1"/>
    <w:rsid w:val="00DC051F"/>
    <w:rsid w:val="00DC1D2D"/>
    <w:rsid w:val="00DC4E04"/>
    <w:rsid w:val="00DC5794"/>
    <w:rsid w:val="00DC61D3"/>
    <w:rsid w:val="00DC68AC"/>
    <w:rsid w:val="00DD01BC"/>
    <w:rsid w:val="00DD14A2"/>
    <w:rsid w:val="00DD1FA2"/>
    <w:rsid w:val="00DD2818"/>
    <w:rsid w:val="00DD2E14"/>
    <w:rsid w:val="00DD378E"/>
    <w:rsid w:val="00DD3C5D"/>
    <w:rsid w:val="00DD41E4"/>
    <w:rsid w:val="00DD5811"/>
    <w:rsid w:val="00DD5F84"/>
    <w:rsid w:val="00DD6AF7"/>
    <w:rsid w:val="00DD775D"/>
    <w:rsid w:val="00DE1999"/>
    <w:rsid w:val="00DE4F16"/>
    <w:rsid w:val="00DE58BA"/>
    <w:rsid w:val="00DF00F8"/>
    <w:rsid w:val="00DF36E7"/>
    <w:rsid w:val="00DF443C"/>
    <w:rsid w:val="00DF448E"/>
    <w:rsid w:val="00E0191C"/>
    <w:rsid w:val="00E019D3"/>
    <w:rsid w:val="00E01A5A"/>
    <w:rsid w:val="00E022BA"/>
    <w:rsid w:val="00E03314"/>
    <w:rsid w:val="00E0402C"/>
    <w:rsid w:val="00E06BDC"/>
    <w:rsid w:val="00E1045D"/>
    <w:rsid w:val="00E10C08"/>
    <w:rsid w:val="00E11F21"/>
    <w:rsid w:val="00E124D7"/>
    <w:rsid w:val="00E129C3"/>
    <w:rsid w:val="00E142EC"/>
    <w:rsid w:val="00E15AB5"/>
    <w:rsid w:val="00E15C71"/>
    <w:rsid w:val="00E165D9"/>
    <w:rsid w:val="00E17F9C"/>
    <w:rsid w:val="00E21118"/>
    <w:rsid w:val="00E2192E"/>
    <w:rsid w:val="00E21F0C"/>
    <w:rsid w:val="00E22CD1"/>
    <w:rsid w:val="00E24286"/>
    <w:rsid w:val="00E260E5"/>
    <w:rsid w:val="00E272F5"/>
    <w:rsid w:val="00E27BD6"/>
    <w:rsid w:val="00E319FB"/>
    <w:rsid w:val="00E32117"/>
    <w:rsid w:val="00E33A05"/>
    <w:rsid w:val="00E36969"/>
    <w:rsid w:val="00E409CC"/>
    <w:rsid w:val="00E40BBB"/>
    <w:rsid w:val="00E40DF6"/>
    <w:rsid w:val="00E4123B"/>
    <w:rsid w:val="00E412AB"/>
    <w:rsid w:val="00E41F64"/>
    <w:rsid w:val="00E422DB"/>
    <w:rsid w:val="00E44962"/>
    <w:rsid w:val="00E44CC0"/>
    <w:rsid w:val="00E45535"/>
    <w:rsid w:val="00E47A2F"/>
    <w:rsid w:val="00E47B23"/>
    <w:rsid w:val="00E5067A"/>
    <w:rsid w:val="00E51B08"/>
    <w:rsid w:val="00E51FF4"/>
    <w:rsid w:val="00E522B4"/>
    <w:rsid w:val="00E52CD3"/>
    <w:rsid w:val="00E5412E"/>
    <w:rsid w:val="00E551B0"/>
    <w:rsid w:val="00E55765"/>
    <w:rsid w:val="00E55BAC"/>
    <w:rsid w:val="00E572E7"/>
    <w:rsid w:val="00E6069E"/>
    <w:rsid w:val="00E6558C"/>
    <w:rsid w:val="00E65DC3"/>
    <w:rsid w:val="00E67370"/>
    <w:rsid w:val="00E675CA"/>
    <w:rsid w:val="00E71F3F"/>
    <w:rsid w:val="00E72449"/>
    <w:rsid w:val="00E74F3A"/>
    <w:rsid w:val="00E76409"/>
    <w:rsid w:val="00E77F8E"/>
    <w:rsid w:val="00E80CB5"/>
    <w:rsid w:val="00E812CF"/>
    <w:rsid w:val="00E815E9"/>
    <w:rsid w:val="00E82B53"/>
    <w:rsid w:val="00E86B97"/>
    <w:rsid w:val="00E87191"/>
    <w:rsid w:val="00E903E2"/>
    <w:rsid w:val="00E919CB"/>
    <w:rsid w:val="00E91F2A"/>
    <w:rsid w:val="00E9263E"/>
    <w:rsid w:val="00E94E86"/>
    <w:rsid w:val="00E96030"/>
    <w:rsid w:val="00E96D0E"/>
    <w:rsid w:val="00E97643"/>
    <w:rsid w:val="00EA0AD2"/>
    <w:rsid w:val="00EA103B"/>
    <w:rsid w:val="00EA22EA"/>
    <w:rsid w:val="00EA2921"/>
    <w:rsid w:val="00EA2937"/>
    <w:rsid w:val="00EA3124"/>
    <w:rsid w:val="00EA43D3"/>
    <w:rsid w:val="00EA5742"/>
    <w:rsid w:val="00EA6B38"/>
    <w:rsid w:val="00EB0706"/>
    <w:rsid w:val="00EB08C6"/>
    <w:rsid w:val="00EB1D19"/>
    <w:rsid w:val="00EB3151"/>
    <w:rsid w:val="00EB3207"/>
    <w:rsid w:val="00EB3FA5"/>
    <w:rsid w:val="00EB6006"/>
    <w:rsid w:val="00EB6264"/>
    <w:rsid w:val="00EB6770"/>
    <w:rsid w:val="00EB6BC8"/>
    <w:rsid w:val="00EB71F2"/>
    <w:rsid w:val="00EC053E"/>
    <w:rsid w:val="00EC20DC"/>
    <w:rsid w:val="00EC2736"/>
    <w:rsid w:val="00EC4D70"/>
    <w:rsid w:val="00EC52A1"/>
    <w:rsid w:val="00EC6328"/>
    <w:rsid w:val="00EC699E"/>
    <w:rsid w:val="00ED1984"/>
    <w:rsid w:val="00ED1B7E"/>
    <w:rsid w:val="00ED42A9"/>
    <w:rsid w:val="00ED69FB"/>
    <w:rsid w:val="00ED6C86"/>
    <w:rsid w:val="00ED6D61"/>
    <w:rsid w:val="00EE25E5"/>
    <w:rsid w:val="00EE4CE3"/>
    <w:rsid w:val="00EE6F11"/>
    <w:rsid w:val="00EE7D5A"/>
    <w:rsid w:val="00EF0BFA"/>
    <w:rsid w:val="00EF0D30"/>
    <w:rsid w:val="00EF183C"/>
    <w:rsid w:val="00EF2CE2"/>
    <w:rsid w:val="00EF3BDF"/>
    <w:rsid w:val="00EF4B86"/>
    <w:rsid w:val="00EF6212"/>
    <w:rsid w:val="00EF662B"/>
    <w:rsid w:val="00EF6680"/>
    <w:rsid w:val="00EF6CB2"/>
    <w:rsid w:val="00EF6DE7"/>
    <w:rsid w:val="00F0088E"/>
    <w:rsid w:val="00F0091A"/>
    <w:rsid w:val="00F0169E"/>
    <w:rsid w:val="00F024C6"/>
    <w:rsid w:val="00F02A41"/>
    <w:rsid w:val="00F02F85"/>
    <w:rsid w:val="00F03CD4"/>
    <w:rsid w:val="00F0422A"/>
    <w:rsid w:val="00F07C3C"/>
    <w:rsid w:val="00F1163B"/>
    <w:rsid w:val="00F1219C"/>
    <w:rsid w:val="00F12852"/>
    <w:rsid w:val="00F13287"/>
    <w:rsid w:val="00F15D03"/>
    <w:rsid w:val="00F1672B"/>
    <w:rsid w:val="00F20284"/>
    <w:rsid w:val="00F20F25"/>
    <w:rsid w:val="00F21F04"/>
    <w:rsid w:val="00F23255"/>
    <w:rsid w:val="00F23E86"/>
    <w:rsid w:val="00F256AE"/>
    <w:rsid w:val="00F27665"/>
    <w:rsid w:val="00F3046B"/>
    <w:rsid w:val="00F3143C"/>
    <w:rsid w:val="00F31D07"/>
    <w:rsid w:val="00F3214B"/>
    <w:rsid w:val="00F33335"/>
    <w:rsid w:val="00F33A0C"/>
    <w:rsid w:val="00F402C1"/>
    <w:rsid w:val="00F40809"/>
    <w:rsid w:val="00F408A8"/>
    <w:rsid w:val="00F410D1"/>
    <w:rsid w:val="00F437A1"/>
    <w:rsid w:val="00F440DB"/>
    <w:rsid w:val="00F4632E"/>
    <w:rsid w:val="00F46929"/>
    <w:rsid w:val="00F47A32"/>
    <w:rsid w:val="00F50292"/>
    <w:rsid w:val="00F50D5A"/>
    <w:rsid w:val="00F5107D"/>
    <w:rsid w:val="00F53F44"/>
    <w:rsid w:val="00F54963"/>
    <w:rsid w:val="00F55AA6"/>
    <w:rsid w:val="00F56837"/>
    <w:rsid w:val="00F56A7D"/>
    <w:rsid w:val="00F56FC3"/>
    <w:rsid w:val="00F57DA6"/>
    <w:rsid w:val="00F60C79"/>
    <w:rsid w:val="00F60DFB"/>
    <w:rsid w:val="00F610D6"/>
    <w:rsid w:val="00F6184B"/>
    <w:rsid w:val="00F630B8"/>
    <w:rsid w:val="00F636EE"/>
    <w:rsid w:val="00F63D9E"/>
    <w:rsid w:val="00F649AD"/>
    <w:rsid w:val="00F66DD5"/>
    <w:rsid w:val="00F673D8"/>
    <w:rsid w:val="00F674B5"/>
    <w:rsid w:val="00F7014F"/>
    <w:rsid w:val="00F7046C"/>
    <w:rsid w:val="00F71146"/>
    <w:rsid w:val="00F72345"/>
    <w:rsid w:val="00F73D9A"/>
    <w:rsid w:val="00F76050"/>
    <w:rsid w:val="00F763E9"/>
    <w:rsid w:val="00F769DA"/>
    <w:rsid w:val="00F7768F"/>
    <w:rsid w:val="00F77E36"/>
    <w:rsid w:val="00F77FEC"/>
    <w:rsid w:val="00F816A4"/>
    <w:rsid w:val="00F81BE3"/>
    <w:rsid w:val="00F82A9A"/>
    <w:rsid w:val="00F83312"/>
    <w:rsid w:val="00F844BB"/>
    <w:rsid w:val="00F87546"/>
    <w:rsid w:val="00F8783F"/>
    <w:rsid w:val="00F901F0"/>
    <w:rsid w:val="00F90ED4"/>
    <w:rsid w:val="00F90EF9"/>
    <w:rsid w:val="00F91070"/>
    <w:rsid w:val="00F91439"/>
    <w:rsid w:val="00F9329B"/>
    <w:rsid w:val="00F93B61"/>
    <w:rsid w:val="00F95563"/>
    <w:rsid w:val="00F95AD3"/>
    <w:rsid w:val="00F962D8"/>
    <w:rsid w:val="00F96688"/>
    <w:rsid w:val="00F968EC"/>
    <w:rsid w:val="00F97D25"/>
    <w:rsid w:val="00FA26E3"/>
    <w:rsid w:val="00FA2E23"/>
    <w:rsid w:val="00FA30B2"/>
    <w:rsid w:val="00FA3210"/>
    <w:rsid w:val="00FA45D5"/>
    <w:rsid w:val="00FA6D8B"/>
    <w:rsid w:val="00FA75A6"/>
    <w:rsid w:val="00FA76D1"/>
    <w:rsid w:val="00FB2238"/>
    <w:rsid w:val="00FB4000"/>
    <w:rsid w:val="00FB41F5"/>
    <w:rsid w:val="00FB7FEF"/>
    <w:rsid w:val="00FC0334"/>
    <w:rsid w:val="00FC20FB"/>
    <w:rsid w:val="00FC3317"/>
    <w:rsid w:val="00FC3F2B"/>
    <w:rsid w:val="00FC4FDD"/>
    <w:rsid w:val="00FC73D2"/>
    <w:rsid w:val="00FD13ED"/>
    <w:rsid w:val="00FD14CF"/>
    <w:rsid w:val="00FD1FCD"/>
    <w:rsid w:val="00FD4791"/>
    <w:rsid w:val="00FD5611"/>
    <w:rsid w:val="00FD5BA7"/>
    <w:rsid w:val="00FE2118"/>
    <w:rsid w:val="00FE2BF9"/>
    <w:rsid w:val="00FE40D9"/>
    <w:rsid w:val="00FE63F3"/>
    <w:rsid w:val="00FE7DC4"/>
    <w:rsid w:val="00FF01BB"/>
    <w:rsid w:val="00FF0A04"/>
    <w:rsid w:val="00FF128F"/>
    <w:rsid w:val="00FF1DA4"/>
    <w:rsid w:val="00FF2C54"/>
    <w:rsid w:val="00FF5D90"/>
    <w:rsid w:val="00FF6367"/>
    <w:rsid w:val="00FF64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5281"/>
    <w:pPr>
      <w:spacing w:after="120"/>
      <w:jc w:val="both"/>
    </w:pPr>
    <w:rPr>
      <w:rFonts w:ascii="Arial" w:hAnsi="Arial"/>
      <w:sz w:val="24"/>
      <w:szCs w:val="22"/>
    </w:rPr>
  </w:style>
  <w:style w:type="paragraph" w:styleId="Heading1">
    <w:name w:val="heading 1"/>
    <w:basedOn w:val="Heading10"/>
    <w:next w:val="Normal"/>
    <w:link w:val="Heading1Char"/>
    <w:uiPriority w:val="1"/>
    <w:qFormat/>
    <w:rsid w:val="00571AD4"/>
    <w:pPr>
      <w:numPr>
        <w:numId w:val="92"/>
      </w:numPr>
      <w:outlineLvl w:val="0"/>
    </w:pPr>
  </w:style>
  <w:style w:type="paragraph" w:styleId="Heading20">
    <w:name w:val="heading 2"/>
    <w:basedOn w:val="Normal"/>
    <w:next w:val="Normal"/>
    <w:link w:val="Heading2Char"/>
    <w:uiPriority w:val="9"/>
    <w:qFormat/>
    <w:rsid w:val="009B4760"/>
    <w:pPr>
      <w:numPr>
        <w:ilvl w:val="1"/>
        <w:numId w:val="7"/>
      </w:numPr>
      <w:tabs>
        <w:tab w:val="left" w:pos="720"/>
      </w:tabs>
      <w:spacing w:after="0"/>
      <w:outlineLvl w:val="1"/>
    </w:pPr>
    <w:rPr>
      <w:b/>
      <w:smallCaps/>
      <w:szCs w:val="20"/>
    </w:rPr>
  </w:style>
  <w:style w:type="paragraph" w:styleId="Heading3">
    <w:name w:val="heading 3"/>
    <w:basedOn w:val="Normal"/>
    <w:next w:val="Normal"/>
    <w:link w:val="Heading3Char"/>
    <w:uiPriority w:val="1"/>
    <w:qFormat/>
    <w:rsid w:val="009B4760"/>
    <w:pPr>
      <w:numPr>
        <w:ilvl w:val="2"/>
        <w:numId w:val="7"/>
      </w:numPr>
      <w:tabs>
        <w:tab w:val="left" w:pos="720"/>
      </w:tabs>
      <w:spacing w:after="0"/>
      <w:outlineLvl w:val="2"/>
    </w:pPr>
    <w:rPr>
      <w:b/>
      <w:szCs w:val="20"/>
    </w:rPr>
  </w:style>
  <w:style w:type="paragraph" w:styleId="Heading4">
    <w:name w:val="heading 4"/>
    <w:basedOn w:val="Normal"/>
    <w:next w:val="Normal"/>
    <w:link w:val="Heading4Char"/>
    <w:uiPriority w:val="9"/>
    <w:qFormat/>
    <w:rsid w:val="009B4760"/>
    <w:pPr>
      <w:numPr>
        <w:ilvl w:val="3"/>
        <w:numId w:val="7"/>
      </w:numPr>
      <w:tabs>
        <w:tab w:val="left" w:pos="720"/>
      </w:tabs>
      <w:spacing w:after="0"/>
      <w:outlineLvl w:val="3"/>
    </w:pPr>
    <w:rPr>
      <w:b/>
      <w:szCs w:val="20"/>
    </w:rPr>
  </w:style>
  <w:style w:type="paragraph" w:styleId="Heading5">
    <w:name w:val="heading 5"/>
    <w:basedOn w:val="Normal"/>
    <w:next w:val="Normal"/>
    <w:link w:val="Heading5Char"/>
    <w:uiPriority w:val="9"/>
    <w:qFormat/>
    <w:rsid w:val="009B4760"/>
    <w:pPr>
      <w:numPr>
        <w:ilvl w:val="4"/>
        <w:numId w:val="7"/>
      </w:numPr>
      <w:tabs>
        <w:tab w:val="left" w:pos="720"/>
      </w:tabs>
      <w:spacing w:after="0"/>
      <w:ind w:left="2160"/>
      <w:outlineLvl w:val="4"/>
    </w:pPr>
    <w:rPr>
      <w:b/>
      <w:szCs w:val="20"/>
    </w:rPr>
  </w:style>
  <w:style w:type="paragraph" w:styleId="Heading6">
    <w:name w:val="heading 6"/>
    <w:basedOn w:val="Normal"/>
    <w:next w:val="Normal"/>
    <w:link w:val="Heading6Char"/>
    <w:uiPriority w:val="9"/>
    <w:unhideWhenUsed/>
    <w:rsid w:val="0095125D"/>
    <w:pPr>
      <w:keepNext/>
      <w:keepLines/>
      <w:numPr>
        <w:numId w:val="116"/>
      </w:numPr>
      <w:spacing w:before="180" w:after="60"/>
      <w:ind w:left="360"/>
      <w:jc w:val="center"/>
      <w:outlineLvl w:val="5"/>
    </w:pPr>
    <w:rPr>
      <w:rFonts w:ascii="Arial Bold" w:eastAsiaTheme="majorEastAsia" w:hAnsi="Arial Bold" w:cstheme="majorBidi"/>
      <w:b/>
      <w:caps/>
      <w:sz w:val="28"/>
    </w:rPr>
  </w:style>
  <w:style w:type="paragraph" w:styleId="Heading7">
    <w:name w:val="heading 7"/>
    <w:basedOn w:val="Heading10"/>
    <w:next w:val="Normal"/>
    <w:link w:val="Heading7Char"/>
    <w:uiPriority w:val="9"/>
    <w:unhideWhenUsed/>
    <w:qFormat/>
    <w:rsid w:val="000E2E67"/>
    <w:pPr>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3E9"/>
    <w:pPr>
      <w:ind w:left="720"/>
      <w:contextualSpacing/>
    </w:pPr>
  </w:style>
  <w:style w:type="table" w:styleId="TableGrid">
    <w:name w:val="Table Grid"/>
    <w:basedOn w:val="TableNormal"/>
    <w:uiPriority w:val="59"/>
    <w:rsid w:val="00B840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Title page,h,Header 1,Section Header,hd"/>
    <w:basedOn w:val="Normal"/>
    <w:link w:val="HeaderChar"/>
    <w:uiPriority w:val="99"/>
    <w:unhideWhenUsed/>
    <w:rsid w:val="00B84010"/>
    <w:pPr>
      <w:tabs>
        <w:tab w:val="center" w:pos="4680"/>
        <w:tab w:val="right" w:pos="9360"/>
      </w:tabs>
      <w:spacing w:after="0"/>
    </w:pPr>
    <w:rPr>
      <w:szCs w:val="20"/>
    </w:rPr>
  </w:style>
  <w:style w:type="character" w:customStyle="1" w:styleId="HeaderChar">
    <w:name w:val="Header Char"/>
    <w:aliases w:val="Title page Char,h Char,Header 1 Char,Section Header Char,hd Char"/>
    <w:link w:val="Header"/>
    <w:uiPriority w:val="99"/>
    <w:locked/>
    <w:rsid w:val="00B84010"/>
    <w:rPr>
      <w:rFonts w:ascii="Arial" w:hAnsi="Arial"/>
      <w:sz w:val="24"/>
    </w:rPr>
  </w:style>
  <w:style w:type="paragraph" w:styleId="Footer">
    <w:name w:val="footer"/>
    <w:basedOn w:val="Normal"/>
    <w:link w:val="FooterChar"/>
    <w:uiPriority w:val="99"/>
    <w:unhideWhenUsed/>
    <w:rsid w:val="00B84010"/>
    <w:pPr>
      <w:tabs>
        <w:tab w:val="center" w:pos="4680"/>
        <w:tab w:val="right" w:pos="9360"/>
      </w:tabs>
      <w:spacing w:after="0"/>
    </w:pPr>
    <w:rPr>
      <w:szCs w:val="20"/>
    </w:rPr>
  </w:style>
  <w:style w:type="character" w:customStyle="1" w:styleId="FooterChar">
    <w:name w:val="Footer Char"/>
    <w:link w:val="Footer"/>
    <w:uiPriority w:val="99"/>
    <w:locked/>
    <w:rsid w:val="00B84010"/>
    <w:rPr>
      <w:rFonts w:ascii="Arial" w:hAnsi="Arial"/>
      <w:sz w:val="24"/>
    </w:rPr>
  </w:style>
  <w:style w:type="paragraph" w:styleId="BalloonText">
    <w:name w:val="Balloon Text"/>
    <w:basedOn w:val="Normal"/>
    <w:link w:val="BalloonTextChar"/>
    <w:uiPriority w:val="99"/>
    <w:semiHidden/>
    <w:unhideWhenUsed/>
    <w:rsid w:val="00B84010"/>
    <w:pPr>
      <w:spacing w:after="0"/>
    </w:pPr>
    <w:rPr>
      <w:rFonts w:ascii="Tahoma" w:hAnsi="Tahoma"/>
      <w:sz w:val="16"/>
      <w:szCs w:val="20"/>
    </w:rPr>
  </w:style>
  <w:style w:type="character" w:customStyle="1" w:styleId="BalloonTextChar">
    <w:name w:val="Balloon Text Char"/>
    <w:link w:val="BalloonText"/>
    <w:uiPriority w:val="99"/>
    <w:semiHidden/>
    <w:locked/>
    <w:rsid w:val="00B84010"/>
    <w:rPr>
      <w:rFonts w:ascii="Tahoma" w:hAnsi="Tahoma"/>
      <w:sz w:val="16"/>
    </w:rPr>
  </w:style>
  <w:style w:type="character" w:styleId="CommentReference">
    <w:name w:val="annotation reference"/>
    <w:uiPriority w:val="99"/>
    <w:semiHidden/>
    <w:unhideWhenUsed/>
    <w:rsid w:val="00EA2937"/>
    <w:rPr>
      <w:sz w:val="16"/>
      <w:szCs w:val="16"/>
    </w:rPr>
  </w:style>
  <w:style w:type="paragraph" w:styleId="CommentText">
    <w:name w:val="annotation text"/>
    <w:basedOn w:val="Normal"/>
    <w:link w:val="CommentTextChar"/>
    <w:uiPriority w:val="99"/>
    <w:unhideWhenUsed/>
    <w:rsid w:val="00EA2937"/>
    <w:rPr>
      <w:sz w:val="20"/>
      <w:szCs w:val="20"/>
    </w:rPr>
  </w:style>
  <w:style w:type="character" w:customStyle="1" w:styleId="CommentTextChar">
    <w:name w:val="Comment Text Char"/>
    <w:link w:val="CommentText"/>
    <w:uiPriority w:val="99"/>
    <w:rsid w:val="00EA2937"/>
    <w:rPr>
      <w:rFonts w:ascii="Arial" w:hAnsi="Arial"/>
    </w:rPr>
  </w:style>
  <w:style w:type="paragraph" w:styleId="CommentSubject">
    <w:name w:val="annotation subject"/>
    <w:basedOn w:val="CommentText"/>
    <w:next w:val="CommentText"/>
    <w:link w:val="CommentSubjectChar"/>
    <w:uiPriority w:val="99"/>
    <w:semiHidden/>
    <w:unhideWhenUsed/>
    <w:rsid w:val="00EA2937"/>
    <w:rPr>
      <w:b/>
      <w:bCs/>
    </w:rPr>
  </w:style>
  <w:style w:type="character" w:customStyle="1" w:styleId="CommentSubjectChar">
    <w:name w:val="Comment Subject Char"/>
    <w:link w:val="CommentSubject"/>
    <w:uiPriority w:val="99"/>
    <w:semiHidden/>
    <w:rsid w:val="00EA2937"/>
    <w:rPr>
      <w:rFonts w:ascii="Arial" w:hAnsi="Arial"/>
      <w:b/>
      <w:bCs/>
    </w:rPr>
  </w:style>
  <w:style w:type="paragraph" w:customStyle="1" w:styleId="Heading30">
    <w:name w:val="Heading3"/>
    <w:aliases w:val="Sage Major Side"/>
    <w:basedOn w:val="Normal"/>
    <w:qFormat/>
    <w:rsid w:val="00365E9F"/>
    <w:pPr>
      <w:keepNext/>
      <w:spacing w:before="180" w:after="60"/>
      <w:jc w:val="left"/>
    </w:pPr>
    <w:rPr>
      <w:rFonts w:ascii="Arial Bold" w:hAnsi="Arial Bold"/>
      <w:b/>
      <w:caps/>
    </w:rPr>
  </w:style>
  <w:style w:type="paragraph" w:customStyle="1" w:styleId="Heading2">
    <w:name w:val="Heading2"/>
    <w:aliases w:val="Sage Section Head"/>
    <w:basedOn w:val="ListParagraph"/>
    <w:qFormat/>
    <w:rsid w:val="00925B43"/>
    <w:pPr>
      <w:keepNext/>
      <w:numPr>
        <w:numId w:val="4"/>
      </w:numPr>
      <w:spacing w:before="180" w:after="60"/>
      <w:contextualSpacing w:val="0"/>
      <w:jc w:val="center"/>
    </w:pPr>
    <w:rPr>
      <w:rFonts w:ascii="Arial Bold" w:hAnsi="Arial Bold"/>
      <w:b/>
      <w:caps/>
      <w:sz w:val="28"/>
      <w:szCs w:val="28"/>
    </w:rPr>
  </w:style>
  <w:style w:type="paragraph" w:customStyle="1" w:styleId="Heading10">
    <w:name w:val="Heading1"/>
    <w:aliases w:val="Sage Chapter Title"/>
    <w:basedOn w:val="ListParagraph"/>
    <w:qFormat/>
    <w:rsid w:val="008305C3"/>
    <w:pPr>
      <w:pageBreakBefore/>
      <w:pBdr>
        <w:bottom w:val="single" w:sz="24" w:space="2" w:color="A5CD7E"/>
      </w:pBdr>
      <w:ind w:left="0"/>
      <w:contextualSpacing w:val="0"/>
      <w:jc w:val="center"/>
    </w:pPr>
    <w:rPr>
      <w:rFonts w:ascii="Arial Bold" w:hAnsi="Arial Bold"/>
      <w:b/>
      <w:caps/>
      <w:sz w:val="32"/>
      <w:szCs w:val="32"/>
    </w:rPr>
  </w:style>
  <w:style w:type="paragraph" w:customStyle="1" w:styleId="Heading40">
    <w:name w:val="Heading4"/>
    <w:aliases w:val="Sage Minor Side"/>
    <w:basedOn w:val="Normal"/>
    <w:qFormat/>
    <w:rsid w:val="005740A9"/>
    <w:pPr>
      <w:keepNext/>
      <w:spacing w:before="180" w:after="60"/>
      <w:jc w:val="left"/>
    </w:pPr>
    <w:rPr>
      <w:b/>
    </w:rPr>
  </w:style>
  <w:style w:type="paragraph" w:customStyle="1" w:styleId="Quotation-Sage">
    <w:name w:val="Quotation-Sage"/>
    <w:basedOn w:val="Normal"/>
    <w:qFormat/>
    <w:rsid w:val="00845591"/>
    <w:pPr>
      <w:ind w:left="720"/>
    </w:pPr>
    <w:rPr>
      <w:i/>
    </w:rPr>
  </w:style>
  <w:style w:type="paragraph" w:customStyle="1" w:styleId="Bullet">
    <w:name w:val="Bullet"/>
    <w:basedOn w:val="ListParagraph"/>
    <w:qFormat/>
    <w:rsid w:val="00845591"/>
    <w:pPr>
      <w:numPr>
        <w:numId w:val="1"/>
      </w:numPr>
      <w:spacing w:after="60"/>
      <w:contextualSpacing w:val="0"/>
    </w:pPr>
  </w:style>
  <w:style w:type="paragraph" w:customStyle="1" w:styleId="Bullet-indent1">
    <w:name w:val="Bullet-indent1"/>
    <w:basedOn w:val="ListParagraph"/>
    <w:qFormat/>
    <w:rsid w:val="00845591"/>
    <w:pPr>
      <w:numPr>
        <w:numId w:val="2"/>
      </w:numPr>
      <w:spacing w:after="60"/>
      <w:contextualSpacing w:val="0"/>
    </w:pPr>
  </w:style>
  <w:style w:type="paragraph" w:styleId="Title">
    <w:name w:val="Title"/>
    <w:aliases w:val="exhibit-SAGE"/>
    <w:basedOn w:val="Normal"/>
    <w:next w:val="Normal"/>
    <w:link w:val="TitleChar"/>
    <w:uiPriority w:val="10"/>
    <w:qFormat/>
    <w:rsid w:val="00F77E36"/>
    <w:pPr>
      <w:keepNext/>
      <w:jc w:val="center"/>
    </w:pPr>
    <w:rPr>
      <w:b/>
    </w:rPr>
  </w:style>
  <w:style w:type="character" w:customStyle="1" w:styleId="TitleChar">
    <w:name w:val="Title Char"/>
    <w:aliases w:val="exhibit-SAGE Char"/>
    <w:link w:val="Title"/>
    <w:uiPriority w:val="10"/>
    <w:rsid w:val="00F77E36"/>
    <w:rPr>
      <w:rFonts w:ascii="Arial" w:hAnsi="Arial"/>
      <w:b/>
      <w:sz w:val="24"/>
      <w:szCs w:val="22"/>
    </w:rPr>
  </w:style>
  <w:style w:type="paragraph" w:customStyle="1" w:styleId="Findings">
    <w:name w:val="Findings"/>
    <w:basedOn w:val="ListParagraph"/>
    <w:qFormat/>
    <w:rsid w:val="0049591B"/>
    <w:pPr>
      <w:numPr>
        <w:numId w:val="60"/>
      </w:numPr>
      <w:contextualSpacing w:val="0"/>
    </w:pPr>
    <w:rPr>
      <w:b/>
    </w:rPr>
  </w:style>
  <w:style w:type="paragraph" w:customStyle="1" w:styleId="Bullet-indent2">
    <w:name w:val="Bullet-indent2"/>
    <w:basedOn w:val="ListParagraph"/>
    <w:qFormat/>
    <w:rsid w:val="005C5EA6"/>
    <w:pPr>
      <w:numPr>
        <w:numId w:val="3"/>
      </w:numPr>
      <w:spacing w:after="60"/>
      <w:contextualSpacing w:val="0"/>
    </w:pPr>
  </w:style>
  <w:style w:type="paragraph" w:customStyle="1" w:styleId="Normal-aftertable">
    <w:name w:val="Normal-after table"/>
    <w:basedOn w:val="Normal"/>
    <w:qFormat/>
    <w:rsid w:val="00652B0E"/>
    <w:pPr>
      <w:spacing w:before="120"/>
    </w:pPr>
  </w:style>
  <w:style w:type="paragraph" w:styleId="FootnoteText">
    <w:name w:val="footnote text"/>
    <w:aliases w:val="(NECG) Footnote Text,ALTS FOOTNOTE,AR Footnote Text,fn,FOOTNOTE,Footnote Text Char2,Footnote Text Char Char,Footnote Text Char1 Char Char,Footnote Text Char Char Char Char,Footnote Text Char1 Char Char Char Char,ft Ch"/>
    <w:basedOn w:val="Normal"/>
    <w:link w:val="FootnoteTextChar"/>
    <w:uiPriority w:val="99"/>
    <w:unhideWhenUsed/>
    <w:rsid w:val="00F50292"/>
    <w:pPr>
      <w:spacing w:after="60"/>
    </w:pPr>
    <w:rPr>
      <w:sz w:val="20"/>
      <w:szCs w:val="20"/>
    </w:rPr>
  </w:style>
  <w:style w:type="character" w:customStyle="1" w:styleId="FootnoteTextChar">
    <w:name w:val="Footnote Text Char"/>
    <w:aliases w:val="(NECG) Footnote Text Char,ALTS FOOTNOTE Char,AR Footnote Text Char,fn Char,FOOTNOTE Char,Footnote Text Char2 Char,Footnote Text Char Char Char,Footnote Text Char1 Char Char Char,Footnote Text Char Char Char Char Char,ft Ch Char"/>
    <w:link w:val="FootnoteText"/>
    <w:uiPriority w:val="99"/>
    <w:rsid w:val="00F50292"/>
    <w:rPr>
      <w:rFonts w:ascii="Arial" w:hAnsi="Arial"/>
    </w:rPr>
  </w:style>
  <w:style w:type="character" w:styleId="FootnoteReference">
    <w:name w:val="footnote reference"/>
    <w:aliases w:val="(NECG) Footnote Reference,o,Style 17,fr,Style 13,Style 12,Style 15,Style 9,o1,fr1,o2,fr2,o3,fr3,Style 18,Style 20,Style 7,Style 8,Style 19,Style 32,o + Times New Roman,Style 16"/>
    <w:uiPriority w:val="99"/>
    <w:unhideWhenUsed/>
    <w:rsid w:val="00C84C25"/>
    <w:rPr>
      <w:vertAlign w:val="superscript"/>
    </w:rPr>
  </w:style>
  <w:style w:type="paragraph" w:customStyle="1" w:styleId="Numbering">
    <w:name w:val="Numbering"/>
    <w:basedOn w:val="Bullet"/>
    <w:qFormat/>
    <w:rsid w:val="006058BF"/>
    <w:pPr>
      <w:numPr>
        <w:numId w:val="6"/>
      </w:numPr>
    </w:pPr>
  </w:style>
  <w:style w:type="paragraph" w:styleId="BodyText">
    <w:name w:val="Body Text"/>
    <w:basedOn w:val="Normal"/>
    <w:link w:val="BodyTextChar"/>
    <w:uiPriority w:val="1"/>
    <w:unhideWhenUsed/>
    <w:qFormat/>
    <w:rsid w:val="007B796C"/>
    <w:rPr>
      <w:rFonts w:eastAsia="Calibri"/>
    </w:rPr>
  </w:style>
  <w:style w:type="character" w:customStyle="1" w:styleId="BodyTextChar">
    <w:name w:val="Body Text Char"/>
    <w:link w:val="BodyText"/>
    <w:uiPriority w:val="1"/>
    <w:rsid w:val="007B796C"/>
    <w:rPr>
      <w:rFonts w:ascii="Arial" w:eastAsia="Calibri" w:hAnsi="Arial"/>
      <w:sz w:val="24"/>
      <w:szCs w:val="22"/>
    </w:rPr>
  </w:style>
  <w:style w:type="paragraph" w:customStyle="1" w:styleId="Default">
    <w:name w:val="Default"/>
    <w:rsid w:val="00F40809"/>
    <w:pPr>
      <w:autoSpaceDE w:val="0"/>
      <w:autoSpaceDN w:val="0"/>
      <w:adjustRightInd w:val="0"/>
    </w:pPr>
    <w:rPr>
      <w:rFonts w:ascii="Arial" w:hAnsi="Arial" w:cs="Arial"/>
      <w:color w:val="000000"/>
      <w:sz w:val="24"/>
      <w:szCs w:val="24"/>
    </w:rPr>
  </w:style>
  <w:style w:type="character" w:customStyle="1" w:styleId="Heading1Char">
    <w:name w:val="Heading 1 Char"/>
    <w:link w:val="Heading1"/>
    <w:uiPriority w:val="1"/>
    <w:rsid w:val="00571AD4"/>
    <w:rPr>
      <w:rFonts w:ascii="Arial Bold" w:hAnsi="Arial Bold"/>
      <w:b/>
      <w:caps/>
      <w:sz w:val="32"/>
      <w:szCs w:val="32"/>
    </w:rPr>
  </w:style>
  <w:style w:type="character" w:customStyle="1" w:styleId="Heading2Char">
    <w:name w:val="Heading 2 Char"/>
    <w:link w:val="Heading20"/>
    <w:uiPriority w:val="9"/>
    <w:rsid w:val="009B4760"/>
    <w:rPr>
      <w:rFonts w:ascii="Arial" w:hAnsi="Arial"/>
      <w:b/>
      <w:smallCaps/>
      <w:sz w:val="24"/>
    </w:rPr>
  </w:style>
  <w:style w:type="character" w:customStyle="1" w:styleId="Heading3Char">
    <w:name w:val="Heading 3 Char"/>
    <w:link w:val="Heading3"/>
    <w:uiPriority w:val="1"/>
    <w:rsid w:val="009B4760"/>
    <w:rPr>
      <w:rFonts w:ascii="Arial" w:hAnsi="Arial"/>
      <w:b/>
      <w:sz w:val="24"/>
    </w:rPr>
  </w:style>
  <w:style w:type="character" w:customStyle="1" w:styleId="Heading4Char">
    <w:name w:val="Heading 4 Char"/>
    <w:link w:val="Heading4"/>
    <w:uiPriority w:val="9"/>
    <w:rsid w:val="009B4760"/>
    <w:rPr>
      <w:rFonts w:ascii="Arial" w:hAnsi="Arial"/>
      <w:b/>
      <w:sz w:val="24"/>
    </w:rPr>
  </w:style>
  <w:style w:type="character" w:customStyle="1" w:styleId="Heading5Char">
    <w:name w:val="Heading 5 Char"/>
    <w:link w:val="Heading5"/>
    <w:uiPriority w:val="9"/>
    <w:rsid w:val="009B4760"/>
    <w:rPr>
      <w:rFonts w:ascii="Arial" w:hAnsi="Arial"/>
      <w:b/>
      <w:sz w:val="24"/>
    </w:rPr>
  </w:style>
  <w:style w:type="numbering" w:customStyle="1" w:styleId="Decision">
    <w:name w:val="Decision"/>
    <w:rsid w:val="009B4760"/>
    <w:pPr>
      <w:numPr>
        <w:numId w:val="7"/>
      </w:numPr>
    </w:pPr>
  </w:style>
  <w:style w:type="paragraph" w:styleId="EndnoteText">
    <w:name w:val="endnote text"/>
    <w:basedOn w:val="Normal"/>
    <w:link w:val="EndnoteTextChar"/>
    <w:uiPriority w:val="99"/>
    <w:semiHidden/>
    <w:unhideWhenUsed/>
    <w:rsid w:val="00DD6AF7"/>
    <w:rPr>
      <w:sz w:val="20"/>
      <w:szCs w:val="20"/>
    </w:rPr>
  </w:style>
  <w:style w:type="character" w:customStyle="1" w:styleId="EndnoteTextChar">
    <w:name w:val="Endnote Text Char"/>
    <w:link w:val="EndnoteText"/>
    <w:uiPriority w:val="99"/>
    <w:semiHidden/>
    <w:rsid w:val="00DD6AF7"/>
    <w:rPr>
      <w:rFonts w:ascii="Arial" w:hAnsi="Arial"/>
    </w:rPr>
  </w:style>
  <w:style w:type="character" w:styleId="EndnoteReference">
    <w:name w:val="endnote reference"/>
    <w:uiPriority w:val="99"/>
    <w:semiHidden/>
    <w:unhideWhenUsed/>
    <w:rsid w:val="00DD6AF7"/>
    <w:rPr>
      <w:vertAlign w:val="superscript"/>
    </w:rPr>
  </w:style>
  <w:style w:type="paragraph" w:styleId="NormalWeb">
    <w:name w:val="Normal (Web)"/>
    <w:basedOn w:val="Normal"/>
    <w:uiPriority w:val="99"/>
    <w:unhideWhenUsed/>
    <w:rsid w:val="0057208A"/>
    <w:pPr>
      <w:spacing w:before="100" w:beforeAutospacing="1" w:after="100" w:afterAutospacing="1"/>
      <w:jc w:val="left"/>
    </w:pPr>
    <w:rPr>
      <w:rFonts w:ascii="Times New Roman" w:hAnsi="Times New Roman"/>
      <w:szCs w:val="24"/>
    </w:rPr>
  </w:style>
  <w:style w:type="character" w:customStyle="1" w:styleId="apple-converted-space">
    <w:name w:val="apple-converted-space"/>
    <w:rsid w:val="0057208A"/>
  </w:style>
  <w:style w:type="character" w:styleId="Hyperlink">
    <w:name w:val="Hyperlink"/>
    <w:uiPriority w:val="99"/>
    <w:unhideWhenUsed/>
    <w:rsid w:val="0057208A"/>
    <w:rPr>
      <w:color w:val="0000FF"/>
      <w:u w:val="single"/>
    </w:rPr>
  </w:style>
  <w:style w:type="paragraph" w:customStyle="1" w:styleId="Bullet6ptafter">
    <w:name w:val="Bullet + 6pt after"/>
    <w:basedOn w:val="Bullet"/>
    <w:qFormat/>
    <w:rsid w:val="005C5363"/>
    <w:pPr>
      <w:spacing w:after="120"/>
    </w:pPr>
  </w:style>
  <w:style w:type="character" w:styleId="Strong">
    <w:name w:val="Strong"/>
    <w:basedOn w:val="DefaultParagraphFont"/>
    <w:uiPriority w:val="22"/>
    <w:qFormat/>
    <w:rsid w:val="00B452C9"/>
    <w:rPr>
      <w:b/>
      <w:bCs/>
    </w:rPr>
  </w:style>
  <w:style w:type="paragraph" w:styleId="Quote">
    <w:name w:val="Quote"/>
    <w:basedOn w:val="Normal"/>
    <w:next w:val="Normal"/>
    <w:link w:val="QuoteChar"/>
    <w:uiPriority w:val="29"/>
    <w:qFormat/>
    <w:rsid w:val="009B5DC4"/>
    <w:rPr>
      <w:i/>
      <w:iCs/>
      <w:color w:val="000000" w:themeColor="text1"/>
    </w:rPr>
  </w:style>
  <w:style w:type="character" w:customStyle="1" w:styleId="QuoteChar">
    <w:name w:val="Quote Char"/>
    <w:basedOn w:val="DefaultParagraphFont"/>
    <w:link w:val="Quote"/>
    <w:uiPriority w:val="29"/>
    <w:rsid w:val="009B5DC4"/>
    <w:rPr>
      <w:rFonts w:ascii="Arial" w:hAnsi="Arial"/>
      <w:i/>
      <w:iCs/>
      <w:color w:val="000000" w:themeColor="text1"/>
      <w:sz w:val="24"/>
      <w:szCs w:val="22"/>
    </w:rPr>
  </w:style>
  <w:style w:type="paragraph" w:customStyle="1" w:styleId="Tableheading">
    <w:name w:val="Table heading"/>
    <w:basedOn w:val="Normal"/>
    <w:qFormat/>
    <w:rsid w:val="0098547F"/>
    <w:pPr>
      <w:tabs>
        <w:tab w:val="left" w:pos="360"/>
      </w:tabs>
      <w:spacing w:after="0"/>
      <w:jc w:val="center"/>
    </w:pPr>
    <w:rPr>
      <w:b/>
      <w:color w:val="000000"/>
      <w:szCs w:val="24"/>
    </w:rPr>
  </w:style>
  <w:style w:type="paragraph" w:customStyle="1" w:styleId="Tabletext">
    <w:name w:val="Table text"/>
    <w:basedOn w:val="Normal"/>
    <w:qFormat/>
    <w:rsid w:val="0098547F"/>
    <w:pPr>
      <w:tabs>
        <w:tab w:val="left" w:pos="360"/>
      </w:tabs>
      <w:spacing w:after="0"/>
      <w:jc w:val="center"/>
    </w:pPr>
    <w:rPr>
      <w:color w:val="000000"/>
      <w:szCs w:val="24"/>
    </w:rPr>
  </w:style>
  <w:style w:type="paragraph" w:customStyle="1" w:styleId="Normalindent">
    <w:name w:val="Normal+indent"/>
    <w:basedOn w:val="Bullet"/>
    <w:qFormat/>
    <w:rsid w:val="00212877"/>
    <w:pPr>
      <w:numPr>
        <w:numId w:val="0"/>
      </w:numPr>
      <w:spacing w:after="120"/>
      <w:ind w:left="360"/>
    </w:pPr>
  </w:style>
  <w:style w:type="character" w:customStyle="1" w:styleId="A3">
    <w:name w:val="A3"/>
    <w:uiPriority w:val="99"/>
    <w:rsid w:val="008305C3"/>
    <w:rPr>
      <w:rFonts w:cs="YSFTE Z+ Delicious"/>
      <w:color w:val="211D1E"/>
      <w:sz w:val="20"/>
      <w:szCs w:val="20"/>
    </w:rPr>
  </w:style>
  <w:style w:type="character" w:styleId="FollowedHyperlink">
    <w:name w:val="FollowedHyperlink"/>
    <w:basedOn w:val="DefaultParagraphFont"/>
    <w:uiPriority w:val="99"/>
    <w:semiHidden/>
    <w:unhideWhenUsed/>
    <w:rsid w:val="008305C3"/>
    <w:rPr>
      <w:color w:val="800080" w:themeColor="followedHyperlink"/>
      <w:u w:val="single"/>
    </w:rPr>
  </w:style>
  <w:style w:type="paragraph" w:styleId="PlainText">
    <w:name w:val="Plain Text"/>
    <w:basedOn w:val="Normal"/>
    <w:link w:val="PlainTextChar"/>
    <w:uiPriority w:val="99"/>
    <w:unhideWhenUsed/>
    <w:rsid w:val="008305C3"/>
    <w:pPr>
      <w:spacing w:after="0"/>
    </w:pPr>
    <w:rPr>
      <w:rFonts w:ascii="Consolas" w:hAnsi="Consolas" w:cs="Consolas"/>
      <w:sz w:val="21"/>
      <w:szCs w:val="21"/>
    </w:rPr>
  </w:style>
  <w:style w:type="character" w:customStyle="1" w:styleId="PlainTextChar">
    <w:name w:val="Plain Text Char"/>
    <w:basedOn w:val="DefaultParagraphFont"/>
    <w:link w:val="PlainText"/>
    <w:uiPriority w:val="99"/>
    <w:rsid w:val="008305C3"/>
    <w:rPr>
      <w:rFonts w:ascii="Consolas" w:hAnsi="Consolas" w:cs="Consolas"/>
      <w:sz w:val="21"/>
      <w:szCs w:val="21"/>
    </w:rPr>
  </w:style>
  <w:style w:type="paragraph" w:styleId="Revision">
    <w:name w:val="Revision"/>
    <w:hidden/>
    <w:uiPriority w:val="99"/>
    <w:semiHidden/>
    <w:rsid w:val="008305C3"/>
    <w:rPr>
      <w:rFonts w:ascii="Arial" w:hAnsi="Arial"/>
      <w:sz w:val="24"/>
      <w:szCs w:val="22"/>
    </w:rPr>
  </w:style>
  <w:style w:type="paragraph" w:styleId="BodyTextIndent">
    <w:name w:val="Body Text Indent"/>
    <w:basedOn w:val="Normal"/>
    <w:link w:val="BodyTextIndentChar"/>
    <w:uiPriority w:val="99"/>
    <w:rsid w:val="00A426C4"/>
    <w:pPr>
      <w:spacing w:after="0"/>
      <w:ind w:left="720" w:hanging="720"/>
      <w:jc w:val="left"/>
    </w:pPr>
    <w:rPr>
      <w:szCs w:val="20"/>
    </w:rPr>
  </w:style>
  <w:style w:type="character" w:customStyle="1" w:styleId="BodyTextIndentChar">
    <w:name w:val="Body Text Indent Char"/>
    <w:basedOn w:val="DefaultParagraphFont"/>
    <w:link w:val="BodyTextIndent"/>
    <w:uiPriority w:val="99"/>
    <w:rsid w:val="00A426C4"/>
    <w:rPr>
      <w:rFonts w:ascii="Arial" w:hAnsi="Arial"/>
      <w:sz w:val="24"/>
    </w:rPr>
  </w:style>
  <w:style w:type="paragraph" w:customStyle="1" w:styleId="Bullets">
    <w:name w:val="Bullets"/>
    <w:basedOn w:val="ListParagraph"/>
    <w:qFormat/>
    <w:rsid w:val="00A426C4"/>
    <w:pPr>
      <w:numPr>
        <w:numId w:val="10"/>
      </w:numPr>
      <w:spacing w:after="60"/>
      <w:ind w:left="1080" w:hanging="720"/>
      <w:jc w:val="left"/>
    </w:pPr>
    <w:rPr>
      <w:rFonts w:eastAsia="Calibri" w:cs="Arial"/>
      <w:szCs w:val="24"/>
    </w:rPr>
  </w:style>
  <w:style w:type="paragraph" w:customStyle="1" w:styleId="last-child">
    <w:name w:val="last-child"/>
    <w:basedOn w:val="Normal"/>
    <w:rsid w:val="00A426C4"/>
    <w:pPr>
      <w:spacing w:before="100" w:beforeAutospacing="1" w:after="100" w:afterAutospacing="1"/>
      <w:jc w:val="left"/>
    </w:pPr>
    <w:rPr>
      <w:rFonts w:ascii="Times New Roman" w:hAnsi="Times New Roman"/>
      <w:szCs w:val="24"/>
    </w:rPr>
  </w:style>
  <w:style w:type="character" w:customStyle="1" w:styleId="contents">
    <w:name w:val="contents"/>
    <w:rsid w:val="00A426C4"/>
  </w:style>
  <w:style w:type="character" w:customStyle="1" w:styleId="sectno">
    <w:name w:val="sectno"/>
    <w:rsid w:val="00A426C4"/>
  </w:style>
  <w:style w:type="character" w:customStyle="1" w:styleId="subject">
    <w:name w:val="subject"/>
    <w:rsid w:val="00A426C4"/>
  </w:style>
  <w:style w:type="character" w:customStyle="1" w:styleId="enumxml">
    <w:name w:val="enumxml"/>
    <w:rsid w:val="00A426C4"/>
  </w:style>
  <w:style w:type="character" w:customStyle="1" w:styleId="ptext-1">
    <w:name w:val="ptext-1"/>
    <w:rsid w:val="00A426C4"/>
  </w:style>
  <w:style w:type="character" w:styleId="Emphasis">
    <w:name w:val="Emphasis"/>
    <w:uiPriority w:val="20"/>
    <w:qFormat/>
    <w:rsid w:val="00A426C4"/>
    <w:rPr>
      <w:i/>
      <w:iCs/>
    </w:rPr>
  </w:style>
  <w:style w:type="character" w:customStyle="1" w:styleId="aref-unknown">
    <w:name w:val="aref-unknown"/>
    <w:rsid w:val="00A426C4"/>
  </w:style>
  <w:style w:type="character" w:customStyle="1" w:styleId="ptext-2">
    <w:name w:val="ptext-2"/>
    <w:rsid w:val="00A426C4"/>
  </w:style>
  <w:style w:type="paragraph" w:styleId="HTMLPreformatted">
    <w:name w:val="HTML Preformatted"/>
    <w:basedOn w:val="Normal"/>
    <w:link w:val="HTMLPreformattedChar"/>
    <w:uiPriority w:val="99"/>
    <w:semiHidden/>
    <w:unhideWhenUsed/>
    <w:rsid w:val="00A426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sz w:val="20"/>
      <w:szCs w:val="20"/>
    </w:rPr>
  </w:style>
  <w:style w:type="character" w:customStyle="1" w:styleId="HTMLPreformattedChar">
    <w:name w:val="HTML Preformatted Char"/>
    <w:basedOn w:val="DefaultParagraphFont"/>
    <w:link w:val="HTMLPreformatted"/>
    <w:uiPriority w:val="99"/>
    <w:semiHidden/>
    <w:rsid w:val="00A426C4"/>
    <w:rPr>
      <w:rFonts w:ascii="Courier New" w:hAnsi="Courier New"/>
    </w:rPr>
  </w:style>
  <w:style w:type="paragraph" w:customStyle="1" w:styleId="NumberList">
    <w:name w:val="Number List"/>
    <w:basedOn w:val="Normal"/>
    <w:next w:val="Normal"/>
    <w:rsid w:val="00A426C4"/>
    <w:pPr>
      <w:numPr>
        <w:numId w:val="12"/>
      </w:numPr>
      <w:tabs>
        <w:tab w:val="clear" w:pos="1080"/>
      </w:tabs>
      <w:ind w:left="720" w:hanging="720"/>
    </w:pPr>
    <w:rPr>
      <w:rFonts w:ascii="Times New Roman" w:hAnsi="Times New Roman"/>
      <w:b/>
      <w:szCs w:val="24"/>
    </w:rPr>
  </w:style>
  <w:style w:type="paragraph" w:styleId="NoSpacing">
    <w:name w:val="No Spacing"/>
    <w:link w:val="NoSpacingChar"/>
    <w:uiPriority w:val="1"/>
    <w:qFormat/>
    <w:rsid w:val="00A426C4"/>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A426C4"/>
    <w:rPr>
      <w:rFonts w:asciiTheme="minorHAnsi" w:eastAsiaTheme="minorEastAsia" w:hAnsiTheme="minorHAnsi" w:cstheme="minorBidi"/>
      <w:sz w:val="22"/>
      <w:szCs w:val="22"/>
      <w:lang w:eastAsia="ja-JP"/>
    </w:rPr>
  </w:style>
  <w:style w:type="paragraph" w:customStyle="1" w:styleId="FooterLeft">
    <w:name w:val="Footer Left"/>
    <w:basedOn w:val="Footer"/>
    <w:uiPriority w:val="35"/>
    <w:qFormat/>
    <w:rsid w:val="00A426C4"/>
    <w:pPr>
      <w:pBdr>
        <w:top w:val="dashed" w:sz="4" w:space="18" w:color="7F7F7F" w:themeColor="text1" w:themeTint="80"/>
      </w:pBdr>
      <w:tabs>
        <w:tab w:val="clear" w:pos="4680"/>
        <w:tab w:val="clear" w:pos="9360"/>
        <w:tab w:val="center" w:pos="4320"/>
        <w:tab w:val="right" w:pos="8640"/>
      </w:tabs>
      <w:spacing w:after="200"/>
      <w:contextualSpacing/>
      <w:jc w:val="left"/>
    </w:pPr>
    <w:rPr>
      <w:rFonts w:asciiTheme="minorHAnsi" w:eastAsiaTheme="minorHAnsi" w:hAnsiTheme="minorHAnsi"/>
      <w:color w:val="7F7F7F" w:themeColor="text1" w:themeTint="80"/>
      <w:sz w:val="20"/>
      <w:szCs w:val="18"/>
      <w:lang w:eastAsia="ja-JP"/>
    </w:rPr>
  </w:style>
  <w:style w:type="paragraph" w:styleId="NormalIndent0">
    <w:name w:val="Normal Indent"/>
    <w:basedOn w:val="Normal"/>
    <w:uiPriority w:val="99"/>
    <w:unhideWhenUsed/>
    <w:rsid w:val="00F91070"/>
    <w:pPr>
      <w:ind w:left="720"/>
    </w:pPr>
  </w:style>
  <w:style w:type="paragraph" w:customStyle="1" w:styleId="numbered">
    <w:name w:val="numbered"/>
    <w:basedOn w:val="Normal"/>
    <w:rsid w:val="00AE554B"/>
    <w:pPr>
      <w:tabs>
        <w:tab w:val="left" w:pos="1260"/>
      </w:tabs>
      <w:suppressAutoHyphens/>
      <w:spacing w:after="0"/>
      <w:ind w:left="2160" w:hanging="720"/>
      <w:jc w:val="left"/>
    </w:pPr>
    <w:rPr>
      <w:rFonts w:eastAsia="Calibri"/>
      <w:sz w:val="22"/>
      <w:szCs w:val="20"/>
    </w:rPr>
  </w:style>
  <w:style w:type="paragraph" w:styleId="TOC1">
    <w:name w:val="toc 1"/>
    <w:basedOn w:val="Normal"/>
    <w:next w:val="Normal"/>
    <w:autoRedefine/>
    <w:uiPriority w:val="39"/>
    <w:unhideWhenUsed/>
    <w:rsid w:val="00FA30B2"/>
    <w:pPr>
      <w:keepNext/>
      <w:tabs>
        <w:tab w:val="left" w:pos="450"/>
        <w:tab w:val="right" w:leader="dot" w:pos="9350"/>
      </w:tabs>
      <w:spacing w:after="60"/>
      <w:jc w:val="left"/>
    </w:pPr>
    <w:rPr>
      <w:rFonts w:ascii="Arial Bold" w:hAnsi="Arial Bold"/>
      <w:b/>
      <w:caps/>
    </w:rPr>
  </w:style>
  <w:style w:type="paragraph" w:styleId="TOC2">
    <w:name w:val="toc 2"/>
    <w:basedOn w:val="Normal"/>
    <w:next w:val="Normal"/>
    <w:autoRedefine/>
    <w:uiPriority w:val="39"/>
    <w:unhideWhenUsed/>
    <w:rsid w:val="00B131F4"/>
    <w:pPr>
      <w:keepNext/>
      <w:tabs>
        <w:tab w:val="left" w:pos="720"/>
        <w:tab w:val="left" w:pos="2421"/>
        <w:tab w:val="right" w:leader="dot" w:pos="9350"/>
      </w:tabs>
      <w:spacing w:after="60"/>
      <w:ind w:left="2189" w:hanging="1728"/>
    </w:pPr>
    <w:rPr>
      <w:caps/>
    </w:rPr>
  </w:style>
  <w:style w:type="paragraph" w:styleId="TOC3">
    <w:name w:val="toc 3"/>
    <w:basedOn w:val="Normal"/>
    <w:next w:val="Normal"/>
    <w:autoRedefine/>
    <w:uiPriority w:val="39"/>
    <w:unhideWhenUsed/>
    <w:rsid w:val="00D969AE"/>
    <w:pPr>
      <w:spacing w:after="60"/>
      <w:ind w:left="720"/>
    </w:pPr>
    <w:rPr>
      <w:smallCaps/>
    </w:rPr>
  </w:style>
  <w:style w:type="character" w:customStyle="1" w:styleId="st">
    <w:name w:val="st"/>
    <w:rsid w:val="00AE554B"/>
  </w:style>
  <w:style w:type="character" w:customStyle="1" w:styleId="object">
    <w:name w:val="object"/>
    <w:rsid w:val="00AE554B"/>
  </w:style>
  <w:style w:type="table" w:styleId="TableProfessional">
    <w:name w:val="Table Professional"/>
    <w:aliases w:val="Table-SAGE"/>
    <w:basedOn w:val="TableNormal"/>
    <w:uiPriority w:val="99"/>
    <w:rsid w:val="001528AA"/>
    <w:pPr>
      <w:widowControl w:val="0"/>
    </w:pPr>
    <w:rPr>
      <w:rFonts w:ascii="Arial" w:hAnsi="Arial"/>
      <w:sz w:val="24"/>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29" w:type="dxa"/>
        <w:left w:w="115" w:type="dxa"/>
        <w:bottom w:w="29" w:type="dxa"/>
        <w:right w:w="115" w:type="dxa"/>
      </w:tblCellMar>
    </w:tblPr>
    <w:trPr>
      <w:jc w:val="center"/>
    </w:trPr>
    <w:tcPr>
      <w:shd w:val="clear" w:color="auto" w:fill="auto"/>
      <w:vAlign w:val="center"/>
    </w:tcPr>
    <w:tblStylePr w:type="firstRow">
      <w:pPr>
        <w:jc w:val="center"/>
      </w:pPr>
      <w:rPr>
        <w:b/>
        <w:bCs/>
        <w:color w:val="auto"/>
      </w:rPr>
      <w:tblPr/>
      <w:tcPr>
        <w:shd w:val="clear" w:color="auto" w:fill="A5CD7E"/>
      </w:tcPr>
    </w:tblStylePr>
  </w:style>
  <w:style w:type="paragraph" w:customStyle="1" w:styleId="Normalindent1">
    <w:name w:val="Normal + indent"/>
    <w:basedOn w:val="ListParagraph"/>
    <w:qFormat/>
    <w:rsid w:val="001528AA"/>
    <w:pPr>
      <w:ind w:left="360"/>
      <w:contextualSpacing w:val="0"/>
    </w:pPr>
  </w:style>
  <w:style w:type="paragraph" w:customStyle="1" w:styleId="Numbering6ptafter">
    <w:name w:val="Numbering + 6pt after"/>
    <w:basedOn w:val="Numbering"/>
    <w:qFormat/>
    <w:rsid w:val="001528AA"/>
    <w:pPr>
      <w:numPr>
        <w:numId w:val="44"/>
      </w:numPr>
      <w:spacing w:after="120"/>
    </w:pPr>
  </w:style>
  <w:style w:type="paragraph" w:customStyle="1" w:styleId="sub-task">
    <w:name w:val="sub-task"/>
    <w:basedOn w:val="Normal"/>
    <w:rsid w:val="00701DCF"/>
    <w:pPr>
      <w:ind w:left="720" w:hanging="432"/>
    </w:pPr>
    <w:rPr>
      <w:szCs w:val="24"/>
    </w:rPr>
  </w:style>
  <w:style w:type="character" w:styleId="PageNumber">
    <w:name w:val="page number"/>
    <w:basedOn w:val="DefaultParagraphFont"/>
    <w:uiPriority w:val="99"/>
    <w:semiHidden/>
    <w:unhideWhenUsed/>
    <w:rsid w:val="00701DCF"/>
  </w:style>
  <w:style w:type="paragraph" w:customStyle="1" w:styleId="ColorfulList-Accent11">
    <w:name w:val="Colorful List - Accent 11"/>
    <w:basedOn w:val="Normal"/>
    <w:uiPriority w:val="34"/>
    <w:qFormat/>
    <w:rsid w:val="00786363"/>
    <w:pPr>
      <w:ind w:left="720"/>
      <w:contextualSpacing/>
    </w:pPr>
  </w:style>
  <w:style w:type="table" w:customStyle="1" w:styleId="MediumShading1-Accent11">
    <w:name w:val="Medium Shading 1 - Accent 11"/>
    <w:basedOn w:val="TableNormal"/>
    <w:uiPriority w:val="63"/>
    <w:rsid w:val="00680B53"/>
    <w:rPr>
      <w:rFonts w:asciiTheme="minorHAnsi" w:eastAsiaTheme="minorHAnsi" w:hAnsiTheme="minorHAnsi" w:cstheme="minorBidi"/>
      <w:sz w:val="22"/>
      <w:szCs w:val="22"/>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Caption">
    <w:name w:val="caption"/>
    <w:basedOn w:val="Normal"/>
    <w:next w:val="Normal"/>
    <w:uiPriority w:val="35"/>
    <w:unhideWhenUsed/>
    <w:qFormat/>
    <w:rsid w:val="00356110"/>
    <w:pPr>
      <w:keepNext/>
      <w:jc w:val="center"/>
    </w:pPr>
    <w:rPr>
      <w:b/>
      <w:bCs/>
      <w:szCs w:val="18"/>
    </w:rPr>
  </w:style>
  <w:style w:type="paragraph" w:styleId="TableofFigures">
    <w:name w:val="table of figures"/>
    <w:basedOn w:val="Normal"/>
    <w:next w:val="Normal"/>
    <w:uiPriority w:val="99"/>
    <w:unhideWhenUsed/>
    <w:rsid w:val="00133BC1"/>
    <w:pPr>
      <w:spacing w:after="60"/>
      <w:jc w:val="left"/>
    </w:pPr>
  </w:style>
  <w:style w:type="numbering" w:customStyle="1" w:styleId="NoList1">
    <w:name w:val="No List1"/>
    <w:next w:val="NoList"/>
    <w:uiPriority w:val="99"/>
    <w:semiHidden/>
    <w:unhideWhenUsed/>
    <w:rsid w:val="004E114A"/>
  </w:style>
  <w:style w:type="table" w:customStyle="1" w:styleId="TableGrid1">
    <w:name w:val="Table Grid1"/>
    <w:basedOn w:val="TableNormal"/>
    <w:next w:val="TableGrid"/>
    <w:uiPriority w:val="59"/>
    <w:rsid w:val="004E11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0">
    <w:name w:val="Table Heading"/>
    <w:basedOn w:val="Normal"/>
    <w:qFormat/>
    <w:rsid w:val="004E114A"/>
    <w:pPr>
      <w:spacing w:after="0"/>
      <w:jc w:val="center"/>
    </w:pPr>
    <w:rPr>
      <w:b/>
      <w:szCs w:val="20"/>
    </w:rPr>
  </w:style>
  <w:style w:type="paragraph" w:customStyle="1" w:styleId="TableText0">
    <w:name w:val="Table Text"/>
    <w:basedOn w:val="Normal"/>
    <w:qFormat/>
    <w:rsid w:val="00581946"/>
    <w:pPr>
      <w:spacing w:after="0"/>
      <w:jc w:val="center"/>
    </w:pPr>
  </w:style>
  <w:style w:type="character" w:customStyle="1" w:styleId="tgc">
    <w:name w:val="_tgc"/>
    <w:basedOn w:val="DefaultParagraphFont"/>
    <w:rsid w:val="00581946"/>
  </w:style>
  <w:style w:type="paragraph" w:customStyle="1" w:styleId="FRTableNumbering">
    <w:name w:val="F&amp;R Table Numbering"/>
    <w:basedOn w:val="Normal-aftertable"/>
    <w:qFormat/>
    <w:rsid w:val="00EB08C6"/>
    <w:pPr>
      <w:keepLines/>
      <w:spacing w:before="0" w:after="0"/>
      <w:ind w:left="360" w:hanging="360"/>
      <w:jc w:val="left"/>
    </w:pPr>
    <w:rPr>
      <w:szCs w:val="24"/>
    </w:rPr>
  </w:style>
  <w:style w:type="paragraph" w:styleId="TOC4">
    <w:name w:val="toc 4"/>
    <w:basedOn w:val="Normal"/>
    <w:next w:val="Normal"/>
    <w:autoRedefine/>
    <w:uiPriority w:val="39"/>
    <w:unhideWhenUsed/>
    <w:rsid w:val="008236C1"/>
    <w:pPr>
      <w:spacing w:after="100" w:line="259" w:lineRule="auto"/>
      <w:ind w:left="660"/>
      <w:jc w:val="left"/>
    </w:pPr>
    <w:rPr>
      <w:rFonts w:asciiTheme="minorHAnsi" w:eastAsiaTheme="minorEastAsia" w:hAnsiTheme="minorHAnsi" w:cstheme="minorBidi"/>
      <w:sz w:val="22"/>
    </w:rPr>
  </w:style>
  <w:style w:type="paragraph" w:styleId="TOC5">
    <w:name w:val="toc 5"/>
    <w:basedOn w:val="Normal"/>
    <w:next w:val="Normal"/>
    <w:autoRedefine/>
    <w:uiPriority w:val="39"/>
    <w:unhideWhenUsed/>
    <w:rsid w:val="008236C1"/>
    <w:pPr>
      <w:spacing w:after="100" w:line="259" w:lineRule="auto"/>
      <w:ind w:left="880"/>
      <w:jc w:val="left"/>
    </w:pPr>
    <w:rPr>
      <w:rFonts w:asciiTheme="minorHAnsi" w:eastAsiaTheme="minorEastAsia" w:hAnsiTheme="minorHAnsi" w:cstheme="minorBidi"/>
      <w:sz w:val="22"/>
    </w:rPr>
  </w:style>
  <w:style w:type="paragraph" w:styleId="TOC6">
    <w:name w:val="toc 6"/>
    <w:basedOn w:val="Normal"/>
    <w:next w:val="Normal"/>
    <w:autoRedefine/>
    <w:uiPriority w:val="39"/>
    <w:unhideWhenUsed/>
    <w:rsid w:val="008236C1"/>
    <w:pPr>
      <w:spacing w:after="100" w:line="259" w:lineRule="auto"/>
      <w:ind w:left="1100"/>
      <w:jc w:val="left"/>
    </w:pPr>
    <w:rPr>
      <w:rFonts w:asciiTheme="minorHAnsi" w:eastAsiaTheme="minorEastAsia" w:hAnsiTheme="minorHAnsi" w:cstheme="minorBidi"/>
      <w:sz w:val="22"/>
    </w:rPr>
  </w:style>
  <w:style w:type="paragraph" w:styleId="TOC7">
    <w:name w:val="toc 7"/>
    <w:basedOn w:val="Normal"/>
    <w:next w:val="Normal"/>
    <w:autoRedefine/>
    <w:uiPriority w:val="39"/>
    <w:unhideWhenUsed/>
    <w:rsid w:val="008236C1"/>
    <w:pPr>
      <w:spacing w:after="100" w:line="259" w:lineRule="auto"/>
      <w:ind w:left="1320"/>
      <w:jc w:val="left"/>
    </w:pPr>
    <w:rPr>
      <w:rFonts w:asciiTheme="minorHAnsi" w:eastAsiaTheme="minorEastAsia" w:hAnsiTheme="minorHAnsi" w:cstheme="minorBidi"/>
      <w:sz w:val="22"/>
    </w:rPr>
  </w:style>
  <w:style w:type="paragraph" w:styleId="TOC8">
    <w:name w:val="toc 8"/>
    <w:basedOn w:val="Normal"/>
    <w:next w:val="Normal"/>
    <w:autoRedefine/>
    <w:uiPriority w:val="39"/>
    <w:unhideWhenUsed/>
    <w:rsid w:val="008236C1"/>
    <w:pPr>
      <w:spacing w:after="100" w:line="259" w:lineRule="auto"/>
      <w:ind w:left="1540"/>
      <w:jc w:val="left"/>
    </w:pPr>
    <w:rPr>
      <w:rFonts w:asciiTheme="minorHAnsi" w:eastAsiaTheme="minorEastAsia" w:hAnsiTheme="minorHAnsi" w:cstheme="minorBidi"/>
      <w:sz w:val="22"/>
    </w:rPr>
  </w:style>
  <w:style w:type="paragraph" w:styleId="TOC9">
    <w:name w:val="toc 9"/>
    <w:basedOn w:val="Normal"/>
    <w:next w:val="Normal"/>
    <w:autoRedefine/>
    <w:uiPriority w:val="39"/>
    <w:unhideWhenUsed/>
    <w:rsid w:val="008236C1"/>
    <w:pPr>
      <w:spacing w:after="100" w:line="259" w:lineRule="auto"/>
      <w:ind w:left="1760"/>
      <w:jc w:val="left"/>
    </w:pPr>
    <w:rPr>
      <w:rFonts w:asciiTheme="minorHAnsi" w:eastAsiaTheme="minorEastAsia" w:hAnsiTheme="minorHAnsi" w:cstheme="minorBidi"/>
      <w:sz w:val="22"/>
    </w:rPr>
  </w:style>
  <w:style w:type="paragraph" w:customStyle="1" w:styleId="TableParagraph">
    <w:name w:val="Table Paragraph"/>
    <w:basedOn w:val="Normal"/>
    <w:uiPriority w:val="1"/>
    <w:qFormat/>
    <w:rsid w:val="00A51C66"/>
    <w:pPr>
      <w:widowControl w:val="0"/>
      <w:spacing w:after="0" w:line="220" w:lineRule="exact"/>
      <w:ind w:right="26"/>
      <w:jc w:val="right"/>
    </w:pPr>
    <w:rPr>
      <w:rFonts w:eastAsia="Arial" w:cs="Arial"/>
      <w:sz w:val="22"/>
    </w:rPr>
  </w:style>
  <w:style w:type="character" w:customStyle="1" w:styleId="Heading6Char">
    <w:name w:val="Heading 6 Char"/>
    <w:basedOn w:val="DefaultParagraphFont"/>
    <w:link w:val="Heading6"/>
    <w:uiPriority w:val="9"/>
    <w:rsid w:val="0095125D"/>
    <w:rPr>
      <w:rFonts w:ascii="Arial Bold" w:eastAsiaTheme="majorEastAsia" w:hAnsi="Arial Bold" w:cstheme="majorBidi"/>
      <w:b/>
      <w:caps/>
      <w:sz w:val="28"/>
      <w:szCs w:val="22"/>
    </w:rPr>
  </w:style>
  <w:style w:type="character" w:customStyle="1" w:styleId="Heading7Char">
    <w:name w:val="Heading 7 Char"/>
    <w:basedOn w:val="DefaultParagraphFont"/>
    <w:link w:val="Heading7"/>
    <w:uiPriority w:val="9"/>
    <w:rsid w:val="000E2E67"/>
    <w:rPr>
      <w:rFonts w:ascii="Arial Bold" w:hAnsi="Arial Bold"/>
      <w:b/>
      <w:caps/>
      <w:sz w:val="32"/>
      <w:szCs w:val="32"/>
    </w:rPr>
  </w:style>
  <w:style w:type="paragraph" w:customStyle="1" w:styleId="Heading-PUC">
    <w:name w:val="Heading-PUC"/>
    <w:basedOn w:val="Heading30"/>
    <w:qFormat/>
    <w:rsid w:val="005B2A02"/>
  </w:style>
  <w:style w:type="paragraph" w:customStyle="1" w:styleId="Heading-forToC">
    <w:name w:val="Heading-forToC"/>
    <w:basedOn w:val="Heading30"/>
    <w:qFormat/>
    <w:rsid w:val="00AC40FC"/>
  </w:style>
</w:styles>
</file>

<file path=word/webSettings.xml><?xml version="1.0" encoding="utf-8"?>
<w:webSettings xmlns:r="http://schemas.openxmlformats.org/officeDocument/2006/relationships" xmlns:w="http://schemas.openxmlformats.org/wordprocessingml/2006/main">
  <w:divs>
    <w:div w:id="375551276">
      <w:bodyDiv w:val="1"/>
      <w:marLeft w:val="0"/>
      <w:marRight w:val="0"/>
      <w:marTop w:val="0"/>
      <w:marBottom w:val="0"/>
      <w:divBdr>
        <w:top w:val="none" w:sz="0" w:space="0" w:color="auto"/>
        <w:left w:val="none" w:sz="0" w:space="0" w:color="auto"/>
        <w:bottom w:val="none" w:sz="0" w:space="0" w:color="auto"/>
        <w:right w:val="none" w:sz="0" w:space="0" w:color="auto"/>
      </w:divBdr>
    </w:div>
    <w:div w:id="388304331">
      <w:bodyDiv w:val="1"/>
      <w:marLeft w:val="0"/>
      <w:marRight w:val="0"/>
      <w:marTop w:val="0"/>
      <w:marBottom w:val="0"/>
      <w:divBdr>
        <w:top w:val="none" w:sz="0" w:space="0" w:color="auto"/>
        <w:left w:val="none" w:sz="0" w:space="0" w:color="auto"/>
        <w:bottom w:val="none" w:sz="0" w:space="0" w:color="auto"/>
        <w:right w:val="none" w:sz="0" w:space="0" w:color="auto"/>
      </w:divBdr>
    </w:div>
    <w:div w:id="390424199">
      <w:bodyDiv w:val="1"/>
      <w:marLeft w:val="0"/>
      <w:marRight w:val="0"/>
      <w:marTop w:val="0"/>
      <w:marBottom w:val="0"/>
      <w:divBdr>
        <w:top w:val="none" w:sz="0" w:space="0" w:color="auto"/>
        <w:left w:val="none" w:sz="0" w:space="0" w:color="auto"/>
        <w:bottom w:val="none" w:sz="0" w:space="0" w:color="auto"/>
        <w:right w:val="none" w:sz="0" w:space="0" w:color="auto"/>
      </w:divBdr>
    </w:div>
    <w:div w:id="527915353">
      <w:bodyDiv w:val="1"/>
      <w:marLeft w:val="0"/>
      <w:marRight w:val="0"/>
      <w:marTop w:val="0"/>
      <w:marBottom w:val="0"/>
      <w:divBdr>
        <w:top w:val="none" w:sz="0" w:space="0" w:color="auto"/>
        <w:left w:val="none" w:sz="0" w:space="0" w:color="auto"/>
        <w:bottom w:val="none" w:sz="0" w:space="0" w:color="auto"/>
        <w:right w:val="none" w:sz="0" w:space="0" w:color="auto"/>
      </w:divBdr>
    </w:div>
    <w:div w:id="636375763">
      <w:bodyDiv w:val="1"/>
      <w:marLeft w:val="0"/>
      <w:marRight w:val="0"/>
      <w:marTop w:val="0"/>
      <w:marBottom w:val="0"/>
      <w:divBdr>
        <w:top w:val="none" w:sz="0" w:space="0" w:color="auto"/>
        <w:left w:val="none" w:sz="0" w:space="0" w:color="auto"/>
        <w:bottom w:val="none" w:sz="0" w:space="0" w:color="auto"/>
        <w:right w:val="none" w:sz="0" w:space="0" w:color="auto"/>
      </w:divBdr>
    </w:div>
    <w:div w:id="1615747570">
      <w:bodyDiv w:val="1"/>
      <w:marLeft w:val="0"/>
      <w:marRight w:val="0"/>
      <w:marTop w:val="0"/>
      <w:marBottom w:val="0"/>
      <w:divBdr>
        <w:top w:val="none" w:sz="0" w:space="0" w:color="auto"/>
        <w:left w:val="none" w:sz="0" w:space="0" w:color="auto"/>
        <w:bottom w:val="none" w:sz="0" w:space="0" w:color="auto"/>
        <w:right w:val="none" w:sz="0" w:space="0" w:color="auto"/>
      </w:divBdr>
    </w:div>
    <w:div w:id="1779327364">
      <w:bodyDiv w:val="1"/>
      <w:marLeft w:val="0"/>
      <w:marRight w:val="0"/>
      <w:marTop w:val="0"/>
      <w:marBottom w:val="0"/>
      <w:divBdr>
        <w:top w:val="none" w:sz="0" w:space="0" w:color="auto"/>
        <w:left w:val="none" w:sz="0" w:space="0" w:color="auto"/>
        <w:bottom w:val="none" w:sz="0" w:space="0" w:color="auto"/>
        <w:right w:val="none" w:sz="0" w:space="0" w:color="auto"/>
      </w:divBdr>
    </w:div>
    <w:div w:id="1785230665">
      <w:bodyDiv w:val="1"/>
      <w:marLeft w:val="0"/>
      <w:marRight w:val="0"/>
      <w:marTop w:val="0"/>
      <w:marBottom w:val="0"/>
      <w:divBdr>
        <w:top w:val="none" w:sz="0" w:space="0" w:color="auto"/>
        <w:left w:val="none" w:sz="0" w:space="0" w:color="auto"/>
        <w:bottom w:val="none" w:sz="0" w:space="0" w:color="auto"/>
        <w:right w:val="none" w:sz="0" w:space="0" w:color="auto"/>
      </w:divBdr>
    </w:div>
    <w:div w:id="1796606035">
      <w:bodyDiv w:val="1"/>
      <w:marLeft w:val="0"/>
      <w:marRight w:val="0"/>
      <w:marTop w:val="0"/>
      <w:marBottom w:val="0"/>
      <w:divBdr>
        <w:top w:val="none" w:sz="0" w:space="0" w:color="auto"/>
        <w:left w:val="none" w:sz="0" w:space="0" w:color="auto"/>
        <w:bottom w:val="none" w:sz="0" w:space="0" w:color="auto"/>
        <w:right w:val="none" w:sz="0" w:space="0" w:color="auto"/>
      </w:divBdr>
    </w:div>
    <w:div w:id="1865242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117" Type="http://schemas.openxmlformats.org/officeDocument/2006/relationships/fontTable" Target="fontTable.xml"/><Relationship Id="rId21" Type="http://schemas.openxmlformats.org/officeDocument/2006/relationships/chart" Target="charts/chart2.xml"/><Relationship Id="rId42" Type="http://schemas.openxmlformats.org/officeDocument/2006/relationships/chart" Target="charts/chart16.xml"/><Relationship Id="rId47" Type="http://schemas.openxmlformats.org/officeDocument/2006/relationships/chart" Target="charts/chart20.xml"/><Relationship Id="rId63" Type="http://schemas.openxmlformats.org/officeDocument/2006/relationships/image" Target="media/image13.jpeg"/><Relationship Id="rId68" Type="http://schemas.openxmlformats.org/officeDocument/2006/relationships/footer" Target="footer7.xml"/><Relationship Id="rId84" Type="http://schemas.openxmlformats.org/officeDocument/2006/relationships/image" Target="media/image25.jpeg"/><Relationship Id="rId89" Type="http://schemas.openxmlformats.org/officeDocument/2006/relationships/footer" Target="footer16.xml"/><Relationship Id="rId112" Type="http://schemas.openxmlformats.org/officeDocument/2006/relationships/chart" Target="charts/chart48.xml"/><Relationship Id="rId16" Type="http://schemas.openxmlformats.org/officeDocument/2006/relationships/footer" Target="footer4.xml"/><Relationship Id="rId107" Type="http://schemas.openxmlformats.org/officeDocument/2006/relationships/chart" Target="charts/chart45.xml"/><Relationship Id="rId11" Type="http://schemas.openxmlformats.org/officeDocument/2006/relationships/footer" Target="footer1.xml"/><Relationship Id="rId24" Type="http://schemas.openxmlformats.org/officeDocument/2006/relationships/chart" Target="charts/chart4.xml"/><Relationship Id="rId32" Type="http://schemas.openxmlformats.org/officeDocument/2006/relationships/image" Target="media/image8.jpeg"/><Relationship Id="rId37" Type="http://schemas.openxmlformats.org/officeDocument/2006/relationships/chart" Target="charts/chart12.xml"/><Relationship Id="rId40" Type="http://schemas.openxmlformats.org/officeDocument/2006/relationships/chart" Target="charts/chart15.xml"/><Relationship Id="rId45" Type="http://schemas.openxmlformats.org/officeDocument/2006/relationships/chart" Target="charts/chart18.xml"/><Relationship Id="rId53" Type="http://schemas.openxmlformats.org/officeDocument/2006/relationships/chart" Target="charts/chart26.xml"/><Relationship Id="rId58" Type="http://schemas.openxmlformats.org/officeDocument/2006/relationships/chart" Target="charts/chart31.xml"/><Relationship Id="rId66" Type="http://schemas.openxmlformats.org/officeDocument/2006/relationships/image" Target="media/image15.wmf"/><Relationship Id="rId74" Type="http://schemas.openxmlformats.org/officeDocument/2006/relationships/image" Target="media/image20.png"/><Relationship Id="rId79" Type="http://schemas.openxmlformats.org/officeDocument/2006/relationships/footer" Target="footer11.xml"/><Relationship Id="rId87" Type="http://schemas.openxmlformats.org/officeDocument/2006/relationships/header" Target="header5.xml"/><Relationship Id="rId102" Type="http://schemas.openxmlformats.org/officeDocument/2006/relationships/chart" Target="charts/chart40.xml"/><Relationship Id="rId110" Type="http://schemas.openxmlformats.org/officeDocument/2006/relationships/footer" Target="footer21.xml"/><Relationship Id="rId115" Type="http://schemas.openxmlformats.org/officeDocument/2006/relationships/chart" Target="charts/chart51.xml"/><Relationship Id="rId5" Type="http://schemas.openxmlformats.org/officeDocument/2006/relationships/webSettings" Target="webSettings.xml"/><Relationship Id="rId61" Type="http://schemas.openxmlformats.org/officeDocument/2006/relationships/image" Target="media/image11.jpeg"/><Relationship Id="rId82" Type="http://schemas.openxmlformats.org/officeDocument/2006/relationships/footer" Target="footer12.xml"/><Relationship Id="rId90" Type="http://schemas.openxmlformats.org/officeDocument/2006/relationships/footer" Target="footer17.xml"/><Relationship Id="rId95" Type="http://schemas.openxmlformats.org/officeDocument/2006/relationships/chart" Target="charts/chart33.xml"/><Relationship Id="rId19" Type="http://schemas.openxmlformats.org/officeDocument/2006/relationships/image" Target="media/image3.jpeg"/><Relationship Id="rId14" Type="http://schemas.openxmlformats.org/officeDocument/2006/relationships/footer" Target="footer3.xml"/><Relationship Id="rId22" Type="http://schemas.openxmlformats.org/officeDocument/2006/relationships/chart" Target="charts/chart3.xml"/><Relationship Id="rId27" Type="http://schemas.openxmlformats.org/officeDocument/2006/relationships/chart" Target="charts/chart6.xml"/><Relationship Id="rId30" Type="http://schemas.openxmlformats.org/officeDocument/2006/relationships/image" Target="media/image7.emf"/><Relationship Id="rId35" Type="http://schemas.openxmlformats.org/officeDocument/2006/relationships/chart" Target="charts/chart10.xml"/><Relationship Id="rId43" Type="http://schemas.openxmlformats.org/officeDocument/2006/relationships/chart" Target="charts/chart17.xml"/><Relationship Id="rId48" Type="http://schemas.openxmlformats.org/officeDocument/2006/relationships/chart" Target="charts/chart21.xml"/><Relationship Id="rId56" Type="http://schemas.openxmlformats.org/officeDocument/2006/relationships/chart" Target="charts/chart29.xml"/><Relationship Id="rId64" Type="http://schemas.openxmlformats.org/officeDocument/2006/relationships/hyperlink" Target="http://media.corporate-ir.net/media_files/IROL/25/251291/ServiceNow%20Financial%20Analyst%20Day%202015%20..pdf" TargetMode="External"/><Relationship Id="rId69" Type="http://schemas.openxmlformats.org/officeDocument/2006/relationships/image" Target="media/image16.jpeg"/><Relationship Id="rId77" Type="http://schemas.openxmlformats.org/officeDocument/2006/relationships/footer" Target="footer10.xml"/><Relationship Id="rId100" Type="http://schemas.openxmlformats.org/officeDocument/2006/relationships/chart" Target="charts/chart38.xml"/><Relationship Id="rId105" Type="http://schemas.openxmlformats.org/officeDocument/2006/relationships/chart" Target="charts/chart43.xml"/><Relationship Id="rId113" Type="http://schemas.openxmlformats.org/officeDocument/2006/relationships/chart" Target="charts/chart49.xml"/><Relationship Id="rId11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hart" Target="charts/chart24.xml"/><Relationship Id="rId72" Type="http://schemas.openxmlformats.org/officeDocument/2006/relationships/footer" Target="footer8.xml"/><Relationship Id="rId80" Type="http://schemas.openxmlformats.org/officeDocument/2006/relationships/image" Target="media/image23.jpeg"/><Relationship Id="rId85" Type="http://schemas.openxmlformats.org/officeDocument/2006/relationships/image" Target="media/image26.jpeg"/><Relationship Id="rId93" Type="http://schemas.openxmlformats.org/officeDocument/2006/relationships/footer" Target="footer19.xml"/><Relationship Id="rId98" Type="http://schemas.openxmlformats.org/officeDocument/2006/relationships/chart" Target="charts/chart3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chart" Target="charts/chart5.xml"/><Relationship Id="rId33" Type="http://schemas.openxmlformats.org/officeDocument/2006/relationships/image" Target="media/image9.jpeg"/><Relationship Id="rId38" Type="http://schemas.openxmlformats.org/officeDocument/2006/relationships/chart" Target="charts/chart13.xml"/><Relationship Id="rId46" Type="http://schemas.openxmlformats.org/officeDocument/2006/relationships/chart" Target="charts/chart19.xml"/><Relationship Id="rId59" Type="http://schemas.openxmlformats.org/officeDocument/2006/relationships/chart" Target="charts/chart32.xml"/><Relationship Id="rId67" Type="http://schemas.openxmlformats.org/officeDocument/2006/relationships/hyperlink" Target="https://en.wikipedia.org/wiki/Code_reuse" TargetMode="External"/><Relationship Id="rId103" Type="http://schemas.openxmlformats.org/officeDocument/2006/relationships/chart" Target="charts/chart41.xml"/><Relationship Id="rId108" Type="http://schemas.openxmlformats.org/officeDocument/2006/relationships/chart" Target="charts/chart46.xml"/><Relationship Id="rId116" Type="http://schemas.openxmlformats.org/officeDocument/2006/relationships/footer" Target="footer22.xml"/><Relationship Id="rId20" Type="http://schemas.openxmlformats.org/officeDocument/2006/relationships/image" Target="media/image4.jpeg"/><Relationship Id="rId41" Type="http://schemas.openxmlformats.org/officeDocument/2006/relationships/footer" Target="footer5.xml"/><Relationship Id="rId54" Type="http://schemas.openxmlformats.org/officeDocument/2006/relationships/chart" Target="charts/chart27.xml"/><Relationship Id="rId62" Type="http://schemas.openxmlformats.org/officeDocument/2006/relationships/image" Target="media/image12.jpeg"/><Relationship Id="rId70" Type="http://schemas.openxmlformats.org/officeDocument/2006/relationships/image" Target="media/image17.jpeg"/><Relationship Id="rId75" Type="http://schemas.openxmlformats.org/officeDocument/2006/relationships/image" Target="media/image21.png"/><Relationship Id="rId83" Type="http://schemas.openxmlformats.org/officeDocument/2006/relationships/footer" Target="footer13.xml"/><Relationship Id="rId88" Type="http://schemas.openxmlformats.org/officeDocument/2006/relationships/footer" Target="footer15.xml"/><Relationship Id="rId91" Type="http://schemas.openxmlformats.org/officeDocument/2006/relationships/footer" Target="footer18.xml"/><Relationship Id="rId96" Type="http://schemas.openxmlformats.org/officeDocument/2006/relationships/chart" Target="charts/chart34.xml"/><Relationship Id="rId111" Type="http://schemas.openxmlformats.org/officeDocument/2006/relationships/chart" Target="charts/chart4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5.jpeg"/><Relationship Id="rId28" Type="http://schemas.openxmlformats.org/officeDocument/2006/relationships/chart" Target="charts/chart7.xml"/><Relationship Id="rId36" Type="http://schemas.openxmlformats.org/officeDocument/2006/relationships/chart" Target="charts/chart11.xml"/><Relationship Id="rId49" Type="http://schemas.openxmlformats.org/officeDocument/2006/relationships/chart" Target="charts/chart22.xml"/><Relationship Id="rId57" Type="http://schemas.openxmlformats.org/officeDocument/2006/relationships/chart" Target="charts/chart30.xml"/><Relationship Id="rId106" Type="http://schemas.openxmlformats.org/officeDocument/2006/relationships/chart" Target="charts/chart44.xml"/><Relationship Id="rId114" Type="http://schemas.openxmlformats.org/officeDocument/2006/relationships/chart" Target="charts/chart50.xml"/><Relationship Id="rId10" Type="http://schemas.openxmlformats.org/officeDocument/2006/relationships/header" Target="header2.xml"/><Relationship Id="rId31" Type="http://schemas.openxmlformats.org/officeDocument/2006/relationships/package" Target="embeddings/Microsoft_Office_Excel_Worksheet1.xlsx"/><Relationship Id="rId44" Type="http://schemas.openxmlformats.org/officeDocument/2006/relationships/image" Target="media/image10.jpeg"/><Relationship Id="rId52" Type="http://schemas.openxmlformats.org/officeDocument/2006/relationships/chart" Target="charts/chart25.xml"/><Relationship Id="rId60" Type="http://schemas.openxmlformats.org/officeDocument/2006/relationships/footer" Target="footer6.xml"/><Relationship Id="rId65" Type="http://schemas.openxmlformats.org/officeDocument/2006/relationships/image" Target="media/image14.png"/><Relationship Id="rId73" Type="http://schemas.openxmlformats.org/officeDocument/2006/relationships/image" Target="media/image19.jpeg"/><Relationship Id="rId78" Type="http://schemas.openxmlformats.org/officeDocument/2006/relationships/image" Target="media/image22.png"/><Relationship Id="rId81" Type="http://schemas.openxmlformats.org/officeDocument/2006/relationships/image" Target="media/image24.jpeg"/><Relationship Id="rId86" Type="http://schemas.openxmlformats.org/officeDocument/2006/relationships/footer" Target="footer14.xml"/><Relationship Id="rId94" Type="http://schemas.openxmlformats.org/officeDocument/2006/relationships/footer" Target="footer20.xml"/><Relationship Id="rId99" Type="http://schemas.openxmlformats.org/officeDocument/2006/relationships/chart" Target="charts/chart37.xml"/><Relationship Id="rId101" Type="http://schemas.openxmlformats.org/officeDocument/2006/relationships/chart" Target="charts/chart39.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chart" Target="charts/chart1.xml"/><Relationship Id="rId39" Type="http://schemas.openxmlformats.org/officeDocument/2006/relationships/chart" Target="charts/chart14.xml"/><Relationship Id="rId109" Type="http://schemas.openxmlformats.org/officeDocument/2006/relationships/header" Target="header7.xml"/><Relationship Id="rId34" Type="http://schemas.openxmlformats.org/officeDocument/2006/relationships/chart" Target="charts/chart9.xml"/><Relationship Id="rId50" Type="http://schemas.openxmlformats.org/officeDocument/2006/relationships/chart" Target="charts/chart23.xml"/><Relationship Id="rId55" Type="http://schemas.openxmlformats.org/officeDocument/2006/relationships/chart" Target="charts/chart28.xml"/><Relationship Id="rId76" Type="http://schemas.openxmlformats.org/officeDocument/2006/relationships/footer" Target="footer9.xml"/><Relationship Id="rId97" Type="http://schemas.openxmlformats.org/officeDocument/2006/relationships/chart" Target="charts/chart35.xml"/><Relationship Id="rId104" Type="http://schemas.openxmlformats.org/officeDocument/2006/relationships/chart" Target="charts/chart42.xml"/><Relationship Id="rId7" Type="http://schemas.openxmlformats.org/officeDocument/2006/relationships/endnotes" Target="endnotes.xml"/><Relationship Id="rId71" Type="http://schemas.openxmlformats.org/officeDocument/2006/relationships/image" Target="media/image18.jpeg"/><Relationship Id="rId92" Type="http://schemas.openxmlformats.org/officeDocument/2006/relationships/header" Target="header6.xml"/><Relationship Id="rId2" Type="http://schemas.openxmlformats.org/officeDocument/2006/relationships/numbering" Target="numbering.xml"/><Relationship Id="rId29" Type="http://schemas.openxmlformats.org/officeDocument/2006/relationships/chart" Target="charts/chart8.xml"/></Relationships>
</file>

<file path=word/charts/_rels/chart1.xml.rels><?xml version="1.0" encoding="UTF-8" standalone="yes"?>
<Relationships xmlns="http://schemas.openxmlformats.org/package/2006/relationships"><Relationship Id="rId1" Type="http://schemas.openxmlformats.org/officeDocument/2006/relationships/oleObject" Target="file:///\\localhost\Users\benjaminstein\Desktop\CS%20DART%20Safety%20Metric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localhost\Users\benjaminstein\Desktop\PPL%20Bill%20Payment%20Methods%20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localhost\Users\benjaminstein\Desktop\Billing%20Perfromance%20and%20Paperless%20Account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localhost\Users\benjaminstein\Desktop\Billing%20Metrics%20PIs%20Revised.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localhost\Users\benjaminstein\Desktop\Billing%20Metrics%20PI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localhost\Users\benjaminstein\Desktop\Work\SAGE%20PPL%20Audit\PPL%20Task%20Reports\PPL%20CS%20Task%2004%20Report\PPL%20CS%2004%20Tables%20and%20Graphs\Collections%20Vendor%20Performance.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localhost\Users\benjaminstein\Desktop\PPL%20Net%20Write-Offs%20Annual%20Info.xlsx" TargetMode="External"/></Relationships>
</file>

<file path=word/charts/_rels/chart16.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1.xml"/></Relationships>
</file>

<file path=word/charts/_rels/chart17.xml.rels><?xml version="1.0" encoding="UTF-8" standalone="yes"?>
<Relationships xmlns="http://schemas.openxmlformats.org/package/2006/relationships"><Relationship Id="rId1" Type="http://schemas.openxmlformats.org/officeDocument/2006/relationships/oleObject" Target="Macintosh%20HD:Users:summerbreeze:Desktop:PPL%20OnTrack%20Program%20Cost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Macintosh%20HD:Users:benjaminstein:Desktop:Work:SAGE%20PPL%20Audit:PPL%20Task%20Reports:PPL%20CAP%20Task%2014%20Report:PPL%20CAP%20Task%2014%20Exhibits:PPL%20Task%2014.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localhost\Users\benjaminstein\Desktop\PPL%20OT%20Agency%20Payments%20Number%20of%20Caseworker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localhost\Users\benjaminstein\Desktop\CCC%20Contacts%20by%20Channel.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localhost\Users\benjaminstein\Desktop\PPL%20OT%20New%20Enrollments%20per%20Caseworker%20with%202015.xlsx" TargetMode="Externa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22.xml.rels><?xml version="1.0" encoding="UTF-8" standalone="yes"?>
<Relationships xmlns="http://schemas.openxmlformats.org/package/2006/relationships"><Relationship Id="rId1" Type="http://schemas.openxmlformats.org/officeDocument/2006/relationships/oleObject" Target="file:///D:\JC%20Write\Sage%20Management%20Consulting\PA%20PPL%20Utilities\Task%20Reports\10_Cust%20Assistance%20Programs%20CAP\OnTrack%20Enrollments%20for%20Each%20Agency.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localhost\Users\benjaminstein\Desktop\Work\SAGE%20PPL%20Audit\PPL%20Task%20Reports\PPL%20CAP%20Task%2014%20Report\PPL%20CAP%20Task%2014%20Exhibits\PPL%20OnTrack%20Targets%20and%20Actuals.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Macintosh%20HD:Users:benjaminstein:Desktop:Work:SAGE%20PPL%20Audit:PPL%20Task%20Reports:PPL%20CAP%20Task%2014%20Report:PPL%20CAP%20Task%2014%20Exhibits:PPL%20Task%2014.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localhost\Users\benjaminstein\Desktop\Work\SAGE%20PPL%20Audit\PPL%20Task%20Reports\PPL%20CAP%20Task%2014%20Report\PPL%20CAP%20Task%2014%20Exhibits\WRAP%20and%20OT%20Costs%20per%20Customer.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localhost\Users\benjaminstein\Desktop\Work\SAGE%20PPL%20Audit\PPL%20Task%20Reports\PPL%20CAP%20Task%2014%20Report\PPL%20CAP%20Task%2014%20Exhibits\OT%20Agency%20Multi-Year%20Stats.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localhost\Users\benjaminstein\Desktop\OT%20Agency%20Cost%20per%20Enrollment,%20with%202015.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localhost\Users\benjaminstein\Desktop\Work\SAGE%20PPL%20Audit\PPL%20Task%20Reports\PPL%20CAP%20Task%2014%20Report\PPL%20CAP%20Task%2014%20Exhibits\PPL%20EU%20OT%20Graduation%20Data.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Macintosh%20HD:Users:benjaminstein:Desktop:PPL%20EU%20OT%20Billed%20and%20Pai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localhost\Users\benjaminstein\Desktop\Energy%20Efficiency%20Metrics.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localhost\Users\benjaminstein\Desktop\Work\SAGE%20PPL%20Audit\PPL%20Task%20Reports\PPL%20CAP%20Task%2014%20Report\PPL%20CAP%20Task%2014%20Exhibits\PPL%20EU%20OT%20PUC%20Informal%20Complaints.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localhost\Users\benjaminstein\Desktop\PPL%20EU%20OT%20Complaints%20per%201000%20OT%20Customers.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localhost\Users\benjaminstein\Desktop\PPL%20OT%20Arrearage%20Forgiveness.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D:\JC%20Write\Sage%20Management%20Consulting\PA%20PPL%20Utilities\Task%20Reports\17_Statistics\02_App%20C\APP%20C-PPL%20PANEL%20AGG%20DATA%20SEP%202015%20FINAL-jim-editsV3.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D:\JC%20Write\Sage%20Management%20Consulting\PA%20PPL%20Utilities\Task%20Reports\17_Statistics\02_App%20C\APP%20C-PPL%20PANEL%20AGG%20DATA%20SEP%202015%20FINAL-jim-editsV3.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D:\JC%20Write\Sage%20Management%20Consulting\PA%20PPL%20Utilities\Task%20Reports\17_Statistics\02_App%20C\APP%20C-PPL%20PANEL%20AGG%20DATA%20SEP%202015%20FINAL-jim-editsV3.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D:\JC%20Write\Sage%20Management%20Consulting\PA%20PPL%20Utilities\Task%20Reports\17_Statistics\02_App%20C\APP%20C-PPL%20PANEL%20AGG%20DATA%20SEP%202015%20FINAL-jim-editsV3.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D:\JC%20Write\Sage%20Management%20Consulting\PA%20PPL%20Utilities\Task%20Reports\17_Statistics\02_App%20C\APP%20C-PPL%20PANEL%20AGG%20DATA%20SEP%202015%20FINAL-jim-editsV3.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D:\JC%20Write\Sage%20Management%20Consulting\PA%20PPL%20Utilities\Task%20Reports\17_Statistics\02_App%20C\APP%20C-PPL%20PANEL%20AGG%20DATA%20SEP%202015%20FINAL-jim-editsV3.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D:\JC%20Write\Sage%20Management%20Consulting\PA%20PPL%20Utilities\Task%20Reports\17_Statistics\02_App%20C\APP%20C-PPL%20PANEL%20AGG%20DATA%20SEP%202015%20FINAL-jim-editsV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localhost\Users\benjaminstein\Desktop\PPL%20CS%20Service%20Levels%20&amp;%20FCR.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D:\JC%20Write\Sage%20Management%20Consulting\PA%20PPL%20Utilities\Task%20Reports\17_Statistics\02_App%20C\APP%20C-PPL%20PANEL%20AGG%20DATA%20SEP%202015%20FINAL-jim-editsV3.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D:\JC%20Write\Sage%20Management%20Consulting\PA%20PPL%20Utilities\Task%20Reports\17_Statistics\02_App%20C\APP%20C-PPL%20PANEL%20AGG%20DATA%20SEP%202015%20FINAL-jim-editsV3.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D:\JC%20Write\Sage%20Management%20Consulting\PA%20PPL%20Utilities\Task%20Reports\17_Statistics\02_App%20C\APP%20C-PPL%20PANEL%20AGG%20DATA%20SEP%202015%20FINAL-jim-editsV3.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D:\JC%20Write\Sage%20Management%20Consulting\PA%20PPL%20Utilities\Task%20Reports\17_Statistics\02_App%20C\APP%20C-PPL%20PANEL%20AGG%20DATA%20SEP%202015%20FINAL-jim-editsV3.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D:\JC%20Write\Sage%20Management%20Consulting\PA%20PPL%20Utilities\Task%20Reports\17_Statistics\02_App%20C\APP%20C-PPL%20PANEL%20AGG%20DATA%20SEP%202015%20FINAL-jim-editsV3.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D:\JC%20Write\Sage%20Management%20Consulting\PA%20PPL%20Utilities\Task%20Reports\17_Statistics\02_App%20C\APP%20C-PPL%20PANEL%20AGG%20DATA%20SEP%202015%20FINAL-jim-editsV3.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D:\JC%20Write\Sage%20Management%20Consulting\PA%20PPL%20Utilities\Task%20Reports\17_Statistics\02_App%20C\APP%20C-PPL%20PANEL%20AGG%20DATA%20SEP%202015%20FINAL-jim-editsV3.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D:\JC%20Write\Sage%20Management%20Consulting\PA%20PPL%20Utilities\Task%20Reports\17_Statistics\03_App%20D\APP%20D%20-%20PPL%20Cust%20Svc%20Metrics%20Detail_jim-editsV2.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D:\JC%20Write\Sage%20Management%20Consulting\PA%20PPL%20Utilities\Task%20Reports\17_Statistics\03_App%20D\APP%20D%20-%20PPL%20Cust%20Svc%20Metrics%20Detail_jim-editsV2.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D:\JC%20Write\Sage%20Management%20Consulting\PA%20PPL%20Utilities\Task%20Reports\17_Statistics\03_App%20D\APP%20D%20-%20PPL%20Cust%20Svc%20Metrics%20Detail_jim-editsV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D:\JC%20Write\Sage%20Management%20Consulting\PA%20PPL%20Utilities\Task%20Reports\17_Statistics\03_App%20D\APP%20D%20-%20PPL%20Cust%20Svc%20Metrics%20Detail_jim-editsV2.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D:\JC%20Write\Sage%20Management%20Consulting\PA%20PPL%20Utilities\Task%20Reports\17_Statistics\03_App%20D\APP%20D%20-%20PPL%20Cust%20Svc%20Metrics%20Detail_jim-editsV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localhost\Users\benjaminstein\Desktop\Work\SAGE%20PPL%20Audit\PPL%20Task%20Reports\PPL%20CS%20Task%2004%20Report\PPL%20CS%2004%20Tables%20and%20Graphs\PPL%20WRAP%20and%20OnTrack.%20PI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localhost\Users\benjaminstein\Desktop\WRAP%20and%20OT%20Costs%20per%20Customer.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localhost\Users\benjaminstein\Desktop\PPL%20PUC%20Informal%20Complaints%2004-150%20Revised%2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localhost\Users\benjaminstein\Desktop\Metering%20Operations%20Cuts%20and%20Notic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8"/>
  <c:chart>
    <c:plotArea>
      <c:layout/>
      <c:barChart>
        <c:barDir val="col"/>
        <c:grouping val="clustered"/>
        <c:ser>
          <c:idx val="0"/>
          <c:order val="0"/>
          <c:tx>
            <c:strRef>
              <c:f>Sheet1!$A$6</c:f>
              <c:strCache>
                <c:ptCount val="1"/>
                <c:pt idx="0">
                  <c:v>DART Rate</c:v>
                </c:pt>
              </c:strCache>
            </c:strRef>
          </c:tx>
          <c:spPr>
            <a:solidFill>
              <a:srgbClr val="2E6EBC"/>
            </a:solidFill>
          </c:spPr>
          <c:cat>
            <c:strRef>
              <c:f>Sheet1!$B$5:$G$5</c:f>
              <c:strCache>
                <c:ptCount val="6"/>
                <c:pt idx="0">
                  <c:v>2011</c:v>
                </c:pt>
                <c:pt idx="1">
                  <c:v>2012</c:v>
                </c:pt>
                <c:pt idx="2">
                  <c:v>2013</c:v>
                </c:pt>
                <c:pt idx="3">
                  <c:v>2014</c:v>
                </c:pt>
                <c:pt idx="4">
                  <c:v>2015</c:v>
                </c:pt>
                <c:pt idx="5">
                  <c:v>2015 Goal</c:v>
                </c:pt>
              </c:strCache>
            </c:strRef>
          </c:cat>
          <c:val>
            <c:numRef>
              <c:f>Sheet1!$B$6:$G$6</c:f>
              <c:numCache>
                <c:formatCode>0.00</c:formatCode>
                <c:ptCount val="6"/>
                <c:pt idx="0">
                  <c:v>0.47000000000000008</c:v>
                </c:pt>
                <c:pt idx="1">
                  <c:v>0.67000000000000115</c:v>
                </c:pt>
                <c:pt idx="2">
                  <c:v>0.9</c:v>
                </c:pt>
                <c:pt idx="3">
                  <c:v>0.47000000000000008</c:v>
                </c:pt>
                <c:pt idx="4">
                  <c:v>0.78</c:v>
                </c:pt>
                <c:pt idx="5">
                  <c:v>0.22000000000000011</c:v>
                </c:pt>
              </c:numCache>
            </c:numRef>
          </c:val>
        </c:ser>
        <c:ser>
          <c:idx val="1"/>
          <c:order val="1"/>
          <c:tx>
            <c:strRef>
              <c:f>Sheet1!$A$7</c:f>
              <c:strCache>
                <c:ptCount val="1"/>
                <c:pt idx="0">
                  <c:v>DART Count</c:v>
                </c:pt>
              </c:strCache>
            </c:strRef>
          </c:tx>
          <c:spPr>
            <a:solidFill>
              <a:srgbClr val="FD3347"/>
            </a:solidFill>
          </c:spPr>
          <c:cat>
            <c:strRef>
              <c:f>Sheet1!$B$5:$G$5</c:f>
              <c:strCache>
                <c:ptCount val="6"/>
                <c:pt idx="0">
                  <c:v>2011</c:v>
                </c:pt>
                <c:pt idx="1">
                  <c:v>2012</c:v>
                </c:pt>
                <c:pt idx="2">
                  <c:v>2013</c:v>
                </c:pt>
                <c:pt idx="3">
                  <c:v>2014</c:v>
                </c:pt>
                <c:pt idx="4">
                  <c:v>2015</c:v>
                </c:pt>
                <c:pt idx="5">
                  <c:v>2015 Goal</c:v>
                </c:pt>
              </c:strCache>
            </c:strRef>
          </c:cat>
          <c:val>
            <c:numRef>
              <c:f>Sheet1!$B$7:$G$7</c:f>
              <c:numCache>
                <c:formatCode>General</c:formatCode>
                <c:ptCount val="6"/>
                <c:pt idx="0">
                  <c:v>2</c:v>
                </c:pt>
                <c:pt idx="1">
                  <c:v>3</c:v>
                </c:pt>
                <c:pt idx="2">
                  <c:v>4</c:v>
                </c:pt>
                <c:pt idx="3">
                  <c:v>2</c:v>
                </c:pt>
                <c:pt idx="4">
                  <c:v>3</c:v>
                </c:pt>
                <c:pt idx="5">
                  <c:v>1</c:v>
                </c:pt>
              </c:numCache>
            </c:numRef>
          </c:val>
        </c:ser>
        <c:axId val="136089984"/>
        <c:axId val="136091520"/>
      </c:barChart>
      <c:catAx>
        <c:axId val="136089984"/>
        <c:scaling>
          <c:orientation val="minMax"/>
        </c:scaling>
        <c:axPos val="b"/>
        <c:numFmt formatCode="General" sourceLinked="0"/>
        <c:tickLblPos val="nextTo"/>
        <c:crossAx val="136091520"/>
        <c:crosses val="autoZero"/>
        <c:auto val="1"/>
        <c:lblAlgn val="ctr"/>
        <c:lblOffset val="100"/>
      </c:catAx>
      <c:valAx>
        <c:axId val="136091520"/>
        <c:scaling>
          <c:orientation val="minMax"/>
        </c:scaling>
        <c:axPos val="l"/>
        <c:majorGridlines/>
        <c:numFmt formatCode="0.00" sourceLinked="1"/>
        <c:tickLblPos val="nextTo"/>
        <c:crossAx val="136089984"/>
        <c:crosses val="autoZero"/>
        <c:crossBetween val="between"/>
      </c:valAx>
    </c:plotArea>
    <c:legend>
      <c:legendPos val="b"/>
    </c:legend>
    <c:plotVisOnly val="1"/>
    <c:dispBlanksAs val="gap"/>
  </c:chart>
  <c:spPr>
    <a:ln>
      <a:solidFill>
        <a:schemeClr val="tx1"/>
      </a:solidFill>
    </a:ln>
  </c:spPr>
  <c:txPr>
    <a:bodyPr/>
    <a:lstStyle/>
    <a:p>
      <a:pPr>
        <a:defRPr>
          <a:latin typeface="Arial"/>
          <a:cs typeface="Arial"/>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18"/>
  <c:chart>
    <c:plotArea>
      <c:layout/>
      <c:barChart>
        <c:barDir val="col"/>
        <c:grouping val="stacked"/>
        <c:ser>
          <c:idx val="0"/>
          <c:order val="0"/>
          <c:tx>
            <c:strRef>
              <c:f>Sheet1!#REF!</c:f>
              <c:strCache>
                <c:ptCount val="1"/>
                <c:pt idx="0">
                  <c:v>#REF!</c:v>
                </c:pt>
              </c:strCache>
            </c:strRef>
          </c:tx>
          <c:cat>
            <c:numRef>
              <c:f>Sheet1!$J$4:$O$4</c:f>
              <c:numCache>
                <c:formatCode>General</c:formatCode>
                <c:ptCount val="6"/>
                <c:pt idx="0">
                  <c:v>2010</c:v>
                </c:pt>
                <c:pt idx="1">
                  <c:v>2011</c:v>
                </c:pt>
                <c:pt idx="2">
                  <c:v>2012</c:v>
                </c:pt>
                <c:pt idx="3">
                  <c:v>2013</c:v>
                </c:pt>
                <c:pt idx="4">
                  <c:v>2014</c:v>
                </c:pt>
                <c:pt idx="5">
                  <c:v>2015</c:v>
                </c:pt>
              </c:numCache>
            </c:numRef>
          </c:cat>
          <c:val>
            <c:numRef>
              <c:f>Sheet1!#REF!</c:f>
              <c:numCache>
                <c:formatCode>General</c:formatCode>
                <c:ptCount val="1"/>
                <c:pt idx="0">
                  <c:v>1</c:v>
                </c:pt>
              </c:numCache>
            </c:numRef>
          </c:val>
        </c:ser>
        <c:ser>
          <c:idx val="1"/>
          <c:order val="1"/>
          <c:tx>
            <c:strRef>
              <c:f>Sheet1!$I$5</c:f>
              <c:strCache>
                <c:ptCount val="1"/>
                <c:pt idx="0">
                  <c:v>EDI</c:v>
                </c:pt>
              </c:strCache>
            </c:strRef>
          </c:tx>
          <c:spPr>
            <a:solidFill>
              <a:srgbClr val="2E6EBC"/>
            </a:solidFill>
          </c:spPr>
          <c:cat>
            <c:numRef>
              <c:f>Sheet1!$J$4:$O$4</c:f>
              <c:numCache>
                <c:formatCode>General</c:formatCode>
                <c:ptCount val="6"/>
                <c:pt idx="0">
                  <c:v>2010</c:v>
                </c:pt>
                <c:pt idx="1">
                  <c:v>2011</c:v>
                </c:pt>
                <c:pt idx="2">
                  <c:v>2012</c:v>
                </c:pt>
                <c:pt idx="3">
                  <c:v>2013</c:v>
                </c:pt>
                <c:pt idx="4">
                  <c:v>2014</c:v>
                </c:pt>
                <c:pt idx="5">
                  <c:v>2015</c:v>
                </c:pt>
              </c:numCache>
            </c:numRef>
          </c:cat>
          <c:val>
            <c:numRef>
              <c:f>Sheet1!$J$5:$O$5</c:f>
              <c:numCache>
                <c:formatCode>_(* #,##0_);_(* \(#,##0\);_(* "-"??_);_(@_)</c:formatCode>
                <c:ptCount val="6"/>
                <c:pt idx="0">
                  <c:v>557225508</c:v>
                </c:pt>
                <c:pt idx="1">
                  <c:v>562119507</c:v>
                </c:pt>
                <c:pt idx="2">
                  <c:v>515612083</c:v>
                </c:pt>
                <c:pt idx="3">
                  <c:v>571764318</c:v>
                </c:pt>
                <c:pt idx="4">
                  <c:v>631931618</c:v>
                </c:pt>
                <c:pt idx="5">
                  <c:v>660060990</c:v>
                </c:pt>
              </c:numCache>
            </c:numRef>
          </c:val>
        </c:ser>
        <c:ser>
          <c:idx val="2"/>
          <c:order val="2"/>
          <c:tx>
            <c:strRef>
              <c:f>Sheet1!$I$6</c:f>
              <c:strCache>
                <c:ptCount val="1"/>
                <c:pt idx="0">
                  <c:v>EFT</c:v>
                </c:pt>
              </c:strCache>
            </c:strRef>
          </c:tx>
          <c:spPr>
            <a:solidFill>
              <a:srgbClr val="FD3347"/>
            </a:solidFill>
          </c:spPr>
          <c:cat>
            <c:numRef>
              <c:f>Sheet1!$J$4:$O$4</c:f>
              <c:numCache>
                <c:formatCode>General</c:formatCode>
                <c:ptCount val="6"/>
                <c:pt idx="0">
                  <c:v>2010</c:v>
                </c:pt>
                <c:pt idx="1">
                  <c:v>2011</c:v>
                </c:pt>
                <c:pt idx="2">
                  <c:v>2012</c:v>
                </c:pt>
                <c:pt idx="3">
                  <c:v>2013</c:v>
                </c:pt>
                <c:pt idx="4">
                  <c:v>2014</c:v>
                </c:pt>
                <c:pt idx="5">
                  <c:v>2015</c:v>
                </c:pt>
              </c:numCache>
            </c:numRef>
          </c:cat>
          <c:val>
            <c:numRef>
              <c:f>Sheet1!$J$6:$O$6</c:f>
              <c:numCache>
                <c:formatCode>_(* #,##0_);_(* \(#,##0\);_(* "-"??_);_(@_)</c:formatCode>
                <c:ptCount val="6"/>
                <c:pt idx="0">
                  <c:v>269845288</c:v>
                </c:pt>
                <c:pt idx="1">
                  <c:v>268424144</c:v>
                </c:pt>
                <c:pt idx="2">
                  <c:v>245285774</c:v>
                </c:pt>
                <c:pt idx="3">
                  <c:v>263760714</c:v>
                </c:pt>
                <c:pt idx="4">
                  <c:v>303805168</c:v>
                </c:pt>
                <c:pt idx="5">
                  <c:v>321293426</c:v>
                </c:pt>
              </c:numCache>
            </c:numRef>
          </c:val>
        </c:ser>
        <c:ser>
          <c:idx val="3"/>
          <c:order val="3"/>
          <c:tx>
            <c:strRef>
              <c:f>Sheet1!$I$7</c:f>
              <c:strCache>
                <c:ptCount val="1"/>
                <c:pt idx="0">
                  <c:v>IVR</c:v>
                </c:pt>
              </c:strCache>
            </c:strRef>
          </c:tx>
          <c:spPr>
            <a:solidFill>
              <a:srgbClr val="42B455"/>
            </a:solidFill>
          </c:spPr>
          <c:cat>
            <c:numRef>
              <c:f>Sheet1!$J$4:$O$4</c:f>
              <c:numCache>
                <c:formatCode>General</c:formatCode>
                <c:ptCount val="6"/>
                <c:pt idx="0">
                  <c:v>2010</c:v>
                </c:pt>
                <c:pt idx="1">
                  <c:v>2011</c:v>
                </c:pt>
                <c:pt idx="2">
                  <c:v>2012</c:v>
                </c:pt>
                <c:pt idx="3">
                  <c:v>2013</c:v>
                </c:pt>
                <c:pt idx="4">
                  <c:v>2014</c:v>
                </c:pt>
                <c:pt idx="5">
                  <c:v>2015</c:v>
                </c:pt>
              </c:numCache>
            </c:numRef>
          </c:cat>
          <c:val>
            <c:numRef>
              <c:f>Sheet1!$J$7:$O$7</c:f>
              <c:numCache>
                <c:formatCode>_(* #,##0_);_(* \(#,##0\);_(* "-"??_);_(@_)</c:formatCode>
                <c:ptCount val="6"/>
                <c:pt idx="0">
                  <c:v>53121958</c:v>
                </c:pt>
                <c:pt idx="1">
                  <c:v>68644107</c:v>
                </c:pt>
                <c:pt idx="2">
                  <c:v>74909991</c:v>
                </c:pt>
                <c:pt idx="3">
                  <c:v>88675865</c:v>
                </c:pt>
                <c:pt idx="4">
                  <c:v>110984673</c:v>
                </c:pt>
                <c:pt idx="5">
                  <c:v>135658792</c:v>
                </c:pt>
              </c:numCache>
            </c:numRef>
          </c:val>
        </c:ser>
        <c:ser>
          <c:idx val="4"/>
          <c:order val="4"/>
          <c:tx>
            <c:strRef>
              <c:f>Sheet1!$I$8</c:f>
              <c:strCache>
                <c:ptCount val="1"/>
                <c:pt idx="0">
                  <c:v>Mail Payment</c:v>
                </c:pt>
              </c:strCache>
            </c:strRef>
          </c:tx>
          <c:spPr>
            <a:solidFill>
              <a:srgbClr val="A14D07"/>
            </a:solidFill>
          </c:spPr>
          <c:cat>
            <c:numRef>
              <c:f>Sheet1!$J$4:$O$4</c:f>
              <c:numCache>
                <c:formatCode>General</c:formatCode>
                <c:ptCount val="6"/>
                <c:pt idx="0">
                  <c:v>2010</c:v>
                </c:pt>
                <c:pt idx="1">
                  <c:v>2011</c:v>
                </c:pt>
                <c:pt idx="2">
                  <c:v>2012</c:v>
                </c:pt>
                <c:pt idx="3">
                  <c:v>2013</c:v>
                </c:pt>
                <c:pt idx="4">
                  <c:v>2014</c:v>
                </c:pt>
                <c:pt idx="5">
                  <c:v>2015</c:v>
                </c:pt>
              </c:numCache>
            </c:numRef>
          </c:cat>
          <c:val>
            <c:numRef>
              <c:f>Sheet1!$J$8:$O$8</c:f>
              <c:numCache>
                <c:formatCode>_(* #,##0_);_(* \(#,##0\);_(* "-"??_);_(@_)</c:formatCode>
                <c:ptCount val="6"/>
                <c:pt idx="0">
                  <c:v>1460060399</c:v>
                </c:pt>
                <c:pt idx="1">
                  <c:v>1404095828</c:v>
                </c:pt>
                <c:pt idx="2">
                  <c:v>1225242766</c:v>
                </c:pt>
                <c:pt idx="3">
                  <c:v>1243219844</c:v>
                </c:pt>
                <c:pt idx="4">
                  <c:v>1284757725</c:v>
                </c:pt>
                <c:pt idx="5">
                  <c:v>1207887103</c:v>
                </c:pt>
              </c:numCache>
            </c:numRef>
          </c:val>
        </c:ser>
        <c:ser>
          <c:idx val="5"/>
          <c:order val="5"/>
          <c:tx>
            <c:strRef>
              <c:f>Sheet1!$I$9</c:f>
              <c:strCache>
                <c:ptCount val="1"/>
                <c:pt idx="0">
                  <c:v>PO Box</c:v>
                </c:pt>
              </c:strCache>
            </c:strRef>
          </c:tx>
          <c:spPr>
            <a:solidFill>
              <a:srgbClr val="745A94"/>
            </a:solidFill>
          </c:spPr>
          <c:cat>
            <c:numRef>
              <c:f>Sheet1!$J$4:$O$4</c:f>
              <c:numCache>
                <c:formatCode>General</c:formatCode>
                <c:ptCount val="6"/>
                <c:pt idx="0">
                  <c:v>2010</c:v>
                </c:pt>
                <c:pt idx="1">
                  <c:v>2011</c:v>
                </c:pt>
                <c:pt idx="2">
                  <c:v>2012</c:v>
                </c:pt>
                <c:pt idx="3">
                  <c:v>2013</c:v>
                </c:pt>
                <c:pt idx="4">
                  <c:v>2014</c:v>
                </c:pt>
                <c:pt idx="5">
                  <c:v>2015</c:v>
                </c:pt>
              </c:numCache>
            </c:numRef>
          </c:cat>
          <c:val>
            <c:numRef>
              <c:f>Sheet1!$J$9:$O$9</c:f>
              <c:numCache>
                <c:formatCode>_(* #,##0_);_(* \(#,##0\);_(* "-"??_);_(@_)</c:formatCode>
                <c:ptCount val="6"/>
                <c:pt idx="0">
                  <c:v>417621334</c:v>
                </c:pt>
                <c:pt idx="1">
                  <c:v>339258558</c:v>
                </c:pt>
                <c:pt idx="2">
                  <c:v>320709103</c:v>
                </c:pt>
                <c:pt idx="3">
                  <c:v>331384364</c:v>
                </c:pt>
                <c:pt idx="4">
                  <c:v>354105387</c:v>
                </c:pt>
                <c:pt idx="5">
                  <c:v>336802691</c:v>
                </c:pt>
              </c:numCache>
            </c:numRef>
          </c:val>
        </c:ser>
        <c:ser>
          <c:idx val="6"/>
          <c:order val="6"/>
          <c:tx>
            <c:strRef>
              <c:f>Sheet1!$I$10</c:f>
              <c:strCache>
                <c:ptCount val="1"/>
                <c:pt idx="0">
                  <c:v>Web</c:v>
                </c:pt>
              </c:strCache>
            </c:strRef>
          </c:tx>
          <c:spPr>
            <a:solidFill>
              <a:srgbClr val="DFDA00"/>
            </a:solidFill>
          </c:spPr>
          <c:cat>
            <c:numRef>
              <c:f>Sheet1!$J$4:$O$4</c:f>
              <c:numCache>
                <c:formatCode>General</c:formatCode>
                <c:ptCount val="6"/>
                <c:pt idx="0">
                  <c:v>2010</c:v>
                </c:pt>
                <c:pt idx="1">
                  <c:v>2011</c:v>
                </c:pt>
                <c:pt idx="2">
                  <c:v>2012</c:v>
                </c:pt>
                <c:pt idx="3">
                  <c:v>2013</c:v>
                </c:pt>
                <c:pt idx="4">
                  <c:v>2014</c:v>
                </c:pt>
                <c:pt idx="5">
                  <c:v>2015</c:v>
                </c:pt>
              </c:numCache>
            </c:numRef>
          </c:cat>
          <c:val>
            <c:numRef>
              <c:f>Sheet1!$J$10:$O$10</c:f>
              <c:numCache>
                <c:formatCode>_(* #,##0_);_(* \(#,##0\);_(* "-"??_);_(@_)</c:formatCode>
                <c:ptCount val="6"/>
                <c:pt idx="0">
                  <c:v>239302511</c:v>
                </c:pt>
                <c:pt idx="1">
                  <c:v>295532182</c:v>
                </c:pt>
                <c:pt idx="2">
                  <c:v>305352031</c:v>
                </c:pt>
                <c:pt idx="3">
                  <c:v>349484083</c:v>
                </c:pt>
                <c:pt idx="4">
                  <c:v>423112638</c:v>
                </c:pt>
                <c:pt idx="5">
                  <c:v>487663556</c:v>
                </c:pt>
              </c:numCache>
            </c:numRef>
          </c:val>
        </c:ser>
        <c:ser>
          <c:idx val="7"/>
          <c:order val="7"/>
          <c:tx>
            <c:strRef>
              <c:f>Sheet1!$I$11</c:f>
              <c:strCache>
                <c:ptCount val="1"/>
                <c:pt idx="0">
                  <c:v>Other</c:v>
                </c:pt>
              </c:strCache>
            </c:strRef>
          </c:tx>
          <c:spPr>
            <a:solidFill>
              <a:srgbClr val="FF5425"/>
            </a:solidFill>
          </c:spPr>
          <c:cat>
            <c:numRef>
              <c:f>Sheet1!$J$4:$O$4</c:f>
              <c:numCache>
                <c:formatCode>General</c:formatCode>
                <c:ptCount val="6"/>
                <c:pt idx="0">
                  <c:v>2010</c:v>
                </c:pt>
                <c:pt idx="1">
                  <c:v>2011</c:v>
                </c:pt>
                <c:pt idx="2">
                  <c:v>2012</c:v>
                </c:pt>
                <c:pt idx="3">
                  <c:v>2013</c:v>
                </c:pt>
                <c:pt idx="4">
                  <c:v>2014</c:v>
                </c:pt>
                <c:pt idx="5">
                  <c:v>2015</c:v>
                </c:pt>
              </c:numCache>
            </c:numRef>
          </c:cat>
          <c:val>
            <c:numRef>
              <c:f>Sheet1!$J$11:$O$11</c:f>
              <c:numCache>
                <c:formatCode>_(* #,##0_);_(* \(#,##0\);_(* "-"??_);_(@_)</c:formatCode>
                <c:ptCount val="6"/>
                <c:pt idx="0">
                  <c:v>227998558</c:v>
                </c:pt>
                <c:pt idx="1">
                  <c:v>229022292</c:v>
                </c:pt>
                <c:pt idx="2">
                  <c:v>188309653</c:v>
                </c:pt>
                <c:pt idx="3">
                  <c:v>198322409</c:v>
                </c:pt>
                <c:pt idx="4">
                  <c:v>255886021</c:v>
                </c:pt>
                <c:pt idx="5">
                  <c:v>325060272</c:v>
                </c:pt>
              </c:numCache>
            </c:numRef>
          </c:val>
        </c:ser>
        <c:overlap val="100"/>
        <c:axId val="155650688"/>
        <c:axId val="155660672"/>
      </c:barChart>
      <c:catAx>
        <c:axId val="155650688"/>
        <c:scaling>
          <c:orientation val="minMax"/>
        </c:scaling>
        <c:axPos val="b"/>
        <c:numFmt formatCode="General" sourceLinked="1"/>
        <c:tickLblPos val="nextTo"/>
        <c:crossAx val="155660672"/>
        <c:crosses val="autoZero"/>
        <c:auto val="1"/>
        <c:lblAlgn val="ctr"/>
        <c:lblOffset val="100"/>
      </c:catAx>
      <c:valAx>
        <c:axId val="155660672"/>
        <c:scaling>
          <c:orientation val="minMax"/>
        </c:scaling>
        <c:axPos val="l"/>
        <c:majorGridlines/>
        <c:numFmt formatCode="#,##0.0" sourceLinked="0"/>
        <c:tickLblPos val="nextTo"/>
        <c:crossAx val="155650688"/>
        <c:crosses val="autoZero"/>
        <c:crossBetween val="between"/>
        <c:dispUnits>
          <c:builtInUnit val="billions"/>
          <c:dispUnitsLbl>
            <c:layout>
              <c:manualLayout>
                <c:xMode val="edge"/>
                <c:yMode val="edge"/>
                <c:x val="2.3156477657567998E-2"/>
                <c:y val="0.26074186873122379"/>
              </c:manualLayout>
            </c:layout>
            <c:tx>
              <c:rich>
                <a:bodyPr/>
                <a:lstStyle/>
                <a:p>
                  <a:pPr>
                    <a:defRPr/>
                  </a:pPr>
                  <a:r>
                    <a:rPr lang="en-US"/>
                    <a:t>Billions of Dollars</a:t>
                  </a:r>
                </a:p>
              </c:rich>
            </c:tx>
          </c:dispUnitsLbl>
        </c:dispUnits>
      </c:valAx>
    </c:plotArea>
    <c:legend>
      <c:legendPos val="r"/>
      <c:legendEntry>
        <c:idx val="7"/>
        <c:delete val="1"/>
      </c:legendEntry>
    </c:legend>
    <c:plotVisOnly val="1"/>
    <c:dispBlanksAs val="gap"/>
  </c:chart>
  <c:spPr>
    <a:ln>
      <a:solidFill>
        <a:schemeClr val="tx1"/>
      </a:solidFill>
    </a:ln>
  </c:spPr>
  <c:txPr>
    <a:bodyPr/>
    <a:lstStyle/>
    <a:p>
      <a:pPr>
        <a:defRPr>
          <a:latin typeface="Arial"/>
          <a:cs typeface="Arial"/>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style val="18"/>
  <c:chart>
    <c:autoTitleDeleted val="1"/>
    <c:plotArea>
      <c:layout/>
      <c:barChart>
        <c:barDir val="col"/>
        <c:grouping val="clustered"/>
        <c:ser>
          <c:idx val="0"/>
          <c:order val="0"/>
          <c:tx>
            <c:strRef>
              <c:f>Sheet1!$B$36</c:f>
              <c:strCache>
                <c:ptCount val="1"/>
                <c:pt idx="0">
                  <c:v>Paperless Billing</c:v>
                </c:pt>
              </c:strCache>
            </c:strRef>
          </c:tx>
          <c:spPr>
            <a:solidFill>
              <a:srgbClr val="2E6EBC"/>
            </a:solidFill>
          </c:spPr>
          <c:cat>
            <c:numRef>
              <c:f>Sheet1!$C$35:$H$35</c:f>
              <c:numCache>
                <c:formatCode>General</c:formatCode>
                <c:ptCount val="6"/>
                <c:pt idx="0">
                  <c:v>2010</c:v>
                </c:pt>
                <c:pt idx="1">
                  <c:v>2011</c:v>
                </c:pt>
                <c:pt idx="2">
                  <c:v>2012</c:v>
                </c:pt>
                <c:pt idx="3">
                  <c:v>2013</c:v>
                </c:pt>
                <c:pt idx="4">
                  <c:v>2014</c:v>
                </c:pt>
                <c:pt idx="5">
                  <c:v>2015</c:v>
                </c:pt>
              </c:numCache>
            </c:numRef>
          </c:cat>
          <c:val>
            <c:numRef>
              <c:f>Sheet1!$C$36:$H$36</c:f>
              <c:numCache>
                <c:formatCode>General</c:formatCode>
                <c:ptCount val="6"/>
                <c:pt idx="0">
                  <c:v>0</c:v>
                </c:pt>
                <c:pt idx="1">
                  <c:v>0</c:v>
                </c:pt>
                <c:pt idx="2">
                  <c:v>99283</c:v>
                </c:pt>
                <c:pt idx="3">
                  <c:v>134128</c:v>
                </c:pt>
                <c:pt idx="4">
                  <c:v>163396</c:v>
                </c:pt>
                <c:pt idx="5">
                  <c:v>191078</c:v>
                </c:pt>
              </c:numCache>
            </c:numRef>
          </c:val>
        </c:ser>
        <c:axId val="155681152"/>
        <c:axId val="155682688"/>
      </c:barChart>
      <c:catAx>
        <c:axId val="155681152"/>
        <c:scaling>
          <c:orientation val="minMax"/>
        </c:scaling>
        <c:axPos val="b"/>
        <c:numFmt formatCode="General" sourceLinked="0"/>
        <c:tickLblPos val="nextTo"/>
        <c:crossAx val="155682688"/>
        <c:crosses val="autoZero"/>
        <c:auto val="1"/>
        <c:lblAlgn val="ctr"/>
        <c:lblOffset val="100"/>
      </c:catAx>
      <c:valAx>
        <c:axId val="155682688"/>
        <c:scaling>
          <c:orientation val="minMax"/>
        </c:scaling>
        <c:axPos val="l"/>
        <c:majorGridlines/>
        <c:numFmt formatCode="#,##0" sourceLinked="0"/>
        <c:tickLblPos val="nextTo"/>
        <c:crossAx val="155681152"/>
        <c:crosses val="autoZero"/>
        <c:crossBetween val="between"/>
      </c:valAx>
    </c:plotArea>
    <c:plotVisOnly val="1"/>
    <c:dispBlanksAs val="gap"/>
  </c:chart>
  <c:spPr>
    <a:ln>
      <a:solidFill>
        <a:schemeClr val="tx1"/>
      </a:solidFill>
    </a:ln>
  </c:spPr>
  <c:txPr>
    <a:bodyPr/>
    <a:lstStyle/>
    <a:p>
      <a:pPr>
        <a:defRPr>
          <a:latin typeface="Arial"/>
          <a:cs typeface="Arial"/>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style val="18"/>
  <c:chart>
    <c:plotArea>
      <c:layout/>
      <c:barChart>
        <c:barDir val="col"/>
        <c:grouping val="clustered"/>
        <c:ser>
          <c:idx val="0"/>
          <c:order val="0"/>
          <c:tx>
            <c:strRef>
              <c:f>Sheet1!$B$36</c:f>
              <c:strCache>
                <c:ptCount val="1"/>
                <c:pt idx="0">
                  <c:v>Bills Issued Timely (Target 99.9%)</c:v>
                </c:pt>
              </c:strCache>
            </c:strRef>
          </c:tx>
          <c:spPr>
            <a:solidFill>
              <a:srgbClr val="2E6EBC"/>
            </a:solidFill>
          </c:spPr>
          <c:cat>
            <c:numRef>
              <c:f>Sheet1!$C$35:$H$35</c:f>
              <c:numCache>
                <c:formatCode>General</c:formatCode>
                <c:ptCount val="6"/>
                <c:pt idx="0">
                  <c:v>2010</c:v>
                </c:pt>
                <c:pt idx="1">
                  <c:v>2011</c:v>
                </c:pt>
                <c:pt idx="2">
                  <c:v>2012</c:v>
                </c:pt>
                <c:pt idx="3">
                  <c:v>2013</c:v>
                </c:pt>
                <c:pt idx="4">
                  <c:v>2014</c:v>
                </c:pt>
                <c:pt idx="5">
                  <c:v>2015</c:v>
                </c:pt>
              </c:numCache>
            </c:numRef>
          </c:cat>
          <c:val>
            <c:numRef>
              <c:f>Sheet1!$C$36:$H$36</c:f>
              <c:numCache>
                <c:formatCode>0.00%</c:formatCode>
                <c:ptCount val="6"/>
                <c:pt idx="0">
                  <c:v>0.99939999999999996</c:v>
                </c:pt>
                <c:pt idx="1">
                  <c:v>0.99890000000000001</c:v>
                </c:pt>
                <c:pt idx="2">
                  <c:v>0.99890000000000001</c:v>
                </c:pt>
                <c:pt idx="3">
                  <c:v>0.999</c:v>
                </c:pt>
                <c:pt idx="4">
                  <c:v>0.999</c:v>
                </c:pt>
                <c:pt idx="5">
                  <c:v>0.99909999999999999</c:v>
                </c:pt>
              </c:numCache>
            </c:numRef>
          </c:val>
        </c:ser>
        <c:ser>
          <c:idx val="1"/>
          <c:order val="1"/>
          <c:tx>
            <c:strRef>
              <c:f>Sheet1!$B$37</c:f>
              <c:strCache>
                <c:ptCount val="1"/>
                <c:pt idx="0">
                  <c:v>Bills Issued Accurately (Target 99.7%)</c:v>
                </c:pt>
              </c:strCache>
            </c:strRef>
          </c:tx>
          <c:spPr>
            <a:solidFill>
              <a:srgbClr val="FD3347"/>
            </a:solidFill>
          </c:spPr>
          <c:cat>
            <c:numRef>
              <c:f>Sheet1!$C$35:$H$35</c:f>
              <c:numCache>
                <c:formatCode>General</c:formatCode>
                <c:ptCount val="6"/>
                <c:pt idx="0">
                  <c:v>2010</c:v>
                </c:pt>
                <c:pt idx="1">
                  <c:v>2011</c:v>
                </c:pt>
                <c:pt idx="2">
                  <c:v>2012</c:v>
                </c:pt>
                <c:pt idx="3">
                  <c:v>2013</c:v>
                </c:pt>
                <c:pt idx="4">
                  <c:v>2014</c:v>
                </c:pt>
                <c:pt idx="5">
                  <c:v>2015</c:v>
                </c:pt>
              </c:numCache>
            </c:numRef>
          </c:cat>
          <c:val>
            <c:numRef>
              <c:f>Sheet1!$C$37:$H$37</c:f>
              <c:numCache>
                <c:formatCode>General</c:formatCode>
                <c:ptCount val="6"/>
                <c:pt idx="0">
                  <c:v>0</c:v>
                </c:pt>
                <c:pt idx="1">
                  <c:v>0</c:v>
                </c:pt>
                <c:pt idx="2">
                  <c:v>0</c:v>
                </c:pt>
                <c:pt idx="3" formatCode="0.00%">
                  <c:v>0.997</c:v>
                </c:pt>
                <c:pt idx="4" formatCode="0.00%">
                  <c:v>0.997</c:v>
                </c:pt>
                <c:pt idx="5" formatCode="0.00%">
                  <c:v>0.997</c:v>
                </c:pt>
              </c:numCache>
            </c:numRef>
          </c:val>
        </c:ser>
        <c:axId val="155694592"/>
        <c:axId val="155696128"/>
      </c:barChart>
      <c:catAx>
        <c:axId val="155694592"/>
        <c:scaling>
          <c:orientation val="minMax"/>
        </c:scaling>
        <c:axPos val="b"/>
        <c:numFmt formatCode="General" sourceLinked="0"/>
        <c:tickLblPos val="nextTo"/>
        <c:crossAx val="155696128"/>
        <c:crosses val="autoZero"/>
        <c:auto val="1"/>
        <c:lblAlgn val="ctr"/>
        <c:lblOffset val="100"/>
      </c:catAx>
      <c:valAx>
        <c:axId val="155696128"/>
        <c:scaling>
          <c:orientation val="minMax"/>
        </c:scaling>
        <c:axPos val="l"/>
        <c:majorGridlines/>
        <c:numFmt formatCode="0%" sourceLinked="0"/>
        <c:tickLblPos val="nextTo"/>
        <c:crossAx val="155694592"/>
        <c:crosses val="autoZero"/>
        <c:crossBetween val="between"/>
      </c:valAx>
    </c:plotArea>
    <c:legend>
      <c:legendPos val="r"/>
    </c:legend>
    <c:plotVisOnly val="1"/>
    <c:dispBlanksAs val="gap"/>
  </c:chart>
  <c:spPr>
    <a:ln>
      <a:solidFill>
        <a:schemeClr val="tx1"/>
      </a:solidFill>
    </a:ln>
  </c:spPr>
  <c:txPr>
    <a:bodyPr/>
    <a:lstStyle/>
    <a:p>
      <a:pPr>
        <a:defRPr>
          <a:latin typeface="Arial"/>
          <a:cs typeface="Arial"/>
        </a:defRPr>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style val="18"/>
  <c:chart>
    <c:plotArea>
      <c:layout/>
      <c:barChart>
        <c:barDir val="col"/>
        <c:grouping val="clustered"/>
        <c:ser>
          <c:idx val="0"/>
          <c:order val="0"/>
          <c:tx>
            <c:strRef>
              <c:f>Sheet1!$B$15</c:f>
              <c:strCache>
                <c:ptCount val="1"/>
                <c:pt idx="0">
                  <c:v>Bills Not Issued Timely</c:v>
                </c:pt>
              </c:strCache>
            </c:strRef>
          </c:tx>
          <c:spPr>
            <a:solidFill>
              <a:srgbClr val="2E6EBC"/>
            </a:solidFill>
          </c:spPr>
          <c:cat>
            <c:numRef>
              <c:f>Sheet1!$C$14:$H$14</c:f>
              <c:numCache>
                <c:formatCode>General</c:formatCode>
                <c:ptCount val="6"/>
                <c:pt idx="0">
                  <c:v>2010</c:v>
                </c:pt>
                <c:pt idx="1">
                  <c:v>2011</c:v>
                </c:pt>
                <c:pt idx="2">
                  <c:v>2012</c:v>
                </c:pt>
                <c:pt idx="3">
                  <c:v>2013</c:v>
                </c:pt>
                <c:pt idx="4">
                  <c:v>2014</c:v>
                </c:pt>
                <c:pt idx="5">
                  <c:v>2015</c:v>
                </c:pt>
              </c:numCache>
            </c:numRef>
          </c:cat>
          <c:val>
            <c:numRef>
              <c:f>Sheet1!$C$15:$H$15</c:f>
              <c:numCache>
                <c:formatCode>0.00%</c:formatCode>
                <c:ptCount val="6"/>
                <c:pt idx="0">
                  <c:v>6.0000000000000103E-4</c:v>
                </c:pt>
                <c:pt idx="1">
                  <c:v>1.1000000000000022E-3</c:v>
                </c:pt>
                <c:pt idx="2">
                  <c:v>1.1000000000000022E-3</c:v>
                </c:pt>
                <c:pt idx="3">
                  <c:v>1.0000000000000018E-3</c:v>
                </c:pt>
                <c:pt idx="4">
                  <c:v>1.0000000000000018E-3</c:v>
                </c:pt>
                <c:pt idx="5">
                  <c:v>1.1000000000000022E-3</c:v>
                </c:pt>
              </c:numCache>
            </c:numRef>
          </c:val>
        </c:ser>
        <c:ser>
          <c:idx val="1"/>
          <c:order val="1"/>
          <c:tx>
            <c:strRef>
              <c:f>Sheet1!$B$16</c:f>
              <c:strCache>
                <c:ptCount val="1"/>
                <c:pt idx="0">
                  <c:v>Adjusted Bills Issued</c:v>
                </c:pt>
              </c:strCache>
            </c:strRef>
          </c:tx>
          <c:spPr>
            <a:solidFill>
              <a:srgbClr val="FD3347"/>
            </a:solidFill>
          </c:spPr>
          <c:cat>
            <c:numRef>
              <c:f>Sheet1!$C$14:$H$14</c:f>
              <c:numCache>
                <c:formatCode>General</c:formatCode>
                <c:ptCount val="6"/>
                <c:pt idx="0">
                  <c:v>2010</c:v>
                </c:pt>
                <c:pt idx="1">
                  <c:v>2011</c:v>
                </c:pt>
                <c:pt idx="2">
                  <c:v>2012</c:v>
                </c:pt>
                <c:pt idx="3">
                  <c:v>2013</c:v>
                </c:pt>
                <c:pt idx="4">
                  <c:v>2014</c:v>
                </c:pt>
                <c:pt idx="5">
                  <c:v>2015</c:v>
                </c:pt>
              </c:numCache>
            </c:numRef>
          </c:cat>
          <c:val>
            <c:numRef>
              <c:f>Sheet1!$C$16:$H$16</c:f>
              <c:numCache>
                <c:formatCode>0.00%</c:formatCode>
                <c:ptCount val="6"/>
                <c:pt idx="0">
                  <c:v>3.500000000000004E-3</c:v>
                </c:pt>
                <c:pt idx="1">
                  <c:v>3.8000000000000035E-3</c:v>
                </c:pt>
                <c:pt idx="2">
                  <c:v>2.500000000000004E-3</c:v>
                </c:pt>
                <c:pt idx="3">
                  <c:v>2.0000000000000035E-3</c:v>
                </c:pt>
                <c:pt idx="4">
                  <c:v>2.5999999999999999E-3</c:v>
                </c:pt>
                <c:pt idx="5">
                  <c:v>2.8000000000000034E-3</c:v>
                </c:pt>
              </c:numCache>
            </c:numRef>
          </c:val>
        </c:ser>
        <c:axId val="155728896"/>
        <c:axId val="155734784"/>
      </c:barChart>
      <c:catAx>
        <c:axId val="155728896"/>
        <c:scaling>
          <c:orientation val="minMax"/>
        </c:scaling>
        <c:axPos val="b"/>
        <c:numFmt formatCode="General" sourceLinked="0"/>
        <c:tickLblPos val="nextTo"/>
        <c:crossAx val="155734784"/>
        <c:crosses val="autoZero"/>
        <c:auto val="1"/>
        <c:lblAlgn val="ctr"/>
        <c:lblOffset val="100"/>
      </c:catAx>
      <c:valAx>
        <c:axId val="155734784"/>
        <c:scaling>
          <c:orientation val="minMax"/>
        </c:scaling>
        <c:axPos val="l"/>
        <c:majorGridlines/>
        <c:numFmt formatCode="0.00%" sourceLinked="1"/>
        <c:tickLblPos val="nextTo"/>
        <c:crossAx val="155728896"/>
        <c:crosses val="autoZero"/>
        <c:crossBetween val="between"/>
      </c:valAx>
    </c:plotArea>
    <c:legend>
      <c:legendPos val="r"/>
    </c:legend>
    <c:plotVisOnly val="1"/>
    <c:dispBlanksAs val="gap"/>
  </c:chart>
  <c:spPr>
    <a:ln>
      <a:solidFill>
        <a:schemeClr val="tx1"/>
      </a:solidFill>
    </a:ln>
  </c:spPr>
  <c:txPr>
    <a:bodyPr/>
    <a:lstStyle/>
    <a:p>
      <a:pPr>
        <a:defRPr>
          <a:latin typeface="Arial" charset="0"/>
          <a:ea typeface="Arial" charset="0"/>
          <a:cs typeface="Arial" charset="0"/>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en-US"/>
  <c:style val="18"/>
  <c:chart>
    <c:autoTitleDeleted val="1"/>
    <c:plotArea>
      <c:layout/>
      <c:barChart>
        <c:barDir val="col"/>
        <c:grouping val="clustered"/>
        <c:ser>
          <c:idx val="0"/>
          <c:order val="0"/>
          <c:tx>
            <c:strRef>
              <c:f>Sheet1!$D$36</c:f>
              <c:strCache>
                <c:ptCount val="1"/>
                <c:pt idx="0">
                  <c:v>Recovery Rate</c:v>
                </c:pt>
              </c:strCache>
            </c:strRef>
          </c:tx>
          <c:spPr>
            <a:solidFill>
              <a:srgbClr val="2E6EBC"/>
            </a:solidFill>
          </c:spPr>
          <c:cat>
            <c:strRef>
              <c:f>Sheet1!$C$37:$C$40</c:f>
              <c:strCache>
                <c:ptCount val="4"/>
                <c:pt idx="0">
                  <c:v>Residential Recovery Rate (Agency 1)</c:v>
                </c:pt>
                <c:pt idx="1">
                  <c:v>Residential Recovery Rate (Agency 2)</c:v>
                </c:pt>
                <c:pt idx="2">
                  <c:v>Non-Residential Recovery Rate (Agency 2)</c:v>
                </c:pt>
                <c:pt idx="3">
                  <c:v>Secondary Recovery Rate (Agency 3)</c:v>
                </c:pt>
              </c:strCache>
            </c:strRef>
          </c:cat>
          <c:val>
            <c:numRef>
              <c:f>Sheet1!$D$37:$D$40</c:f>
              <c:numCache>
                <c:formatCode>0.00%</c:formatCode>
                <c:ptCount val="4"/>
                <c:pt idx="0">
                  <c:v>2.0900000000000002E-2</c:v>
                </c:pt>
                <c:pt idx="1">
                  <c:v>1.9900000000000039E-2</c:v>
                </c:pt>
                <c:pt idx="2">
                  <c:v>8.9600000000000068E-2</c:v>
                </c:pt>
                <c:pt idx="3">
                  <c:v>6.9000000000000112E-3</c:v>
                </c:pt>
              </c:numCache>
            </c:numRef>
          </c:val>
        </c:ser>
        <c:axId val="155746304"/>
        <c:axId val="155747840"/>
      </c:barChart>
      <c:catAx>
        <c:axId val="155746304"/>
        <c:scaling>
          <c:orientation val="minMax"/>
        </c:scaling>
        <c:axPos val="b"/>
        <c:numFmt formatCode="General" sourceLinked="0"/>
        <c:tickLblPos val="nextTo"/>
        <c:crossAx val="155747840"/>
        <c:crosses val="autoZero"/>
        <c:auto val="1"/>
        <c:lblAlgn val="ctr"/>
        <c:lblOffset val="100"/>
      </c:catAx>
      <c:valAx>
        <c:axId val="155747840"/>
        <c:scaling>
          <c:orientation val="minMax"/>
        </c:scaling>
        <c:axPos val="l"/>
        <c:majorGridlines/>
        <c:numFmt formatCode="0%" sourceLinked="0"/>
        <c:tickLblPos val="nextTo"/>
        <c:crossAx val="155746304"/>
        <c:crosses val="autoZero"/>
        <c:crossBetween val="between"/>
      </c:valAx>
    </c:plotArea>
    <c:plotVisOnly val="1"/>
    <c:dispBlanksAs val="gap"/>
  </c:chart>
  <c:txPr>
    <a:bodyPr/>
    <a:lstStyle/>
    <a:p>
      <a:pPr>
        <a:defRPr sz="900">
          <a:latin typeface="Arial"/>
          <a:cs typeface="Arial"/>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style val="18"/>
  <c:chart>
    <c:autoTitleDeleted val="1"/>
    <c:plotArea>
      <c:layout/>
      <c:barChart>
        <c:barDir val="col"/>
        <c:grouping val="clustered"/>
        <c:ser>
          <c:idx val="0"/>
          <c:order val="0"/>
          <c:tx>
            <c:strRef>
              <c:f>Sheet1!$A$4</c:f>
              <c:strCache>
                <c:ptCount val="1"/>
                <c:pt idx="0">
                  <c:v>Net Write-Offs</c:v>
                </c:pt>
              </c:strCache>
            </c:strRef>
          </c:tx>
          <c:spPr>
            <a:solidFill>
              <a:srgbClr val="2E6EBC"/>
            </a:solidFill>
          </c:spPr>
          <c:trendline>
            <c:trendlineType val="linear"/>
          </c:trendline>
          <c:cat>
            <c:numRef>
              <c:f>Sheet1!$B$3:$J$3</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Sheet1!$B$4:$J$4</c:f>
              <c:numCache>
                <c:formatCode>0.00</c:formatCode>
                <c:ptCount val="9"/>
                <c:pt idx="0">
                  <c:v>22.93</c:v>
                </c:pt>
                <c:pt idx="1">
                  <c:v>26.110000000000028</c:v>
                </c:pt>
                <c:pt idx="2">
                  <c:v>26.85</c:v>
                </c:pt>
                <c:pt idx="3">
                  <c:v>25</c:v>
                </c:pt>
                <c:pt idx="4">
                  <c:v>29.72</c:v>
                </c:pt>
                <c:pt idx="5">
                  <c:v>29.34</c:v>
                </c:pt>
                <c:pt idx="6">
                  <c:v>32.92</c:v>
                </c:pt>
                <c:pt idx="7">
                  <c:v>34.270000000000003</c:v>
                </c:pt>
                <c:pt idx="8">
                  <c:v>36.700000000000003</c:v>
                </c:pt>
              </c:numCache>
            </c:numRef>
          </c:val>
        </c:ser>
        <c:axId val="155059712"/>
        <c:axId val="155061248"/>
      </c:barChart>
      <c:catAx>
        <c:axId val="155059712"/>
        <c:scaling>
          <c:orientation val="minMax"/>
        </c:scaling>
        <c:axPos val="b"/>
        <c:numFmt formatCode="General" sourceLinked="1"/>
        <c:tickLblPos val="nextTo"/>
        <c:crossAx val="155061248"/>
        <c:crosses val="autoZero"/>
        <c:auto val="1"/>
        <c:lblAlgn val="ctr"/>
        <c:lblOffset val="100"/>
      </c:catAx>
      <c:valAx>
        <c:axId val="155061248"/>
        <c:scaling>
          <c:orientation val="minMax"/>
        </c:scaling>
        <c:axPos val="l"/>
        <c:majorGridlines/>
        <c:title>
          <c:tx>
            <c:rich>
              <a:bodyPr rot="-5400000" vert="horz"/>
              <a:lstStyle/>
              <a:p>
                <a:pPr>
                  <a:defRPr/>
                </a:pPr>
                <a:r>
                  <a:rPr lang="en-US"/>
                  <a:t>X</a:t>
                </a:r>
                <a:r>
                  <a:rPr lang="en-US" baseline="0"/>
                  <a:t> $millions</a:t>
                </a:r>
                <a:endParaRPr lang="en-US"/>
              </a:p>
            </c:rich>
          </c:tx>
          <c:layout>
            <c:manualLayout>
              <c:xMode val="edge"/>
              <c:yMode val="edge"/>
              <c:x val="2.0808561236623099E-2"/>
              <c:y val="0.28097927801851302"/>
            </c:manualLayout>
          </c:layout>
        </c:title>
        <c:numFmt formatCode="0.00" sourceLinked="1"/>
        <c:tickLblPos val="nextTo"/>
        <c:crossAx val="155059712"/>
        <c:crosses val="autoZero"/>
        <c:crossBetween val="between"/>
      </c:valAx>
    </c:plotArea>
    <c:legend>
      <c:legendPos val="r"/>
    </c:legend>
    <c:plotVisOnly val="1"/>
    <c:dispBlanksAs val="gap"/>
  </c:chart>
  <c:spPr>
    <a:ln>
      <a:solidFill>
        <a:schemeClr val="tx1"/>
      </a:solidFill>
    </a:ln>
  </c:spPr>
  <c:txPr>
    <a:bodyPr/>
    <a:lstStyle/>
    <a:p>
      <a:pPr>
        <a:defRPr>
          <a:latin typeface="Arial"/>
          <a:cs typeface="Arial"/>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5053368328959"/>
          <c:y val="0.10067466976464011"/>
          <c:w val="0.49494663167104175"/>
          <c:h val="0.76238242760638564"/>
        </c:manualLayout>
      </c:layout>
      <c:barChart>
        <c:barDir val="col"/>
        <c:grouping val="stacked"/>
        <c:ser>
          <c:idx val="0"/>
          <c:order val="0"/>
          <c:tx>
            <c:strRef>
              <c:f>'[Chart in Microsoft Word]Sheet1'!$B$6</c:f>
              <c:strCache>
                <c:ptCount val="1"/>
                <c:pt idx="0">
                  <c:v>Revenue Shortfall</c:v>
                </c:pt>
              </c:strCache>
            </c:strRef>
          </c:tx>
          <c:spPr>
            <a:solidFill>
              <a:srgbClr val="2E6EBC"/>
            </a:solidFill>
            <a:ln>
              <a:noFill/>
            </a:ln>
            <a:effectLst/>
          </c:spPr>
          <c:cat>
            <c:strRef>
              <c:f>'[Chart in Microsoft Word]Sheet1'!$C$2:$H$2</c:f>
              <c:strCache>
                <c:ptCount val="6"/>
                <c:pt idx="0">
                  <c:v>2010</c:v>
                </c:pt>
                <c:pt idx="1">
                  <c:v>2011</c:v>
                </c:pt>
                <c:pt idx="2">
                  <c:v>2012</c:v>
                </c:pt>
                <c:pt idx="3">
                  <c:v>2013</c:v>
                </c:pt>
                <c:pt idx="4">
                  <c:v>2014</c:v>
                </c:pt>
                <c:pt idx="5">
                  <c:v>2015 </c:v>
                </c:pt>
              </c:strCache>
            </c:strRef>
          </c:cat>
          <c:val>
            <c:numRef>
              <c:f>'[Chart in Microsoft Word]Sheet1'!$C$6:$H$6</c:f>
              <c:numCache>
                <c:formatCode>"$"#,##0</c:formatCode>
                <c:ptCount val="6"/>
                <c:pt idx="0">
                  <c:v>34199730</c:v>
                </c:pt>
                <c:pt idx="1">
                  <c:v>36405855</c:v>
                </c:pt>
                <c:pt idx="2">
                  <c:v>27957550</c:v>
                </c:pt>
                <c:pt idx="3">
                  <c:v>36408445</c:v>
                </c:pt>
                <c:pt idx="4">
                  <c:v>49890388</c:v>
                </c:pt>
                <c:pt idx="5">
                  <c:v>54358922</c:v>
                </c:pt>
              </c:numCache>
            </c:numRef>
          </c:val>
        </c:ser>
        <c:ser>
          <c:idx val="1"/>
          <c:order val="1"/>
          <c:tx>
            <c:strRef>
              <c:f>'[Chart in Microsoft Word]Sheet1'!$B$5</c:f>
              <c:strCache>
                <c:ptCount val="1"/>
                <c:pt idx="0">
                  <c:v>Arrearage Forgiveness</c:v>
                </c:pt>
              </c:strCache>
            </c:strRef>
          </c:tx>
          <c:spPr>
            <a:solidFill>
              <a:srgbClr val="FD3347"/>
            </a:solidFill>
            <a:ln>
              <a:noFill/>
            </a:ln>
            <a:effectLst/>
          </c:spPr>
          <c:cat>
            <c:strRef>
              <c:f>'[Chart in Microsoft Word]Sheet1'!$C$2:$H$2</c:f>
              <c:strCache>
                <c:ptCount val="6"/>
                <c:pt idx="0">
                  <c:v>2010</c:v>
                </c:pt>
                <c:pt idx="1">
                  <c:v>2011</c:v>
                </c:pt>
                <c:pt idx="2">
                  <c:v>2012</c:v>
                </c:pt>
                <c:pt idx="3">
                  <c:v>2013</c:v>
                </c:pt>
                <c:pt idx="4">
                  <c:v>2014</c:v>
                </c:pt>
                <c:pt idx="5">
                  <c:v>2015 </c:v>
                </c:pt>
              </c:strCache>
            </c:strRef>
          </c:cat>
          <c:val>
            <c:numRef>
              <c:f>'[Chart in Microsoft Word]Sheet1'!$C$5:$H$5</c:f>
              <c:numCache>
                <c:formatCode>"$"#,##0</c:formatCode>
                <c:ptCount val="6"/>
                <c:pt idx="0">
                  <c:v>10340863</c:v>
                </c:pt>
                <c:pt idx="1">
                  <c:v>14881769</c:v>
                </c:pt>
                <c:pt idx="2">
                  <c:v>16906808</c:v>
                </c:pt>
                <c:pt idx="3">
                  <c:v>16473194</c:v>
                </c:pt>
                <c:pt idx="4">
                  <c:v>19643249</c:v>
                </c:pt>
                <c:pt idx="5">
                  <c:v>26878833</c:v>
                </c:pt>
              </c:numCache>
            </c:numRef>
          </c:val>
        </c:ser>
        <c:ser>
          <c:idx val="2"/>
          <c:order val="2"/>
          <c:tx>
            <c:strRef>
              <c:f>'[Chart in Microsoft Word]Sheet1'!$B$4</c:f>
              <c:strCache>
                <c:ptCount val="1"/>
                <c:pt idx="0">
                  <c:v>Agency Administration</c:v>
                </c:pt>
              </c:strCache>
            </c:strRef>
          </c:tx>
          <c:spPr>
            <a:solidFill>
              <a:srgbClr val="42B455"/>
            </a:solidFill>
            <a:ln>
              <a:noFill/>
            </a:ln>
            <a:effectLst/>
          </c:spPr>
          <c:cat>
            <c:strRef>
              <c:f>'[Chart in Microsoft Word]Sheet1'!$C$2:$H$2</c:f>
              <c:strCache>
                <c:ptCount val="6"/>
                <c:pt idx="0">
                  <c:v>2010</c:v>
                </c:pt>
                <c:pt idx="1">
                  <c:v>2011</c:v>
                </c:pt>
                <c:pt idx="2">
                  <c:v>2012</c:v>
                </c:pt>
                <c:pt idx="3">
                  <c:v>2013</c:v>
                </c:pt>
                <c:pt idx="4">
                  <c:v>2014</c:v>
                </c:pt>
                <c:pt idx="5">
                  <c:v>2015 </c:v>
                </c:pt>
              </c:strCache>
            </c:strRef>
          </c:cat>
          <c:val>
            <c:numRef>
              <c:f>'[Chart in Microsoft Word]Sheet1'!$C$4:$H$4</c:f>
              <c:numCache>
                <c:formatCode>"$"#,##0</c:formatCode>
                <c:ptCount val="6"/>
                <c:pt idx="0">
                  <c:v>2114798</c:v>
                </c:pt>
                <c:pt idx="1">
                  <c:v>1860043</c:v>
                </c:pt>
                <c:pt idx="2">
                  <c:v>2241857</c:v>
                </c:pt>
                <c:pt idx="3">
                  <c:v>2341380</c:v>
                </c:pt>
                <c:pt idx="4">
                  <c:v>2483220</c:v>
                </c:pt>
                <c:pt idx="5">
                  <c:v>2376716</c:v>
                </c:pt>
              </c:numCache>
            </c:numRef>
          </c:val>
        </c:ser>
        <c:ser>
          <c:idx val="3"/>
          <c:order val="3"/>
          <c:tx>
            <c:strRef>
              <c:f>'[Chart in Microsoft Word]Sheet1'!$B$3</c:f>
              <c:strCache>
                <c:ptCount val="1"/>
                <c:pt idx="0">
                  <c:v>PPL EU Administrative</c:v>
                </c:pt>
              </c:strCache>
            </c:strRef>
          </c:tx>
          <c:spPr>
            <a:solidFill>
              <a:srgbClr val="A14D07"/>
            </a:solidFill>
            <a:ln>
              <a:noFill/>
            </a:ln>
            <a:effectLst/>
          </c:spPr>
          <c:cat>
            <c:strRef>
              <c:f>'[Chart in Microsoft Word]Sheet1'!$C$2:$H$2</c:f>
              <c:strCache>
                <c:ptCount val="6"/>
                <c:pt idx="0">
                  <c:v>2010</c:v>
                </c:pt>
                <c:pt idx="1">
                  <c:v>2011</c:v>
                </c:pt>
                <c:pt idx="2">
                  <c:v>2012</c:v>
                </c:pt>
                <c:pt idx="3">
                  <c:v>2013</c:v>
                </c:pt>
                <c:pt idx="4">
                  <c:v>2014</c:v>
                </c:pt>
                <c:pt idx="5">
                  <c:v>2015 </c:v>
                </c:pt>
              </c:strCache>
            </c:strRef>
          </c:cat>
          <c:val>
            <c:numRef>
              <c:f>'[Chart in Microsoft Word]Sheet1'!$C$3:$H$3</c:f>
              <c:numCache>
                <c:formatCode>"$"#,##0</c:formatCode>
                <c:ptCount val="6"/>
                <c:pt idx="0">
                  <c:v>0</c:v>
                </c:pt>
                <c:pt idx="1">
                  <c:v>285075</c:v>
                </c:pt>
                <c:pt idx="2">
                  <c:v>410989</c:v>
                </c:pt>
                <c:pt idx="3">
                  <c:v>557030</c:v>
                </c:pt>
                <c:pt idx="4">
                  <c:v>565996</c:v>
                </c:pt>
                <c:pt idx="5">
                  <c:v>421.87700000000001</c:v>
                </c:pt>
              </c:numCache>
            </c:numRef>
          </c:val>
        </c:ser>
        <c:overlap val="100"/>
        <c:axId val="155526272"/>
        <c:axId val="155527808"/>
      </c:barChart>
      <c:catAx>
        <c:axId val="1555262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5527808"/>
        <c:crosses val="autoZero"/>
        <c:auto val="1"/>
        <c:lblAlgn val="ctr"/>
        <c:lblOffset val="100"/>
      </c:catAx>
      <c:valAx>
        <c:axId val="155527808"/>
        <c:scaling>
          <c:orientation val="minMax"/>
        </c:scaling>
        <c:axPos val="l"/>
        <c:majorGridlines>
          <c:spPr>
            <a:ln w="9525" cap="flat" cmpd="sng" algn="ctr">
              <a:solidFill>
                <a:schemeClr val="tx1">
                  <a:lumMod val="15000"/>
                  <a:lumOff val="85000"/>
                </a:schemeClr>
              </a:solidFill>
              <a:round/>
            </a:ln>
            <a:effectLst/>
          </c:spPr>
        </c:majorGridlines>
        <c:numFmt formatCode="&quot;$&quot;#,##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5526272"/>
        <c:crosses val="autoZero"/>
        <c:crossBetween val="between"/>
      </c:valAx>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ysClr val="windowText" lastClr="000000"/>
      </a:solidFill>
      <a:round/>
    </a:ln>
    <a:effectLst/>
  </c:spPr>
  <c:txPr>
    <a:bodyPr/>
    <a:lstStyle/>
    <a:p>
      <a:pPr>
        <a:defRPr/>
      </a:pPr>
      <a:endParaRPr lang="en-US"/>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lang val="en-US"/>
  <c:style val="18"/>
  <c:chart>
    <c:view3D>
      <c:rotX val="30"/>
      <c:perspective val="30"/>
    </c:view3D>
    <c:plotArea>
      <c:layout/>
      <c:pie3DChart>
        <c:varyColors val="1"/>
        <c:ser>
          <c:idx val="0"/>
          <c:order val="0"/>
          <c:explosion val="25"/>
          <c:dPt>
            <c:idx val="0"/>
            <c:spPr>
              <a:solidFill>
                <a:srgbClr val="2E6EBC"/>
              </a:solidFill>
            </c:spPr>
          </c:dPt>
          <c:dPt>
            <c:idx val="1"/>
            <c:spPr>
              <a:solidFill>
                <a:srgbClr val="FD3947"/>
              </a:solidFill>
            </c:spPr>
          </c:dPt>
          <c:dPt>
            <c:idx val="2"/>
            <c:spPr>
              <a:solidFill>
                <a:srgbClr val="42B455"/>
              </a:solidFill>
            </c:spPr>
          </c:dPt>
          <c:dPt>
            <c:idx val="3"/>
            <c:spPr>
              <a:solidFill>
                <a:srgbClr val="A14D07"/>
              </a:solidFill>
            </c:spPr>
          </c:dPt>
          <c:dLbls>
            <c:dLbl>
              <c:idx val="3"/>
              <c:layout>
                <c:manualLayout>
                  <c:x val="2.4936445444319492E-2"/>
                  <c:y val="4.5975503062117215E-3"/>
                </c:manualLayout>
              </c:layout>
              <c:dLblPos val="bestFit"/>
              <c:showVal val="1"/>
              <c:extLst>
                <c:ext xmlns:c15="http://schemas.microsoft.com/office/drawing/2012/chart" uri="{CE6537A1-D6FC-4f65-9D91-7224C49458BB}"/>
              </c:extLst>
            </c:dLbl>
            <c:spPr>
              <a:noFill/>
              <a:ln>
                <a:noFill/>
              </a:ln>
              <a:effectLst/>
            </c:spPr>
            <c:dLblPos val="outEnd"/>
            <c:showVal val="1"/>
            <c:showLeaderLines val="1"/>
            <c:extLst>
              <c:ext xmlns:c15="http://schemas.microsoft.com/office/drawing/2012/chart" uri="{CE6537A1-D6FC-4f65-9D91-7224C49458BB}"/>
            </c:extLst>
          </c:dLbls>
          <c:cat>
            <c:strRef>
              <c:f>Sheet1!$B$10:$B$13</c:f>
              <c:strCache>
                <c:ptCount val="4"/>
                <c:pt idx="0">
                  <c:v>Revenue Shortfall</c:v>
                </c:pt>
                <c:pt idx="1">
                  <c:v>Arrearage Forgiveness</c:v>
                </c:pt>
                <c:pt idx="2">
                  <c:v>Agency Administration</c:v>
                </c:pt>
                <c:pt idx="3">
                  <c:v>PPL EU Administrative</c:v>
                </c:pt>
              </c:strCache>
            </c:strRef>
          </c:cat>
          <c:val>
            <c:numRef>
              <c:f>Sheet1!$C$10:$C$13</c:f>
              <c:numCache>
                <c:formatCode>0.0%</c:formatCode>
                <c:ptCount val="4"/>
                <c:pt idx="0">
                  <c:v>0.68735777029872303</c:v>
                </c:pt>
                <c:pt idx="1">
                  <c:v>0.270632087168026</c:v>
                </c:pt>
                <c:pt idx="2">
                  <c:v>3.4212212628236052E-2</c:v>
                </c:pt>
                <c:pt idx="3">
                  <c:v>7.7979299050149036E-3</c:v>
                </c:pt>
              </c:numCache>
            </c:numRef>
          </c:val>
        </c:ser>
      </c:pie3DChart>
    </c:plotArea>
    <c:legend>
      <c:legendPos val="r"/>
    </c:legend>
    <c:plotVisOnly val="1"/>
    <c:dispBlanksAs val="zero"/>
  </c:chart>
  <c:spPr>
    <a:ln>
      <a:solidFill>
        <a:schemeClr val="tx1"/>
      </a:solidFill>
    </a:ln>
  </c:spPr>
  <c:txPr>
    <a:bodyPr/>
    <a:lstStyle/>
    <a:p>
      <a:pPr>
        <a:defRPr>
          <a:latin typeface="Arial"/>
          <a:cs typeface="Arial"/>
        </a:defRPr>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style val="18"/>
  <c:chart>
    <c:plotArea>
      <c:layout/>
      <c:barChart>
        <c:barDir val="col"/>
        <c:grouping val="clustered"/>
        <c:ser>
          <c:idx val="0"/>
          <c:order val="0"/>
          <c:tx>
            <c:strRef>
              <c:f>Sheet1!$C$32</c:f>
              <c:strCache>
                <c:ptCount val="1"/>
                <c:pt idx="0">
                  <c:v>Actual New</c:v>
                </c:pt>
              </c:strCache>
            </c:strRef>
          </c:tx>
          <c:spPr>
            <a:solidFill>
              <a:srgbClr val="2E6EBC"/>
            </a:solidFill>
          </c:spPr>
          <c:cat>
            <c:strRef>
              <c:f>Sheet1!$B$33:$B$42</c:f>
              <c:strCache>
                <c:ptCount val="10"/>
                <c:pt idx="0">
                  <c:v>CACLV</c:v>
                </c:pt>
                <c:pt idx="1">
                  <c:v>CAC</c:v>
                </c:pt>
                <c:pt idx="2">
                  <c:v>CAPLANC</c:v>
                </c:pt>
                <c:pt idx="3">
                  <c:v>CEO</c:v>
                </c:pt>
                <c:pt idx="4">
                  <c:v>TREHAB</c:v>
                </c:pt>
                <c:pt idx="5">
                  <c:v>SCA</c:v>
                </c:pt>
                <c:pt idx="6">
                  <c:v>STEP Inc.</c:v>
                </c:pt>
                <c:pt idx="7">
                  <c:v>USCAA</c:v>
                </c:pt>
                <c:pt idx="8">
                  <c:v>CCDHS</c:v>
                </c:pt>
                <c:pt idx="9">
                  <c:v>MCDHS</c:v>
                </c:pt>
              </c:strCache>
            </c:strRef>
          </c:cat>
          <c:val>
            <c:numRef>
              <c:f>Sheet1!$C$33:$C$42</c:f>
              <c:numCache>
                <c:formatCode>General</c:formatCode>
                <c:ptCount val="10"/>
                <c:pt idx="0">
                  <c:v>8845</c:v>
                </c:pt>
                <c:pt idx="1">
                  <c:v>6647</c:v>
                </c:pt>
                <c:pt idx="2">
                  <c:v>5235</c:v>
                </c:pt>
                <c:pt idx="3">
                  <c:v>3806</c:v>
                </c:pt>
                <c:pt idx="4">
                  <c:v>3992</c:v>
                </c:pt>
                <c:pt idx="5">
                  <c:v>2712</c:v>
                </c:pt>
                <c:pt idx="6">
                  <c:v>2547</c:v>
                </c:pt>
                <c:pt idx="7">
                  <c:v>1383</c:v>
                </c:pt>
                <c:pt idx="8">
                  <c:v>926</c:v>
                </c:pt>
                <c:pt idx="9">
                  <c:v>102</c:v>
                </c:pt>
              </c:numCache>
            </c:numRef>
          </c:val>
        </c:ser>
        <c:ser>
          <c:idx val="1"/>
          <c:order val="1"/>
          <c:tx>
            <c:strRef>
              <c:f>Sheet1!$D$32</c:f>
              <c:strCache>
                <c:ptCount val="1"/>
                <c:pt idx="0">
                  <c:v>Target New</c:v>
                </c:pt>
              </c:strCache>
            </c:strRef>
          </c:tx>
          <c:spPr>
            <a:solidFill>
              <a:srgbClr val="FD3947"/>
            </a:solidFill>
          </c:spPr>
          <c:cat>
            <c:strRef>
              <c:f>Sheet1!$B$33:$B$42</c:f>
              <c:strCache>
                <c:ptCount val="10"/>
                <c:pt idx="0">
                  <c:v>CACLV</c:v>
                </c:pt>
                <c:pt idx="1">
                  <c:v>CAC</c:v>
                </c:pt>
                <c:pt idx="2">
                  <c:v>CAPLANC</c:v>
                </c:pt>
                <c:pt idx="3">
                  <c:v>CEO</c:v>
                </c:pt>
                <c:pt idx="4">
                  <c:v>TREHAB</c:v>
                </c:pt>
                <c:pt idx="5">
                  <c:v>SCA</c:v>
                </c:pt>
                <c:pt idx="6">
                  <c:v>STEP Inc.</c:v>
                </c:pt>
                <c:pt idx="7">
                  <c:v>USCAA</c:v>
                </c:pt>
                <c:pt idx="8">
                  <c:v>CCDHS</c:v>
                </c:pt>
                <c:pt idx="9">
                  <c:v>MCDHS</c:v>
                </c:pt>
              </c:strCache>
            </c:strRef>
          </c:cat>
          <c:val>
            <c:numRef>
              <c:f>Sheet1!$D$33:$D$42</c:f>
              <c:numCache>
                <c:formatCode>General</c:formatCode>
                <c:ptCount val="10"/>
                <c:pt idx="0">
                  <c:v>7342</c:v>
                </c:pt>
                <c:pt idx="1">
                  <c:v>6168</c:v>
                </c:pt>
                <c:pt idx="2">
                  <c:v>5316</c:v>
                </c:pt>
                <c:pt idx="3">
                  <c:v>3789</c:v>
                </c:pt>
                <c:pt idx="4">
                  <c:v>3671</c:v>
                </c:pt>
                <c:pt idx="5">
                  <c:v>2224</c:v>
                </c:pt>
                <c:pt idx="6">
                  <c:v>2125</c:v>
                </c:pt>
                <c:pt idx="7">
                  <c:v>1762</c:v>
                </c:pt>
                <c:pt idx="8">
                  <c:v>781</c:v>
                </c:pt>
                <c:pt idx="9">
                  <c:v>96</c:v>
                </c:pt>
              </c:numCache>
            </c:numRef>
          </c:val>
        </c:ser>
        <c:axId val="156843008"/>
        <c:axId val="156848896"/>
      </c:barChart>
      <c:catAx>
        <c:axId val="156843008"/>
        <c:scaling>
          <c:orientation val="minMax"/>
        </c:scaling>
        <c:axPos val="b"/>
        <c:numFmt formatCode="General" sourceLinked="0"/>
        <c:tickLblPos val="nextTo"/>
        <c:crossAx val="156848896"/>
        <c:crosses val="autoZero"/>
        <c:auto val="1"/>
        <c:lblAlgn val="ctr"/>
        <c:lblOffset val="100"/>
      </c:catAx>
      <c:valAx>
        <c:axId val="156848896"/>
        <c:scaling>
          <c:orientation val="minMax"/>
        </c:scaling>
        <c:axPos val="l"/>
        <c:majorGridlines/>
        <c:numFmt formatCode="#,##0" sourceLinked="0"/>
        <c:tickLblPos val="nextTo"/>
        <c:crossAx val="156843008"/>
        <c:crosses val="autoZero"/>
        <c:crossBetween val="between"/>
      </c:valAx>
    </c:plotArea>
    <c:legend>
      <c:legendPos val="b"/>
    </c:legend>
    <c:plotVisOnly val="1"/>
    <c:dispBlanksAs val="gap"/>
  </c:chart>
  <c:spPr>
    <a:ln>
      <a:solidFill>
        <a:schemeClr val="tx1"/>
      </a:solidFill>
    </a:ln>
  </c:spPr>
  <c:txPr>
    <a:bodyPr/>
    <a:lstStyle/>
    <a:p>
      <a:pPr>
        <a:defRPr>
          <a:latin typeface="Arial"/>
          <a:cs typeface="Arial"/>
        </a:defRPr>
      </a:pPr>
      <a:endParaRPr lang="en-U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en-US"/>
  <c:chart>
    <c:autoTitleDeleted val="1"/>
    <c:plotArea>
      <c:layout/>
      <c:barChart>
        <c:barDir val="col"/>
        <c:grouping val="clustered"/>
        <c:ser>
          <c:idx val="0"/>
          <c:order val="0"/>
          <c:spPr>
            <a:solidFill>
              <a:srgbClr val="2E6EBC"/>
            </a:solidFill>
            <a:ln>
              <a:noFill/>
            </a:ln>
            <a:effectLst/>
          </c:spPr>
          <c:cat>
            <c:numRef>
              <c:f>Sheet1!$C$34:$H$34</c:f>
              <c:numCache>
                <c:formatCode>General</c:formatCode>
                <c:ptCount val="6"/>
                <c:pt idx="0">
                  <c:v>2010</c:v>
                </c:pt>
                <c:pt idx="1">
                  <c:v>2011</c:v>
                </c:pt>
                <c:pt idx="2">
                  <c:v>2012</c:v>
                </c:pt>
                <c:pt idx="3">
                  <c:v>2013</c:v>
                </c:pt>
                <c:pt idx="4">
                  <c:v>2014</c:v>
                </c:pt>
                <c:pt idx="5">
                  <c:v>2015</c:v>
                </c:pt>
              </c:numCache>
            </c:numRef>
          </c:cat>
          <c:val>
            <c:numRef>
              <c:f>Sheet1!$C$35:$H$35</c:f>
              <c:numCache>
                <c:formatCode>"$"#,##0_);[Red]\("$"#,##0\)</c:formatCode>
                <c:ptCount val="6"/>
                <c:pt idx="0">
                  <c:v>40282</c:v>
                </c:pt>
                <c:pt idx="1">
                  <c:v>38359</c:v>
                </c:pt>
                <c:pt idx="2">
                  <c:v>46224</c:v>
                </c:pt>
                <c:pt idx="3">
                  <c:v>52615</c:v>
                </c:pt>
                <c:pt idx="4">
                  <c:v>55802</c:v>
                </c:pt>
                <c:pt idx="5">
                  <c:v>51668</c:v>
                </c:pt>
              </c:numCache>
            </c:numRef>
          </c:val>
        </c:ser>
        <c:gapWidth val="219"/>
        <c:overlap val="-27"/>
        <c:axId val="156855296"/>
        <c:axId val="156857088"/>
      </c:barChart>
      <c:catAx>
        <c:axId val="15685529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charset="0"/>
                <a:ea typeface="Arial" charset="0"/>
                <a:cs typeface="Arial" charset="0"/>
              </a:defRPr>
            </a:pPr>
            <a:endParaRPr lang="en-US"/>
          </a:p>
        </c:txPr>
        <c:crossAx val="156857088"/>
        <c:crosses val="autoZero"/>
        <c:auto val="1"/>
        <c:lblAlgn val="ctr"/>
        <c:lblOffset val="100"/>
      </c:catAx>
      <c:valAx>
        <c:axId val="156857088"/>
        <c:scaling>
          <c:orientation val="minMax"/>
        </c:scaling>
        <c:axPos val="l"/>
        <c:majorGridlines>
          <c:spPr>
            <a:ln w="9525" cap="flat" cmpd="sng" algn="ctr">
              <a:solidFill>
                <a:schemeClr val="tx1">
                  <a:lumMod val="15000"/>
                  <a:lumOff val="85000"/>
                </a:schemeClr>
              </a:solidFill>
              <a:round/>
            </a:ln>
            <a:effectLst/>
          </c:spPr>
        </c:majorGridlines>
        <c:numFmt formatCode="&quot;$&quot;#,##0" sourceLinked="0"/>
        <c:maj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charset="0"/>
                <a:ea typeface="Arial" charset="0"/>
                <a:cs typeface="Arial" charset="0"/>
              </a:defRPr>
            </a:pPr>
            <a:endParaRPr lang="en-US"/>
          </a:p>
        </c:txPr>
        <c:crossAx val="156855296"/>
        <c:crosses val="autoZero"/>
        <c:crossBetween val="between"/>
      </c:valAx>
      <c:spPr>
        <a:noFill/>
        <a:ln>
          <a:solidFill>
            <a:schemeClr val="tx1"/>
          </a:solidFill>
        </a:ln>
        <a:effectLst/>
      </c:spPr>
    </c:plotArea>
    <c:plotVisOnly val="1"/>
    <c:dispBlanksAs val="gap"/>
  </c:chart>
  <c:spPr>
    <a:solidFill>
      <a:schemeClr val="bg1"/>
    </a:solidFill>
    <a:ln w="9525" cap="flat" cmpd="sng" algn="ctr">
      <a:solidFill>
        <a:schemeClr val="tx1"/>
      </a:solidFill>
      <a:round/>
    </a:ln>
    <a:effectLst/>
  </c:spPr>
  <c:txPr>
    <a:bodyPr/>
    <a:lstStyle/>
    <a:p>
      <a:pPr>
        <a:defRPr sz="1200">
          <a:latin typeface="Arial" charset="0"/>
          <a:ea typeface="Arial" charset="0"/>
          <a:cs typeface="Arial"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34"/>
  <c:chart>
    <c:plotArea>
      <c:layout/>
      <c:barChart>
        <c:barDir val="col"/>
        <c:grouping val="stacked"/>
        <c:ser>
          <c:idx val="0"/>
          <c:order val="0"/>
          <c:tx>
            <c:strRef>
              <c:f>Sheet1!$B$5</c:f>
              <c:strCache>
                <c:ptCount val="1"/>
                <c:pt idx="0">
                  <c:v>Web</c:v>
                </c:pt>
              </c:strCache>
            </c:strRef>
          </c:tx>
          <c:spPr>
            <a:solidFill>
              <a:srgbClr val="2E6EBC"/>
            </a:solidFill>
          </c:spPr>
          <c:cat>
            <c:numRef>
              <c:f>Sheet1!$C$4:$G$4</c:f>
              <c:numCache>
                <c:formatCode>General</c:formatCode>
                <c:ptCount val="5"/>
                <c:pt idx="0">
                  <c:v>2011</c:v>
                </c:pt>
                <c:pt idx="1">
                  <c:v>2012</c:v>
                </c:pt>
                <c:pt idx="2">
                  <c:v>2013</c:v>
                </c:pt>
                <c:pt idx="3">
                  <c:v>2014</c:v>
                </c:pt>
                <c:pt idx="4">
                  <c:v>2015</c:v>
                </c:pt>
              </c:numCache>
            </c:numRef>
          </c:cat>
          <c:val>
            <c:numRef>
              <c:f>Sheet1!$C$5:$G$5</c:f>
              <c:numCache>
                <c:formatCode>#,##0</c:formatCode>
                <c:ptCount val="5"/>
                <c:pt idx="0">
                  <c:v>2016231</c:v>
                </c:pt>
                <c:pt idx="1">
                  <c:v>2324386</c:v>
                </c:pt>
                <c:pt idx="2">
                  <c:v>2369026</c:v>
                </c:pt>
                <c:pt idx="3">
                  <c:v>2554339</c:v>
                </c:pt>
                <c:pt idx="4">
                  <c:v>2816593</c:v>
                </c:pt>
              </c:numCache>
            </c:numRef>
          </c:val>
        </c:ser>
        <c:ser>
          <c:idx val="1"/>
          <c:order val="1"/>
          <c:tx>
            <c:strRef>
              <c:f>Sheet1!$B$6</c:f>
              <c:strCache>
                <c:ptCount val="1"/>
                <c:pt idx="0">
                  <c:v>IVR</c:v>
                </c:pt>
              </c:strCache>
            </c:strRef>
          </c:tx>
          <c:spPr>
            <a:solidFill>
              <a:srgbClr val="FD3347"/>
            </a:solidFill>
          </c:spPr>
          <c:cat>
            <c:numRef>
              <c:f>Sheet1!$C$4:$G$4</c:f>
              <c:numCache>
                <c:formatCode>General</c:formatCode>
                <c:ptCount val="5"/>
                <c:pt idx="0">
                  <c:v>2011</c:v>
                </c:pt>
                <c:pt idx="1">
                  <c:v>2012</c:v>
                </c:pt>
                <c:pt idx="2">
                  <c:v>2013</c:v>
                </c:pt>
                <c:pt idx="3">
                  <c:v>2014</c:v>
                </c:pt>
                <c:pt idx="4">
                  <c:v>2015</c:v>
                </c:pt>
              </c:numCache>
            </c:numRef>
          </c:cat>
          <c:val>
            <c:numRef>
              <c:f>Sheet1!$C$6:$G$6</c:f>
              <c:numCache>
                <c:formatCode>#,##0</c:formatCode>
                <c:ptCount val="5"/>
                <c:pt idx="0">
                  <c:v>808241</c:v>
                </c:pt>
                <c:pt idx="1">
                  <c:v>908324</c:v>
                </c:pt>
                <c:pt idx="2">
                  <c:v>953047</c:v>
                </c:pt>
                <c:pt idx="3">
                  <c:v>1121449</c:v>
                </c:pt>
                <c:pt idx="4">
                  <c:v>1436591</c:v>
                </c:pt>
              </c:numCache>
            </c:numRef>
          </c:val>
        </c:ser>
        <c:ser>
          <c:idx val="2"/>
          <c:order val="2"/>
          <c:tx>
            <c:strRef>
              <c:f>Sheet1!$B$7</c:f>
              <c:strCache>
                <c:ptCount val="1"/>
                <c:pt idx="0">
                  <c:v>Inbound CSR Contacts</c:v>
                </c:pt>
              </c:strCache>
            </c:strRef>
          </c:tx>
          <c:spPr>
            <a:solidFill>
              <a:srgbClr val="42B455"/>
            </a:solidFill>
          </c:spPr>
          <c:cat>
            <c:numRef>
              <c:f>Sheet1!$C$4:$G$4</c:f>
              <c:numCache>
                <c:formatCode>General</c:formatCode>
                <c:ptCount val="5"/>
                <c:pt idx="0">
                  <c:v>2011</c:v>
                </c:pt>
                <c:pt idx="1">
                  <c:v>2012</c:v>
                </c:pt>
                <c:pt idx="2">
                  <c:v>2013</c:v>
                </c:pt>
                <c:pt idx="3">
                  <c:v>2014</c:v>
                </c:pt>
                <c:pt idx="4">
                  <c:v>2015</c:v>
                </c:pt>
              </c:numCache>
            </c:numRef>
          </c:cat>
          <c:val>
            <c:numRef>
              <c:f>Sheet1!$C$7:$G$7</c:f>
              <c:numCache>
                <c:formatCode>#,##0</c:formatCode>
                <c:ptCount val="5"/>
                <c:pt idx="0">
                  <c:v>2225752</c:v>
                </c:pt>
                <c:pt idx="1">
                  <c:v>1923160</c:v>
                </c:pt>
                <c:pt idx="2">
                  <c:v>2050589</c:v>
                </c:pt>
                <c:pt idx="3">
                  <c:v>2135325</c:v>
                </c:pt>
                <c:pt idx="4">
                  <c:v>2133250</c:v>
                </c:pt>
              </c:numCache>
            </c:numRef>
          </c:val>
        </c:ser>
        <c:overlap val="100"/>
        <c:axId val="150825600"/>
        <c:axId val="150851968"/>
      </c:barChart>
      <c:catAx>
        <c:axId val="150825600"/>
        <c:scaling>
          <c:orientation val="minMax"/>
        </c:scaling>
        <c:axPos val="b"/>
        <c:numFmt formatCode="General" sourceLinked="1"/>
        <c:tickLblPos val="nextTo"/>
        <c:crossAx val="150851968"/>
        <c:crosses val="autoZero"/>
        <c:auto val="1"/>
        <c:lblAlgn val="ctr"/>
        <c:lblOffset val="100"/>
      </c:catAx>
      <c:valAx>
        <c:axId val="150851968"/>
        <c:scaling>
          <c:orientation val="minMax"/>
        </c:scaling>
        <c:axPos val="l"/>
        <c:majorGridlines/>
        <c:numFmt formatCode="#,##0" sourceLinked="0"/>
        <c:tickLblPos val="nextTo"/>
        <c:crossAx val="150825600"/>
        <c:crosses val="autoZero"/>
        <c:crossBetween val="between"/>
      </c:valAx>
    </c:plotArea>
    <c:legend>
      <c:legendPos val="r"/>
      <c:layout>
        <c:manualLayout>
          <c:xMode val="edge"/>
          <c:yMode val="edge"/>
          <c:x val="0.67601481788352002"/>
          <c:y val="0.28040412048618679"/>
          <c:w val="0.27129700338205998"/>
          <c:h val="0.43919175902762497"/>
        </c:manualLayout>
      </c:layout>
      <c:txPr>
        <a:bodyPr/>
        <a:lstStyle/>
        <a:p>
          <a:pPr>
            <a:defRPr sz="900"/>
          </a:pPr>
          <a:endParaRPr lang="en-US"/>
        </a:p>
      </c:txPr>
    </c:legend>
    <c:plotVisOnly val="1"/>
    <c:dispBlanksAs val="gap"/>
  </c:chart>
  <c:txPr>
    <a:bodyPr/>
    <a:lstStyle/>
    <a:p>
      <a:pPr>
        <a:defRPr>
          <a:latin typeface="Arial"/>
          <a:cs typeface="Arial"/>
        </a:defRPr>
      </a:pPr>
      <a:endParaRPr lang="en-U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lang val="en-US"/>
  <c:chart>
    <c:autoTitleDeleted val="1"/>
    <c:plotArea>
      <c:layout/>
      <c:barChart>
        <c:barDir val="col"/>
        <c:grouping val="clustered"/>
        <c:ser>
          <c:idx val="0"/>
          <c:order val="0"/>
          <c:tx>
            <c:strRef>
              <c:f>Sheet1!$B$40</c:f>
              <c:strCache>
                <c:ptCount val="1"/>
                <c:pt idx="0">
                  <c:v>Enrollments per Caseworker</c:v>
                </c:pt>
              </c:strCache>
            </c:strRef>
          </c:tx>
          <c:spPr>
            <a:solidFill>
              <a:srgbClr val="2E6EBC"/>
            </a:solidFill>
            <a:ln>
              <a:noFill/>
            </a:ln>
            <a:effectLst/>
          </c:spPr>
          <c:cat>
            <c:numRef>
              <c:f>Sheet1!$C$39:$H$39</c:f>
              <c:numCache>
                <c:formatCode>General</c:formatCode>
                <c:ptCount val="6"/>
                <c:pt idx="0">
                  <c:v>2010</c:v>
                </c:pt>
                <c:pt idx="1">
                  <c:v>2011</c:v>
                </c:pt>
                <c:pt idx="2">
                  <c:v>2012</c:v>
                </c:pt>
                <c:pt idx="3">
                  <c:v>2013</c:v>
                </c:pt>
                <c:pt idx="4">
                  <c:v>2014</c:v>
                </c:pt>
                <c:pt idx="5">
                  <c:v>2015</c:v>
                </c:pt>
              </c:numCache>
            </c:numRef>
          </c:cat>
          <c:val>
            <c:numRef>
              <c:f>Sheet1!$C$40:$H$40</c:f>
              <c:numCache>
                <c:formatCode>#,##0</c:formatCode>
                <c:ptCount val="6"/>
                <c:pt idx="0">
                  <c:v>376</c:v>
                </c:pt>
                <c:pt idx="1">
                  <c:v>419</c:v>
                </c:pt>
                <c:pt idx="2">
                  <c:v>370</c:v>
                </c:pt>
                <c:pt idx="3">
                  <c:v>495</c:v>
                </c:pt>
                <c:pt idx="4">
                  <c:v>506</c:v>
                </c:pt>
                <c:pt idx="5" formatCode="General">
                  <c:v>827</c:v>
                </c:pt>
              </c:numCache>
            </c:numRef>
          </c:val>
        </c:ser>
        <c:gapWidth val="219"/>
        <c:overlap val="-27"/>
        <c:axId val="157228416"/>
        <c:axId val="157234304"/>
      </c:barChart>
      <c:catAx>
        <c:axId val="15722841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charset="0"/>
                <a:ea typeface="Arial" charset="0"/>
                <a:cs typeface="Arial" charset="0"/>
              </a:defRPr>
            </a:pPr>
            <a:endParaRPr lang="en-US"/>
          </a:p>
        </c:txPr>
        <c:crossAx val="157234304"/>
        <c:crosses val="autoZero"/>
        <c:auto val="1"/>
        <c:lblAlgn val="ctr"/>
        <c:lblOffset val="100"/>
      </c:catAx>
      <c:valAx>
        <c:axId val="157234304"/>
        <c:scaling>
          <c:orientation val="minMax"/>
        </c:scaling>
        <c:axPos val="l"/>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charset="0"/>
                <a:ea typeface="Arial" charset="0"/>
                <a:cs typeface="Arial" charset="0"/>
              </a:defRPr>
            </a:pPr>
            <a:endParaRPr lang="en-US"/>
          </a:p>
        </c:txPr>
        <c:crossAx val="157228416"/>
        <c:crosses val="autoZero"/>
        <c:crossBetween val="between"/>
      </c:valAx>
      <c:spPr>
        <a:noFill/>
        <a:ln>
          <a:noFill/>
        </a:ln>
        <a:effectLst/>
      </c:spPr>
    </c:plotArea>
    <c:plotVisOnly val="1"/>
    <c:dispBlanksAs val="gap"/>
  </c:chart>
  <c:spPr>
    <a:solidFill>
      <a:schemeClr val="bg1"/>
    </a:solidFill>
    <a:ln w="9525" cap="flat" cmpd="sng" algn="ctr">
      <a:solidFill>
        <a:schemeClr val="tx1"/>
      </a:solidFill>
      <a:round/>
    </a:ln>
    <a:effectLst/>
  </c:spPr>
  <c:txPr>
    <a:bodyPr/>
    <a:lstStyle/>
    <a:p>
      <a:pPr>
        <a:defRPr>
          <a:latin typeface="Arial" charset="0"/>
          <a:ea typeface="Arial" charset="0"/>
          <a:cs typeface="Arial" charset="0"/>
        </a:defRPr>
      </a:pPr>
      <a:endParaRPr lang="en-U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2477147253145E-2"/>
          <c:y val="8.3412768768142506E-2"/>
          <c:w val="0.59483594447601296"/>
          <c:h val="0.80008942819652495"/>
        </c:manualLayout>
      </c:layout>
      <c:barChart>
        <c:barDir val="col"/>
        <c:grouping val="stacked"/>
        <c:ser>
          <c:idx val="0"/>
          <c:order val="0"/>
          <c:tx>
            <c:strRef>
              <c:f>Sheet1!$B$3</c:f>
              <c:strCache>
                <c:ptCount val="1"/>
                <c:pt idx="0">
                  <c:v>CACLV</c:v>
                </c:pt>
              </c:strCache>
            </c:strRef>
          </c:tx>
          <c:spPr>
            <a:solidFill>
              <a:srgbClr val="2E6EBC"/>
            </a:solidFill>
            <a:ln>
              <a:noFill/>
            </a:ln>
            <a:effectLst/>
          </c:spPr>
          <c:cat>
            <c:numRef>
              <c:f>Sheet1!$C$2:$H$2</c:f>
              <c:numCache>
                <c:formatCode>General</c:formatCode>
                <c:ptCount val="6"/>
                <c:pt idx="0">
                  <c:v>2010</c:v>
                </c:pt>
                <c:pt idx="1">
                  <c:v>2011</c:v>
                </c:pt>
                <c:pt idx="2">
                  <c:v>2012</c:v>
                </c:pt>
                <c:pt idx="3">
                  <c:v>2013</c:v>
                </c:pt>
                <c:pt idx="4">
                  <c:v>2014</c:v>
                </c:pt>
                <c:pt idx="5">
                  <c:v>2015</c:v>
                </c:pt>
              </c:numCache>
            </c:numRef>
          </c:cat>
          <c:val>
            <c:numRef>
              <c:f>Sheet1!$C$3:$H$3</c:f>
              <c:numCache>
                <c:formatCode>General</c:formatCode>
                <c:ptCount val="6"/>
                <c:pt idx="0">
                  <c:v>8</c:v>
                </c:pt>
                <c:pt idx="1">
                  <c:v>8</c:v>
                </c:pt>
                <c:pt idx="2">
                  <c:v>8</c:v>
                </c:pt>
                <c:pt idx="3">
                  <c:v>7</c:v>
                </c:pt>
                <c:pt idx="4">
                  <c:v>6</c:v>
                </c:pt>
                <c:pt idx="5">
                  <c:v>7</c:v>
                </c:pt>
              </c:numCache>
            </c:numRef>
          </c:val>
        </c:ser>
        <c:ser>
          <c:idx val="1"/>
          <c:order val="1"/>
          <c:tx>
            <c:strRef>
              <c:f>Sheet1!$B$4</c:f>
              <c:strCache>
                <c:ptCount val="1"/>
                <c:pt idx="0">
                  <c:v>CAC</c:v>
                </c:pt>
              </c:strCache>
            </c:strRef>
          </c:tx>
          <c:spPr>
            <a:solidFill>
              <a:srgbClr val="FD3347"/>
            </a:solidFill>
            <a:ln>
              <a:noFill/>
            </a:ln>
            <a:effectLst/>
          </c:spPr>
          <c:cat>
            <c:numRef>
              <c:f>Sheet1!$C$2:$H$2</c:f>
              <c:numCache>
                <c:formatCode>General</c:formatCode>
                <c:ptCount val="6"/>
                <c:pt idx="0">
                  <c:v>2010</c:v>
                </c:pt>
                <c:pt idx="1">
                  <c:v>2011</c:v>
                </c:pt>
                <c:pt idx="2">
                  <c:v>2012</c:v>
                </c:pt>
                <c:pt idx="3">
                  <c:v>2013</c:v>
                </c:pt>
                <c:pt idx="4">
                  <c:v>2014</c:v>
                </c:pt>
                <c:pt idx="5">
                  <c:v>2015</c:v>
                </c:pt>
              </c:numCache>
            </c:numRef>
          </c:cat>
          <c:val>
            <c:numRef>
              <c:f>Sheet1!$C$4:$H$4</c:f>
              <c:numCache>
                <c:formatCode>General</c:formatCode>
                <c:ptCount val="6"/>
                <c:pt idx="0">
                  <c:v>7</c:v>
                </c:pt>
                <c:pt idx="1">
                  <c:v>7</c:v>
                </c:pt>
                <c:pt idx="2">
                  <c:v>7</c:v>
                </c:pt>
                <c:pt idx="3">
                  <c:v>7</c:v>
                </c:pt>
                <c:pt idx="4">
                  <c:v>7</c:v>
                </c:pt>
                <c:pt idx="5">
                  <c:v>6</c:v>
                </c:pt>
              </c:numCache>
            </c:numRef>
          </c:val>
        </c:ser>
        <c:ser>
          <c:idx val="2"/>
          <c:order val="2"/>
          <c:tx>
            <c:strRef>
              <c:f>Sheet1!$B$5</c:f>
              <c:strCache>
                <c:ptCount val="1"/>
                <c:pt idx="0">
                  <c:v>LANCAP</c:v>
                </c:pt>
              </c:strCache>
            </c:strRef>
          </c:tx>
          <c:spPr>
            <a:solidFill>
              <a:srgbClr val="42B455"/>
            </a:solidFill>
            <a:ln>
              <a:noFill/>
            </a:ln>
            <a:effectLst/>
          </c:spPr>
          <c:cat>
            <c:numRef>
              <c:f>Sheet1!$C$2:$H$2</c:f>
              <c:numCache>
                <c:formatCode>General</c:formatCode>
                <c:ptCount val="6"/>
                <c:pt idx="0">
                  <c:v>2010</c:v>
                </c:pt>
                <c:pt idx="1">
                  <c:v>2011</c:v>
                </c:pt>
                <c:pt idx="2">
                  <c:v>2012</c:v>
                </c:pt>
                <c:pt idx="3">
                  <c:v>2013</c:v>
                </c:pt>
                <c:pt idx="4">
                  <c:v>2014</c:v>
                </c:pt>
                <c:pt idx="5">
                  <c:v>2015</c:v>
                </c:pt>
              </c:numCache>
            </c:numRef>
          </c:cat>
          <c:val>
            <c:numRef>
              <c:f>Sheet1!$C$5:$H$5</c:f>
              <c:numCache>
                <c:formatCode>General</c:formatCode>
                <c:ptCount val="6"/>
                <c:pt idx="0">
                  <c:v>10</c:v>
                </c:pt>
                <c:pt idx="1">
                  <c:v>6</c:v>
                </c:pt>
                <c:pt idx="2">
                  <c:v>6</c:v>
                </c:pt>
                <c:pt idx="3">
                  <c:v>4</c:v>
                </c:pt>
                <c:pt idx="4">
                  <c:v>5</c:v>
                </c:pt>
                <c:pt idx="5">
                  <c:v>6</c:v>
                </c:pt>
              </c:numCache>
            </c:numRef>
          </c:val>
        </c:ser>
        <c:ser>
          <c:idx val="3"/>
          <c:order val="3"/>
          <c:tx>
            <c:strRef>
              <c:f>Sheet1!$B$6</c:f>
              <c:strCache>
                <c:ptCount val="1"/>
                <c:pt idx="0">
                  <c:v>CEO</c:v>
                </c:pt>
              </c:strCache>
            </c:strRef>
          </c:tx>
          <c:spPr>
            <a:solidFill>
              <a:srgbClr val="A14D07"/>
            </a:solidFill>
            <a:ln>
              <a:noFill/>
            </a:ln>
            <a:effectLst/>
          </c:spPr>
          <c:cat>
            <c:numRef>
              <c:f>Sheet1!$C$2:$H$2</c:f>
              <c:numCache>
                <c:formatCode>General</c:formatCode>
                <c:ptCount val="6"/>
                <c:pt idx="0">
                  <c:v>2010</c:v>
                </c:pt>
                <c:pt idx="1">
                  <c:v>2011</c:v>
                </c:pt>
                <c:pt idx="2">
                  <c:v>2012</c:v>
                </c:pt>
                <c:pt idx="3">
                  <c:v>2013</c:v>
                </c:pt>
                <c:pt idx="4">
                  <c:v>2014</c:v>
                </c:pt>
                <c:pt idx="5">
                  <c:v>2015</c:v>
                </c:pt>
              </c:numCache>
            </c:numRef>
          </c:cat>
          <c:val>
            <c:numRef>
              <c:f>Sheet1!$C$6:$H$6</c:f>
              <c:numCache>
                <c:formatCode>General</c:formatCode>
                <c:ptCount val="6"/>
                <c:pt idx="0">
                  <c:v>5</c:v>
                </c:pt>
                <c:pt idx="1">
                  <c:v>5</c:v>
                </c:pt>
                <c:pt idx="2">
                  <c:v>5</c:v>
                </c:pt>
                <c:pt idx="3">
                  <c:v>5</c:v>
                </c:pt>
                <c:pt idx="4">
                  <c:v>5</c:v>
                </c:pt>
                <c:pt idx="5">
                  <c:v>5</c:v>
                </c:pt>
              </c:numCache>
            </c:numRef>
          </c:val>
        </c:ser>
        <c:ser>
          <c:idx val="4"/>
          <c:order val="4"/>
          <c:tx>
            <c:strRef>
              <c:f>Sheet1!$B$7</c:f>
              <c:strCache>
                <c:ptCount val="1"/>
                <c:pt idx="0">
                  <c:v>TREHAB</c:v>
                </c:pt>
              </c:strCache>
            </c:strRef>
          </c:tx>
          <c:spPr>
            <a:solidFill>
              <a:srgbClr val="745A94"/>
            </a:solidFill>
            <a:ln>
              <a:noFill/>
            </a:ln>
            <a:effectLst/>
          </c:spPr>
          <c:cat>
            <c:numRef>
              <c:f>Sheet1!$C$2:$H$2</c:f>
              <c:numCache>
                <c:formatCode>General</c:formatCode>
                <c:ptCount val="6"/>
                <c:pt idx="0">
                  <c:v>2010</c:v>
                </c:pt>
                <c:pt idx="1">
                  <c:v>2011</c:v>
                </c:pt>
                <c:pt idx="2">
                  <c:v>2012</c:v>
                </c:pt>
                <c:pt idx="3">
                  <c:v>2013</c:v>
                </c:pt>
                <c:pt idx="4">
                  <c:v>2014</c:v>
                </c:pt>
                <c:pt idx="5">
                  <c:v>2015</c:v>
                </c:pt>
              </c:numCache>
            </c:numRef>
          </c:cat>
          <c:val>
            <c:numRef>
              <c:f>Sheet1!$C$7:$H$7</c:f>
              <c:numCache>
                <c:formatCode>General</c:formatCode>
                <c:ptCount val="6"/>
                <c:pt idx="0">
                  <c:v>3</c:v>
                </c:pt>
                <c:pt idx="1">
                  <c:v>4</c:v>
                </c:pt>
                <c:pt idx="2">
                  <c:v>4</c:v>
                </c:pt>
                <c:pt idx="3">
                  <c:v>4</c:v>
                </c:pt>
                <c:pt idx="4">
                  <c:v>4</c:v>
                </c:pt>
                <c:pt idx="5">
                  <c:v>4</c:v>
                </c:pt>
              </c:numCache>
            </c:numRef>
          </c:val>
        </c:ser>
        <c:ser>
          <c:idx val="5"/>
          <c:order val="5"/>
          <c:tx>
            <c:strRef>
              <c:f>Sheet1!$B$8</c:f>
              <c:strCache>
                <c:ptCount val="1"/>
                <c:pt idx="0">
                  <c:v>SCA</c:v>
                </c:pt>
              </c:strCache>
            </c:strRef>
          </c:tx>
          <c:spPr>
            <a:solidFill>
              <a:srgbClr val="FFFF00"/>
            </a:solidFill>
            <a:ln>
              <a:noFill/>
            </a:ln>
            <a:effectLst/>
          </c:spPr>
          <c:cat>
            <c:numRef>
              <c:f>Sheet1!$C$2:$H$2</c:f>
              <c:numCache>
                <c:formatCode>General</c:formatCode>
                <c:ptCount val="6"/>
                <c:pt idx="0">
                  <c:v>2010</c:v>
                </c:pt>
                <c:pt idx="1">
                  <c:v>2011</c:v>
                </c:pt>
                <c:pt idx="2">
                  <c:v>2012</c:v>
                </c:pt>
                <c:pt idx="3">
                  <c:v>2013</c:v>
                </c:pt>
                <c:pt idx="4">
                  <c:v>2014</c:v>
                </c:pt>
                <c:pt idx="5">
                  <c:v>2015</c:v>
                </c:pt>
              </c:numCache>
            </c:numRef>
          </c:cat>
          <c:val>
            <c:numRef>
              <c:f>Sheet1!$C$8:$H$8</c:f>
              <c:numCache>
                <c:formatCode>General</c:formatCode>
                <c:ptCount val="6"/>
                <c:pt idx="0">
                  <c:v>6</c:v>
                </c:pt>
                <c:pt idx="1">
                  <c:v>5</c:v>
                </c:pt>
                <c:pt idx="2">
                  <c:v>5</c:v>
                </c:pt>
                <c:pt idx="3">
                  <c:v>5</c:v>
                </c:pt>
                <c:pt idx="4">
                  <c:v>5</c:v>
                </c:pt>
                <c:pt idx="5">
                  <c:v>7</c:v>
                </c:pt>
              </c:numCache>
            </c:numRef>
          </c:val>
        </c:ser>
        <c:ser>
          <c:idx val="6"/>
          <c:order val="6"/>
          <c:tx>
            <c:strRef>
              <c:f>Sheet1!$B$9</c:f>
              <c:strCache>
                <c:ptCount val="1"/>
                <c:pt idx="0">
                  <c:v>STEP</c:v>
                </c:pt>
              </c:strCache>
            </c:strRef>
          </c:tx>
          <c:spPr>
            <a:solidFill>
              <a:srgbClr val="FF5425"/>
            </a:solidFill>
            <a:ln>
              <a:noFill/>
            </a:ln>
            <a:effectLst/>
          </c:spPr>
          <c:cat>
            <c:numRef>
              <c:f>Sheet1!$C$2:$H$2</c:f>
              <c:numCache>
                <c:formatCode>General</c:formatCode>
                <c:ptCount val="6"/>
                <c:pt idx="0">
                  <c:v>2010</c:v>
                </c:pt>
                <c:pt idx="1">
                  <c:v>2011</c:v>
                </c:pt>
                <c:pt idx="2">
                  <c:v>2012</c:v>
                </c:pt>
                <c:pt idx="3">
                  <c:v>2013</c:v>
                </c:pt>
                <c:pt idx="4">
                  <c:v>2014</c:v>
                </c:pt>
                <c:pt idx="5">
                  <c:v>2015</c:v>
                </c:pt>
              </c:numCache>
            </c:numRef>
          </c:cat>
          <c:val>
            <c:numRef>
              <c:f>Sheet1!$C$9:$H$9</c:f>
              <c:numCache>
                <c:formatCode>General</c:formatCode>
                <c:ptCount val="6"/>
                <c:pt idx="0">
                  <c:v>6</c:v>
                </c:pt>
                <c:pt idx="1">
                  <c:v>6</c:v>
                </c:pt>
                <c:pt idx="2">
                  <c:v>6</c:v>
                </c:pt>
                <c:pt idx="3">
                  <c:v>5</c:v>
                </c:pt>
                <c:pt idx="4">
                  <c:v>5</c:v>
                </c:pt>
                <c:pt idx="5">
                  <c:v>4</c:v>
                </c:pt>
              </c:numCache>
            </c:numRef>
          </c:val>
        </c:ser>
        <c:ser>
          <c:idx val="7"/>
          <c:order val="7"/>
          <c:tx>
            <c:strRef>
              <c:f>Sheet1!$B$10</c:f>
              <c:strCache>
                <c:ptCount val="1"/>
                <c:pt idx="0">
                  <c:v>Union-Snyder</c:v>
                </c:pt>
              </c:strCache>
            </c:strRef>
          </c:tx>
          <c:spPr>
            <a:solidFill>
              <a:srgbClr val="C00000"/>
            </a:solidFill>
            <a:ln>
              <a:noFill/>
            </a:ln>
            <a:effectLst/>
          </c:spPr>
          <c:cat>
            <c:numRef>
              <c:f>Sheet1!$C$2:$H$2</c:f>
              <c:numCache>
                <c:formatCode>General</c:formatCode>
                <c:ptCount val="6"/>
                <c:pt idx="0">
                  <c:v>2010</c:v>
                </c:pt>
                <c:pt idx="1">
                  <c:v>2011</c:v>
                </c:pt>
                <c:pt idx="2">
                  <c:v>2012</c:v>
                </c:pt>
                <c:pt idx="3">
                  <c:v>2013</c:v>
                </c:pt>
                <c:pt idx="4">
                  <c:v>2014</c:v>
                </c:pt>
                <c:pt idx="5">
                  <c:v>2015</c:v>
                </c:pt>
              </c:numCache>
            </c:numRef>
          </c:cat>
          <c:val>
            <c:numRef>
              <c:f>Sheet1!$C$10:$H$10</c:f>
              <c:numCache>
                <c:formatCode>General</c:formatCode>
                <c:ptCount val="6"/>
                <c:pt idx="0">
                  <c:v>5</c:v>
                </c:pt>
                <c:pt idx="1">
                  <c:v>5</c:v>
                </c:pt>
                <c:pt idx="2">
                  <c:v>5</c:v>
                </c:pt>
                <c:pt idx="3">
                  <c:v>5</c:v>
                </c:pt>
                <c:pt idx="4">
                  <c:v>5</c:v>
                </c:pt>
                <c:pt idx="5">
                  <c:v>6</c:v>
                </c:pt>
              </c:numCache>
            </c:numRef>
          </c:val>
        </c:ser>
        <c:ser>
          <c:idx val="8"/>
          <c:order val="8"/>
          <c:tx>
            <c:strRef>
              <c:f>Sheet1!$B$11</c:f>
              <c:strCache>
                <c:ptCount val="1"/>
                <c:pt idx="0">
                  <c:v>Columbia County</c:v>
                </c:pt>
              </c:strCache>
            </c:strRef>
          </c:tx>
          <c:spPr>
            <a:solidFill>
              <a:schemeClr val="accent3">
                <a:lumMod val="60000"/>
              </a:schemeClr>
            </a:solidFill>
            <a:ln>
              <a:noFill/>
            </a:ln>
            <a:effectLst/>
          </c:spPr>
          <c:cat>
            <c:numRef>
              <c:f>Sheet1!$C$2:$H$2</c:f>
              <c:numCache>
                <c:formatCode>General</c:formatCode>
                <c:ptCount val="6"/>
                <c:pt idx="0">
                  <c:v>2010</c:v>
                </c:pt>
                <c:pt idx="1">
                  <c:v>2011</c:v>
                </c:pt>
                <c:pt idx="2">
                  <c:v>2012</c:v>
                </c:pt>
                <c:pt idx="3">
                  <c:v>2013</c:v>
                </c:pt>
                <c:pt idx="4">
                  <c:v>2014</c:v>
                </c:pt>
                <c:pt idx="5">
                  <c:v>2015</c:v>
                </c:pt>
              </c:numCache>
            </c:numRef>
          </c:cat>
          <c:val>
            <c:numRef>
              <c:f>Sheet1!$C$11:$H$11</c:f>
              <c:numCache>
                <c:formatCode>General</c:formatCode>
                <c:ptCount val="6"/>
                <c:pt idx="0">
                  <c:v>1.5</c:v>
                </c:pt>
                <c:pt idx="1">
                  <c:v>1.5</c:v>
                </c:pt>
                <c:pt idx="2">
                  <c:v>1.5</c:v>
                </c:pt>
                <c:pt idx="3">
                  <c:v>1.5</c:v>
                </c:pt>
                <c:pt idx="4">
                  <c:v>1.5</c:v>
                </c:pt>
                <c:pt idx="5">
                  <c:v>0</c:v>
                </c:pt>
              </c:numCache>
            </c:numRef>
          </c:val>
        </c:ser>
        <c:ser>
          <c:idx val="9"/>
          <c:order val="9"/>
          <c:tx>
            <c:strRef>
              <c:f>Sheet1!$B$12</c:f>
              <c:strCache>
                <c:ptCount val="1"/>
                <c:pt idx="0">
                  <c:v>Montour</c:v>
                </c:pt>
              </c:strCache>
            </c:strRef>
          </c:tx>
          <c:spPr>
            <a:solidFill>
              <a:srgbClr val="92D050"/>
            </a:solidFill>
            <a:ln>
              <a:noFill/>
            </a:ln>
            <a:effectLst/>
          </c:spPr>
          <c:cat>
            <c:numRef>
              <c:f>Sheet1!$C$2:$H$2</c:f>
              <c:numCache>
                <c:formatCode>General</c:formatCode>
                <c:ptCount val="6"/>
                <c:pt idx="0">
                  <c:v>2010</c:v>
                </c:pt>
                <c:pt idx="1">
                  <c:v>2011</c:v>
                </c:pt>
                <c:pt idx="2">
                  <c:v>2012</c:v>
                </c:pt>
                <c:pt idx="3">
                  <c:v>2013</c:v>
                </c:pt>
                <c:pt idx="4">
                  <c:v>2014</c:v>
                </c:pt>
                <c:pt idx="5">
                  <c:v>2015</c:v>
                </c:pt>
              </c:numCache>
            </c:numRef>
          </c:cat>
          <c:val>
            <c:numRef>
              <c:f>Sheet1!$C$12:$H$12</c:f>
              <c:numCache>
                <c:formatCode>General</c:formatCode>
                <c:ptCount val="6"/>
                <c:pt idx="0">
                  <c:v>1</c:v>
                </c:pt>
                <c:pt idx="1">
                  <c:v>1</c:v>
                </c:pt>
                <c:pt idx="2">
                  <c:v>1</c:v>
                </c:pt>
                <c:pt idx="3">
                  <c:v>1</c:v>
                </c:pt>
                <c:pt idx="4">
                  <c:v>1</c:v>
                </c:pt>
                <c:pt idx="5">
                  <c:v>0</c:v>
                </c:pt>
              </c:numCache>
            </c:numRef>
          </c:val>
        </c:ser>
        <c:overlap val="100"/>
        <c:axId val="157297664"/>
        <c:axId val="157328128"/>
      </c:barChart>
      <c:catAx>
        <c:axId val="1572976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7328128"/>
        <c:crosses val="autoZero"/>
        <c:auto val="1"/>
        <c:lblAlgn val="ctr"/>
        <c:lblOffset val="100"/>
      </c:catAx>
      <c:valAx>
        <c:axId val="15732812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7297664"/>
        <c:crosses val="autoZero"/>
        <c:crossBetween val="between"/>
      </c:valAx>
      <c:spPr>
        <a:noFill/>
        <a:ln>
          <a:noFill/>
        </a:ln>
        <a:effectLst/>
      </c:spPr>
    </c:plotArea>
    <c:legend>
      <c:legendPos val="b"/>
      <c:layout>
        <c:manualLayout>
          <c:xMode val="edge"/>
          <c:yMode val="edge"/>
          <c:x val="0.673007149968323"/>
          <c:y val="5.0866837009612337E-2"/>
          <c:w val="0.285499140193683"/>
          <c:h val="0.88837343948141301"/>
        </c:manualLayout>
      </c:layout>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chart>
  <c:spPr>
    <a:solidFill>
      <a:schemeClr val="bg1"/>
    </a:solidFill>
    <a:ln w="6350" cap="flat" cmpd="sng" algn="ctr">
      <a:solidFill>
        <a:sysClr val="windowText" lastClr="000000"/>
      </a:solidFill>
      <a:round/>
    </a:ln>
    <a:effectLst/>
  </c:spPr>
  <c:txPr>
    <a:bodyPr/>
    <a:lstStyle/>
    <a:p>
      <a:pPr>
        <a:defRPr/>
      </a:pPr>
      <a:endParaRPr lang="en-US"/>
    </a:p>
  </c:tx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220760364826122"/>
          <c:y val="5.0925980754759376E-2"/>
          <c:w val="0.5686216628779146"/>
          <c:h val="0.81930131896123159"/>
        </c:manualLayout>
      </c:layout>
      <c:barChart>
        <c:barDir val="col"/>
        <c:grouping val="stacked"/>
        <c:ser>
          <c:idx val="1"/>
          <c:order val="0"/>
          <c:tx>
            <c:strRef>
              <c:f>Sheet1!$B$4</c:f>
              <c:strCache>
                <c:ptCount val="1"/>
                <c:pt idx="0">
                  <c:v>CACLV</c:v>
                </c:pt>
              </c:strCache>
            </c:strRef>
          </c:tx>
          <c:spPr>
            <a:solidFill>
              <a:srgbClr val="2E6EBC"/>
            </a:solidFill>
            <a:ln>
              <a:noFill/>
            </a:ln>
            <a:effectLst/>
          </c:spPr>
          <c:cat>
            <c:numRef>
              <c:f>Sheet1!$C$3:$F$3</c:f>
              <c:numCache>
                <c:formatCode>General</c:formatCode>
                <c:ptCount val="4"/>
                <c:pt idx="0">
                  <c:v>2012</c:v>
                </c:pt>
                <c:pt idx="1">
                  <c:v>2013</c:v>
                </c:pt>
                <c:pt idx="2">
                  <c:v>2014</c:v>
                </c:pt>
                <c:pt idx="3">
                  <c:v>2015</c:v>
                </c:pt>
              </c:numCache>
            </c:numRef>
          </c:cat>
          <c:val>
            <c:numRef>
              <c:f>Sheet1!$C$4:$F$4</c:f>
              <c:numCache>
                <c:formatCode>#,##0</c:formatCode>
                <c:ptCount val="4"/>
                <c:pt idx="0">
                  <c:v>6061</c:v>
                </c:pt>
                <c:pt idx="1">
                  <c:v>6992</c:v>
                </c:pt>
                <c:pt idx="2">
                  <c:v>8845</c:v>
                </c:pt>
                <c:pt idx="3">
                  <c:v>7089</c:v>
                </c:pt>
              </c:numCache>
            </c:numRef>
          </c:val>
        </c:ser>
        <c:ser>
          <c:idx val="2"/>
          <c:order val="1"/>
          <c:tx>
            <c:strRef>
              <c:f>Sheet1!$B$5</c:f>
              <c:strCache>
                <c:ptCount val="1"/>
                <c:pt idx="0">
                  <c:v>CAC</c:v>
                </c:pt>
              </c:strCache>
            </c:strRef>
          </c:tx>
          <c:spPr>
            <a:solidFill>
              <a:srgbClr val="FD3347"/>
            </a:solidFill>
            <a:ln>
              <a:noFill/>
            </a:ln>
            <a:effectLst/>
          </c:spPr>
          <c:cat>
            <c:numRef>
              <c:f>Sheet1!$C$3:$F$3</c:f>
              <c:numCache>
                <c:formatCode>General</c:formatCode>
                <c:ptCount val="4"/>
                <c:pt idx="0">
                  <c:v>2012</c:v>
                </c:pt>
                <c:pt idx="1">
                  <c:v>2013</c:v>
                </c:pt>
                <c:pt idx="2">
                  <c:v>2014</c:v>
                </c:pt>
                <c:pt idx="3">
                  <c:v>2015</c:v>
                </c:pt>
              </c:numCache>
            </c:numRef>
          </c:cat>
          <c:val>
            <c:numRef>
              <c:f>Sheet1!$C$5:$F$5</c:f>
              <c:numCache>
                <c:formatCode>#,##0</c:formatCode>
                <c:ptCount val="4"/>
                <c:pt idx="0">
                  <c:v>4832</c:v>
                </c:pt>
                <c:pt idx="1">
                  <c:v>5874</c:v>
                </c:pt>
                <c:pt idx="2">
                  <c:v>6647</c:v>
                </c:pt>
                <c:pt idx="3">
                  <c:v>7575</c:v>
                </c:pt>
              </c:numCache>
            </c:numRef>
          </c:val>
        </c:ser>
        <c:ser>
          <c:idx val="3"/>
          <c:order val="2"/>
          <c:tx>
            <c:strRef>
              <c:f>Sheet1!$B$6</c:f>
              <c:strCache>
                <c:ptCount val="1"/>
                <c:pt idx="0">
                  <c:v>LANCAP</c:v>
                </c:pt>
              </c:strCache>
            </c:strRef>
          </c:tx>
          <c:spPr>
            <a:solidFill>
              <a:srgbClr val="42B455"/>
            </a:solidFill>
            <a:ln>
              <a:noFill/>
            </a:ln>
            <a:effectLst/>
          </c:spPr>
          <c:cat>
            <c:numRef>
              <c:f>Sheet1!$C$3:$F$3</c:f>
              <c:numCache>
                <c:formatCode>General</c:formatCode>
                <c:ptCount val="4"/>
                <c:pt idx="0">
                  <c:v>2012</c:v>
                </c:pt>
                <c:pt idx="1">
                  <c:v>2013</c:v>
                </c:pt>
                <c:pt idx="2">
                  <c:v>2014</c:v>
                </c:pt>
                <c:pt idx="3">
                  <c:v>2015</c:v>
                </c:pt>
              </c:numCache>
            </c:numRef>
          </c:cat>
          <c:val>
            <c:numRef>
              <c:f>Sheet1!$C$6:$F$6</c:f>
              <c:numCache>
                <c:formatCode>#,##0</c:formatCode>
                <c:ptCount val="4"/>
                <c:pt idx="0">
                  <c:v>4325</c:v>
                </c:pt>
                <c:pt idx="1">
                  <c:v>5063</c:v>
                </c:pt>
                <c:pt idx="2">
                  <c:v>5235</c:v>
                </c:pt>
                <c:pt idx="3">
                  <c:v>6047</c:v>
                </c:pt>
              </c:numCache>
            </c:numRef>
          </c:val>
        </c:ser>
        <c:ser>
          <c:idx val="4"/>
          <c:order val="3"/>
          <c:tx>
            <c:strRef>
              <c:f>Sheet1!$B$7</c:f>
              <c:strCache>
                <c:ptCount val="1"/>
                <c:pt idx="0">
                  <c:v>CEO</c:v>
                </c:pt>
              </c:strCache>
            </c:strRef>
          </c:tx>
          <c:spPr>
            <a:solidFill>
              <a:srgbClr val="A14D07"/>
            </a:solidFill>
            <a:ln>
              <a:noFill/>
            </a:ln>
            <a:effectLst/>
          </c:spPr>
          <c:cat>
            <c:numRef>
              <c:f>Sheet1!$C$3:$F$3</c:f>
              <c:numCache>
                <c:formatCode>General</c:formatCode>
                <c:ptCount val="4"/>
                <c:pt idx="0">
                  <c:v>2012</c:v>
                </c:pt>
                <c:pt idx="1">
                  <c:v>2013</c:v>
                </c:pt>
                <c:pt idx="2">
                  <c:v>2014</c:v>
                </c:pt>
                <c:pt idx="3">
                  <c:v>2015</c:v>
                </c:pt>
              </c:numCache>
            </c:numRef>
          </c:cat>
          <c:val>
            <c:numRef>
              <c:f>Sheet1!$C$7:$F$7</c:f>
              <c:numCache>
                <c:formatCode>#,##0</c:formatCode>
                <c:ptCount val="4"/>
                <c:pt idx="0">
                  <c:v>2920</c:v>
                </c:pt>
                <c:pt idx="1">
                  <c:v>3609</c:v>
                </c:pt>
                <c:pt idx="2">
                  <c:v>3806</c:v>
                </c:pt>
                <c:pt idx="3">
                  <c:v>4236</c:v>
                </c:pt>
              </c:numCache>
            </c:numRef>
          </c:val>
        </c:ser>
        <c:ser>
          <c:idx val="5"/>
          <c:order val="4"/>
          <c:tx>
            <c:strRef>
              <c:f>Sheet1!$B$8</c:f>
              <c:strCache>
                <c:ptCount val="1"/>
                <c:pt idx="0">
                  <c:v>TREHAB</c:v>
                </c:pt>
              </c:strCache>
            </c:strRef>
          </c:tx>
          <c:spPr>
            <a:solidFill>
              <a:srgbClr val="745A94"/>
            </a:solidFill>
            <a:ln>
              <a:noFill/>
            </a:ln>
            <a:effectLst/>
          </c:spPr>
          <c:cat>
            <c:numRef>
              <c:f>Sheet1!$C$3:$F$3</c:f>
              <c:numCache>
                <c:formatCode>General</c:formatCode>
                <c:ptCount val="4"/>
                <c:pt idx="0">
                  <c:v>2012</c:v>
                </c:pt>
                <c:pt idx="1">
                  <c:v>2013</c:v>
                </c:pt>
                <c:pt idx="2">
                  <c:v>2014</c:v>
                </c:pt>
                <c:pt idx="3">
                  <c:v>2015</c:v>
                </c:pt>
              </c:numCache>
            </c:numRef>
          </c:cat>
          <c:val>
            <c:numRef>
              <c:f>Sheet1!$C$8:$F$8</c:f>
              <c:numCache>
                <c:formatCode>#,##0</c:formatCode>
                <c:ptCount val="4"/>
                <c:pt idx="0">
                  <c:v>2707</c:v>
                </c:pt>
                <c:pt idx="1">
                  <c:v>3496</c:v>
                </c:pt>
                <c:pt idx="2">
                  <c:v>3992</c:v>
                </c:pt>
                <c:pt idx="3">
                  <c:v>4638</c:v>
                </c:pt>
              </c:numCache>
            </c:numRef>
          </c:val>
        </c:ser>
        <c:ser>
          <c:idx val="6"/>
          <c:order val="5"/>
          <c:tx>
            <c:strRef>
              <c:f>Sheet1!$B$9</c:f>
              <c:strCache>
                <c:ptCount val="1"/>
                <c:pt idx="0">
                  <c:v>SCA</c:v>
                </c:pt>
              </c:strCache>
            </c:strRef>
          </c:tx>
          <c:spPr>
            <a:solidFill>
              <a:srgbClr val="FFFF00"/>
            </a:solidFill>
            <a:ln>
              <a:noFill/>
            </a:ln>
            <a:effectLst/>
          </c:spPr>
          <c:cat>
            <c:numRef>
              <c:f>Sheet1!$C$3:$F$3</c:f>
              <c:numCache>
                <c:formatCode>General</c:formatCode>
                <c:ptCount val="4"/>
                <c:pt idx="0">
                  <c:v>2012</c:v>
                </c:pt>
                <c:pt idx="1">
                  <c:v>2013</c:v>
                </c:pt>
                <c:pt idx="2">
                  <c:v>2014</c:v>
                </c:pt>
                <c:pt idx="3">
                  <c:v>2015</c:v>
                </c:pt>
              </c:numCache>
            </c:numRef>
          </c:cat>
          <c:val>
            <c:numRef>
              <c:f>Sheet1!$C$9:$F$9</c:f>
              <c:numCache>
                <c:formatCode>#,##0</c:formatCode>
                <c:ptCount val="4"/>
                <c:pt idx="0">
                  <c:v>1975</c:v>
                </c:pt>
                <c:pt idx="1">
                  <c:v>2118</c:v>
                </c:pt>
                <c:pt idx="2" formatCode="General">
                  <c:v>2712</c:v>
                </c:pt>
                <c:pt idx="3">
                  <c:v>3054</c:v>
                </c:pt>
              </c:numCache>
            </c:numRef>
          </c:val>
        </c:ser>
        <c:ser>
          <c:idx val="7"/>
          <c:order val="6"/>
          <c:tx>
            <c:strRef>
              <c:f>Sheet1!$B$10</c:f>
              <c:strCache>
                <c:ptCount val="1"/>
                <c:pt idx="0">
                  <c:v>STEP</c:v>
                </c:pt>
              </c:strCache>
            </c:strRef>
          </c:tx>
          <c:spPr>
            <a:solidFill>
              <a:srgbClr val="FF5425"/>
            </a:solidFill>
            <a:ln>
              <a:noFill/>
            </a:ln>
            <a:effectLst/>
          </c:spPr>
          <c:cat>
            <c:numRef>
              <c:f>Sheet1!$C$3:$F$3</c:f>
              <c:numCache>
                <c:formatCode>General</c:formatCode>
                <c:ptCount val="4"/>
                <c:pt idx="0">
                  <c:v>2012</c:v>
                </c:pt>
                <c:pt idx="1">
                  <c:v>2013</c:v>
                </c:pt>
                <c:pt idx="2">
                  <c:v>2014</c:v>
                </c:pt>
                <c:pt idx="3">
                  <c:v>2015</c:v>
                </c:pt>
              </c:numCache>
            </c:numRef>
          </c:cat>
          <c:val>
            <c:numRef>
              <c:f>Sheet1!$C$10:$F$10</c:f>
              <c:numCache>
                <c:formatCode>#,##0</c:formatCode>
                <c:ptCount val="4"/>
                <c:pt idx="0">
                  <c:v>1869</c:v>
                </c:pt>
                <c:pt idx="1">
                  <c:v>2024</c:v>
                </c:pt>
                <c:pt idx="2">
                  <c:v>2547</c:v>
                </c:pt>
                <c:pt idx="3">
                  <c:v>2714</c:v>
                </c:pt>
              </c:numCache>
            </c:numRef>
          </c:val>
        </c:ser>
        <c:ser>
          <c:idx val="8"/>
          <c:order val="7"/>
          <c:tx>
            <c:strRef>
              <c:f>Sheet1!$B$11</c:f>
              <c:strCache>
                <c:ptCount val="1"/>
                <c:pt idx="0">
                  <c:v>Union-Snyder</c:v>
                </c:pt>
              </c:strCache>
            </c:strRef>
          </c:tx>
          <c:spPr>
            <a:solidFill>
              <a:srgbClr val="C00000"/>
            </a:solidFill>
            <a:ln>
              <a:noFill/>
            </a:ln>
            <a:effectLst/>
          </c:spPr>
          <c:cat>
            <c:numRef>
              <c:f>Sheet1!$C$3:$F$3</c:f>
              <c:numCache>
                <c:formatCode>General</c:formatCode>
                <c:ptCount val="4"/>
                <c:pt idx="0">
                  <c:v>2012</c:v>
                </c:pt>
                <c:pt idx="1">
                  <c:v>2013</c:v>
                </c:pt>
                <c:pt idx="2">
                  <c:v>2014</c:v>
                </c:pt>
                <c:pt idx="3">
                  <c:v>2015</c:v>
                </c:pt>
              </c:numCache>
            </c:numRef>
          </c:cat>
          <c:val>
            <c:numRef>
              <c:f>Sheet1!$C$11:$F$11</c:f>
              <c:numCache>
                <c:formatCode>#,##0</c:formatCode>
                <c:ptCount val="4"/>
                <c:pt idx="0">
                  <c:v>1557</c:v>
                </c:pt>
                <c:pt idx="1">
                  <c:v>1678</c:v>
                </c:pt>
                <c:pt idx="2">
                  <c:v>1383</c:v>
                </c:pt>
                <c:pt idx="3">
                  <c:v>1730</c:v>
                </c:pt>
              </c:numCache>
            </c:numRef>
          </c:val>
        </c:ser>
        <c:ser>
          <c:idx val="9"/>
          <c:order val="8"/>
          <c:tx>
            <c:strRef>
              <c:f>Sheet1!$B$12</c:f>
              <c:strCache>
                <c:ptCount val="1"/>
                <c:pt idx="0">
                  <c:v>Columbia County</c:v>
                </c:pt>
              </c:strCache>
            </c:strRef>
          </c:tx>
          <c:spPr>
            <a:solidFill>
              <a:srgbClr val="92D050"/>
            </a:solidFill>
            <a:ln>
              <a:noFill/>
            </a:ln>
            <a:effectLst/>
          </c:spPr>
          <c:cat>
            <c:numRef>
              <c:f>Sheet1!$C$3:$F$3</c:f>
              <c:numCache>
                <c:formatCode>General</c:formatCode>
                <c:ptCount val="4"/>
                <c:pt idx="0">
                  <c:v>2012</c:v>
                </c:pt>
                <c:pt idx="1">
                  <c:v>2013</c:v>
                </c:pt>
                <c:pt idx="2">
                  <c:v>2014</c:v>
                </c:pt>
                <c:pt idx="3">
                  <c:v>2015</c:v>
                </c:pt>
              </c:numCache>
            </c:numRef>
          </c:cat>
          <c:val>
            <c:numRef>
              <c:f>Sheet1!$C$12:$F$12</c:f>
              <c:numCache>
                <c:formatCode>General</c:formatCode>
                <c:ptCount val="4"/>
                <c:pt idx="0">
                  <c:v>743</c:v>
                </c:pt>
                <c:pt idx="1">
                  <c:v>758</c:v>
                </c:pt>
                <c:pt idx="2">
                  <c:v>926</c:v>
                </c:pt>
                <c:pt idx="3">
                  <c:v>806</c:v>
                </c:pt>
              </c:numCache>
            </c:numRef>
          </c:val>
        </c:ser>
        <c:ser>
          <c:idx val="10"/>
          <c:order val="9"/>
          <c:tx>
            <c:strRef>
              <c:f>Sheet1!$B$13</c:f>
              <c:strCache>
                <c:ptCount val="1"/>
                <c:pt idx="0">
                  <c:v>Montour</c:v>
                </c:pt>
              </c:strCache>
            </c:strRef>
          </c:tx>
          <c:spPr>
            <a:solidFill>
              <a:srgbClr val="A6A6A6"/>
            </a:solidFill>
            <a:ln>
              <a:noFill/>
            </a:ln>
            <a:effectLst/>
          </c:spPr>
          <c:cat>
            <c:numRef>
              <c:f>Sheet1!$C$3:$F$3</c:f>
              <c:numCache>
                <c:formatCode>General</c:formatCode>
                <c:ptCount val="4"/>
                <c:pt idx="0">
                  <c:v>2012</c:v>
                </c:pt>
                <c:pt idx="1">
                  <c:v>2013</c:v>
                </c:pt>
                <c:pt idx="2">
                  <c:v>2014</c:v>
                </c:pt>
                <c:pt idx="3">
                  <c:v>2015</c:v>
                </c:pt>
              </c:numCache>
            </c:numRef>
          </c:cat>
          <c:val>
            <c:numRef>
              <c:f>Sheet1!$C$13:$F$13</c:f>
              <c:numCache>
                <c:formatCode>General</c:formatCode>
                <c:ptCount val="4"/>
                <c:pt idx="0">
                  <c:v>89</c:v>
                </c:pt>
                <c:pt idx="1">
                  <c:v>91</c:v>
                </c:pt>
                <c:pt idx="2">
                  <c:v>102</c:v>
                </c:pt>
                <c:pt idx="3">
                  <c:v>135</c:v>
                </c:pt>
              </c:numCache>
            </c:numRef>
          </c:val>
        </c:ser>
        <c:overlap val="100"/>
        <c:axId val="157626368"/>
        <c:axId val="157627904"/>
      </c:barChart>
      <c:dateAx>
        <c:axId val="1576263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57627904"/>
        <c:crosses val="autoZero"/>
        <c:lblOffset val="100"/>
        <c:baseTimeUnit val="days"/>
      </c:dateAx>
      <c:valAx>
        <c:axId val="157627904"/>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57626368"/>
        <c:crosses val="autoZero"/>
        <c:crossBetween val="between"/>
      </c:valAx>
      <c:spPr>
        <a:noFill/>
        <a:ln>
          <a:noFill/>
        </a:ln>
        <a:effectLst/>
      </c:spPr>
    </c:plotArea>
    <c:legend>
      <c:legendPos val="b"/>
      <c:layout>
        <c:manualLayout>
          <c:xMode val="edge"/>
          <c:yMode val="edge"/>
          <c:x val="0.69162169582358834"/>
          <c:y val="4.1086322543015454E-2"/>
          <c:w val="0.27258673395379363"/>
          <c:h val="0.88946923301254011"/>
        </c:manualLayout>
      </c:layout>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lang val="en-US"/>
  <c:chart>
    <c:autoTitleDeleted val="1"/>
    <c:plotArea>
      <c:layout/>
      <c:barChart>
        <c:barDir val="col"/>
        <c:grouping val="clustered"/>
        <c:ser>
          <c:idx val="0"/>
          <c:order val="0"/>
          <c:tx>
            <c:strRef>
              <c:f>Sheet1!$B$29</c:f>
              <c:strCache>
                <c:ptCount val="1"/>
                <c:pt idx="0">
                  <c:v>New Enrollments Actual</c:v>
                </c:pt>
              </c:strCache>
            </c:strRef>
          </c:tx>
          <c:spPr>
            <a:solidFill>
              <a:srgbClr val="2E6EBC"/>
            </a:solidFill>
            <a:ln>
              <a:noFill/>
            </a:ln>
            <a:effectLst/>
          </c:spPr>
          <c:cat>
            <c:numRef>
              <c:f>Sheet1!$C$28:$F$28</c:f>
              <c:numCache>
                <c:formatCode>General</c:formatCode>
                <c:ptCount val="4"/>
                <c:pt idx="0">
                  <c:v>2012</c:v>
                </c:pt>
                <c:pt idx="1">
                  <c:v>2013</c:v>
                </c:pt>
                <c:pt idx="2">
                  <c:v>2014</c:v>
                </c:pt>
                <c:pt idx="3">
                  <c:v>2015</c:v>
                </c:pt>
              </c:numCache>
            </c:numRef>
          </c:cat>
          <c:val>
            <c:numRef>
              <c:f>Sheet1!$C$29:$F$29</c:f>
              <c:numCache>
                <c:formatCode>General</c:formatCode>
                <c:ptCount val="4"/>
                <c:pt idx="0">
                  <c:v>27078</c:v>
                </c:pt>
                <c:pt idx="1">
                  <c:v>31703</c:v>
                </c:pt>
                <c:pt idx="2">
                  <c:v>36195</c:v>
                </c:pt>
                <c:pt idx="3">
                  <c:v>38024</c:v>
                </c:pt>
              </c:numCache>
            </c:numRef>
          </c:val>
        </c:ser>
        <c:ser>
          <c:idx val="1"/>
          <c:order val="1"/>
          <c:tx>
            <c:strRef>
              <c:f>Sheet1!$B$30</c:f>
              <c:strCache>
                <c:ptCount val="1"/>
                <c:pt idx="0">
                  <c:v>New Enrollments Target</c:v>
                </c:pt>
              </c:strCache>
            </c:strRef>
          </c:tx>
          <c:spPr>
            <a:solidFill>
              <a:srgbClr val="FD3347"/>
            </a:solidFill>
            <a:ln>
              <a:noFill/>
            </a:ln>
            <a:effectLst/>
          </c:spPr>
          <c:cat>
            <c:numRef>
              <c:f>Sheet1!$C$28:$F$28</c:f>
              <c:numCache>
                <c:formatCode>General</c:formatCode>
                <c:ptCount val="4"/>
                <c:pt idx="0">
                  <c:v>2012</c:v>
                </c:pt>
                <c:pt idx="1">
                  <c:v>2013</c:v>
                </c:pt>
                <c:pt idx="2">
                  <c:v>2014</c:v>
                </c:pt>
                <c:pt idx="3">
                  <c:v>2015</c:v>
                </c:pt>
              </c:numCache>
            </c:numRef>
          </c:cat>
          <c:val>
            <c:numRef>
              <c:f>Sheet1!$C$30:$F$30</c:f>
              <c:numCache>
                <c:formatCode>General</c:formatCode>
                <c:ptCount val="4"/>
                <c:pt idx="1">
                  <c:v>31140</c:v>
                </c:pt>
                <c:pt idx="2">
                  <c:v>33273</c:v>
                </c:pt>
                <c:pt idx="3">
                  <c:v>35602</c:v>
                </c:pt>
              </c:numCache>
            </c:numRef>
          </c:val>
        </c:ser>
        <c:axId val="157643520"/>
        <c:axId val="157645056"/>
      </c:barChart>
      <c:catAx>
        <c:axId val="1576435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charset="0"/>
                <a:ea typeface="Arial" charset="0"/>
                <a:cs typeface="Arial" charset="0"/>
              </a:defRPr>
            </a:pPr>
            <a:endParaRPr lang="en-US"/>
          </a:p>
        </c:txPr>
        <c:crossAx val="157645056"/>
        <c:crosses val="autoZero"/>
        <c:auto val="1"/>
        <c:lblAlgn val="ctr"/>
        <c:lblOffset val="100"/>
      </c:catAx>
      <c:valAx>
        <c:axId val="157645056"/>
        <c:scaling>
          <c:orientation val="minMax"/>
        </c:scaling>
        <c:axPos val="l"/>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charset="0"/>
                <a:ea typeface="Arial" charset="0"/>
                <a:cs typeface="Arial" charset="0"/>
              </a:defRPr>
            </a:pPr>
            <a:endParaRPr lang="en-US"/>
          </a:p>
        </c:txPr>
        <c:crossAx val="157643520"/>
        <c:crosses val="autoZero"/>
        <c:crossBetween val="between"/>
      </c:valAx>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charset="0"/>
              <a:ea typeface="Arial" charset="0"/>
              <a:cs typeface="Arial" charset="0"/>
            </a:defRPr>
          </a:pPr>
          <a:endParaRPr lang="en-US"/>
        </a:p>
      </c:txPr>
    </c:legend>
    <c:plotVisOnly val="1"/>
    <c:dispBlanksAs val="gap"/>
  </c:chart>
  <c:spPr>
    <a:solidFill>
      <a:schemeClr val="bg1"/>
    </a:solidFill>
    <a:ln w="9525" cap="flat" cmpd="sng" algn="ctr">
      <a:solidFill>
        <a:schemeClr val="tx1"/>
      </a:solidFill>
      <a:round/>
    </a:ln>
    <a:effectLst/>
  </c:spPr>
  <c:txPr>
    <a:bodyPr/>
    <a:lstStyle/>
    <a:p>
      <a:pPr>
        <a:defRPr>
          <a:latin typeface="Arial" charset="0"/>
          <a:ea typeface="Arial" charset="0"/>
          <a:cs typeface="Arial" charset="0"/>
        </a:defRPr>
      </a:pPr>
      <a:endParaRPr lang="en-US"/>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lang val="en-US"/>
  <c:style val="18"/>
  <c:chart>
    <c:autoTitleDeleted val="1"/>
    <c:view3D>
      <c:rotX val="30"/>
      <c:perspective val="30"/>
    </c:view3D>
    <c:plotArea>
      <c:layout>
        <c:manualLayout>
          <c:layoutTarget val="inner"/>
          <c:xMode val="edge"/>
          <c:yMode val="edge"/>
          <c:x val="0.24062992125984187"/>
          <c:y val="0.36197987591587732"/>
          <c:w val="0.56729264475743257"/>
          <c:h val="0.55248844927441898"/>
        </c:manualLayout>
      </c:layout>
      <c:pie3DChart>
        <c:varyColors val="1"/>
        <c:ser>
          <c:idx val="0"/>
          <c:order val="0"/>
          <c:explosion val="25"/>
          <c:dPt>
            <c:idx val="0"/>
            <c:spPr>
              <a:solidFill>
                <a:srgbClr val="2E6EBC"/>
              </a:solidFill>
            </c:spPr>
          </c:dPt>
          <c:dPt>
            <c:idx val="1"/>
            <c:spPr>
              <a:solidFill>
                <a:srgbClr val="FD3947"/>
              </a:solidFill>
            </c:spPr>
          </c:dPt>
          <c:dPt>
            <c:idx val="2"/>
            <c:spPr>
              <a:solidFill>
                <a:srgbClr val="42B455"/>
              </a:solidFill>
            </c:spPr>
          </c:dPt>
          <c:dPt>
            <c:idx val="3"/>
            <c:spPr>
              <a:solidFill>
                <a:srgbClr val="A14D07"/>
              </a:solidFill>
            </c:spPr>
          </c:dPt>
          <c:dPt>
            <c:idx val="4"/>
            <c:spPr>
              <a:solidFill>
                <a:srgbClr val="745A94"/>
              </a:solidFill>
            </c:spPr>
          </c:dPt>
          <c:dPt>
            <c:idx val="5"/>
            <c:spPr>
              <a:solidFill>
                <a:srgbClr val="FFFF00"/>
              </a:solidFill>
            </c:spPr>
          </c:dPt>
          <c:dPt>
            <c:idx val="6"/>
            <c:spPr>
              <a:solidFill>
                <a:srgbClr val="F57E1B"/>
              </a:solidFill>
            </c:spPr>
          </c:dPt>
          <c:dPt>
            <c:idx val="7"/>
            <c:spPr>
              <a:solidFill>
                <a:srgbClr val="C00000"/>
              </a:solidFill>
            </c:spPr>
          </c:dPt>
          <c:dPt>
            <c:idx val="8"/>
            <c:spPr>
              <a:solidFill>
                <a:srgbClr val="92D050"/>
              </a:solidFill>
            </c:spPr>
          </c:dPt>
          <c:dLbls>
            <c:dLbl>
              <c:idx val="8"/>
              <c:layout>
                <c:manualLayout>
                  <c:x val="2.8223643919510006E-2"/>
                  <c:y val="-7.5050472823798342E-2"/>
                </c:manualLayout>
              </c:layout>
              <c:dLblPos val="bestFit"/>
              <c:showCatName val="1"/>
              <c:showPercent val="1"/>
              <c:extLst>
                <c:ext xmlns:c15="http://schemas.microsoft.com/office/drawing/2012/chart" uri="{CE6537A1-D6FC-4f65-9D91-7224C49458BB}"/>
              </c:extLst>
            </c:dLbl>
            <c:spPr>
              <a:noFill/>
              <a:ln>
                <a:noFill/>
              </a:ln>
              <a:effectLst/>
            </c:spPr>
            <c:txPr>
              <a:bodyPr/>
              <a:lstStyle/>
              <a:p>
                <a:pPr>
                  <a:defRPr>
                    <a:latin typeface="Arial"/>
                    <a:cs typeface="Arial"/>
                  </a:defRPr>
                </a:pPr>
                <a:endParaRPr lang="en-US"/>
              </a:p>
            </c:txPr>
            <c:dLblPos val="bestFit"/>
            <c:showCatName val="1"/>
            <c:showPercent val="1"/>
            <c:showLeaderLines val="1"/>
            <c:extLst>
              <c:ext xmlns:c15="http://schemas.microsoft.com/office/drawing/2012/chart" uri="{CE6537A1-D6FC-4f65-9D91-7224C49458BB}"/>
            </c:extLst>
          </c:dLbls>
          <c:cat>
            <c:strRef>
              <c:f>Sheet1!$N$3:$N$12</c:f>
              <c:strCache>
                <c:ptCount val="10"/>
                <c:pt idx="0">
                  <c:v>CACLV</c:v>
                </c:pt>
                <c:pt idx="1">
                  <c:v>CAC</c:v>
                </c:pt>
                <c:pt idx="2">
                  <c:v>CAPLANC</c:v>
                </c:pt>
                <c:pt idx="3">
                  <c:v>CEO</c:v>
                </c:pt>
                <c:pt idx="4">
                  <c:v>TREHAB</c:v>
                </c:pt>
                <c:pt idx="5">
                  <c:v>SCA</c:v>
                </c:pt>
                <c:pt idx="6">
                  <c:v>STEP Inc.</c:v>
                </c:pt>
                <c:pt idx="7">
                  <c:v>USCAA</c:v>
                </c:pt>
                <c:pt idx="8">
                  <c:v>CCDHS</c:v>
                </c:pt>
                <c:pt idx="9">
                  <c:v>MCDHS</c:v>
                </c:pt>
              </c:strCache>
            </c:strRef>
          </c:cat>
          <c:val>
            <c:numRef>
              <c:f>Sheet1!$O$3:$O$12</c:f>
              <c:numCache>
                <c:formatCode>0.0%</c:formatCode>
                <c:ptCount val="10"/>
                <c:pt idx="0">
                  <c:v>0.220661760575249</c:v>
                </c:pt>
                <c:pt idx="1">
                  <c:v>0.18535475535082299</c:v>
                </c:pt>
                <c:pt idx="2">
                  <c:v>0.15976630526374899</c:v>
                </c:pt>
                <c:pt idx="3">
                  <c:v>0.11389809561260589</c:v>
                </c:pt>
                <c:pt idx="4">
                  <c:v>0.110330880287624</c:v>
                </c:pt>
                <c:pt idx="5">
                  <c:v>6.6850176956350801E-2</c:v>
                </c:pt>
                <c:pt idx="6">
                  <c:v>6.387281613392512E-2</c:v>
                </c:pt>
                <c:pt idx="7">
                  <c:v>5.2946463681815624E-2</c:v>
                </c:pt>
                <c:pt idx="8">
                  <c:v>2.3453738554013847E-2</c:v>
                </c:pt>
                <c:pt idx="9">
                  <c:v>2.8650075838435999E-3</c:v>
                </c:pt>
              </c:numCache>
            </c:numRef>
          </c:val>
        </c:ser>
        <c:dLbls>
          <c:showCatName val="1"/>
          <c:showPercent val="1"/>
        </c:dLbls>
      </c:pie3DChart>
    </c:plotArea>
    <c:plotVisOnly val="1"/>
    <c:dispBlanksAs val="zero"/>
  </c:chart>
  <c:spPr>
    <a:ln>
      <a:solidFill>
        <a:schemeClr val="tx1"/>
      </a:solid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0.113857050085234"/>
          <c:y val="7.3156463660580803E-2"/>
          <c:w val="0.49536617995566234"/>
          <c:h val="0.79191215258971004"/>
        </c:manualLayout>
      </c:layout>
      <c:barChart>
        <c:barDir val="col"/>
        <c:grouping val="clustered"/>
        <c:ser>
          <c:idx val="0"/>
          <c:order val="0"/>
          <c:tx>
            <c:strRef>
              <c:f>Sheet1!$A$56</c:f>
              <c:strCache>
                <c:ptCount val="1"/>
                <c:pt idx="0">
                  <c:v>OnTrack Monthly Cost per Customer</c:v>
                </c:pt>
              </c:strCache>
            </c:strRef>
          </c:tx>
          <c:spPr>
            <a:solidFill>
              <a:srgbClr val="2E6EBC"/>
            </a:solidFill>
            <a:ln>
              <a:noFill/>
            </a:ln>
            <a:effectLst/>
          </c:spPr>
          <c:trendline>
            <c:spPr>
              <a:ln w="19050" cap="rnd">
                <a:solidFill>
                  <a:schemeClr val="accent1"/>
                </a:solidFill>
                <a:prstDash val="sysDot"/>
              </a:ln>
              <a:effectLst/>
            </c:spPr>
            <c:trendlineType val="linear"/>
          </c:trendline>
          <c:cat>
            <c:numRef>
              <c:f>Sheet1!$B$55:$G$55</c:f>
              <c:numCache>
                <c:formatCode>General</c:formatCode>
                <c:ptCount val="6"/>
                <c:pt idx="0">
                  <c:v>2010</c:v>
                </c:pt>
                <c:pt idx="1">
                  <c:v>2011</c:v>
                </c:pt>
                <c:pt idx="2" formatCode="0">
                  <c:v>2012</c:v>
                </c:pt>
                <c:pt idx="3">
                  <c:v>2013</c:v>
                </c:pt>
                <c:pt idx="4">
                  <c:v>2014</c:v>
                </c:pt>
                <c:pt idx="5">
                  <c:v>2015</c:v>
                </c:pt>
              </c:numCache>
            </c:numRef>
          </c:cat>
          <c:val>
            <c:numRef>
              <c:f>Sheet1!$B$56:$G$56</c:f>
              <c:numCache>
                <c:formatCode>"$"#,##0.00</c:formatCode>
                <c:ptCount val="6"/>
                <c:pt idx="0">
                  <c:v>3.07</c:v>
                </c:pt>
                <c:pt idx="1">
                  <c:v>3.53</c:v>
                </c:pt>
                <c:pt idx="2">
                  <c:v>3.14</c:v>
                </c:pt>
                <c:pt idx="3">
                  <c:v>3.65</c:v>
                </c:pt>
                <c:pt idx="4">
                  <c:v>4.71</c:v>
                </c:pt>
                <c:pt idx="5">
                  <c:v>5.46</c:v>
                </c:pt>
              </c:numCache>
            </c:numRef>
          </c:val>
        </c:ser>
        <c:gapWidth val="219"/>
        <c:overlap val="-27"/>
        <c:axId val="158031872"/>
        <c:axId val="158033408"/>
      </c:barChart>
      <c:catAx>
        <c:axId val="1580318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charset="0"/>
                <a:ea typeface="Arial" charset="0"/>
                <a:cs typeface="Arial" charset="0"/>
              </a:defRPr>
            </a:pPr>
            <a:endParaRPr lang="en-US"/>
          </a:p>
        </c:txPr>
        <c:crossAx val="158033408"/>
        <c:crosses val="autoZero"/>
        <c:auto val="1"/>
        <c:lblAlgn val="ctr"/>
        <c:lblOffset val="100"/>
      </c:catAx>
      <c:valAx>
        <c:axId val="158033408"/>
        <c:scaling>
          <c:orientation val="minMax"/>
        </c:scaling>
        <c:axPos val="l"/>
        <c:majorGridlines>
          <c:spPr>
            <a:ln w="9525" cap="flat" cmpd="sng" algn="ctr">
              <a:solidFill>
                <a:schemeClr val="tx1">
                  <a:lumMod val="15000"/>
                  <a:lumOff val="85000"/>
                </a:schemeClr>
              </a:solidFill>
              <a:round/>
            </a:ln>
            <a:effectLst/>
          </c:spPr>
        </c:majorGridlines>
        <c:numFmt formatCode="&quot;$&quot;#,##0.0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charset="0"/>
                <a:ea typeface="Arial" charset="0"/>
                <a:cs typeface="Arial" charset="0"/>
              </a:defRPr>
            </a:pPr>
            <a:endParaRPr lang="en-US"/>
          </a:p>
        </c:txPr>
        <c:crossAx val="158031872"/>
        <c:crosses val="autoZero"/>
        <c:crossBetween val="between"/>
      </c:valAx>
      <c:spPr>
        <a:noFill/>
        <a:ln>
          <a:noFill/>
        </a:ln>
        <a:effectLst/>
      </c:spPr>
    </c:plotArea>
    <c:legend>
      <c:legendPos val="r"/>
      <c:layout>
        <c:manualLayout>
          <c:xMode val="edge"/>
          <c:yMode val="edge"/>
          <c:x val="0.62373786407766996"/>
          <c:y val="0.39297911108218975"/>
          <c:w val="0.33252577319587734"/>
          <c:h val="0.3127982039435153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charset="0"/>
              <a:ea typeface="Arial" charset="0"/>
              <a:cs typeface="Arial" charset="0"/>
            </a:defRPr>
          </a:pPr>
          <a:endParaRPr lang="en-US"/>
        </a:p>
      </c:txPr>
    </c:legend>
    <c:plotVisOnly val="1"/>
    <c:dispBlanksAs val="gap"/>
  </c:chart>
  <c:spPr>
    <a:solidFill>
      <a:schemeClr val="bg1"/>
    </a:solidFill>
    <a:ln w="9525" cap="flat" cmpd="sng" algn="ctr">
      <a:solidFill>
        <a:schemeClr val="tx1"/>
      </a:solidFill>
      <a:round/>
    </a:ln>
    <a:effectLst/>
  </c:spPr>
  <c:txPr>
    <a:bodyPr/>
    <a:lstStyle/>
    <a:p>
      <a:pPr>
        <a:defRPr>
          <a:latin typeface="Arial" charset="0"/>
          <a:ea typeface="Arial" charset="0"/>
          <a:cs typeface="Arial" charset="0"/>
        </a:defRPr>
      </a:pPr>
      <a:endParaRPr lang="en-US"/>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style val="18"/>
  <c:chart>
    <c:plotArea>
      <c:layout/>
      <c:barChart>
        <c:barDir val="col"/>
        <c:grouping val="clustered"/>
        <c:ser>
          <c:idx val="0"/>
          <c:order val="0"/>
          <c:tx>
            <c:strRef>
              <c:f>Sheet1!$A$22</c:f>
              <c:strCache>
                <c:ptCount val="1"/>
                <c:pt idx="0">
                  <c:v>Annual Referrals</c:v>
                </c:pt>
              </c:strCache>
            </c:strRef>
          </c:tx>
          <c:spPr>
            <a:solidFill>
              <a:srgbClr val="2E6EBC"/>
            </a:solidFill>
          </c:spPr>
          <c:cat>
            <c:numRef>
              <c:f>Sheet1!$B$21:$G$21</c:f>
              <c:numCache>
                <c:formatCode>General</c:formatCode>
                <c:ptCount val="6"/>
                <c:pt idx="0">
                  <c:v>2010</c:v>
                </c:pt>
                <c:pt idx="1">
                  <c:v>2011</c:v>
                </c:pt>
                <c:pt idx="2">
                  <c:v>2012</c:v>
                </c:pt>
                <c:pt idx="3">
                  <c:v>2013</c:v>
                </c:pt>
                <c:pt idx="4">
                  <c:v>2014</c:v>
                </c:pt>
                <c:pt idx="5">
                  <c:v>2015</c:v>
                </c:pt>
              </c:numCache>
            </c:numRef>
          </c:cat>
          <c:val>
            <c:numRef>
              <c:f>Sheet1!$B$22:$G$22</c:f>
              <c:numCache>
                <c:formatCode>#,##0</c:formatCode>
                <c:ptCount val="6"/>
                <c:pt idx="0">
                  <c:v>108285</c:v>
                </c:pt>
                <c:pt idx="1">
                  <c:v>120987</c:v>
                </c:pt>
                <c:pt idx="2">
                  <c:v>124245</c:v>
                </c:pt>
                <c:pt idx="3">
                  <c:v>180543</c:v>
                </c:pt>
                <c:pt idx="4">
                  <c:v>189412</c:v>
                </c:pt>
                <c:pt idx="5">
                  <c:v>221998</c:v>
                </c:pt>
              </c:numCache>
            </c:numRef>
          </c:val>
        </c:ser>
        <c:ser>
          <c:idx val="1"/>
          <c:order val="1"/>
          <c:tx>
            <c:strRef>
              <c:f>Sheet1!$A$23</c:f>
              <c:strCache>
                <c:ptCount val="1"/>
                <c:pt idx="0">
                  <c:v>Annual New Enrollments</c:v>
                </c:pt>
              </c:strCache>
            </c:strRef>
          </c:tx>
          <c:spPr>
            <a:solidFill>
              <a:srgbClr val="FD3347"/>
            </a:solidFill>
          </c:spPr>
          <c:cat>
            <c:numRef>
              <c:f>Sheet1!$B$21:$G$21</c:f>
              <c:numCache>
                <c:formatCode>General</c:formatCode>
                <c:ptCount val="6"/>
                <c:pt idx="0">
                  <c:v>2010</c:v>
                </c:pt>
                <c:pt idx="1">
                  <c:v>2011</c:v>
                </c:pt>
                <c:pt idx="2">
                  <c:v>2012</c:v>
                </c:pt>
                <c:pt idx="3">
                  <c:v>2013</c:v>
                </c:pt>
                <c:pt idx="4">
                  <c:v>2014</c:v>
                </c:pt>
                <c:pt idx="5">
                  <c:v>2015</c:v>
                </c:pt>
              </c:numCache>
            </c:numRef>
          </c:cat>
          <c:val>
            <c:numRef>
              <c:f>Sheet1!$B$23:$G$23</c:f>
              <c:numCache>
                <c:formatCode>#,##0</c:formatCode>
                <c:ptCount val="6"/>
                <c:pt idx="0">
                  <c:v>19760</c:v>
                </c:pt>
                <c:pt idx="1">
                  <c:v>20321</c:v>
                </c:pt>
                <c:pt idx="2">
                  <c:v>17934</c:v>
                </c:pt>
                <c:pt idx="3">
                  <c:v>22043</c:v>
                </c:pt>
                <c:pt idx="4">
                  <c:v>22520</c:v>
                </c:pt>
                <c:pt idx="5">
                  <c:v>38024</c:v>
                </c:pt>
              </c:numCache>
            </c:numRef>
          </c:val>
        </c:ser>
        <c:ser>
          <c:idx val="2"/>
          <c:order val="2"/>
          <c:tx>
            <c:strRef>
              <c:f>Sheet1!$A$24</c:f>
              <c:strCache>
                <c:ptCount val="1"/>
                <c:pt idx="0">
                  <c:v>Active Members (Year-End)</c:v>
                </c:pt>
              </c:strCache>
            </c:strRef>
          </c:tx>
          <c:spPr>
            <a:solidFill>
              <a:srgbClr val="42B455"/>
            </a:solidFill>
          </c:spPr>
          <c:cat>
            <c:numRef>
              <c:f>Sheet1!$B$21:$G$21</c:f>
              <c:numCache>
                <c:formatCode>General</c:formatCode>
                <c:ptCount val="6"/>
                <c:pt idx="0">
                  <c:v>2010</c:v>
                </c:pt>
                <c:pt idx="1">
                  <c:v>2011</c:v>
                </c:pt>
                <c:pt idx="2">
                  <c:v>2012</c:v>
                </c:pt>
                <c:pt idx="3">
                  <c:v>2013</c:v>
                </c:pt>
                <c:pt idx="4">
                  <c:v>2014</c:v>
                </c:pt>
                <c:pt idx="5">
                  <c:v>2015</c:v>
                </c:pt>
              </c:numCache>
            </c:numRef>
          </c:cat>
          <c:val>
            <c:numRef>
              <c:f>Sheet1!$B$24:$G$24</c:f>
              <c:numCache>
                <c:formatCode>#,##0</c:formatCode>
                <c:ptCount val="6"/>
                <c:pt idx="0">
                  <c:v>32446</c:v>
                </c:pt>
                <c:pt idx="1">
                  <c:v>34308</c:v>
                </c:pt>
                <c:pt idx="2">
                  <c:v>31657</c:v>
                </c:pt>
                <c:pt idx="3">
                  <c:v>37204</c:v>
                </c:pt>
                <c:pt idx="4">
                  <c:v>41288</c:v>
                </c:pt>
                <c:pt idx="5">
                  <c:v>46936</c:v>
                </c:pt>
              </c:numCache>
            </c:numRef>
          </c:val>
        </c:ser>
        <c:axId val="158063232"/>
        <c:axId val="158597504"/>
      </c:barChart>
      <c:catAx>
        <c:axId val="158063232"/>
        <c:scaling>
          <c:orientation val="minMax"/>
        </c:scaling>
        <c:axPos val="b"/>
        <c:numFmt formatCode="General" sourceLinked="1"/>
        <c:tickLblPos val="nextTo"/>
        <c:crossAx val="158597504"/>
        <c:crosses val="autoZero"/>
        <c:auto val="1"/>
        <c:lblAlgn val="ctr"/>
        <c:lblOffset val="100"/>
      </c:catAx>
      <c:valAx>
        <c:axId val="158597504"/>
        <c:scaling>
          <c:orientation val="minMax"/>
        </c:scaling>
        <c:axPos val="l"/>
        <c:majorGridlines/>
        <c:numFmt formatCode="#,##0" sourceLinked="1"/>
        <c:tickLblPos val="nextTo"/>
        <c:crossAx val="158063232"/>
        <c:crosses val="autoZero"/>
        <c:crossBetween val="between"/>
      </c:valAx>
    </c:plotArea>
    <c:legend>
      <c:legendPos val="r"/>
    </c:legend>
    <c:plotVisOnly val="1"/>
    <c:dispBlanksAs val="gap"/>
  </c:chart>
  <c:spPr>
    <a:ln>
      <a:solidFill>
        <a:schemeClr val="tx1"/>
      </a:solidFill>
    </a:ln>
  </c:spPr>
  <c:txPr>
    <a:bodyPr/>
    <a:lstStyle/>
    <a:p>
      <a:pPr>
        <a:defRPr>
          <a:latin typeface="Arial"/>
          <a:cs typeface="Arial"/>
        </a:defRPr>
      </a:pPr>
      <a:endParaRPr lang="en-US"/>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lang val="en-US"/>
  <c:chart>
    <c:autoTitleDeleted val="1"/>
    <c:plotArea>
      <c:layout/>
      <c:barChart>
        <c:barDir val="col"/>
        <c:grouping val="clustered"/>
        <c:ser>
          <c:idx val="0"/>
          <c:order val="0"/>
          <c:tx>
            <c:strRef>
              <c:f>Sheet1!$B$12</c:f>
              <c:strCache>
                <c:ptCount val="1"/>
                <c:pt idx="0">
                  <c:v>Cost per Enrollment</c:v>
                </c:pt>
              </c:strCache>
            </c:strRef>
          </c:tx>
          <c:spPr>
            <a:solidFill>
              <a:srgbClr val="2E6EBC"/>
            </a:solidFill>
            <a:ln>
              <a:noFill/>
            </a:ln>
            <a:effectLst/>
          </c:spPr>
          <c:cat>
            <c:numRef>
              <c:f>Sheet1!$C$11:$H$11</c:f>
              <c:numCache>
                <c:formatCode>General</c:formatCode>
                <c:ptCount val="6"/>
                <c:pt idx="0">
                  <c:v>2010</c:v>
                </c:pt>
                <c:pt idx="1">
                  <c:v>2011</c:v>
                </c:pt>
                <c:pt idx="2">
                  <c:v>2012</c:v>
                </c:pt>
                <c:pt idx="3">
                  <c:v>2013</c:v>
                </c:pt>
                <c:pt idx="4">
                  <c:v>2014</c:v>
                </c:pt>
                <c:pt idx="5">
                  <c:v>2015</c:v>
                </c:pt>
              </c:numCache>
            </c:numRef>
          </c:cat>
          <c:val>
            <c:numRef>
              <c:f>Sheet1!$C$12:$H$12</c:f>
              <c:numCache>
                <c:formatCode>"$"#,##0.00_);[Red]\("$"#,##0.00\)</c:formatCode>
                <c:ptCount val="6"/>
                <c:pt idx="0">
                  <c:v>107.02</c:v>
                </c:pt>
                <c:pt idx="1">
                  <c:v>91.55</c:v>
                </c:pt>
                <c:pt idx="2">
                  <c:v>125.01</c:v>
                </c:pt>
                <c:pt idx="3">
                  <c:v>106.22</c:v>
                </c:pt>
                <c:pt idx="4">
                  <c:v>110.27</c:v>
                </c:pt>
                <c:pt idx="5">
                  <c:v>62.51</c:v>
                </c:pt>
              </c:numCache>
            </c:numRef>
          </c:val>
        </c:ser>
        <c:gapWidth val="219"/>
        <c:overlap val="-27"/>
        <c:axId val="158612864"/>
        <c:axId val="158618752"/>
      </c:barChart>
      <c:catAx>
        <c:axId val="1586128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charset="0"/>
                <a:ea typeface="Arial" charset="0"/>
                <a:cs typeface="Arial" charset="0"/>
              </a:defRPr>
            </a:pPr>
            <a:endParaRPr lang="en-US"/>
          </a:p>
        </c:txPr>
        <c:crossAx val="158618752"/>
        <c:crosses val="autoZero"/>
        <c:auto val="1"/>
        <c:lblAlgn val="ctr"/>
        <c:lblOffset val="100"/>
      </c:catAx>
      <c:valAx>
        <c:axId val="158618752"/>
        <c:scaling>
          <c:orientation val="minMax"/>
        </c:scaling>
        <c:axPos val="l"/>
        <c:majorGridlines>
          <c:spPr>
            <a:ln w="9525" cap="flat" cmpd="sng" algn="ctr">
              <a:solidFill>
                <a:schemeClr val="tx1">
                  <a:lumMod val="15000"/>
                  <a:lumOff val="85000"/>
                </a:schemeClr>
              </a:solidFill>
              <a:round/>
            </a:ln>
            <a:effectLst/>
          </c:spPr>
        </c:majorGridlines>
        <c:numFmt formatCode="&quot;$&quot;#,##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charset="0"/>
                <a:ea typeface="Arial" charset="0"/>
                <a:cs typeface="Arial" charset="0"/>
              </a:defRPr>
            </a:pPr>
            <a:endParaRPr lang="en-US"/>
          </a:p>
        </c:txPr>
        <c:crossAx val="158612864"/>
        <c:crosses val="autoZero"/>
        <c:crossBetween val="between"/>
      </c:valAx>
      <c:spPr>
        <a:noFill/>
        <a:ln>
          <a:noFill/>
        </a:ln>
        <a:effectLst/>
      </c:spPr>
    </c:plotArea>
    <c:plotVisOnly val="1"/>
    <c:dispBlanksAs val="gap"/>
  </c:chart>
  <c:spPr>
    <a:solidFill>
      <a:schemeClr val="bg1"/>
    </a:solidFill>
    <a:ln w="9525" cap="flat" cmpd="sng" algn="ctr">
      <a:solidFill>
        <a:schemeClr val="tx1"/>
      </a:solidFill>
      <a:round/>
    </a:ln>
    <a:effectLst/>
  </c:spPr>
  <c:txPr>
    <a:bodyPr/>
    <a:lstStyle/>
    <a:p>
      <a:pPr>
        <a:defRPr>
          <a:latin typeface="Arial" charset="0"/>
          <a:ea typeface="Arial" charset="0"/>
          <a:cs typeface="Arial" charset="0"/>
        </a:defRPr>
      </a:pPr>
      <a:endParaRPr lang="en-US"/>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lang val="en-US"/>
  <c:chart>
    <c:autoTitleDeleted val="1"/>
    <c:plotArea>
      <c:layout/>
      <c:barChart>
        <c:barDir val="col"/>
        <c:grouping val="clustered"/>
        <c:ser>
          <c:idx val="0"/>
          <c:order val="0"/>
          <c:tx>
            <c:strRef>
              <c:f>Sheet1!$A$56</c:f>
              <c:strCache>
                <c:ptCount val="1"/>
                <c:pt idx="0">
                  <c:v>Average Monthly Graduation Rate</c:v>
                </c:pt>
              </c:strCache>
            </c:strRef>
          </c:tx>
          <c:spPr>
            <a:solidFill>
              <a:srgbClr val="2E6EBC"/>
            </a:solidFill>
            <a:ln>
              <a:noFill/>
            </a:ln>
            <a:effectLst/>
          </c:spPr>
          <c:cat>
            <c:numRef>
              <c:f>Sheet1!$B$55:$G$55</c:f>
              <c:numCache>
                <c:formatCode>General</c:formatCode>
                <c:ptCount val="6"/>
                <c:pt idx="0">
                  <c:v>2010</c:v>
                </c:pt>
                <c:pt idx="1">
                  <c:v>2011</c:v>
                </c:pt>
                <c:pt idx="2">
                  <c:v>2012</c:v>
                </c:pt>
                <c:pt idx="3">
                  <c:v>2013</c:v>
                </c:pt>
                <c:pt idx="4">
                  <c:v>2014</c:v>
                </c:pt>
                <c:pt idx="5">
                  <c:v>2015</c:v>
                </c:pt>
              </c:numCache>
            </c:numRef>
          </c:cat>
          <c:val>
            <c:numRef>
              <c:f>Sheet1!$B$56:$G$56</c:f>
              <c:numCache>
                <c:formatCode>0.00%</c:formatCode>
                <c:ptCount val="6"/>
                <c:pt idx="0">
                  <c:v>7.0000000000000119E-4</c:v>
                </c:pt>
                <c:pt idx="1">
                  <c:v>8.0000000000000145E-4</c:v>
                </c:pt>
                <c:pt idx="2">
                  <c:v>3.1000000000000055E-3</c:v>
                </c:pt>
                <c:pt idx="3">
                  <c:v>1.4000000000000017E-3</c:v>
                </c:pt>
                <c:pt idx="4">
                  <c:v>1.4000000000000017E-3</c:v>
                </c:pt>
                <c:pt idx="5">
                  <c:v>1.1000000000000022E-3</c:v>
                </c:pt>
              </c:numCache>
            </c:numRef>
          </c:val>
        </c:ser>
        <c:gapWidth val="219"/>
        <c:overlap val="-27"/>
        <c:axId val="158658560"/>
        <c:axId val="158660096"/>
      </c:barChart>
      <c:catAx>
        <c:axId val="1586585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charset="0"/>
                <a:ea typeface="Arial" charset="0"/>
                <a:cs typeface="Arial" charset="0"/>
              </a:defRPr>
            </a:pPr>
            <a:endParaRPr lang="en-US"/>
          </a:p>
        </c:txPr>
        <c:crossAx val="158660096"/>
        <c:crosses val="autoZero"/>
        <c:auto val="1"/>
        <c:lblAlgn val="ctr"/>
        <c:lblOffset val="100"/>
      </c:catAx>
      <c:valAx>
        <c:axId val="158660096"/>
        <c:scaling>
          <c:orientation val="minMax"/>
        </c:scaling>
        <c:axPos val="l"/>
        <c:majorGridlines>
          <c:spPr>
            <a:ln w="9525" cap="flat" cmpd="sng" algn="ctr">
              <a:solidFill>
                <a:schemeClr val="tx1">
                  <a:lumMod val="15000"/>
                  <a:lumOff val="85000"/>
                </a:schemeClr>
              </a:solidFill>
              <a:round/>
            </a:ln>
            <a:effectLst/>
          </c:spPr>
        </c:majorGridlines>
        <c:numFmt formatCode="0.0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charset="0"/>
                <a:ea typeface="Arial" charset="0"/>
                <a:cs typeface="Arial" charset="0"/>
              </a:defRPr>
            </a:pPr>
            <a:endParaRPr lang="en-US"/>
          </a:p>
        </c:txPr>
        <c:crossAx val="158658560"/>
        <c:crosses val="autoZero"/>
        <c:crossBetween val="between"/>
      </c:valAx>
      <c:spPr>
        <a:noFill/>
        <a:ln>
          <a:noFill/>
        </a:ln>
        <a:effectLst/>
      </c:spPr>
    </c:plotArea>
    <c:plotVisOnly val="1"/>
    <c:dispBlanksAs val="gap"/>
  </c:chart>
  <c:spPr>
    <a:solidFill>
      <a:schemeClr val="bg1"/>
    </a:solidFill>
    <a:ln w="9525" cap="flat" cmpd="sng" algn="ctr">
      <a:solidFill>
        <a:schemeClr val="tx1"/>
      </a:solidFill>
      <a:round/>
    </a:ln>
    <a:effectLst/>
  </c:spPr>
  <c:txPr>
    <a:bodyPr/>
    <a:lstStyle/>
    <a:p>
      <a:pPr>
        <a:defRPr>
          <a:latin typeface="Arial" charset="0"/>
          <a:ea typeface="Arial" charset="0"/>
          <a:cs typeface="Arial" charset="0"/>
        </a:defRPr>
      </a:pPr>
      <a:endParaRPr lang="en-US"/>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n-US"/>
  <c:style val="18"/>
  <c:chart>
    <c:autoTitleDeleted val="1"/>
    <c:plotArea>
      <c:layout/>
      <c:barChart>
        <c:barDir val="col"/>
        <c:grouping val="clustered"/>
        <c:ser>
          <c:idx val="0"/>
          <c:order val="0"/>
          <c:tx>
            <c:strRef>
              <c:f>Sheet1!$A$13</c:f>
              <c:strCache>
                <c:ptCount val="1"/>
                <c:pt idx="0">
                  <c:v>Percent Received</c:v>
                </c:pt>
              </c:strCache>
            </c:strRef>
          </c:tx>
          <c:spPr>
            <a:solidFill>
              <a:srgbClr val="2E6EBC"/>
            </a:solidFill>
          </c:spPr>
          <c:trendline>
            <c:trendlineType val="linear"/>
            <c:forward val="2"/>
          </c:trendline>
          <c:cat>
            <c:numRef>
              <c:f>Sheet1!$B$12:$G$12</c:f>
              <c:numCache>
                <c:formatCode>General</c:formatCode>
                <c:ptCount val="6"/>
                <c:pt idx="0">
                  <c:v>2010</c:v>
                </c:pt>
                <c:pt idx="1">
                  <c:v>2011</c:v>
                </c:pt>
                <c:pt idx="2">
                  <c:v>2012</c:v>
                </c:pt>
                <c:pt idx="3">
                  <c:v>2013</c:v>
                </c:pt>
                <c:pt idx="4">
                  <c:v>2014</c:v>
                </c:pt>
                <c:pt idx="5">
                  <c:v>2015</c:v>
                </c:pt>
              </c:numCache>
            </c:numRef>
          </c:cat>
          <c:val>
            <c:numRef>
              <c:f>Sheet1!$B$13:$G$13</c:f>
              <c:numCache>
                <c:formatCode>0%</c:formatCode>
                <c:ptCount val="6"/>
                <c:pt idx="0">
                  <c:v>0.79</c:v>
                </c:pt>
                <c:pt idx="1">
                  <c:v>0.84000000000000064</c:v>
                </c:pt>
                <c:pt idx="2">
                  <c:v>0.92</c:v>
                </c:pt>
                <c:pt idx="3">
                  <c:v>0.92</c:v>
                </c:pt>
                <c:pt idx="4">
                  <c:v>0.9</c:v>
                </c:pt>
                <c:pt idx="5">
                  <c:v>0.94000000000000061</c:v>
                </c:pt>
              </c:numCache>
            </c:numRef>
          </c:val>
        </c:ser>
        <c:axId val="160658560"/>
        <c:axId val="160660096"/>
      </c:barChart>
      <c:catAx>
        <c:axId val="160658560"/>
        <c:scaling>
          <c:orientation val="minMax"/>
        </c:scaling>
        <c:axPos val="b"/>
        <c:numFmt formatCode="General" sourceLinked="1"/>
        <c:tickLblPos val="nextTo"/>
        <c:crossAx val="160660096"/>
        <c:crosses val="autoZero"/>
        <c:auto val="1"/>
        <c:lblAlgn val="ctr"/>
        <c:lblOffset val="100"/>
      </c:catAx>
      <c:valAx>
        <c:axId val="160660096"/>
        <c:scaling>
          <c:orientation val="minMax"/>
        </c:scaling>
        <c:axPos val="l"/>
        <c:majorGridlines/>
        <c:numFmt formatCode="0%" sourceLinked="1"/>
        <c:tickLblPos val="nextTo"/>
        <c:crossAx val="160658560"/>
        <c:crosses val="autoZero"/>
        <c:crossBetween val="between"/>
      </c:valAx>
    </c:plotArea>
    <c:plotVisOnly val="1"/>
    <c:dispBlanksAs val="gap"/>
  </c:chart>
  <c:spPr>
    <a:ln>
      <a:solidFill>
        <a:schemeClr val="tx1"/>
      </a:solidFill>
    </a:ln>
  </c:spPr>
  <c:txPr>
    <a:bodyPr/>
    <a:lstStyle/>
    <a:p>
      <a:pPr>
        <a:defRPr>
          <a:latin typeface="Arial"/>
          <a:cs typeface="Arial"/>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18"/>
  <c:chart>
    <c:plotArea>
      <c:layout/>
      <c:barChart>
        <c:barDir val="col"/>
        <c:grouping val="clustered"/>
        <c:ser>
          <c:idx val="0"/>
          <c:order val="0"/>
          <c:tx>
            <c:strRef>
              <c:f>Sheet1!$B$30</c:f>
              <c:strCache>
                <c:ptCount val="1"/>
                <c:pt idx="0">
                  <c:v>EOY Actual (MWh/yr)</c:v>
                </c:pt>
              </c:strCache>
            </c:strRef>
          </c:tx>
          <c:spPr>
            <a:solidFill>
              <a:srgbClr val="2E6EBC"/>
            </a:solidFill>
          </c:spPr>
          <c:cat>
            <c:numRef>
              <c:f>Sheet1!$C$29:$H$29</c:f>
              <c:numCache>
                <c:formatCode>General</c:formatCode>
                <c:ptCount val="6"/>
                <c:pt idx="0">
                  <c:v>2010</c:v>
                </c:pt>
                <c:pt idx="1">
                  <c:v>2011</c:v>
                </c:pt>
                <c:pt idx="2">
                  <c:v>2012</c:v>
                </c:pt>
                <c:pt idx="3">
                  <c:v>2013</c:v>
                </c:pt>
                <c:pt idx="4">
                  <c:v>2014</c:v>
                </c:pt>
                <c:pt idx="5">
                  <c:v>2015</c:v>
                </c:pt>
              </c:numCache>
            </c:numRef>
          </c:cat>
          <c:val>
            <c:numRef>
              <c:f>Sheet1!$C$30:$H$30</c:f>
              <c:numCache>
                <c:formatCode>#,##0</c:formatCode>
                <c:ptCount val="6"/>
                <c:pt idx="0">
                  <c:v>310650</c:v>
                </c:pt>
                <c:pt idx="1">
                  <c:v>833353</c:v>
                </c:pt>
                <c:pt idx="2">
                  <c:v>1315307</c:v>
                </c:pt>
                <c:pt idx="3">
                  <c:v>106715</c:v>
                </c:pt>
                <c:pt idx="4">
                  <c:v>321043</c:v>
                </c:pt>
                <c:pt idx="5">
                  <c:v>576615</c:v>
                </c:pt>
              </c:numCache>
            </c:numRef>
          </c:val>
        </c:ser>
        <c:ser>
          <c:idx val="1"/>
          <c:order val="1"/>
          <c:tx>
            <c:strRef>
              <c:f>Sheet1!$B$31</c:f>
              <c:strCache>
                <c:ptCount val="1"/>
                <c:pt idx="0">
                  <c:v>EOY Target (MWh/yr)</c:v>
                </c:pt>
              </c:strCache>
            </c:strRef>
          </c:tx>
          <c:spPr>
            <a:solidFill>
              <a:srgbClr val="FD3347"/>
            </a:solidFill>
          </c:spPr>
          <c:cat>
            <c:numRef>
              <c:f>Sheet1!$C$29:$H$29</c:f>
              <c:numCache>
                <c:formatCode>General</c:formatCode>
                <c:ptCount val="6"/>
                <c:pt idx="0">
                  <c:v>2010</c:v>
                </c:pt>
                <c:pt idx="1">
                  <c:v>2011</c:v>
                </c:pt>
                <c:pt idx="2">
                  <c:v>2012</c:v>
                </c:pt>
                <c:pt idx="3">
                  <c:v>2013</c:v>
                </c:pt>
                <c:pt idx="4">
                  <c:v>2014</c:v>
                </c:pt>
                <c:pt idx="5">
                  <c:v>2015</c:v>
                </c:pt>
              </c:numCache>
            </c:numRef>
          </c:cat>
          <c:val>
            <c:numRef>
              <c:f>Sheet1!$C$31:$H$31</c:f>
              <c:numCache>
                <c:formatCode>#,##0</c:formatCode>
                <c:ptCount val="6"/>
                <c:pt idx="0">
                  <c:v>266692</c:v>
                </c:pt>
                <c:pt idx="1">
                  <c:v>600000</c:v>
                </c:pt>
                <c:pt idx="2">
                  <c:v>1300000</c:v>
                </c:pt>
                <c:pt idx="3">
                  <c:v>100000</c:v>
                </c:pt>
                <c:pt idx="4">
                  <c:v>297500</c:v>
                </c:pt>
                <c:pt idx="5">
                  <c:v>522000</c:v>
                </c:pt>
              </c:numCache>
            </c:numRef>
          </c:val>
        </c:ser>
        <c:axId val="151114112"/>
        <c:axId val="151115648"/>
      </c:barChart>
      <c:catAx>
        <c:axId val="151114112"/>
        <c:scaling>
          <c:orientation val="minMax"/>
        </c:scaling>
        <c:axPos val="b"/>
        <c:numFmt formatCode="General" sourceLinked="0"/>
        <c:tickLblPos val="nextTo"/>
        <c:crossAx val="151115648"/>
        <c:crosses val="autoZero"/>
        <c:auto val="1"/>
        <c:lblAlgn val="ctr"/>
        <c:lblOffset val="100"/>
      </c:catAx>
      <c:valAx>
        <c:axId val="151115648"/>
        <c:scaling>
          <c:orientation val="minMax"/>
        </c:scaling>
        <c:axPos val="l"/>
        <c:majorGridlines/>
        <c:numFmt formatCode="#,##0" sourceLinked="0"/>
        <c:tickLblPos val="nextTo"/>
        <c:crossAx val="151114112"/>
        <c:crosses val="autoZero"/>
        <c:crossBetween val="between"/>
      </c:valAx>
    </c:plotArea>
    <c:legend>
      <c:legendPos val="r"/>
    </c:legend>
    <c:plotVisOnly val="1"/>
    <c:dispBlanksAs val="gap"/>
  </c:chart>
  <c:spPr>
    <a:ln>
      <a:solidFill>
        <a:schemeClr val="tx1"/>
      </a:solidFill>
    </a:ln>
  </c:spPr>
  <c:txPr>
    <a:bodyPr/>
    <a:lstStyle/>
    <a:p>
      <a:pPr>
        <a:defRPr>
          <a:latin typeface="Arial"/>
          <a:cs typeface="Arial"/>
        </a:defRPr>
      </a:pPr>
      <a:endParaRPr lang="en-US"/>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n-US"/>
  <c:style val="18"/>
  <c:chart>
    <c:autoTitleDeleted val="1"/>
    <c:plotArea>
      <c:layout/>
      <c:barChart>
        <c:barDir val="col"/>
        <c:grouping val="clustered"/>
        <c:ser>
          <c:idx val="0"/>
          <c:order val="0"/>
          <c:tx>
            <c:strRef>
              <c:f>Sheet1!$A$5</c:f>
              <c:strCache>
                <c:ptCount val="1"/>
                <c:pt idx="0">
                  <c:v>Complaints</c:v>
                </c:pt>
              </c:strCache>
            </c:strRef>
          </c:tx>
          <c:spPr>
            <a:solidFill>
              <a:srgbClr val="2E6EBC"/>
            </a:solidFill>
          </c:spPr>
          <c:cat>
            <c:numRef>
              <c:f>Sheet1!$B$4:$G$4</c:f>
              <c:numCache>
                <c:formatCode>General</c:formatCode>
                <c:ptCount val="6"/>
                <c:pt idx="0">
                  <c:v>2010</c:v>
                </c:pt>
                <c:pt idx="1">
                  <c:v>2011</c:v>
                </c:pt>
                <c:pt idx="2">
                  <c:v>2012</c:v>
                </c:pt>
                <c:pt idx="3">
                  <c:v>2013</c:v>
                </c:pt>
                <c:pt idx="4">
                  <c:v>2014</c:v>
                </c:pt>
                <c:pt idx="5">
                  <c:v>2015</c:v>
                </c:pt>
              </c:numCache>
            </c:numRef>
          </c:cat>
          <c:val>
            <c:numRef>
              <c:f>Sheet1!$B$5:$G$5</c:f>
              <c:numCache>
                <c:formatCode>General</c:formatCode>
                <c:ptCount val="6"/>
                <c:pt idx="0">
                  <c:v>185</c:v>
                </c:pt>
                <c:pt idx="1">
                  <c:v>198</c:v>
                </c:pt>
                <c:pt idx="2">
                  <c:v>187</c:v>
                </c:pt>
                <c:pt idx="3">
                  <c:v>211</c:v>
                </c:pt>
                <c:pt idx="4">
                  <c:v>200</c:v>
                </c:pt>
                <c:pt idx="5">
                  <c:v>232</c:v>
                </c:pt>
              </c:numCache>
            </c:numRef>
          </c:val>
        </c:ser>
        <c:axId val="160675328"/>
        <c:axId val="160676864"/>
      </c:barChart>
      <c:catAx>
        <c:axId val="160675328"/>
        <c:scaling>
          <c:orientation val="minMax"/>
        </c:scaling>
        <c:axPos val="b"/>
        <c:numFmt formatCode="General" sourceLinked="0"/>
        <c:tickLblPos val="nextTo"/>
        <c:crossAx val="160676864"/>
        <c:crosses val="autoZero"/>
        <c:auto val="1"/>
        <c:lblAlgn val="ctr"/>
        <c:lblOffset val="100"/>
      </c:catAx>
      <c:valAx>
        <c:axId val="160676864"/>
        <c:scaling>
          <c:orientation val="minMax"/>
        </c:scaling>
        <c:axPos val="l"/>
        <c:majorGridlines/>
        <c:numFmt formatCode="General" sourceLinked="1"/>
        <c:tickLblPos val="nextTo"/>
        <c:crossAx val="160675328"/>
        <c:crosses val="autoZero"/>
        <c:crossBetween val="between"/>
      </c:valAx>
    </c:plotArea>
    <c:plotVisOnly val="1"/>
    <c:dispBlanksAs val="gap"/>
  </c:chart>
  <c:spPr>
    <a:ln>
      <a:solidFill>
        <a:schemeClr val="tx1"/>
      </a:solidFill>
    </a:ln>
  </c:spPr>
  <c:txPr>
    <a:bodyPr/>
    <a:lstStyle/>
    <a:p>
      <a:pPr>
        <a:defRPr>
          <a:latin typeface="Arial"/>
          <a:cs typeface="Arial"/>
        </a:defRPr>
      </a:pPr>
      <a:endParaRPr lang="en-US"/>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lang val="en-US"/>
  <c:chart>
    <c:autoTitleDeleted val="1"/>
    <c:plotArea>
      <c:layout/>
      <c:barChart>
        <c:barDir val="col"/>
        <c:grouping val="clustered"/>
        <c:ser>
          <c:idx val="0"/>
          <c:order val="0"/>
          <c:tx>
            <c:strRef>
              <c:f>Sheet1!$A$37</c:f>
              <c:strCache>
                <c:ptCount val="1"/>
                <c:pt idx="0">
                  <c:v>Complaints per 1,000 Customers </c:v>
                </c:pt>
              </c:strCache>
            </c:strRef>
          </c:tx>
          <c:spPr>
            <a:solidFill>
              <a:srgbClr val="2E6EBC"/>
            </a:solidFill>
            <a:ln>
              <a:noFill/>
            </a:ln>
            <a:effectLst/>
          </c:spPr>
          <c:cat>
            <c:numRef>
              <c:f>Sheet1!$B$36:$G$36</c:f>
              <c:numCache>
                <c:formatCode>General</c:formatCode>
                <c:ptCount val="6"/>
                <c:pt idx="0">
                  <c:v>2010</c:v>
                </c:pt>
                <c:pt idx="1">
                  <c:v>2011</c:v>
                </c:pt>
                <c:pt idx="2">
                  <c:v>2012</c:v>
                </c:pt>
                <c:pt idx="3">
                  <c:v>2013</c:v>
                </c:pt>
                <c:pt idx="4">
                  <c:v>2014</c:v>
                </c:pt>
                <c:pt idx="5">
                  <c:v>2015</c:v>
                </c:pt>
              </c:numCache>
            </c:numRef>
          </c:cat>
          <c:val>
            <c:numRef>
              <c:f>Sheet1!$B$37:$G$37</c:f>
              <c:numCache>
                <c:formatCode>0.00</c:formatCode>
                <c:ptCount val="6"/>
                <c:pt idx="0">
                  <c:v>5.94</c:v>
                </c:pt>
                <c:pt idx="1">
                  <c:v>5.87</c:v>
                </c:pt>
                <c:pt idx="2">
                  <c:v>5.4300000000000024</c:v>
                </c:pt>
                <c:pt idx="3">
                  <c:v>5.99</c:v>
                </c:pt>
                <c:pt idx="4">
                  <c:v>5.21</c:v>
                </c:pt>
                <c:pt idx="5">
                  <c:v>5.07</c:v>
                </c:pt>
              </c:numCache>
            </c:numRef>
          </c:val>
        </c:ser>
        <c:gapWidth val="219"/>
        <c:overlap val="-27"/>
        <c:axId val="160708864"/>
        <c:axId val="160710656"/>
      </c:barChart>
      <c:catAx>
        <c:axId val="1607088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charset="0"/>
                <a:ea typeface="Arial" charset="0"/>
                <a:cs typeface="Arial" charset="0"/>
              </a:defRPr>
            </a:pPr>
            <a:endParaRPr lang="en-US"/>
          </a:p>
        </c:txPr>
        <c:crossAx val="160710656"/>
        <c:crosses val="autoZero"/>
        <c:auto val="1"/>
        <c:lblAlgn val="ctr"/>
        <c:lblOffset val="100"/>
      </c:catAx>
      <c:valAx>
        <c:axId val="160710656"/>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charset="0"/>
                <a:ea typeface="Arial" charset="0"/>
                <a:cs typeface="Arial" charset="0"/>
              </a:defRPr>
            </a:pPr>
            <a:endParaRPr lang="en-US"/>
          </a:p>
        </c:txPr>
        <c:crossAx val="160708864"/>
        <c:crosses val="autoZero"/>
        <c:crossBetween val="between"/>
      </c:valAx>
      <c:spPr>
        <a:noFill/>
        <a:ln>
          <a:noFill/>
        </a:ln>
        <a:effectLst/>
      </c:spPr>
    </c:plotArea>
    <c:plotVisOnly val="1"/>
    <c:dispBlanksAs val="gap"/>
  </c:chart>
  <c:spPr>
    <a:solidFill>
      <a:schemeClr val="bg1"/>
    </a:solidFill>
    <a:ln w="9525" cap="flat" cmpd="sng" algn="ctr">
      <a:solidFill>
        <a:schemeClr val="tx1"/>
      </a:solidFill>
      <a:round/>
    </a:ln>
    <a:effectLst/>
  </c:spPr>
  <c:txPr>
    <a:bodyPr/>
    <a:lstStyle/>
    <a:p>
      <a:pPr>
        <a:defRPr>
          <a:latin typeface="Arial" charset="0"/>
          <a:ea typeface="Arial" charset="0"/>
          <a:cs typeface="Arial" charset="0"/>
        </a:defRPr>
      </a:pPr>
      <a:endParaRPr lang="en-US"/>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Sheet1!$B$5</c:f>
              <c:strCache>
                <c:ptCount val="1"/>
                <c:pt idx="0">
                  <c:v>Arrearage Forgiveness</c:v>
                </c:pt>
              </c:strCache>
            </c:strRef>
          </c:tx>
          <c:spPr>
            <a:solidFill>
              <a:srgbClr val="2E6EBC"/>
            </a:solidFill>
            <a:ln>
              <a:noFill/>
            </a:ln>
            <a:effectLst/>
          </c:spPr>
          <c:cat>
            <c:numRef>
              <c:f>Sheet1!$C$4:$H$4</c:f>
              <c:numCache>
                <c:formatCode>General</c:formatCode>
                <c:ptCount val="6"/>
                <c:pt idx="0">
                  <c:v>2010</c:v>
                </c:pt>
                <c:pt idx="1">
                  <c:v>2011</c:v>
                </c:pt>
                <c:pt idx="2">
                  <c:v>2012</c:v>
                </c:pt>
                <c:pt idx="3">
                  <c:v>2013</c:v>
                </c:pt>
                <c:pt idx="4">
                  <c:v>2014</c:v>
                </c:pt>
                <c:pt idx="5">
                  <c:v>2015</c:v>
                </c:pt>
              </c:numCache>
            </c:numRef>
          </c:cat>
          <c:val>
            <c:numRef>
              <c:f>Sheet1!$C$5:$H$5</c:f>
              <c:numCache>
                <c:formatCode>"$"#,##0_);[Red]\("$"#,##0\)</c:formatCode>
                <c:ptCount val="6"/>
                <c:pt idx="0">
                  <c:v>10340863</c:v>
                </c:pt>
                <c:pt idx="1">
                  <c:v>14881769</c:v>
                </c:pt>
                <c:pt idx="2">
                  <c:v>16906808</c:v>
                </c:pt>
                <c:pt idx="3">
                  <c:v>16473194</c:v>
                </c:pt>
                <c:pt idx="4">
                  <c:v>19643249</c:v>
                </c:pt>
                <c:pt idx="5">
                  <c:v>26878833</c:v>
                </c:pt>
              </c:numCache>
            </c:numRef>
          </c:val>
        </c:ser>
        <c:gapWidth val="219"/>
        <c:overlap val="-27"/>
        <c:axId val="160721536"/>
        <c:axId val="160739712"/>
      </c:barChart>
      <c:catAx>
        <c:axId val="1607215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charset="0"/>
                <a:ea typeface="Arial" charset="0"/>
                <a:cs typeface="Arial" charset="0"/>
              </a:defRPr>
            </a:pPr>
            <a:endParaRPr lang="en-US"/>
          </a:p>
        </c:txPr>
        <c:crossAx val="160739712"/>
        <c:crosses val="autoZero"/>
        <c:auto val="1"/>
        <c:lblAlgn val="ctr"/>
        <c:lblOffset val="100"/>
      </c:catAx>
      <c:valAx>
        <c:axId val="160739712"/>
        <c:scaling>
          <c:orientation val="minMax"/>
        </c:scaling>
        <c:axPos val="l"/>
        <c:majorGridlines>
          <c:spPr>
            <a:ln w="9525" cap="flat" cmpd="sng" algn="ctr">
              <a:solidFill>
                <a:schemeClr val="tx1">
                  <a:lumMod val="15000"/>
                  <a:lumOff val="85000"/>
                </a:schemeClr>
              </a:solidFill>
              <a:round/>
            </a:ln>
            <a:effectLst/>
          </c:spPr>
        </c:majorGridlines>
        <c:numFmt formatCode="&quot;$&quot;#,##0_);[Red]\(&quot;$&quot;#,##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charset="0"/>
                <a:ea typeface="Arial" charset="0"/>
                <a:cs typeface="Arial" charset="0"/>
              </a:defRPr>
            </a:pPr>
            <a:endParaRPr lang="en-US"/>
          </a:p>
        </c:txPr>
        <c:crossAx val="160721536"/>
        <c:crosses val="autoZero"/>
        <c:crossBetween val="between"/>
      </c:valAx>
      <c:spPr>
        <a:noFill/>
        <a:ln>
          <a:noFill/>
        </a:ln>
        <a:effectLst/>
      </c:spPr>
    </c:plotArea>
    <c:plotVisOnly val="1"/>
    <c:dispBlanksAs val="gap"/>
  </c:chart>
  <c:spPr>
    <a:solidFill>
      <a:schemeClr val="bg1"/>
    </a:solidFill>
    <a:ln w="9525" cap="flat" cmpd="sng" algn="ctr">
      <a:solidFill>
        <a:schemeClr val="tx1"/>
      </a:solidFill>
      <a:round/>
    </a:ln>
    <a:effectLst/>
  </c:spPr>
  <c:txPr>
    <a:bodyPr/>
    <a:lstStyle/>
    <a:p>
      <a:pPr>
        <a:defRPr>
          <a:latin typeface="Arial" charset="0"/>
          <a:ea typeface="Arial" charset="0"/>
          <a:cs typeface="Arial" charset="0"/>
        </a:defRPr>
      </a:pPr>
      <a:endParaRPr lang="en-US"/>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9192727272727298"/>
          <c:y val="2.3344651952461781E-2"/>
          <c:w val="0.7080727272727273"/>
          <c:h val="0.71977327112549006"/>
        </c:manualLayout>
      </c:layout>
      <c:lineChart>
        <c:grouping val="standard"/>
        <c:ser>
          <c:idx val="1"/>
          <c:order val="0"/>
          <c:tx>
            <c:strRef>
              <c:f>'EX 1-TOT UTIL OP EXP'!$L$18</c:f>
              <c:strCache>
                <c:ptCount val="1"/>
                <c:pt idx="0">
                  <c:v>Duquesne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'EX 1-TOT UTIL OP EXP'!$M$17:$Q$17</c:f>
              <c:strCache>
                <c:ptCount val="5"/>
                <c:pt idx="0">
                  <c:v>2010 *</c:v>
                </c:pt>
                <c:pt idx="1">
                  <c:v>2011</c:v>
                </c:pt>
                <c:pt idx="2">
                  <c:v>2012</c:v>
                </c:pt>
                <c:pt idx="3">
                  <c:v>2013</c:v>
                </c:pt>
                <c:pt idx="4">
                  <c:v>2014</c:v>
                </c:pt>
              </c:strCache>
            </c:strRef>
          </c:cat>
          <c:val>
            <c:numRef>
              <c:f>'EX 1-TOT UTIL OP EXP'!$M$18:$Q$18</c:f>
              <c:numCache>
                <c:formatCode>"$"#,##0.00</c:formatCode>
                <c:ptCount val="5"/>
                <c:pt idx="0">
                  <c:v>1295.3462171304766</c:v>
                </c:pt>
                <c:pt idx="1">
                  <c:v>1226.618716495635</c:v>
                </c:pt>
                <c:pt idx="2">
                  <c:v>1135.0494006890028</c:v>
                </c:pt>
                <c:pt idx="3">
                  <c:v>1051.0589095208572</c:v>
                </c:pt>
                <c:pt idx="4">
                  <c:v>1120.0240319095328</c:v>
                </c:pt>
              </c:numCache>
            </c:numRef>
          </c:val>
        </c:ser>
        <c:ser>
          <c:idx val="2"/>
          <c:order val="1"/>
          <c:tx>
            <c:strRef>
              <c:f>'EX 1-TOT UTIL OP EXP'!$L$19</c:f>
              <c:strCache>
                <c:ptCount val="1"/>
                <c:pt idx="0">
                  <c:v>Met 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'EX 1-TOT UTIL OP EXP'!$M$17:$Q$17</c:f>
              <c:strCache>
                <c:ptCount val="5"/>
                <c:pt idx="0">
                  <c:v>2010 *</c:v>
                </c:pt>
                <c:pt idx="1">
                  <c:v>2011</c:v>
                </c:pt>
                <c:pt idx="2">
                  <c:v>2012</c:v>
                </c:pt>
                <c:pt idx="3">
                  <c:v>2013</c:v>
                </c:pt>
                <c:pt idx="4">
                  <c:v>2014</c:v>
                </c:pt>
              </c:strCache>
            </c:strRef>
          </c:cat>
          <c:val>
            <c:numRef>
              <c:f>'EX 1-TOT UTIL OP EXP'!$M$19:$Q$19</c:f>
              <c:numCache>
                <c:formatCode>"$"#,##0.00</c:formatCode>
                <c:ptCount val="5"/>
                <c:pt idx="0">
                  <c:v>3099.7669108478804</c:v>
                </c:pt>
                <c:pt idx="1">
                  <c:v>1973.1972654447561</c:v>
                </c:pt>
                <c:pt idx="2">
                  <c:v>1508.5767266287801</c:v>
                </c:pt>
                <c:pt idx="3">
                  <c:v>1118.085500075731</c:v>
                </c:pt>
                <c:pt idx="4">
                  <c:v>1268.6254714082706</c:v>
                </c:pt>
              </c:numCache>
            </c:numRef>
          </c:val>
        </c:ser>
        <c:ser>
          <c:idx val="3"/>
          <c:order val="2"/>
          <c:tx>
            <c:strRef>
              <c:f>'EX 1-TOT UTIL OP EXP'!$L$20</c:f>
              <c:strCache>
                <c:ptCount val="1"/>
                <c:pt idx="0">
                  <c:v>PECO</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'EX 1-TOT UTIL OP EXP'!$M$17:$Q$17</c:f>
              <c:strCache>
                <c:ptCount val="5"/>
                <c:pt idx="0">
                  <c:v>2010 *</c:v>
                </c:pt>
                <c:pt idx="1">
                  <c:v>2011</c:v>
                </c:pt>
                <c:pt idx="2">
                  <c:v>2012</c:v>
                </c:pt>
                <c:pt idx="3">
                  <c:v>2013</c:v>
                </c:pt>
                <c:pt idx="4">
                  <c:v>2014</c:v>
                </c:pt>
              </c:strCache>
            </c:strRef>
          </c:cat>
          <c:val>
            <c:numRef>
              <c:f>'EX 1-TOT UTIL OP EXP'!$M$20:$Q$20</c:f>
              <c:numCache>
                <c:formatCode>"$"#,##0.00</c:formatCode>
                <c:ptCount val="5"/>
                <c:pt idx="0">
                  <c:v>2844.8773530958542</c:v>
                </c:pt>
                <c:pt idx="1">
                  <c:v>1724.9062698541802</c:v>
                </c:pt>
                <c:pt idx="2">
                  <c:v>1438.4281861793095</c:v>
                </c:pt>
                <c:pt idx="3">
                  <c:v>1341.8999666909579</c:v>
                </c:pt>
                <c:pt idx="4">
                  <c:v>1333.1448118112908</c:v>
                </c:pt>
              </c:numCache>
            </c:numRef>
          </c:val>
        </c:ser>
        <c:ser>
          <c:idx val="4"/>
          <c:order val="3"/>
          <c:tx>
            <c:strRef>
              <c:f>'EX 1-TOT UTIL OP EXP'!$L$21</c:f>
              <c:strCache>
                <c:ptCount val="1"/>
                <c:pt idx="0">
                  <c:v>Penelec</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'EX 1-TOT UTIL OP EXP'!$M$17:$Q$17</c:f>
              <c:strCache>
                <c:ptCount val="5"/>
                <c:pt idx="0">
                  <c:v>2010 *</c:v>
                </c:pt>
                <c:pt idx="1">
                  <c:v>2011</c:v>
                </c:pt>
                <c:pt idx="2">
                  <c:v>2012</c:v>
                </c:pt>
                <c:pt idx="3">
                  <c:v>2013</c:v>
                </c:pt>
                <c:pt idx="4">
                  <c:v>2014</c:v>
                </c:pt>
              </c:strCache>
            </c:strRef>
          </c:cat>
          <c:val>
            <c:numRef>
              <c:f>'EX 1-TOT UTIL OP EXP'!$M$21:$Q$21</c:f>
              <c:numCache>
                <c:formatCode>"$"#,##0.00</c:formatCode>
                <c:ptCount val="5"/>
                <c:pt idx="0">
                  <c:v>2391.9635332252883</c:v>
                </c:pt>
                <c:pt idx="1">
                  <c:v>1602.7558945884939</c:v>
                </c:pt>
                <c:pt idx="2">
                  <c:v>1349.063247979235</c:v>
                </c:pt>
                <c:pt idx="3">
                  <c:v>1122.8892521572714</c:v>
                </c:pt>
                <c:pt idx="4">
                  <c:v>1219.8871432770327</c:v>
                </c:pt>
              </c:numCache>
            </c:numRef>
          </c:val>
        </c:ser>
        <c:ser>
          <c:idx val="5"/>
          <c:order val="4"/>
          <c:tx>
            <c:strRef>
              <c:f>'EX 1-TOT UTIL OP EXP'!$L$22</c:f>
              <c:strCache>
                <c:ptCount val="1"/>
                <c:pt idx="0">
                  <c:v>West Penn</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'EX 1-TOT UTIL OP EXP'!$M$17:$Q$17</c:f>
              <c:strCache>
                <c:ptCount val="5"/>
                <c:pt idx="0">
                  <c:v>2010 *</c:v>
                </c:pt>
                <c:pt idx="1">
                  <c:v>2011</c:v>
                </c:pt>
                <c:pt idx="2">
                  <c:v>2012</c:v>
                </c:pt>
                <c:pt idx="3">
                  <c:v>2013</c:v>
                </c:pt>
                <c:pt idx="4">
                  <c:v>2014</c:v>
                </c:pt>
              </c:strCache>
            </c:strRef>
          </c:cat>
          <c:val>
            <c:numRef>
              <c:f>'EX 1-TOT UTIL OP EXP'!$M$22:$Q$22</c:f>
              <c:numCache>
                <c:formatCode>"$"#,##0.00</c:formatCode>
                <c:ptCount val="5"/>
                <c:pt idx="0">
                  <c:v>2035.2037388215178</c:v>
                </c:pt>
                <c:pt idx="1">
                  <c:v>1450.8173432840399</c:v>
                </c:pt>
                <c:pt idx="2">
                  <c:v>1096.08333437942</c:v>
                </c:pt>
                <c:pt idx="3">
                  <c:v>978.8677659933071</c:v>
                </c:pt>
                <c:pt idx="4">
                  <c:v>1047.360350249462</c:v>
                </c:pt>
              </c:numCache>
            </c:numRef>
          </c:val>
        </c:ser>
        <c:ser>
          <c:idx val="6"/>
          <c:order val="5"/>
          <c:tx>
            <c:strRef>
              <c:f>'EX 1-TOT UTIL OP EXP'!$L$23</c:f>
              <c:strCache>
                <c:ptCount val="1"/>
                <c:pt idx="0">
                  <c:v>Panel Average</c:v>
                </c:pt>
              </c:strCache>
            </c:strRef>
          </c:tx>
          <c:spPr>
            <a:ln w="28575" cap="rnd">
              <a:solidFill>
                <a:schemeClr val="accent1">
                  <a:lumMod val="60000"/>
                </a:schemeClr>
              </a:solidFill>
              <a:prstDash val="sysDot"/>
              <a:round/>
            </a:ln>
            <a:effectLst/>
          </c:spPr>
          <c:marker>
            <c:symbol val="circle"/>
            <c:size val="5"/>
            <c:spPr>
              <a:solidFill>
                <a:schemeClr val="accent1">
                  <a:lumMod val="60000"/>
                </a:schemeClr>
              </a:solidFill>
              <a:ln w="9525">
                <a:solidFill>
                  <a:schemeClr val="accent1">
                    <a:lumMod val="60000"/>
                  </a:schemeClr>
                </a:solidFill>
              </a:ln>
              <a:effectLst/>
            </c:spPr>
          </c:marker>
          <c:cat>
            <c:strRef>
              <c:f>'EX 1-TOT UTIL OP EXP'!$M$17:$Q$17</c:f>
              <c:strCache>
                <c:ptCount val="5"/>
                <c:pt idx="0">
                  <c:v>2010 *</c:v>
                </c:pt>
                <c:pt idx="1">
                  <c:v>2011</c:v>
                </c:pt>
                <c:pt idx="2">
                  <c:v>2012</c:v>
                </c:pt>
                <c:pt idx="3">
                  <c:v>2013</c:v>
                </c:pt>
                <c:pt idx="4">
                  <c:v>2014</c:v>
                </c:pt>
              </c:strCache>
            </c:strRef>
          </c:cat>
          <c:val>
            <c:numRef>
              <c:f>'EX 1-TOT UTIL OP EXP'!$M$23:$Q$23</c:f>
              <c:numCache>
                <c:formatCode>"$"#,##0.00</c:formatCode>
                <c:ptCount val="5"/>
                <c:pt idx="0">
                  <c:v>2442.0447480894641</c:v>
                </c:pt>
                <c:pt idx="1">
                  <c:v>1619.4119707933353</c:v>
                </c:pt>
                <c:pt idx="2">
                  <c:v>1329.6806166775098</c:v>
                </c:pt>
                <c:pt idx="3">
                  <c:v>1171.9790407027981</c:v>
                </c:pt>
                <c:pt idx="4">
                  <c:v>1225.8148785473097</c:v>
                </c:pt>
              </c:numCache>
            </c:numRef>
          </c:val>
        </c:ser>
        <c:ser>
          <c:idx val="7"/>
          <c:order val="6"/>
          <c:tx>
            <c:strRef>
              <c:f>'EX 1-TOT UTIL OP EXP'!$L$24</c:f>
              <c:strCache>
                <c:ptCount val="1"/>
                <c:pt idx="0">
                  <c:v>PPL</c:v>
                </c:pt>
              </c:strCache>
            </c:strRef>
          </c:tx>
          <c:spPr>
            <a:ln w="28575" cap="rnd">
              <a:solidFill>
                <a:schemeClr val="accent2">
                  <a:lumMod val="60000"/>
                </a:schemeClr>
              </a:solidFill>
              <a:prstDash val="dash"/>
              <a:round/>
            </a:ln>
            <a:effectLst/>
          </c:spPr>
          <c:marker>
            <c:symbol val="circle"/>
            <c:size val="5"/>
            <c:spPr>
              <a:solidFill>
                <a:schemeClr val="accent2">
                  <a:lumMod val="60000"/>
                </a:schemeClr>
              </a:solidFill>
              <a:ln w="9525">
                <a:solidFill>
                  <a:schemeClr val="accent2">
                    <a:lumMod val="60000"/>
                  </a:schemeClr>
                </a:solidFill>
              </a:ln>
              <a:effectLst/>
            </c:spPr>
          </c:marker>
          <c:cat>
            <c:strRef>
              <c:f>'EX 1-TOT UTIL OP EXP'!$M$17:$Q$17</c:f>
              <c:strCache>
                <c:ptCount val="5"/>
                <c:pt idx="0">
                  <c:v>2010 *</c:v>
                </c:pt>
                <c:pt idx="1">
                  <c:v>2011</c:v>
                </c:pt>
                <c:pt idx="2">
                  <c:v>2012</c:v>
                </c:pt>
                <c:pt idx="3">
                  <c:v>2013</c:v>
                </c:pt>
                <c:pt idx="4">
                  <c:v>2014</c:v>
                </c:pt>
              </c:strCache>
            </c:strRef>
          </c:cat>
          <c:val>
            <c:numRef>
              <c:f>'EX 1-TOT UTIL OP EXP'!$M$24:$Q$24</c:f>
              <c:numCache>
                <c:formatCode>"$"#,##0.00</c:formatCode>
                <c:ptCount val="5"/>
                <c:pt idx="0">
                  <c:v>1634.0818966409042</c:v>
                </c:pt>
                <c:pt idx="1">
                  <c:v>1196.6548480684694</c:v>
                </c:pt>
                <c:pt idx="2">
                  <c:v>1143.4846716241511</c:v>
                </c:pt>
                <c:pt idx="3">
                  <c:v>1167.1339223681998</c:v>
                </c:pt>
                <c:pt idx="4">
                  <c:v>1238.1307363304859</c:v>
                </c:pt>
              </c:numCache>
            </c:numRef>
          </c:val>
        </c:ser>
        <c:marker val="1"/>
        <c:axId val="157582080"/>
        <c:axId val="157584000"/>
      </c:lineChart>
      <c:catAx>
        <c:axId val="1575820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7584000"/>
        <c:crosses val="autoZero"/>
        <c:auto val="1"/>
        <c:lblAlgn val="ctr"/>
        <c:lblOffset val="100"/>
      </c:catAx>
      <c:valAx>
        <c:axId val="157584000"/>
        <c:scaling>
          <c:orientation val="minMax"/>
        </c:scaling>
        <c:axPos val="l"/>
        <c:majorGridlines>
          <c:spPr>
            <a:ln w="9525" cap="flat" cmpd="sng" algn="ctr">
              <a:solidFill>
                <a:schemeClr val="tx1">
                  <a:lumMod val="15000"/>
                  <a:lumOff val="85000"/>
                </a:schemeClr>
              </a:solidFill>
              <a:round/>
            </a:ln>
            <a:effectLst/>
          </c:spPr>
        </c:majorGridlines>
        <c:numFmt formatCode="&quot;$&quot;#,##0.00" sourceLinked="1"/>
        <c:maj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75820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1"/>
          <c:order val="0"/>
          <c:tx>
            <c:strRef>
              <c:f>'EX 2-TOT TRANS O&amp;M EXP REV'!$L$18</c:f>
              <c:strCache>
                <c:ptCount val="1"/>
                <c:pt idx="0">
                  <c:v>Duquesne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'EX 2-TOT TRANS O&amp;M EXP REV'!$M$17:$Q$17</c:f>
              <c:strCache>
                <c:ptCount val="5"/>
                <c:pt idx="0">
                  <c:v>2010 *</c:v>
                </c:pt>
                <c:pt idx="1">
                  <c:v>2011</c:v>
                </c:pt>
                <c:pt idx="2">
                  <c:v>2012</c:v>
                </c:pt>
                <c:pt idx="3">
                  <c:v>2013</c:v>
                </c:pt>
                <c:pt idx="4">
                  <c:v>2014</c:v>
                </c:pt>
              </c:strCache>
            </c:strRef>
          </c:cat>
          <c:val>
            <c:numRef>
              <c:f>'EX 2-TOT TRANS O&amp;M EXP REV'!$M$18:$Q$18</c:f>
              <c:numCache>
                <c:formatCode>"$"#,##0.00</c:formatCode>
                <c:ptCount val="5"/>
                <c:pt idx="0">
                  <c:v>11.701686612365329</c:v>
                </c:pt>
                <c:pt idx="1">
                  <c:v>15.861406374976628</c:v>
                </c:pt>
                <c:pt idx="2">
                  <c:v>15.455578280752064</c:v>
                </c:pt>
                <c:pt idx="3">
                  <c:v>16.069001907356025</c:v>
                </c:pt>
                <c:pt idx="4">
                  <c:v>15.048648849721518</c:v>
                </c:pt>
              </c:numCache>
            </c:numRef>
          </c:val>
          <c:extLst/>
        </c:ser>
        <c:ser>
          <c:idx val="2"/>
          <c:order val="1"/>
          <c:tx>
            <c:strRef>
              <c:f>'EX 2-TOT TRANS O&amp;M EXP REV'!$L$19</c:f>
              <c:strCache>
                <c:ptCount val="1"/>
                <c:pt idx="0">
                  <c:v>Met 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'EX 2-TOT TRANS O&amp;M EXP REV'!$M$17:$Q$17</c:f>
              <c:strCache>
                <c:ptCount val="5"/>
                <c:pt idx="0">
                  <c:v>2010 *</c:v>
                </c:pt>
                <c:pt idx="1">
                  <c:v>2011</c:v>
                </c:pt>
                <c:pt idx="2">
                  <c:v>2012</c:v>
                </c:pt>
                <c:pt idx="3">
                  <c:v>2013</c:v>
                </c:pt>
                <c:pt idx="4">
                  <c:v>2014</c:v>
                </c:pt>
              </c:strCache>
            </c:strRef>
          </c:cat>
          <c:val>
            <c:numRef>
              <c:f>'EX 2-TOT TRANS O&amp;M EXP REV'!$M$19:$Q$19</c:f>
              <c:numCache>
                <c:formatCode>"$"#,##0.00</c:formatCode>
                <c:ptCount val="5"/>
                <c:pt idx="0">
                  <c:v>490.02982369657252</c:v>
                </c:pt>
                <c:pt idx="1">
                  <c:v>19.777191290390874</c:v>
                </c:pt>
                <c:pt idx="2">
                  <c:v>26.492176615679263</c:v>
                </c:pt>
                <c:pt idx="3">
                  <c:v>33.851812851156417</c:v>
                </c:pt>
                <c:pt idx="4">
                  <c:v>43.60010923915295</c:v>
                </c:pt>
              </c:numCache>
            </c:numRef>
          </c:val>
          <c:extLst/>
        </c:ser>
        <c:ser>
          <c:idx val="3"/>
          <c:order val="2"/>
          <c:tx>
            <c:strRef>
              <c:f>'EX 2-TOT TRANS O&amp;M EXP REV'!$L$20</c:f>
              <c:strCache>
                <c:ptCount val="1"/>
                <c:pt idx="0">
                  <c:v>PECO</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'EX 2-TOT TRANS O&amp;M EXP REV'!$M$17:$Q$17</c:f>
              <c:strCache>
                <c:ptCount val="5"/>
                <c:pt idx="0">
                  <c:v>2010 *</c:v>
                </c:pt>
                <c:pt idx="1">
                  <c:v>2011</c:v>
                </c:pt>
                <c:pt idx="2">
                  <c:v>2012</c:v>
                </c:pt>
                <c:pt idx="3">
                  <c:v>2013</c:v>
                </c:pt>
                <c:pt idx="4">
                  <c:v>2014</c:v>
                </c:pt>
              </c:strCache>
            </c:strRef>
          </c:cat>
          <c:val>
            <c:numRef>
              <c:f>'EX 2-TOT TRANS O&amp;M EXP REV'!$M$20:$Q$20</c:f>
              <c:numCache>
                <c:formatCode>"$"#,##0.00</c:formatCode>
                <c:ptCount val="5"/>
                <c:pt idx="0">
                  <c:v>185.04798094547607</c:v>
                </c:pt>
                <c:pt idx="1">
                  <c:v>99.678605645829379</c:v>
                </c:pt>
                <c:pt idx="2">
                  <c:v>89.4962555419186</c:v>
                </c:pt>
                <c:pt idx="3">
                  <c:v>87.352563879725878</c:v>
                </c:pt>
                <c:pt idx="4">
                  <c:v>80.586005590772103</c:v>
                </c:pt>
              </c:numCache>
            </c:numRef>
          </c:val>
          <c:extLst/>
        </c:ser>
        <c:ser>
          <c:idx val="4"/>
          <c:order val="3"/>
          <c:tx>
            <c:strRef>
              <c:f>'EX 2-TOT TRANS O&amp;M EXP REV'!$L$21</c:f>
              <c:strCache>
                <c:ptCount val="1"/>
                <c:pt idx="0">
                  <c:v>Penelec</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'EX 2-TOT TRANS O&amp;M EXP REV'!$M$17:$Q$17</c:f>
              <c:strCache>
                <c:ptCount val="5"/>
                <c:pt idx="0">
                  <c:v>2010 *</c:v>
                </c:pt>
                <c:pt idx="1">
                  <c:v>2011</c:v>
                </c:pt>
                <c:pt idx="2">
                  <c:v>2012</c:v>
                </c:pt>
                <c:pt idx="3">
                  <c:v>2013</c:v>
                </c:pt>
                <c:pt idx="4">
                  <c:v>2014</c:v>
                </c:pt>
              </c:strCache>
            </c:strRef>
          </c:cat>
          <c:val>
            <c:numRef>
              <c:f>'EX 2-TOT TRANS O&amp;M EXP REV'!$M$21:$Q$21</c:f>
              <c:numCache>
                <c:formatCode>"$"#,##0.00</c:formatCode>
                <c:ptCount val="5"/>
                <c:pt idx="0">
                  <c:v>232.53897248801417</c:v>
                </c:pt>
                <c:pt idx="1">
                  <c:v>17.356658430156145</c:v>
                </c:pt>
                <c:pt idx="2">
                  <c:v>26.493502175554031</c:v>
                </c:pt>
                <c:pt idx="3">
                  <c:v>35.150698504586003</c:v>
                </c:pt>
                <c:pt idx="4">
                  <c:v>50.470217656862907</c:v>
                </c:pt>
              </c:numCache>
            </c:numRef>
          </c:val>
          <c:extLst/>
        </c:ser>
        <c:ser>
          <c:idx val="5"/>
          <c:order val="4"/>
          <c:tx>
            <c:strRef>
              <c:f>'EX 2-TOT TRANS O&amp;M EXP REV'!$L$22</c:f>
              <c:strCache>
                <c:ptCount val="1"/>
                <c:pt idx="0">
                  <c:v>West Penn</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'EX 2-TOT TRANS O&amp;M EXP REV'!$M$17:$Q$17</c:f>
              <c:strCache>
                <c:ptCount val="5"/>
                <c:pt idx="0">
                  <c:v>2010 *</c:v>
                </c:pt>
                <c:pt idx="1">
                  <c:v>2011</c:v>
                </c:pt>
                <c:pt idx="2">
                  <c:v>2012</c:v>
                </c:pt>
                <c:pt idx="3">
                  <c:v>2013</c:v>
                </c:pt>
                <c:pt idx="4">
                  <c:v>2014</c:v>
                </c:pt>
              </c:strCache>
            </c:strRef>
          </c:cat>
          <c:val>
            <c:numRef>
              <c:f>'EX 2-TOT TRANS O&amp;M EXP REV'!$M$22:$Q$22</c:f>
              <c:numCache>
                <c:formatCode>"$"#,##0.00</c:formatCode>
                <c:ptCount val="5"/>
                <c:pt idx="0">
                  <c:v>78.315141012249427</c:v>
                </c:pt>
                <c:pt idx="1">
                  <c:v>43.095459304668132</c:v>
                </c:pt>
                <c:pt idx="2">
                  <c:v>42.998126800147915</c:v>
                </c:pt>
                <c:pt idx="3">
                  <c:v>51.189130985911568</c:v>
                </c:pt>
                <c:pt idx="4">
                  <c:v>61.764469180936295</c:v>
                </c:pt>
              </c:numCache>
            </c:numRef>
          </c:val>
          <c:extLst/>
        </c:ser>
        <c:ser>
          <c:idx val="6"/>
          <c:order val="5"/>
          <c:tx>
            <c:strRef>
              <c:f>'EX 2-TOT TRANS O&amp;M EXP REV'!$L$23</c:f>
              <c:strCache>
                <c:ptCount val="1"/>
                <c:pt idx="0">
                  <c:v>Panel Average</c:v>
                </c:pt>
              </c:strCache>
            </c:strRef>
          </c:tx>
          <c:spPr>
            <a:ln w="28575" cap="rnd">
              <a:solidFill>
                <a:schemeClr val="accent1">
                  <a:lumMod val="60000"/>
                </a:schemeClr>
              </a:solidFill>
              <a:prstDash val="sysDot"/>
              <a:round/>
            </a:ln>
            <a:effectLst/>
          </c:spPr>
          <c:marker>
            <c:symbol val="circle"/>
            <c:size val="5"/>
            <c:spPr>
              <a:solidFill>
                <a:schemeClr val="accent1">
                  <a:lumMod val="60000"/>
                </a:schemeClr>
              </a:solidFill>
              <a:ln w="9525">
                <a:solidFill>
                  <a:schemeClr val="accent1">
                    <a:lumMod val="60000"/>
                  </a:schemeClr>
                </a:solidFill>
              </a:ln>
              <a:effectLst/>
            </c:spPr>
          </c:marker>
          <c:cat>
            <c:strRef>
              <c:f>'EX 2-TOT TRANS O&amp;M EXP REV'!$M$17:$Q$17</c:f>
              <c:strCache>
                <c:ptCount val="5"/>
                <c:pt idx="0">
                  <c:v>2010 *</c:v>
                </c:pt>
                <c:pt idx="1">
                  <c:v>2011</c:v>
                </c:pt>
                <c:pt idx="2">
                  <c:v>2012</c:v>
                </c:pt>
                <c:pt idx="3">
                  <c:v>2013</c:v>
                </c:pt>
                <c:pt idx="4">
                  <c:v>2014</c:v>
                </c:pt>
              </c:strCache>
            </c:strRef>
          </c:cat>
          <c:val>
            <c:numRef>
              <c:f>'EX 2-TOT TRANS O&amp;M EXP REV'!$M$23:$Q$23</c:f>
              <c:numCache>
                <c:formatCode>"$"#,##0.00</c:formatCode>
                <c:ptCount val="5"/>
                <c:pt idx="0">
                  <c:v>199.52672095093584</c:v>
                </c:pt>
                <c:pt idx="1">
                  <c:v>39.153864209204123</c:v>
                </c:pt>
                <c:pt idx="2">
                  <c:v>40.187127882810294</c:v>
                </c:pt>
                <c:pt idx="3">
                  <c:v>44.722641625747194</c:v>
                </c:pt>
                <c:pt idx="4">
                  <c:v>50.293890103489161</c:v>
                </c:pt>
              </c:numCache>
            </c:numRef>
          </c:val>
          <c:extLst/>
        </c:ser>
        <c:ser>
          <c:idx val="7"/>
          <c:order val="6"/>
          <c:tx>
            <c:strRef>
              <c:f>'EX 2-TOT TRANS O&amp;M EXP REV'!$L$24</c:f>
              <c:strCache>
                <c:ptCount val="1"/>
                <c:pt idx="0">
                  <c:v>PPL</c:v>
                </c:pt>
              </c:strCache>
            </c:strRef>
          </c:tx>
          <c:spPr>
            <a:ln w="28575" cap="rnd">
              <a:solidFill>
                <a:schemeClr val="accent2">
                  <a:lumMod val="60000"/>
                </a:schemeClr>
              </a:solidFill>
              <a:prstDash val="dash"/>
              <a:round/>
            </a:ln>
            <a:effectLst/>
          </c:spPr>
          <c:marker>
            <c:symbol val="circle"/>
            <c:size val="5"/>
            <c:spPr>
              <a:solidFill>
                <a:schemeClr val="accent2">
                  <a:lumMod val="60000"/>
                </a:schemeClr>
              </a:solidFill>
              <a:ln w="9525">
                <a:solidFill>
                  <a:schemeClr val="accent2">
                    <a:lumMod val="60000"/>
                  </a:schemeClr>
                </a:solidFill>
              </a:ln>
              <a:effectLst/>
            </c:spPr>
          </c:marker>
          <c:cat>
            <c:strRef>
              <c:f>'EX 2-TOT TRANS O&amp;M EXP REV'!$M$17:$Q$17</c:f>
              <c:strCache>
                <c:ptCount val="5"/>
                <c:pt idx="0">
                  <c:v>2010 *</c:v>
                </c:pt>
                <c:pt idx="1">
                  <c:v>2011</c:v>
                </c:pt>
                <c:pt idx="2">
                  <c:v>2012</c:v>
                </c:pt>
                <c:pt idx="3">
                  <c:v>2013</c:v>
                </c:pt>
                <c:pt idx="4">
                  <c:v>2014</c:v>
                </c:pt>
              </c:strCache>
            </c:strRef>
          </c:cat>
          <c:val>
            <c:numRef>
              <c:f>'EX 2-TOT TRANS O&amp;M EXP REV'!$M$24:$Q$24</c:f>
              <c:numCache>
                <c:formatCode>"$"#,##0.00</c:formatCode>
                <c:ptCount val="5"/>
                <c:pt idx="0">
                  <c:v>80.141043065457524</c:v>
                </c:pt>
                <c:pt idx="1">
                  <c:v>69.626238256728058</c:v>
                </c:pt>
                <c:pt idx="2">
                  <c:v>78.368897344834409</c:v>
                </c:pt>
                <c:pt idx="3">
                  <c:v>81.952082015885736</c:v>
                </c:pt>
                <c:pt idx="4">
                  <c:v>86.322601264090878</c:v>
                </c:pt>
              </c:numCache>
            </c:numRef>
          </c:val>
          <c:extLst/>
        </c:ser>
        <c:marker val="1"/>
        <c:axId val="157457792"/>
        <c:axId val="157468160"/>
      </c:lineChart>
      <c:catAx>
        <c:axId val="1574577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7468160"/>
        <c:crosses val="autoZero"/>
        <c:auto val="1"/>
        <c:lblAlgn val="ctr"/>
        <c:lblOffset val="100"/>
      </c:catAx>
      <c:valAx>
        <c:axId val="157468160"/>
        <c:scaling>
          <c:orientation val="minMax"/>
        </c:scaling>
        <c:axPos val="l"/>
        <c:majorGridlines>
          <c:spPr>
            <a:ln w="9525" cap="flat" cmpd="sng" algn="ctr">
              <a:solidFill>
                <a:schemeClr val="tx1">
                  <a:lumMod val="15000"/>
                  <a:lumOff val="85000"/>
                </a:schemeClr>
              </a:solidFill>
              <a:round/>
            </a:ln>
            <a:effectLst/>
          </c:spPr>
        </c:majorGridlines>
        <c:numFmt formatCode="&quot;$&quot;#,##0.00" sourceLinked="1"/>
        <c:maj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74577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lang val="en-US"/>
  <c:chart>
    <c:autoTitleDeleted val="1"/>
    <c:plotArea>
      <c:layout/>
      <c:lineChart>
        <c:grouping val="standard"/>
        <c:ser>
          <c:idx val="1"/>
          <c:order val="0"/>
          <c:tx>
            <c:strRef>
              <c:f>'EX 3-TOT DIST O&amp;M EXP PER CUST'!$N$18</c:f>
              <c:strCache>
                <c:ptCount val="1"/>
                <c:pt idx="0">
                  <c:v>Duquesne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'EX 3-TOT DIST O&amp;M EXP PER CUST'!$O$17:$S$17</c:f>
              <c:numCache>
                <c:formatCode>General</c:formatCode>
                <c:ptCount val="5"/>
                <c:pt idx="0">
                  <c:v>2010</c:v>
                </c:pt>
                <c:pt idx="1">
                  <c:v>2011</c:v>
                </c:pt>
                <c:pt idx="2">
                  <c:v>2012</c:v>
                </c:pt>
                <c:pt idx="3">
                  <c:v>2013</c:v>
                </c:pt>
                <c:pt idx="4">
                  <c:v>2014</c:v>
                </c:pt>
              </c:numCache>
            </c:numRef>
          </c:cat>
          <c:val>
            <c:numRef>
              <c:f>'EX 3-TOT DIST O&amp;M EXP PER CUST'!$O$18:$S$18</c:f>
              <c:numCache>
                <c:formatCode>"$"#,##0.00</c:formatCode>
                <c:ptCount val="5"/>
                <c:pt idx="0">
                  <c:v>67.42649218012788</c:v>
                </c:pt>
                <c:pt idx="1">
                  <c:v>57.006798727046849</c:v>
                </c:pt>
                <c:pt idx="2">
                  <c:v>59.264675305261299</c:v>
                </c:pt>
                <c:pt idx="3">
                  <c:v>66.561584223489248</c:v>
                </c:pt>
                <c:pt idx="4">
                  <c:v>71.114929779413146</c:v>
                </c:pt>
              </c:numCache>
            </c:numRef>
          </c:val>
        </c:ser>
        <c:ser>
          <c:idx val="2"/>
          <c:order val="1"/>
          <c:tx>
            <c:strRef>
              <c:f>'EX 3-TOT DIST O&amp;M EXP PER CUST'!$N$19</c:f>
              <c:strCache>
                <c:ptCount val="1"/>
                <c:pt idx="0">
                  <c:v>Met 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'EX 3-TOT DIST O&amp;M EXP PER CUST'!$O$17:$S$17</c:f>
              <c:numCache>
                <c:formatCode>General</c:formatCode>
                <c:ptCount val="5"/>
                <c:pt idx="0">
                  <c:v>2010</c:v>
                </c:pt>
                <c:pt idx="1">
                  <c:v>2011</c:v>
                </c:pt>
                <c:pt idx="2">
                  <c:v>2012</c:v>
                </c:pt>
                <c:pt idx="3">
                  <c:v>2013</c:v>
                </c:pt>
                <c:pt idx="4">
                  <c:v>2014</c:v>
                </c:pt>
              </c:numCache>
            </c:numRef>
          </c:cat>
          <c:val>
            <c:numRef>
              <c:f>'EX 3-TOT DIST O&amp;M EXP PER CUST'!$O$19:$S$19</c:f>
              <c:numCache>
                <c:formatCode>"$"#,##0.00</c:formatCode>
                <c:ptCount val="5"/>
                <c:pt idx="0">
                  <c:v>69.830181087977735</c:v>
                </c:pt>
                <c:pt idx="1">
                  <c:v>87.84917603246997</c:v>
                </c:pt>
                <c:pt idx="2">
                  <c:v>89.228310188740608</c:v>
                </c:pt>
                <c:pt idx="3">
                  <c:v>66.185367366515266</c:v>
                </c:pt>
                <c:pt idx="4">
                  <c:v>92.475608945393006</c:v>
                </c:pt>
              </c:numCache>
            </c:numRef>
          </c:val>
        </c:ser>
        <c:ser>
          <c:idx val="3"/>
          <c:order val="2"/>
          <c:tx>
            <c:strRef>
              <c:f>'EX 3-TOT DIST O&amp;M EXP PER CUST'!$N$20</c:f>
              <c:strCache>
                <c:ptCount val="1"/>
                <c:pt idx="0">
                  <c:v>PECO</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'EX 3-TOT DIST O&amp;M EXP PER CUST'!$O$17:$S$17</c:f>
              <c:numCache>
                <c:formatCode>General</c:formatCode>
                <c:ptCount val="5"/>
                <c:pt idx="0">
                  <c:v>2010</c:v>
                </c:pt>
                <c:pt idx="1">
                  <c:v>2011</c:v>
                </c:pt>
                <c:pt idx="2">
                  <c:v>2012</c:v>
                </c:pt>
                <c:pt idx="3">
                  <c:v>2013</c:v>
                </c:pt>
                <c:pt idx="4">
                  <c:v>2014</c:v>
                </c:pt>
              </c:numCache>
            </c:numRef>
          </c:cat>
          <c:val>
            <c:numRef>
              <c:f>'EX 3-TOT DIST O&amp;M EXP PER CUST'!$O$20:$S$20</c:f>
              <c:numCache>
                <c:formatCode>"$"#,##0.00</c:formatCode>
                <c:ptCount val="5"/>
                <c:pt idx="0">
                  <c:v>130.29194854461647</c:v>
                </c:pt>
                <c:pt idx="1">
                  <c:v>141.25211947323234</c:v>
                </c:pt>
                <c:pt idx="2">
                  <c:v>147.68857792965272</c:v>
                </c:pt>
                <c:pt idx="3">
                  <c:v>126.63386284385876</c:v>
                </c:pt>
                <c:pt idx="4">
                  <c:v>198.3130115600465</c:v>
                </c:pt>
              </c:numCache>
            </c:numRef>
          </c:val>
        </c:ser>
        <c:ser>
          <c:idx val="4"/>
          <c:order val="3"/>
          <c:tx>
            <c:strRef>
              <c:f>'EX 3-TOT DIST O&amp;M EXP PER CUST'!$N$21</c:f>
              <c:strCache>
                <c:ptCount val="1"/>
                <c:pt idx="0">
                  <c:v>Penelec</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'EX 3-TOT DIST O&amp;M EXP PER CUST'!$O$17:$S$17</c:f>
              <c:numCache>
                <c:formatCode>General</c:formatCode>
                <c:ptCount val="5"/>
                <c:pt idx="0">
                  <c:v>2010</c:v>
                </c:pt>
                <c:pt idx="1">
                  <c:v>2011</c:v>
                </c:pt>
                <c:pt idx="2">
                  <c:v>2012</c:v>
                </c:pt>
                <c:pt idx="3">
                  <c:v>2013</c:v>
                </c:pt>
                <c:pt idx="4">
                  <c:v>2014</c:v>
                </c:pt>
              </c:numCache>
            </c:numRef>
          </c:cat>
          <c:val>
            <c:numRef>
              <c:f>'EX 3-TOT DIST O&amp;M EXP PER CUST'!$O$21:$S$21</c:f>
              <c:numCache>
                <c:formatCode>"$"#,##0.00</c:formatCode>
                <c:ptCount val="5"/>
                <c:pt idx="0">
                  <c:v>57.470548544380627</c:v>
                </c:pt>
                <c:pt idx="1">
                  <c:v>61.063771620840122</c:v>
                </c:pt>
                <c:pt idx="2">
                  <c:v>88.080367426908978</c:v>
                </c:pt>
                <c:pt idx="3">
                  <c:v>71.127434246914618</c:v>
                </c:pt>
                <c:pt idx="4">
                  <c:v>71.808470115717654</c:v>
                </c:pt>
              </c:numCache>
            </c:numRef>
          </c:val>
        </c:ser>
        <c:ser>
          <c:idx val="5"/>
          <c:order val="4"/>
          <c:tx>
            <c:strRef>
              <c:f>'EX 3-TOT DIST O&amp;M EXP PER CUST'!$N$22</c:f>
              <c:strCache>
                <c:ptCount val="1"/>
                <c:pt idx="0">
                  <c:v>West Penn</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'EX 3-TOT DIST O&amp;M EXP PER CUST'!$O$17:$S$17</c:f>
              <c:numCache>
                <c:formatCode>General</c:formatCode>
                <c:ptCount val="5"/>
                <c:pt idx="0">
                  <c:v>2010</c:v>
                </c:pt>
                <c:pt idx="1">
                  <c:v>2011</c:v>
                </c:pt>
                <c:pt idx="2">
                  <c:v>2012</c:v>
                </c:pt>
                <c:pt idx="3">
                  <c:v>2013</c:v>
                </c:pt>
                <c:pt idx="4">
                  <c:v>2014</c:v>
                </c:pt>
              </c:numCache>
            </c:numRef>
          </c:cat>
          <c:val>
            <c:numRef>
              <c:f>'EX 3-TOT DIST O&amp;M EXP PER CUST'!$O$22:$S$22</c:f>
              <c:numCache>
                <c:formatCode>"$"#,##0.00</c:formatCode>
                <c:ptCount val="5"/>
                <c:pt idx="0">
                  <c:v>79.349999999999994</c:v>
                </c:pt>
                <c:pt idx="1">
                  <c:v>53.790000000000013</c:v>
                </c:pt>
                <c:pt idx="2">
                  <c:v>26.29</c:v>
                </c:pt>
                <c:pt idx="3">
                  <c:v>52.74</c:v>
                </c:pt>
                <c:pt idx="4">
                  <c:v>53.57</c:v>
                </c:pt>
              </c:numCache>
            </c:numRef>
          </c:val>
        </c:ser>
        <c:ser>
          <c:idx val="6"/>
          <c:order val="5"/>
          <c:tx>
            <c:strRef>
              <c:f>'EX 3-TOT DIST O&amp;M EXP PER CUST'!$N$23</c:f>
              <c:strCache>
                <c:ptCount val="1"/>
                <c:pt idx="0">
                  <c:v>Panel Average</c:v>
                </c:pt>
              </c:strCache>
            </c:strRef>
          </c:tx>
          <c:spPr>
            <a:ln w="28575" cap="rnd">
              <a:solidFill>
                <a:schemeClr val="accent1">
                  <a:lumMod val="60000"/>
                </a:schemeClr>
              </a:solidFill>
              <a:prstDash val="sysDot"/>
              <a:round/>
            </a:ln>
            <a:effectLst/>
          </c:spPr>
          <c:marker>
            <c:symbol val="circle"/>
            <c:size val="5"/>
            <c:spPr>
              <a:solidFill>
                <a:schemeClr val="accent1">
                  <a:lumMod val="60000"/>
                </a:schemeClr>
              </a:solidFill>
              <a:ln w="9525">
                <a:solidFill>
                  <a:schemeClr val="accent1">
                    <a:lumMod val="60000"/>
                  </a:schemeClr>
                </a:solidFill>
              </a:ln>
              <a:effectLst/>
            </c:spPr>
          </c:marker>
          <c:cat>
            <c:numRef>
              <c:f>'EX 3-TOT DIST O&amp;M EXP PER CUST'!$O$17:$S$17</c:f>
              <c:numCache>
                <c:formatCode>General</c:formatCode>
                <c:ptCount val="5"/>
                <c:pt idx="0">
                  <c:v>2010</c:v>
                </c:pt>
                <c:pt idx="1">
                  <c:v>2011</c:v>
                </c:pt>
                <c:pt idx="2">
                  <c:v>2012</c:v>
                </c:pt>
                <c:pt idx="3">
                  <c:v>2013</c:v>
                </c:pt>
                <c:pt idx="4">
                  <c:v>2014</c:v>
                </c:pt>
              </c:numCache>
            </c:numRef>
          </c:cat>
          <c:val>
            <c:numRef>
              <c:f>'EX 3-TOT DIST O&amp;M EXP PER CUST'!$O$23:$S$23</c:f>
              <c:numCache>
                <c:formatCode>"$"#,##0.00</c:formatCode>
                <c:ptCount val="5"/>
                <c:pt idx="0">
                  <c:v>80.86999999999999</c:v>
                </c:pt>
                <c:pt idx="1">
                  <c:v>80.19</c:v>
                </c:pt>
                <c:pt idx="2">
                  <c:v>82.11</c:v>
                </c:pt>
                <c:pt idx="3">
                  <c:v>76.649999999999991</c:v>
                </c:pt>
                <c:pt idx="4">
                  <c:v>97.460000000000022</c:v>
                </c:pt>
              </c:numCache>
            </c:numRef>
          </c:val>
        </c:ser>
        <c:ser>
          <c:idx val="7"/>
          <c:order val="6"/>
          <c:tx>
            <c:strRef>
              <c:f>'EX 3-TOT DIST O&amp;M EXP PER CUST'!$N$24</c:f>
              <c:strCache>
                <c:ptCount val="1"/>
                <c:pt idx="0">
                  <c:v>PPL</c:v>
                </c:pt>
              </c:strCache>
            </c:strRef>
          </c:tx>
          <c:spPr>
            <a:ln w="28575" cap="rnd">
              <a:solidFill>
                <a:schemeClr val="accent2">
                  <a:lumMod val="60000"/>
                </a:schemeClr>
              </a:solidFill>
              <a:prstDash val="dash"/>
              <a:round/>
            </a:ln>
            <a:effectLst/>
          </c:spPr>
          <c:marker>
            <c:symbol val="circle"/>
            <c:size val="5"/>
            <c:spPr>
              <a:solidFill>
                <a:schemeClr val="accent2">
                  <a:lumMod val="60000"/>
                </a:schemeClr>
              </a:solidFill>
              <a:ln w="9525">
                <a:solidFill>
                  <a:schemeClr val="accent2">
                    <a:lumMod val="60000"/>
                  </a:schemeClr>
                </a:solidFill>
              </a:ln>
              <a:effectLst/>
            </c:spPr>
          </c:marker>
          <c:cat>
            <c:numRef>
              <c:f>'EX 3-TOT DIST O&amp;M EXP PER CUST'!$O$17:$S$17</c:f>
              <c:numCache>
                <c:formatCode>General</c:formatCode>
                <c:ptCount val="5"/>
                <c:pt idx="0">
                  <c:v>2010</c:v>
                </c:pt>
                <c:pt idx="1">
                  <c:v>2011</c:v>
                </c:pt>
                <c:pt idx="2">
                  <c:v>2012</c:v>
                </c:pt>
                <c:pt idx="3">
                  <c:v>2013</c:v>
                </c:pt>
                <c:pt idx="4">
                  <c:v>2014</c:v>
                </c:pt>
              </c:numCache>
            </c:numRef>
          </c:cat>
          <c:val>
            <c:numRef>
              <c:f>'EX 3-TOT DIST O&amp;M EXP PER CUST'!$O$24:$S$24</c:f>
              <c:numCache>
                <c:formatCode>"$"#,##0.00</c:formatCode>
                <c:ptCount val="5"/>
                <c:pt idx="0">
                  <c:v>101.57810434364458</c:v>
                </c:pt>
                <c:pt idx="1">
                  <c:v>108.48750506628373</c:v>
                </c:pt>
                <c:pt idx="2">
                  <c:v>111.79552333957106</c:v>
                </c:pt>
                <c:pt idx="3">
                  <c:v>117.89251330680951</c:v>
                </c:pt>
                <c:pt idx="4">
                  <c:v>124.51471720579202</c:v>
                </c:pt>
              </c:numCache>
            </c:numRef>
          </c:val>
        </c:ser>
        <c:marker val="1"/>
        <c:axId val="160934144"/>
        <c:axId val="160948608"/>
      </c:lineChart>
      <c:catAx>
        <c:axId val="16093414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0948608"/>
        <c:crosses val="autoZero"/>
        <c:auto val="1"/>
        <c:lblAlgn val="ctr"/>
        <c:lblOffset val="100"/>
      </c:catAx>
      <c:valAx>
        <c:axId val="160948608"/>
        <c:scaling>
          <c:orientation val="minMax"/>
        </c:scaling>
        <c:axPos val="l"/>
        <c:majorGridlines>
          <c:spPr>
            <a:ln w="9525" cap="flat" cmpd="sng" algn="ctr">
              <a:solidFill>
                <a:schemeClr val="tx1">
                  <a:lumMod val="15000"/>
                  <a:lumOff val="85000"/>
                </a:schemeClr>
              </a:solidFill>
              <a:round/>
            </a:ln>
            <a:effectLst/>
          </c:spPr>
        </c:majorGridlines>
        <c:numFmt formatCode="&quot;$&quot;#,##0.00" sourceLinked="1"/>
        <c:maj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09341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lang val="en-US"/>
  <c:chart>
    <c:autoTitleDeleted val="1"/>
    <c:plotArea>
      <c:layout/>
      <c:lineChart>
        <c:grouping val="standard"/>
        <c:ser>
          <c:idx val="1"/>
          <c:order val="0"/>
          <c:tx>
            <c:strRef>
              <c:f>'EX 4-TOT TRANS &amp; DIST O&amp;M EXP '!$N$18</c:f>
              <c:strCache>
                <c:ptCount val="1"/>
                <c:pt idx="0">
                  <c:v>Duquesne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'EX 4-TOT TRANS &amp; DIST O&amp;M EXP '!$O$17:$S$17</c:f>
              <c:strCache>
                <c:ptCount val="5"/>
                <c:pt idx="0">
                  <c:v>2010 *</c:v>
                </c:pt>
                <c:pt idx="1">
                  <c:v>2011</c:v>
                </c:pt>
                <c:pt idx="2">
                  <c:v>2012</c:v>
                </c:pt>
                <c:pt idx="3">
                  <c:v>2013</c:v>
                </c:pt>
                <c:pt idx="4">
                  <c:v>2014</c:v>
                </c:pt>
              </c:strCache>
            </c:strRef>
          </c:cat>
          <c:val>
            <c:numRef>
              <c:f>'EX 4-TOT TRANS &amp; DIST O&amp;M EXP '!$O$18:$S$18</c:f>
              <c:numCache>
                <c:formatCode>"$"#,##0.00</c:formatCode>
                <c:ptCount val="5"/>
                <c:pt idx="0">
                  <c:v>79.128178792492889</c:v>
                </c:pt>
                <c:pt idx="1">
                  <c:v>72.868205102023268</c:v>
                </c:pt>
                <c:pt idx="2">
                  <c:v>74.72025358601347</c:v>
                </c:pt>
                <c:pt idx="3">
                  <c:v>82.630586130845288</c:v>
                </c:pt>
                <c:pt idx="4">
                  <c:v>86.163578629134449</c:v>
                </c:pt>
              </c:numCache>
            </c:numRef>
          </c:val>
        </c:ser>
        <c:ser>
          <c:idx val="2"/>
          <c:order val="1"/>
          <c:tx>
            <c:strRef>
              <c:f>'EX 4-TOT TRANS &amp; DIST O&amp;M EXP '!$N$19</c:f>
              <c:strCache>
                <c:ptCount val="1"/>
                <c:pt idx="0">
                  <c:v>Met 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'EX 4-TOT TRANS &amp; DIST O&amp;M EXP '!$O$17:$S$17</c:f>
              <c:strCache>
                <c:ptCount val="5"/>
                <c:pt idx="0">
                  <c:v>2010 *</c:v>
                </c:pt>
                <c:pt idx="1">
                  <c:v>2011</c:v>
                </c:pt>
                <c:pt idx="2">
                  <c:v>2012</c:v>
                </c:pt>
                <c:pt idx="3">
                  <c:v>2013</c:v>
                </c:pt>
                <c:pt idx="4">
                  <c:v>2014</c:v>
                </c:pt>
              </c:strCache>
            </c:strRef>
          </c:cat>
          <c:val>
            <c:numRef>
              <c:f>'EX 4-TOT TRANS &amp; DIST O&amp;M EXP '!$O$19:$S$19</c:f>
              <c:numCache>
                <c:formatCode>"$"#,##0.00</c:formatCode>
                <c:ptCount val="5"/>
                <c:pt idx="0">
                  <c:v>559.86000478454866</c:v>
                </c:pt>
                <c:pt idx="1">
                  <c:v>107.62636732286077</c:v>
                </c:pt>
                <c:pt idx="2">
                  <c:v>115.72048680441972</c:v>
                </c:pt>
                <c:pt idx="3">
                  <c:v>100.03718021767195</c:v>
                </c:pt>
                <c:pt idx="4">
                  <c:v>136.07571818454568</c:v>
                </c:pt>
              </c:numCache>
            </c:numRef>
          </c:val>
        </c:ser>
        <c:ser>
          <c:idx val="3"/>
          <c:order val="2"/>
          <c:tx>
            <c:strRef>
              <c:f>'EX 4-TOT TRANS &amp; DIST O&amp;M EXP '!$N$20</c:f>
              <c:strCache>
                <c:ptCount val="1"/>
                <c:pt idx="0">
                  <c:v>PECO</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'EX 4-TOT TRANS &amp; DIST O&amp;M EXP '!$O$17:$S$17</c:f>
              <c:strCache>
                <c:ptCount val="5"/>
                <c:pt idx="0">
                  <c:v>2010 *</c:v>
                </c:pt>
                <c:pt idx="1">
                  <c:v>2011</c:v>
                </c:pt>
                <c:pt idx="2">
                  <c:v>2012</c:v>
                </c:pt>
                <c:pt idx="3">
                  <c:v>2013</c:v>
                </c:pt>
                <c:pt idx="4">
                  <c:v>2014</c:v>
                </c:pt>
              </c:strCache>
            </c:strRef>
          </c:cat>
          <c:val>
            <c:numRef>
              <c:f>'EX 4-TOT TRANS &amp; DIST O&amp;M EXP '!$O$20:$S$20</c:f>
              <c:numCache>
                <c:formatCode>"$"#,##0.00</c:formatCode>
                <c:ptCount val="5"/>
                <c:pt idx="0">
                  <c:v>315.33992949009229</c:v>
                </c:pt>
                <c:pt idx="1">
                  <c:v>240.93072511906155</c:v>
                </c:pt>
                <c:pt idx="2">
                  <c:v>237.18483347157098</c:v>
                </c:pt>
                <c:pt idx="3">
                  <c:v>213.98642672358511</c:v>
                </c:pt>
                <c:pt idx="4">
                  <c:v>278.89901715081879</c:v>
                </c:pt>
              </c:numCache>
            </c:numRef>
          </c:val>
        </c:ser>
        <c:ser>
          <c:idx val="4"/>
          <c:order val="3"/>
          <c:tx>
            <c:strRef>
              <c:f>'EX 4-TOT TRANS &amp; DIST O&amp;M EXP '!$N$21</c:f>
              <c:strCache>
                <c:ptCount val="1"/>
                <c:pt idx="0">
                  <c:v>Penelec</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'EX 4-TOT TRANS &amp; DIST O&amp;M EXP '!$O$17:$S$17</c:f>
              <c:strCache>
                <c:ptCount val="5"/>
                <c:pt idx="0">
                  <c:v>2010 *</c:v>
                </c:pt>
                <c:pt idx="1">
                  <c:v>2011</c:v>
                </c:pt>
                <c:pt idx="2">
                  <c:v>2012</c:v>
                </c:pt>
                <c:pt idx="3">
                  <c:v>2013</c:v>
                </c:pt>
                <c:pt idx="4">
                  <c:v>2014</c:v>
                </c:pt>
              </c:strCache>
            </c:strRef>
          </c:cat>
          <c:val>
            <c:numRef>
              <c:f>'EX 4-TOT TRANS &amp; DIST O&amp;M EXP '!$O$21:$S$21</c:f>
              <c:numCache>
                <c:formatCode>"$"#,##0.00</c:formatCode>
                <c:ptCount val="5"/>
                <c:pt idx="0">
                  <c:v>290.00952103239456</c:v>
                </c:pt>
                <c:pt idx="1">
                  <c:v>78.420430050996259</c:v>
                </c:pt>
                <c:pt idx="2">
                  <c:v>114.57386960246308</c:v>
                </c:pt>
                <c:pt idx="3">
                  <c:v>106.27813275150049</c:v>
                </c:pt>
                <c:pt idx="4">
                  <c:v>122.27868777258053</c:v>
                </c:pt>
              </c:numCache>
            </c:numRef>
          </c:val>
        </c:ser>
        <c:ser>
          <c:idx val="5"/>
          <c:order val="4"/>
          <c:tx>
            <c:strRef>
              <c:f>'EX 4-TOT TRANS &amp; DIST O&amp;M EXP '!$N$22</c:f>
              <c:strCache>
                <c:ptCount val="1"/>
                <c:pt idx="0">
                  <c:v>West Penn</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'EX 4-TOT TRANS &amp; DIST O&amp;M EXP '!$O$17:$S$17</c:f>
              <c:strCache>
                <c:ptCount val="5"/>
                <c:pt idx="0">
                  <c:v>2010 *</c:v>
                </c:pt>
                <c:pt idx="1">
                  <c:v>2011</c:v>
                </c:pt>
                <c:pt idx="2">
                  <c:v>2012</c:v>
                </c:pt>
                <c:pt idx="3">
                  <c:v>2013</c:v>
                </c:pt>
                <c:pt idx="4">
                  <c:v>2014</c:v>
                </c:pt>
              </c:strCache>
            </c:strRef>
          </c:cat>
          <c:val>
            <c:numRef>
              <c:f>'EX 4-TOT TRANS &amp; DIST O&amp;M EXP '!$O$22:$S$22</c:f>
              <c:numCache>
                <c:formatCode>"$"#,##0.00</c:formatCode>
                <c:ptCount val="5"/>
                <c:pt idx="0">
                  <c:v>157.66999999999999</c:v>
                </c:pt>
                <c:pt idx="1">
                  <c:v>96.89</c:v>
                </c:pt>
                <c:pt idx="2">
                  <c:v>69.290000000000006</c:v>
                </c:pt>
                <c:pt idx="3">
                  <c:v>103.92</c:v>
                </c:pt>
                <c:pt idx="4">
                  <c:v>115.33</c:v>
                </c:pt>
              </c:numCache>
            </c:numRef>
          </c:val>
        </c:ser>
        <c:ser>
          <c:idx val="6"/>
          <c:order val="5"/>
          <c:tx>
            <c:strRef>
              <c:f>'EX 4-TOT TRANS &amp; DIST O&amp;M EXP '!$N$23</c:f>
              <c:strCache>
                <c:ptCount val="1"/>
                <c:pt idx="0">
                  <c:v>Panel Average</c:v>
                </c:pt>
              </c:strCache>
            </c:strRef>
          </c:tx>
          <c:spPr>
            <a:ln w="28575" cap="rnd">
              <a:solidFill>
                <a:schemeClr val="accent1">
                  <a:lumMod val="60000"/>
                </a:schemeClr>
              </a:solidFill>
              <a:prstDash val="sysDot"/>
              <a:round/>
            </a:ln>
            <a:effectLst/>
          </c:spPr>
          <c:marker>
            <c:symbol val="circle"/>
            <c:size val="5"/>
            <c:spPr>
              <a:solidFill>
                <a:schemeClr val="accent1">
                  <a:lumMod val="60000"/>
                </a:schemeClr>
              </a:solidFill>
              <a:ln w="9525">
                <a:solidFill>
                  <a:schemeClr val="accent1">
                    <a:lumMod val="60000"/>
                  </a:schemeClr>
                </a:solidFill>
              </a:ln>
              <a:effectLst/>
            </c:spPr>
          </c:marker>
          <c:cat>
            <c:strRef>
              <c:f>'EX 4-TOT TRANS &amp; DIST O&amp;M EXP '!$O$17:$S$17</c:f>
              <c:strCache>
                <c:ptCount val="5"/>
                <c:pt idx="0">
                  <c:v>2010 *</c:v>
                </c:pt>
                <c:pt idx="1">
                  <c:v>2011</c:v>
                </c:pt>
                <c:pt idx="2">
                  <c:v>2012</c:v>
                </c:pt>
                <c:pt idx="3">
                  <c:v>2013</c:v>
                </c:pt>
                <c:pt idx="4">
                  <c:v>2014</c:v>
                </c:pt>
              </c:strCache>
            </c:strRef>
          </c:cat>
          <c:val>
            <c:numRef>
              <c:f>'EX 4-TOT TRANS &amp; DIST O&amp;M EXP '!$O$23:$S$23</c:f>
              <c:numCache>
                <c:formatCode>"$"#,##0.00</c:formatCode>
                <c:ptCount val="5"/>
                <c:pt idx="0">
                  <c:v>280.39999999999969</c:v>
                </c:pt>
                <c:pt idx="1">
                  <c:v>119.35</c:v>
                </c:pt>
                <c:pt idx="2">
                  <c:v>122.3</c:v>
                </c:pt>
                <c:pt idx="3">
                  <c:v>121.36999999999999</c:v>
                </c:pt>
                <c:pt idx="4">
                  <c:v>147.75</c:v>
                </c:pt>
              </c:numCache>
            </c:numRef>
          </c:val>
        </c:ser>
        <c:ser>
          <c:idx val="7"/>
          <c:order val="6"/>
          <c:tx>
            <c:strRef>
              <c:f>'EX 4-TOT TRANS &amp; DIST O&amp;M EXP '!$N$24</c:f>
              <c:strCache>
                <c:ptCount val="1"/>
                <c:pt idx="0">
                  <c:v>PPL</c:v>
                </c:pt>
              </c:strCache>
            </c:strRef>
          </c:tx>
          <c:spPr>
            <a:ln w="28575" cap="rnd">
              <a:solidFill>
                <a:schemeClr val="accent2">
                  <a:lumMod val="60000"/>
                </a:schemeClr>
              </a:solidFill>
              <a:prstDash val="dash"/>
              <a:round/>
            </a:ln>
            <a:effectLst/>
          </c:spPr>
          <c:marker>
            <c:symbol val="circle"/>
            <c:size val="5"/>
            <c:spPr>
              <a:solidFill>
                <a:schemeClr val="accent2">
                  <a:lumMod val="60000"/>
                </a:schemeClr>
              </a:solidFill>
              <a:ln w="9525">
                <a:solidFill>
                  <a:schemeClr val="accent2">
                    <a:lumMod val="60000"/>
                  </a:schemeClr>
                </a:solidFill>
              </a:ln>
              <a:effectLst/>
            </c:spPr>
          </c:marker>
          <c:cat>
            <c:strRef>
              <c:f>'EX 4-TOT TRANS &amp; DIST O&amp;M EXP '!$O$17:$S$17</c:f>
              <c:strCache>
                <c:ptCount val="5"/>
                <c:pt idx="0">
                  <c:v>2010 *</c:v>
                </c:pt>
                <c:pt idx="1">
                  <c:v>2011</c:v>
                </c:pt>
                <c:pt idx="2">
                  <c:v>2012</c:v>
                </c:pt>
                <c:pt idx="3">
                  <c:v>2013</c:v>
                </c:pt>
                <c:pt idx="4">
                  <c:v>2014</c:v>
                </c:pt>
              </c:strCache>
            </c:strRef>
          </c:cat>
          <c:val>
            <c:numRef>
              <c:f>'EX 4-TOT TRANS &amp; DIST O&amp;M EXP '!$O$24:$S$24</c:f>
              <c:numCache>
                <c:formatCode>"$"#,##0.00</c:formatCode>
                <c:ptCount val="5"/>
                <c:pt idx="0">
                  <c:v>181.71914740910199</c:v>
                </c:pt>
                <c:pt idx="1">
                  <c:v>178.11374332301176</c:v>
                </c:pt>
                <c:pt idx="2">
                  <c:v>190.16442068440568</c:v>
                </c:pt>
                <c:pt idx="3">
                  <c:v>199.84459532269545</c:v>
                </c:pt>
                <c:pt idx="4">
                  <c:v>210.83731846988294</c:v>
                </c:pt>
              </c:numCache>
            </c:numRef>
          </c:val>
        </c:ser>
        <c:marker val="1"/>
        <c:axId val="162448512"/>
        <c:axId val="162450432"/>
      </c:lineChart>
      <c:catAx>
        <c:axId val="16244851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2450432"/>
        <c:crosses val="autoZero"/>
        <c:auto val="1"/>
        <c:lblAlgn val="ctr"/>
        <c:lblOffset val="100"/>
      </c:catAx>
      <c:valAx>
        <c:axId val="162450432"/>
        <c:scaling>
          <c:orientation val="minMax"/>
        </c:scaling>
        <c:axPos val="l"/>
        <c:majorGridlines>
          <c:spPr>
            <a:ln w="9525" cap="flat" cmpd="sng" algn="ctr">
              <a:solidFill>
                <a:schemeClr val="tx1">
                  <a:lumMod val="15000"/>
                  <a:lumOff val="85000"/>
                </a:schemeClr>
              </a:solidFill>
              <a:round/>
            </a:ln>
            <a:effectLst/>
          </c:spPr>
        </c:majorGridlines>
        <c:numFmt formatCode="&quot;$&quot;#,##0.00" sourceLinked="1"/>
        <c:maj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24485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lang val="en-US"/>
  <c:chart>
    <c:autoTitleDeleted val="1"/>
    <c:plotArea>
      <c:layout/>
      <c:lineChart>
        <c:grouping val="standard"/>
        <c:ser>
          <c:idx val="1"/>
          <c:order val="0"/>
          <c:tx>
            <c:strRef>
              <c:f>'EX 5-TOT ADMIN &amp; GENL OP EXP'!$L$18</c:f>
              <c:strCache>
                <c:ptCount val="1"/>
                <c:pt idx="0">
                  <c:v>Duquesne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'EX 5-TOT ADMIN &amp; GENL OP EXP'!$M$17:$Q$17</c:f>
              <c:strCache>
                <c:ptCount val="5"/>
                <c:pt idx="0">
                  <c:v>2010</c:v>
                </c:pt>
                <c:pt idx="1">
                  <c:v>2011</c:v>
                </c:pt>
                <c:pt idx="2">
                  <c:v>2012</c:v>
                </c:pt>
                <c:pt idx="3">
                  <c:v>2013 *</c:v>
                </c:pt>
                <c:pt idx="4">
                  <c:v>2014</c:v>
                </c:pt>
              </c:strCache>
            </c:strRef>
          </c:cat>
          <c:val>
            <c:numRef>
              <c:f>'EX 5-TOT ADMIN &amp; GENL OP EXP'!$M$18:$Q$18</c:f>
              <c:numCache>
                <c:formatCode>"$"#,##0.00</c:formatCode>
                <c:ptCount val="5"/>
                <c:pt idx="0">
                  <c:v>103.62943923800945</c:v>
                </c:pt>
                <c:pt idx="1">
                  <c:v>130.05474209084227</c:v>
                </c:pt>
                <c:pt idx="2">
                  <c:v>144.48324375377967</c:v>
                </c:pt>
                <c:pt idx="3">
                  <c:v>153.44611803925156</c:v>
                </c:pt>
                <c:pt idx="4">
                  <c:v>156.57153775138565</c:v>
                </c:pt>
              </c:numCache>
            </c:numRef>
          </c:val>
        </c:ser>
        <c:ser>
          <c:idx val="2"/>
          <c:order val="1"/>
          <c:tx>
            <c:strRef>
              <c:f>'EX 5-TOT ADMIN &amp; GENL OP EXP'!$L$19</c:f>
              <c:strCache>
                <c:ptCount val="1"/>
                <c:pt idx="0">
                  <c:v>Met 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'EX 5-TOT ADMIN &amp; GENL OP EXP'!$M$17:$Q$17</c:f>
              <c:strCache>
                <c:ptCount val="5"/>
                <c:pt idx="0">
                  <c:v>2010</c:v>
                </c:pt>
                <c:pt idx="1">
                  <c:v>2011</c:v>
                </c:pt>
                <c:pt idx="2">
                  <c:v>2012</c:v>
                </c:pt>
                <c:pt idx="3">
                  <c:v>2013 *</c:v>
                </c:pt>
                <c:pt idx="4">
                  <c:v>2014</c:v>
                </c:pt>
              </c:strCache>
            </c:strRef>
          </c:cat>
          <c:val>
            <c:numRef>
              <c:f>'EX 5-TOT ADMIN &amp; GENL OP EXP'!$M$19:$Q$19</c:f>
              <c:numCache>
                <c:formatCode>"$"#,##0.00</c:formatCode>
                <c:ptCount val="5"/>
                <c:pt idx="0">
                  <c:v>54.215826712289051</c:v>
                </c:pt>
                <c:pt idx="1">
                  <c:v>114.28344410646514</c:v>
                </c:pt>
                <c:pt idx="2">
                  <c:v>107.10479305391168</c:v>
                </c:pt>
                <c:pt idx="3">
                  <c:v>-0.62532906836688473</c:v>
                </c:pt>
                <c:pt idx="4">
                  <c:v>133.14786992635317</c:v>
                </c:pt>
              </c:numCache>
            </c:numRef>
          </c:val>
        </c:ser>
        <c:ser>
          <c:idx val="3"/>
          <c:order val="2"/>
          <c:tx>
            <c:strRef>
              <c:f>'EX 5-TOT ADMIN &amp; GENL OP EXP'!$L$20</c:f>
              <c:strCache>
                <c:ptCount val="1"/>
                <c:pt idx="0">
                  <c:v>PECO</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'EX 5-TOT ADMIN &amp; GENL OP EXP'!$M$17:$Q$17</c:f>
              <c:strCache>
                <c:ptCount val="5"/>
                <c:pt idx="0">
                  <c:v>2010</c:v>
                </c:pt>
                <c:pt idx="1">
                  <c:v>2011</c:v>
                </c:pt>
                <c:pt idx="2">
                  <c:v>2012</c:v>
                </c:pt>
                <c:pt idx="3">
                  <c:v>2013 *</c:v>
                </c:pt>
                <c:pt idx="4">
                  <c:v>2014</c:v>
                </c:pt>
              </c:strCache>
            </c:strRef>
          </c:cat>
          <c:val>
            <c:numRef>
              <c:f>'EX 5-TOT ADMIN &amp; GENL OP EXP'!$M$20:$Q$20</c:f>
              <c:numCache>
                <c:formatCode>"$"#,##0.00</c:formatCode>
                <c:ptCount val="5"/>
                <c:pt idx="0">
                  <c:v>92.389191969733332</c:v>
                </c:pt>
                <c:pt idx="1">
                  <c:v>103.64311654053175</c:v>
                </c:pt>
                <c:pt idx="2">
                  <c:v>117.68225489941381</c:v>
                </c:pt>
                <c:pt idx="3">
                  <c:v>103.91440777219397</c:v>
                </c:pt>
                <c:pt idx="4">
                  <c:v>102.51439630098625</c:v>
                </c:pt>
              </c:numCache>
            </c:numRef>
          </c:val>
        </c:ser>
        <c:ser>
          <c:idx val="4"/>
          <c:order val="3"/>
          <c:tx>
            <c:strRef>
              <c:f>'EX 5-TOT ADMIN &amp; GENL OP EXP'!$L$21</c:f>
              <c:strCache>
                <c:ptCount val="1"/>
                <c:pt idx="0">
                  <c:v>Penelec</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'EX 5-TOT ADMIN &amp; GENL OP EXP'!$M$17:$Q$17</c:f>
              <c:strCache>
                <c:ptCount val="5"/>
                <c:pt idx="0">
                  <c:v>2010</c:v>
                </c:pt>
                <c:pt idx="1">
                  <c:v>2011</c:v>
                </c:pt>
                <c:pt idx="2">
                  <c:v>2012</c:v>
                </c:pt>
                <c:pt idx="3">
                  <c:v>2013 *</c:v>
                </c:pt>
                <c:pt idx="4">
                  <c:v>2014</c:v>
                </c:pt>
              </c:strCache>
            </c:strRef>
          </c:cat>
          <c:val>
            <c:numRef>
              <c:f>'EX 5-TOT ADMIN &amp; GENL OP EXP'!$M$21:$Q$21</c:f>
              <c:numCache>
                <c:formatCode>"$"#,##0.00</c:formatCode>
                <c:ptCount val="5"/>
                <c:pt idx="0">
                  <c:v>32.28215382841806</c:v>
                </c:pt>
                <c:pt idx="1">
                  <c:v>111.11553105141844</c:v>
                </c:pt>
                <c:pt idx="2">
                  <c:v>89.944724811494382</c:v>
                </c:pt>
                <c:pt idx="3">
                  <c:v>-8.4060149100274568</c:v>
                </c:pt>
                <c:pt idx="4">
                  <c:v>140.54143737459407</c:v>
                </c:pt>
              </c:numCache>
            </c:numRef>
          </c:val>
        </c:ser>
        <c:ser>
          <c:idx val="5"/>
          <c:order val="4"/>
          <c:tx>
            <c:strRef>
              <c:f>'EX 5-TOT ADMIN &amp; GENL OP EXP'!$L$22</c:f>
              <c:strCache>
                <c:ptCount val="1"/>
                <c:pt idx="0">
                  <c:v>West Penn</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'EX 5-TOT ADMIN &amp; GENL OP EXP'!$M$17:$Q$17</c:f>
              <c:strCache>
                <c:ptCount val="5"/>
                <c:pt idx="0">
                  <c:v>2010</c:v>
                </c:pt>
                <c:pt idx="1">
                  <c:v>2011</c:v>
                </c:pt>
                <c:pt idx="2">
                  <c:v>2012</c:v>
                </c:pt>
                <c:pt idx="3">
                  <c:v>2013 *</c:v>
                </c:pt>
                <c:pt idx="4">
                  <c:v>2014</c:v>
                </c:pt>
              </c:strCache>
            </c:strRef>
          </c:cat>
          <c:val>
            <c:numRef>
              <c:f>'EX 5-TOT ADMIN &amp; GENL OP EXP'!$M$22:$Q$22</c:f>
              <c:numCache>
                <c:formatCode>"$"#,##0.00</c:formatCode>
                <c:ptCount val="5"/>
                <c:pt idx="0">
                  <c:v>85.043473889413335</c:v>
                </c:pt>
                <c:pt idx="1">
                  <c:v>91.633823572467179</c:v>
                </c:pt>
                <c:pt idx="2">
                  <c:v>108.7326721784995</c:v>
                </c:pt>
                <c:pt idx="3">
                  <c:v>35.187444107347176</c:v>
                </c:pt>
                <c:pt idx="4">
                  <c:v>126.06878868356409</c:v>
                </c:pt>
              </c:numCache>
            </c:numRef>
          </c:val>
        </c:ser>
        <c:ser>
          <c:idx val="6"/>
          <c:order val="5"/>
          <c:tx>
            <c:strRef>
              <c:f>'EX 5-TOT ADMIN &amp; GENL OP EXP'!$L$23</c:f>
              <c:strCache>
                <c:ptCount val="1"/>
                <c:pt idx="0">
                  <c:v>Panel Average</c:v>
                </c:pt>
              </c:strCache>
            </c:strRef>
          </c:tx>
          <c:spPr>
            <a:ln w="28575" cap="rnd">
              <a:solidFill>
                <a:schemeClr val="accent1">
                  <a:lumMod val="60000"/>
                </a:schemeClr>
              </a:solidFill>
              <a:prstDash val="sysDot"/>
              <a:round/>
            </a:ln>
            <a:effectLst/>
          </c:spPr>
          <c:marker>
            <c:symbol val="circle"/>
            <c:size val="5"/>
            <c:spPr>
              <a:solidFill>
                <a:schemeClr val="accent1">
                  <a:lumMod val="60000"/>
                </a:schemeClr>
              </a:solidFill>
              <a:ln w="9525">
                <a:solidFill>
                  <a:schemeClr val="accent1">
                    <a:lumMod val="60000"/>
                  </a:schemeClr>
                </a:solidFill>
              </a:ln>
              <a:effectLst/>
            </c:spPr>
          </c:marker>
          <c:cat>
            <c:strRef>
              <c:f>'EX 5-TOT ADMIN &amp; GENL OP EXP'!$M$17:$Q$17</c:f>
              <c:strCache>
                <c:ptCount val="5"/>
                <c:pt idx="0">
                  <c:v>2010</c:v>
                </c:pt>
                <c:pt idx="1">
                  <c:v>2011</c:v>
                </c:pt>
                <c:pt idx="2">
                  <c:v>2012</c:v>
                </c:pt>
                <c:pt idx="3">
                  <c:v>2013 *</c:v>
                </c:pt>
                <c:pt idx="4">
                  <c:v>2014</c:v>
                </c:pt>
              </c:strCache>
            </c:strRef>
          </c:cat>
          <c:val>
            <c:numRef>
              <c:f>'EX 5-TOT ADMIN &amp; GENL OP EXP'!$M$23:$Q$23</c:f>
              <c:numCache>
                <c:formatCode>"$"#,##0.00</c:formatCode>
                <c:ptCount val="5"/>
                <c:pt idx="0">
                  <c:v>73.512017127572648</c:v>
                </c:pt>
                <c:pt idx="1">
                  <c:v>110.14613147234506</c:v>
                </c:pt>
                <c:pt idx="2">
                  <c:v>113.58953773941973</c:v>
                </c:pt>
                <c:pt idx="3">
                  <c:v>56.70332518807983</c:v>
                </c:pt>
                <c:pt idx="4">
                  <c:v>131.76880600737667</c:v>
                </c:pt>
              </c:numCache>
            </c:numRef>
          </c:val>
        </c:ser>
        <c:ser>
          <c:idx val="7"/>
          <c:order val="6"/>
          <c:tx>
            <c:strRef>
              <c:f>'EX 5-TOT ADMIN &amp; GENL OP EXP'!$L$24</c:f>
              <c:strCache>
                <c:ptCount val="1"/>
                <c:pt idx="0">
                  <c:v>PPL</c:v>
                </c:pt>
              </c:strCache>
            </c:strRef>
          </c:tx>
          <c:spPr>
            <a:ln w="28575" cap="rnd">
              <a:solidFill>
                <a:schemeClr val="accent2">
                  <a:lumMod val="60000"/>
                </a:schemeClr>
              </a:solidFill>
              <a:prstDash val="dash"/>
              <a:round/>
            </a:ln>
            <a:effectLst/>
          </c:spPr>
          <c:marker>
            <c:symbol val="circle"/>
            <c:size val="5"/>
            <c:spPr>
              <a:solidFill>
                <a:schemeClr val="accent2">
                  <a:lumMod val="60000"/>
                </a:schemeClr>
              </a:solidFill>
              <a:ln w="9525">
                <a:solidFill>
                  <a:schemeClr val="accent2">
                    <a:lumMod val="60000"/>
                  </a:schemeClr>
                </a:solidFill>
              </a:ln>
              <a:effectLst/>
            </c:spPr>
          </c:marker>
          <c:cat>
            <c:strRef>
              <c:f>'EX 5-TOT ADMIN &amp; GENL OP EXP'!$M$17:$Q$17</c:f>
              <c:strCache>
                <c:ptCount val="5"/>
                <c:pt idx="0">
                  <c:v>2010</c:v>
                </c:pt>
                <c:pt idx="1">
                  <c:v>2011</c:v>
                </c:pt>
                <c:pt idx="2">
                  <c:v>2012</c:v>
                </c:pt>
                <c:pt idx="3">
                  <c:v>2013 *</c:v>
                </c:pt>
                <c:pt idx="4">
                  <c:v>2014</c:v>
                </c:pt>
              </c:strCache>
            </c:strRef>
          </c:cat>
          <c:val>
            <c:numRef>
              <c:f>'EX 5-TOT ADMIN &amp; GENL OP EXP'!$M$24:$Q$24</c:f>
              <c:numCache>
                <c:formatCode>"$"#,##0.00</c:formatCode>
                <c:ptCount val="5"/>
                <c:pt idx="0">
                  <c:v>106.81757163129069</c:v>
                </c:pt>
                <c:pt idx="1">
                  <c:v>90.344693205802045</c:v>
                </c:pt>
                <c:pt idx="2">
                  <c:v>113.23645250175724</c:v>
                </c:pt>
                <c:pt idx="3">
                  <c:v>99.642440285958173</c:v>
                </c:pt>
                <c:pt idx="4">
                  <c:v>96.629420835934539</c:v>
                </c:pt>
              </c:numCache>
            </c:numRef>
          </c:val>
        </c:ser>
        <c:marker val="1"/>
        <c:axId val="162512896"/>
        <c:axId val="162514816"/>
      </c:lineChart>
      <c:catAx>
        <c:axId val="16251289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2514816"/>
        <c:crosses val="autoZero"/>
        <c:auto val="1"/>
        <c:lblAlgn val="ctr"/>
        <c:lblOffset val="100"/>
      </c:catAx>
      <c:valAx>
        <c:axId val="162514816"/>
        <c:scaling>
          <c:orientation val="minMax"/>
        </c:scaling>
        <c:axPos val="l"/>
        <c:majorGridlines>
          <c:spPr>
            <a:ln w="9525" cap="flat" cmpd="sng" algn="ctr">
              <a:solidFill>
                <a:schemeClr val="tx1">
                  <a:lumMod val="15000"/>
                  <a:lumOff val="85000"/>
                </a:schemeClr>
              </a:solidFill>
              <a:round/>
            </a:ln>
            <a:effectLst/>
          </c:spPr>
        </c:majorGridlines>
        <c:numFmt formatCode="&quot;$&quot;#,##0.00" sourceLinked="1"/>
        <c:maj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25128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1"/>
          <c:order val="0"/>
          <c:tx>
            <c:strRef>
              <c:f>'EX 6-AGG CUST SVC EXP'!$L$18</c:f>
              <c:strCache>
                <c:ptCount val="1"/>
                <c:pt idx="0">
                  <c:v>Duquesne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'EX 6-AGG CUST SVC EXP'!$M$17:$Q$17</c:f>
              <c:numCache>
                <c:formatCode>General</c:formatCode>
                <c:ptCount val="5"/>
                <c:pt idx="0">
                  <c:v>2010</c:v>
                </c:pt>
                <c:pt idx="1">
                  <c:v>2011</c:v>
                </c:pt>
                <c:pt idx="2">
                  <c:v>2012</c:v>
                </c:pt>
                <c:pt idx="3">
                  <c:v>2013</c:v>
                </c:pt>
                <c:pt idx="4">
                  <c:v>2014</c:v>
                </c:pt>
              </c:numCache>
            </c:numRef>
          </c:cat>
          <c:val>
            <c:numRef>
              <c:f>'EX 6-AGG CUST SVC EXP'!$M$18:$Q$18</c:f>
              <c:numCache>
                <c:formatCode>"$"#,##0.00</c:formatCode>
                <c:ptCount val="5"/>
                <c:pt idx="0">
                  <c:v>92.995206900428215</c:v>
                </c:pt>
                <c:pt idx="1">
                  <c:v>81.522530249655389</c:v>
                </c:pt>
                <c:pt idx="2">
                  <c:v>79.036080968138677</c:v>
                </c:pt>
                <c:pt idx="3">
                  <c:v>83.587929790326427</c:v>
                </c:pt>
                <c:pt idx="4">
                  <c:v>84.280085962307794</c:v>
                </c:pt>
              </c:numCache>
            </c:numRef>
          </c:val>
        </c:ser>
        <c:ser>
          <c:idx val="2"/>
          <c:order val="1"/>
          <c:tx>
            <c:strRef>
              <c:f>'EX 6-AGG CUST SVC EXP'!$L$19</c:f>
              <c:strCache>
                <c:ptCount val="1"/>
                <c:pt idx="0">
                  <c:v>Met 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'EX 6-AGG CUST SVC EXP'!$M$17:$Q$17</c:f>
              <c:numCache>
                <c:formatCode>General</c:formatCode>
                <c:ptCount val="5"/>
                <c:pt idx="0">
                  <c:v>2010</c:v>
                </c:pt>
                <c:pt idx="1">
                  <c:v>2011</c:v>
                </c:pt>
                <c:pt idx="2">
                  <c:v>2012</c:v>
                </c:pt>
                <c:pt idx="3">
                  <c:v>2013</c:v>
                </c:pt>
                <c:pt idx="4">
                  <c:v>2014</c:v>
                </c:pt>
              </c:numCache>
            </c:numRef>
          </c:cat>
          <c:val>
            <c:numRef>
              <c:f>'EX 6-AGG CUST SVC EXP'!$M$19:$Q$19</c:f>
              <c:numCache>
                <c:formatCode>"$"#,##0.00</c:formatCode>
                <c:ptCount val="5"/>
                <c:pt idx="0">
                  <c:v>104.4467881894102</c:v>
                </c:pt>
                <c:pt idx="1">
                  <c:v>134.68640919528605</c:v>
                </c:pt>
                <c:pt idx="2">
                  <c:v>136.52476757528407</c:v>
                </c:pt>
                <c:pt idx="3">
                  <c:v>120.59052174916533</c:v>
                </c:pt>
                <c:pt idx="4">
                  <c:v>110.84411141674917</c:v>
                </c:pt>
              </c:numCache>
            </c:numRef>
          </c:val>
        </c:ser>
        <c:ser>
          <c:idx val="3"/>
          <c:order val="2"/>
          <c:tx>
            <c:strRef>
              <c:f>'EX 6-AGG CUST SVC EXP'!$L$20</c:f>
              <c:strCache>
                <c:ptCount val="1"/>
                <c:pt idx="0">
                  <c:v>PECO</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'EX 6-AGG CUST SVC EXP'!$M$17:$Q$17</c:f>
              <c:numCache>
                <c:formatCode>General</c:formatCode>
                <c:ptCount val="5"/>
                <c:pt idx="0">
                  <c:v>2010</c:v>
                </c:pt>
                <c:pt idx="1">
                  <c:v>2011</c:v>
                </c:pt>
                <c:pt idx="2">
                  <c:v>2012</c:v>
                </c:pt>
                <c:pt idx="3">
                  <c:v>2013</c:v>
                </c:pt>
                <c:pt idx="4">
                  <c:v>2014</c:v>
                </c:pt>
              </c:numCache>
            </c:numRef>
          </c:cat>
          <c:val>
            <c:numRef>
              <c:f>'EX 6-AGG CUST SVC EXP'!$M$20:$Q$20</c:f>
              <c:numCache>
                <c:formatCode>"$"#,##0.00</c:formatCode>
                <c:ptCount val="5"/>
                <c:pt idx="0">
                  <c:v>140.84257042055742</c:v>
                </c:pt>
                <c:pt idx="1">
                  <c:v>147.15718854671226</c:v>
                </c:pt>
                <c:pt idx="2">
                  <c:v>146.05812384876708</c:v>
                </c:pt>
                <c:pt idx="3">
                  <c:v>136.22977423801589</c:v>
                </c:pt>
                <c:pt idx="4">
                  <c:v>134.70524332936378</c:v>
                </c:pt>
              </c:numCache>
            </c:numRef>
          </c:val>
        </c:ser>
        <c:ser>
          <c:idx val="4"/>
          <c:order val="3"/>
          <c:tx>
            <c:strRef>
              <c:f>'EX 6-AGG CUST SVC EXP'!$L$21</c:f>
              <c:strCache>
                <c:ptCount val="1"/>
                <c:pt idx="0">
                  <c:v>Penelec</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'EX 6-AGG CUST SVC EXP'!$M$17:$Q$17</c:f>
              <c:numCache>
                <c:formatCode>General</c:formatCode>
                <c:ptCount val="5"/>
                <c:pt idx="0">
                  <c:v>2010</c:v>
                </c:pt>
                <c:pt idx="1">
                  <c:v>2011</c:v>
                </c:pt>
                <c:pt idx="2">
                  <c:v>2012</c:v>
                </c:pt>
                <c:pt idx="3">
                  <c:v>2013</c:v>
                </c:pt>
                <c:pt idx="4">
                  <c:v>2014</c:v>
                </c:pt>
              </c:numCache>
            </c:numRef>
          </c:cat>
          <c:val>
            <c:numRef>
              <c:f>'EX 6-AGG CUST SVC EXP'!$M$21:$Q$21</c:f>
              <c:numCache>
                <c:formatCode>"$"#,##0.00</c:formatCode>
                <c:ptCount val="5"/>
                <c:pt idx="0">
                  <c:v>98.059172470382379</c:v>
                </c:pt>
                <c:pt idx="1">
                  <c:v>123.20379173443263</c:v>
                </c:pt>
                <c:pt idx="2">
                  <c:v>124.6816328953953</c:v>
                </c:pt>
                <c:pt idx="3">
                  <c:v>114.9267749345945</c:v>
                </c:pt>
                <c:pt idx="4">
                  <c:v>101.54297155730588</c:v>
                </c:pt>
              </c:numCache>
            </c:numRef>
          </c:val>
        </c:ser>
        <c:ser>
          <c:idx val="5"/>
          <c:order val="4"/>
          <c:tx>
            <c:strRef>
              <c:f>'EX 6-AGG CUST SVC EXP'!$L$22</c:f>
              <c:strCache>
                <c:ptCount val="1"/>
                <c:pt idx="0">
                  <c:v>West Penn</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'EX 6-AGG CUST SVC EXP'!$M$17:$Q$17</c:f>
              <c:numCache>
                <c:formatCode>General</c:formatCode>
                <c:ptCount val="5"/>
                <c:pt idx="0">
                  <c:v>2010</c:v>
                </c:pt>
                <c:pt idx="1">
                  <c:v>2011</c:v>
                </c:pt>
                <c:pt idx="2">
                  <c:v>2012</c:v>
                </c:pt>
                <c:pt idx="3">
                  <c:v>2013</c:v>
                </c:pt>
                <c:pt idx="4">
                  <c:v>2014</c:v>
                </c:pt>
              </c:numCache>
            </c:numRef>
          </c:cat>
          <c:val>
            <c:numRef>
              <c:f>'EX 6-AGG CUST SVC EXP'!$M$22:$Q$22</c:f>
              <c:numCache>
                <c:formatCode>"$"#,##0.00</c:formatCode>
                <c:ptCount val="5"/>
                <c:pt idx="0">
                  <c:v>53.548385159780345</c:v>
                </c:pt>
                <c:pt idx="1">
                  <c:v>74.417741461014074</c:v>
                </c:pt>
                <c:pt idx="2">
                  <c:v>69.207230579325127</c:v>
                </c:pt>
                <c:pt idx="3">
                  <c:v>67.430810119599684</c:v>
                </c:pt>
                <c:pt idx="4">
                  <c:v>68.209710755280952</c:v>
                </c:pt>
              </c:numCache>
            </c:numRef>
          </c:val>
        </c:ser>
        <c:ser>
          <c:idx val="6"/>
          <c:order val="5"/>
          <c:tx>
            <c:strRef>
              <c:f>'EX 6-AGG CUST SVC EXP'!$L$23</c:f>
              <c:strCache>
                <c:ptCount val="1"/>
                <c:pt idx="0">
                  <c:v>Panel Average</c:v>
                </c:pt>
              </c:strCache>
            </c:strRef>
          </c:tx>
          <c:spPr>
            <a:ln w="28575" cap="rnd">
              <a:solidFill>
                <a:schemeClr val="accent1">
                  <a:lumMod val="60000"/>
                </a:schemeClr>
              </a:solidFill>
              <a:prstDash val="sysDot"/>
              <a:round/>
            </a:ln>
            <a:effectLst/>
          </c:spPr>
          <c:marker>
            <c:symbol val="circle"/>
            <c:size val="5"/>
            <c:spPr>
              <a:solidFill>
                <a:schemeClr val="accent1">
                  <a:lumMod val="60000"/>
                </a:schemeClr>
              </a:solidFill>
              <a:ln w="9525">
                <a:solidFill>
                  <a:schemeClr val="accent1">
                    <a:lumMod val="60000"/>
                  </a:schemeClr>
                </a:solidFill>
              </a:ln>
              <a:effectLst/>
            </c:spPr>
          </c:marker>
          <c:cat>
            <c:numRef>
              <c:f>'EX 6-AGG CUST SVC EXP'!$M$17:$Q$17</c:f>
              <c:numCache>
                <c:formatCode>General</c:formatCode>
                <c:ptCount val="5"/>
                <c:pt idx="0">
                  <c:v>2010</c:v>
                </c:pt>
                <c:pt idx="1">
                  <c:v>2011</c:v>
                </c:pt>
                <c:pt idx="2">
                  <c:v>2012</c:v>
                </c:pt>
                <c:pt idx="3">
                  <c:v>2013</c:v>
                </c:pt>
                <c:pt idx="4">
                  <c:v>2014</c:v>
                </c:pt>
              </c:numCache>
            </c:numRef>
          </c:cat>
          <c:val>
            <c:numRef>
              <c:f>'EX 6-AGG CUST SVC EXP'!$M$23:$Q$23</c:f>
              <c:numCache>
                <c:formatCode>"$"#,##0.00</c:formatCode>
                <c:ptCount val="5"/>
                <c:pt idx="0">
                  <c:v>97.978424628111767</c:v>
                </c:pt>
                <c:pt idx="1">
                  <c:v>112.19753223741982</c:v>
                </c:pt>
                <c:pt idx="2">
                  <c:v>111.1015671733818</c:v>
                </c:pt>
                <c:pt idx="3">
                  <c:v>104.55316216634046</c:v>
                </c:pt>
                <c:pt idx="4">
                  <c:v>99.916424604201751</c:v>
                </c:pt>
              </c:numCache>
            </c:numRef>
          </c:val>
        </c:ser>
        <c:ser>
          <c:idx val="7"/>
          <c:order val="6"/>
          <c:tx>
            <c:strRef>
              <c:f>'EX 6-AGG CUST SVC EXP'!$L$24</c:f>
              <c:strCache>
                <c:ptCount val="1"/>
                <c:pt idx="0">
                  <c:v>PPL</c:v>
                </c:pt>
              </c:strCache>
            </c:strRef>
          </c:tx>
          <c:spPr>
            <a:ln w="28575" cap="rnd">
              <a:solidFill>
                <a:schemeClr val="accent2">
                  <a:lumMod val="60000"/>
                </a:schemeClr>
              </a:solidFill>
              <a:prstDash val="dash"/>
              <a:round/>
            </a:ln>
            <a:effectLst/>
          </c:spPr>
          <c:marker>
            <c:symbol val="circle"/>
            <c:size val="5"/>
            <c:spPr>
              <a:solidFill>
                <a:schemeClr val="accent2">
                  <a:lumMod val="60000"/>
                </a:schemeClr>
              </a:solidFill>
              <a:ln w="9525">
                <a:solidFill>
                  <a:schemeClr val="accent2">
                    <a:lumMod val="60000"/>
                  </a:schemeClr>
                </a:solidFill>
              </a:ln>
              <a:effectLst/>
            </c:spPr>
          </c:marker>
          <c:cat>
            <c:numRef>
              <c:f>'EX 6-AGG CUST SVC EXP'!$M$17:$Q$17</c:f>
              <c:numCache>
                <c:formatCode>General</c:formatCode>
                <c:ptCount val="5"/>
                <c:pt idx="0">
                  <c:v>2010</c:v>
                </c:pt>
                <c:pt idx="1">
                  <c:v>2011</c:v>
                </c:pt>
                <c:pt idx="2">
                  <c:v>2012</c:v>
                </c:pt>
                <c:pt idx="3">
                  <c:v>2013</c:v>
                </c:pt>
                <c:pt idx="4">
                  <c:v>2014</c:v>
                </c:pt>
              </c:numCache>
            </c:numRef>
          </c:cat>
          <c:val>
            <c:numRef>
              <c:f>'EX 6-AGG CUST SVC EXP'!$M$24:$Q$24</c:f>
              <c:numCache>
                <c:formatCode>"$"#,##0.00</c:formatCode>
                <c:ptCount val="5"/>
                <c:pt idx="0">
                  <c:v>112.08295396091923</c:v>
                </c:pt>
                <c:pt idx="1">
                  <c:v>135.33495596874081</c:v>
                </c:pt>
                <c:pt idx="2">
                  <c:v>131.59462016117592</c:v>
                </c:pt>
                <c:pt idx="3">
                  <c:v>112.73416298254033</c:v>
                </c:pt>
                <c:pt idx="4">
                  <c:v>122.04374399436612</c:v>
                </c:pt>
              </c:numCache>
            </c:numRef>
          </c:val>
        </c:ser>
        <c:marker val="1"/>
        <c:axId val="162556544"/>
        <c:axId val="162579200"/>
      </c:lineChart>
      <c:catAx>
        <c:axId val="16255654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2579200"/>
        <c:crosses val="autoZero"/>
        <c:auto val="1"/>
        <c:lblAlgn val="ctr"/>
        <c:lblOffset val="100"/>
      </c:catAx>
      <c:valAx>
        <c:axId val="162579200"/>
        <c:scaling>
          <c:orientation val="minMax"/>
        </c:scaling>
        <c:axPos val="l"/>
        <c:majorGridlines>
          <c:spPr>
            <a:ln w="9525" cap="flat" cmpd="sng" algn="ctr">
              <a:solidFill>
                <a:schemeClr val="tx1">
                  <a:lumMod val="15000"/>
                  <a:lumOff val="85000"/>
                </a:schemeClr>
              </a:solidFill>
              <a:round/>
            </a:ln>
            <a:effectLst/>
          </c:spPr>
        </c:majorGridlines>
        <c:numFmt formatCode="&quot;$&quot;#,##0.00" sourceLinked="1"/>
        <c:maj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25565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1"/>
          <c:order val="0"/>
          <c:tx>
            <c:strRef>
              <c:f>'EX 7-CUST ASST EXP'!$L$18</c:f>
              <c:strCache>
                <c:ptCount val="1"/>
                <c:pt idx="0">
                  <c:v>Duquesne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'EX 7-CUST ASST EXP'!$M$17:$Q$17</c:f>
              <c:numCache>
                <c:formatCode>General</c:formatCode>
                <c:ptCount val="5"/>
                <c:pt idx="0">
                  <c:v>2010</c:v>
                </c:pt>
                <c:pt idx="1">
                  <c:v>2011</c:v>
                </c:pt>
                <c:pt idx="2">
                  <c:v>2012</c:v>
                </c:pt>
                <c:pt idx="3">
                  <c:v>2013</c:v>
                </c:pt>
                <c:pt idx="4">
                  <c:v>2014</c:v>
                </c:pt>
              </c:numCache>
            </c:numRef>
          </c:cat>
          <c:val>
            <c:numRef>
              <c:f>'EX 7-CUST ASST EXP'!$M$18:$Q$18</c:f>
              <c:numCache>
                <c:formatCode>"$"#,##0.00</c:formatCode>
                <c:ptCount val="5"/>
                <c:pt idx="0">
                  <c:v>46.600988938739007</c:v>
                </c:pt>
                <c:pt idx="1">
                  <c:v>41.513519871306478</c:v>
                </c:pt>
                <c:pt idx="2">
                  <c:v>42.449954373379349</c:v>
                </c:pt>
                <c:pt idx="3">
                  <c:v>52.359537392985168</c:v>
                </c:pt>
                <c:pt idx="4">
                  <c:v>46.22664968189487</c:v>
                </c:pt>
              </c:numCache>
            </c:numRef>
          </c:val>
        </c:ser>
        <c:ser>
          <c:idx val="2"/>
          <c:order val="1"/>
          <c:tx>
            <c:strRef>
              <c:f>'EX 7-CUST ASST EXP'!$L$19</c:f>
              <c:strCache>
                <c:ptCount val="1"/>
                <c:pt idx="0">
                  <c:v>Met 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'EX 7-CUST ASST EXP'!$M$17:$Q$17</c:f>
              <c:numCache>
                <c:formatCode>General</c:formatCode>
                <c:ptCount val="5"/>
                <c:pt idx="0">
                  <c:v>2010</c:v>
                </c:pt>
                <c:pt idx="1">
                  <c:v>2011</c:v>
                </c:pt>
                <c:pt idx="2">
                  <c:v>2012</c:v>
                </c:pt>
                <c:pt idx="3">
                  <c:v>2013</c:v>
                </c:pt>
                <c:pt idx="4">
                  <c:v>2014</c:v>
                </c:pt>
              </c:numCache>
            </c:numRef>
          </c:cat>
          <c:val>
            <c:numRef>
              <c:f>'EX 7-CUST ASST EXP'!$M$19:$Q$19</c:f>
              <c:numCache>
                <c:formatCode>"$"#,##0.00</c:formatCode>
                <c:ptCount val="5"/>
                <c:pt idx="0">
                  <c:v>55.968818868526363</c:v>
                </c:pt>
                <c:pt idx="1">
                  <c:v>83.301157553593484</c:v>
                </c:pt>
                <c:pt idx="2">
                  <c:v>82.90425456943845</c:v>
                </c:pt>
                <c:pt idx="3">
                  <c:v>65.851758757726145</c:v>
                </c:pt>
                <c:pt idx="4">
                  <c:v>54.450474956744415</c:v>
                </c:pt>
              </c:numCache>
            </c:numRef>
          </c:val>
        </c:ser>
        <c:ser>
          <c:idx val="3"/>
          <c:order val="2"/>
          <c:tx>
            <c:strRef>
              <c:f>'EX 7-CUST ASST EXP'!$L$20</c:f>
              <c:strCache>
                <c:ptCount val="1"/>
                <c:pt idx="0">
                  <c:v>PECO</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'EX 7-CUST ASST EXP'!$M$17:$Q$17</c:f>
              <c:numCache>
                <c:formatCode>General</c:formatCode>
                <c:ptCount val="5"/>
                <c:pt idx="0">
                  <c:v>2010</c:v>
                </c:pt>
                <c:pt idx="1">
                  <c:v>2011</c:v>
                </c:pt>
                <c:pt idx="2">
                  <c:v>2012</c:v>
                </c:pt>
                <c:pt idx="3">
                  <c:v>2013</c:v>
                </c:pt>
                <c:pt idx="4">
                  <c:v>2014</c:v>
                </c:pt>
              </c:numCache>
            </c:numRef>
          </c:cat>
          <c:val>
            <c:numRef>
              <c:f>'EX 7-CUST ASST EXP'!$M$20:$Q$20</c:f>
              <c:numCache>
                <c:formatCode>"$"#,##0.00</c:formatCode>
                <c:ptCount val="5"/>
                <c:pt idx="0">
                  <c:v>37.869016741635555</c:v>
                </c:pt>
                <c:pt idx="1">
                  <c:v>38.79021789404667</c:v>
                </c:pt>
                <c:pt idx="2">
                  <c:v>43.203616273993326</c:v>
                </c:pt>
                <c:pt idx="3">
                  <c:v>37.222975906881445</c:v>
                </c:pt>
                <c:pt idx="4">
                  <c:v>47.582644965852978</c:v>
                </c:pt>
              </c:numCache>
            </c:numRef>
          </c:val>
        </c:ser>
        <c:ser>
          <c:idx val="4"/>
          <c:order val="3"/>
          <c:tx>
            <c:strRef>
              <c:f>'EX 7-CUST ASST EXP'!$L$21</c:f>
              <c:strCache>
                <c:ptCount val="1"/>
                <c:pt idx="0">
                  <c:v>Penelec</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'EX 7-CUST ASST EXP'!$M$17:$Q$17</c:f>
              <c:numCache>
                <c:formatCode>General</c:formatCode>
                <c:ptCount val="5"/>
                <c:pt idx="0">
                  <c:v>2010</c:v>
                </c:pt>
                <c:pt idx="1">
                  <c:v>2011</c:v>
                </c:pt>
                <c:pt idx="2">
                  <c:v>2012</c:v>
                </c:pt>
                <c:pt idx="3">
                  <c:v>2013</c:v>
                </c:pt>
                <c:pt idx="4">
                  <c:v>2014</c:v>
                </c:pt>
              </c:numCache>
            </c:numRef>
          </c:cat>
          <c:val>
            <c:numRef>
              <c:f>'EX 7-CUST ASST EXP'!$M$21:$Q$21</c:f>
              <c:numCache>
                <c:formatCode>"$"#,##0.00</c:formatCode>
                <c:ptCount val="5"/>
                <c:pt idx="0">
                  <c:v>57.819066477692495</c:v>
                </c:pt>
                <c:pt idx="1">
                  <c:v>79.972610917305317</c:v>
                </c:pt>
                <c:pt idx="2">
                  <c:v>79.833521344178592</c:v>
                </c:pt>
                <c:pt idx="3">
                  <c:v>66.495829671429703</c:v>
                </c:pt>
                <c:pt idx="4">
                  <c:v>54.733568699274713</c:v>
                </c:pt>
              </c:numCache>
            </c:numRef>
          </c:val>
        </c:ser>
        <c:ser>
          <c:idx val="5"/>
          <c:order val="4"/>
          <c:tx>
            <c:strRef>
              <c:f>'EX 7-CUST ASST EXP'!$L$22</c:f>
              <c:strCache>
                <c:ptCount val="1"/>
                <c:pt idx="0">
                  <c:v>West Penn</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'EX 7-CUST ASST EXP'!$M$17:$Q$17</c:f>
              <c:numCache>
                <c:formatCode>General</c:formatCode>
                <c:ptCount val="5"/>
                <c:pt idx="0">
                  <c:v>2010</c:v>
                </c:pt>
                <c:pt idx="1">
                  <c:v>2011</c:v>
                </c:pt>
                <c:pt idx="2">
                  <c:v>2012</c:v>
                </c:pt>
                <c:pt idx="3">
                  <c:v>2013</c:v>
                </c:pt>
                <c:pt idx="4">
                  <c:v>2014</c:v>
                </c:pt>
              </c:numCache>
            </c:numRef>
          </c:cat>
          <c:val>
            <c:numRef>
              <c:f>'EX 7-CUST ASST EXP'!$M$22:$Q$22</c:f>
              <c:numCache>
                <c:formatCode>"$"#,##0.00</c:formatCode>
                <c:ptCount val="5"/>
                <c:pt idx="0">
                  <c:v>14.889223413228173</c:v>
                </c:pt>
                <c:pt idx="1">
                  <c:v>37.371998511018845</c:v>
                </c:pt>
                <c:pt idx="2">
                  <c:v>34.669028042206278</c:v>
                </c:pt>
                <c:pt idx="3">
                  <c:v>28.025872900456058</c:v>
                </c:pt>
                <c:pt idx="4">
                  <c:v>20.707659206827167</c:v>
                </c:pt>
              </c:numCache>
            </c:numRef>
          </c:val>
        </c:ser>
        <c:ser>
          <c:idx val="6"/>
          <c:order val="5"/>
          <c:tx>
            <c:strRef>
              <c:f>'EX 7-CUST ASST EXP'!$L$23</c:f>
              <c:strCache>
                <c:ptCount val="1"/>
                <c:pt idx="0">
                  <c:v>Panel Average</c:v>
                </c:pt>
              </c:strCache>
            </c:strRef>
          </c:tx>
          <c:spPr>
            <a:ln w="28575" cap="rnd">
              <a:solidFill>
                <a:schemeClr val="accent1">
                  <a:lumMod val="60000"/>
                </a:schemeClr>
              </a:solidFill>
              <a:prstDash val="sysDot"/>
              <a:round/>
            </a:ln>
            <a:effectLst/>
          </c:spPr>
          <c:marker>
            <c:symbol val="circle"/>
            <c:size val="5"/>
            <c:spPr>
              <a:solidFill>
                <a:schemeClr val="accent1">
                  <a:lumMod val="60000"/>
                </a:schemeClr>
              </a:solidFill>
              <a:ln w="9525">
                <a:solidFill>
                  <a:schemeClr val="accent1">
                    <a:lumMod val="60000"/>
                  </a:schemeClr>
                </a:solidFill>
              </a:ln>
              <a:effectLst/>
            </c:spPr>
          </c:marker>
          <c:cat>
            <c:numRef>
              <c:f>'EX 7-CUST ASST EXP'!$M$17:$Q$17</c:f>
              <c:numCache>
                <c:formatCode>General</c:formatCode>
                <c:ptCount val="5"/>
                <c:pt idx="0">
                  <c:v>2010</c:v>
                </c:pt>
                <c:pt idx="1">
                  <c:v>2011</c:v>
                </c:pt>
                <c:pt idx="2">
                  <c:v>2012</c:v>
                </c:pt>
                <c:pt idx="3">
                  <c:v>2013</c:v>
                </c:pt>
                <c:pt idx="4">
                  <c:v>2014</c:v>
                </c:pt>
              </c:numCache>
            </c:numRef>
          </c:cat>
          <c:val>
            <c:numRef>
              <c:f>'EX 7-CUST ASST EXP'!$M$23:$Q$23</c:f>
              <c:numCache>
                <c:formatCode>"$"#,##0.00</c:formatCode>
                <c:ptCount val="5"/>
                <c:pt idx="0">
                  <c:v>40.467686283776757</c:v>
                </c:pt>
                <c:pt idx="1">
                  <c:v>50.730188501411405</c:v>
                </c:pt>
                <c:pt idx="2">
                  <c:v>52.020727188743244</c:v>
                </c:pt>
                <c:pt idx="3">
                  <c:v>45.549461120649894</c:v>
                </c:pt>
                <c:pt idx="4">
                  <c:v>44.190064363598985</c:v>
                </c:pt>
              </c:numCache>
            </c:numRef>
          </c:val>
        </c:ser>
        <c:ser>
          <c:idx val="7"/>
          <c:order val="6"/>
          <c:tx>
            <c:strRef>
              <c:f>'EX 7-CUST ASST EXP'!$L$24</c:f>
              <c:strCache>
                <c:ptCount val="1"/>
                <c:pt idx="0">
                  <c:v>PPL</c:v>
                </c:pt>
              </c:strCache>
            </c:strRef>
          </c:tx>
          <c:spPr>
            <a:ln w="28575" cap="rnd">
              <a:solidFill>
                <a:schemeClr val="accent2">
                  <a:lumMod val="60000"/>
                </a:schemeClr>
              </a:solidFill>
              <a:prstDash val="dash"/>
              <a:round/>
            </a:ln>
            <a:effectLst/>
          </c:spPr>
          <c:marker>
            <c:symbol val="circle"/>
            <c:size val="5"/>
            <c:spPr>
              <a:solidFill>
                <a:schemeClr val="accent2">
                  <a:lumMod val="60000"/>
                </a:schemeClr>
              </a:solidFill>
              <a:ln w="9525">
                <a:solidFill>
                  <a:schemeClr val="accent2">
                    <a:lumMod val="60000"/>
                  </a:schemeClr>
                </a:solidFill>
              </a:ln>
              <a:effectLst/>
            </c:spPr>
          </c:marker>
          <c:cat>
            <c:numRef>
              <c:f>'EX 7-CUST ASST EXP'!$M$17:$Q$17</c:f>
              <c:numCache>
                <c:formatCode>General</c:formatCode>
                <c:ptCount val="5"/>
                <c:pt idx="0">
                  <c:v>2010</c:v>
                </c:pt>
                <c:pt idx="1">
                  <c:v>2011</c:v>
                </c:pt>
                <c:pt idx="2">
                  <c:v>2012</c:v>
                </c:pt>
                <c:pt idx="3">
                  <c:v>2013</c:v>
                </c:pt>
                <c:pt idx="4">
                  <c:v>2014</c:v>
                </c:pt>
              </c:numCache>
            </c:numRef>
          </c:cat>
          <c:val>
            <c:numRef>
              <c:f>'EX 7-CUST ASST EXP'!$M$24:$Q$24</c:f>
              <c:numCache>
                <c:formatCode>"$"#,##0.00</c:formatCode>
                <c:ptCount val="5"/>
                <c:pt idx="0">
                  <c:v>54.511767857614082</c:v>
                </c:pt>
                <c:pt idx="1">
                  <c:v>76.192087123696879</c:v>
                </c:pt>
                <c:pt idx="2">
                  <c:v>73.356655254930416</c:v>
                </c:pt>
                <c:pt idx="3">
                  <c:v>56.175137321736962</c:v>
                </c:pt>
                <c:pt idx="4">
                  <c:v>63.387029032798523</c:v>
                </c:pt>
              </c:numCache>
            </c:numRef>
          </c:val>
        </c:ser>
        <c:marker val="1"/>
        <c:axId val="162633216"/>
        <c:axId val="162635136"/>
      </c:lineChart>
      <c:catAx>
        <c:axId val="16263321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2635136"/>
        <c:crosses val="autoZero"/>
        <c:auto val="1"/>
        <c:lblAlgn val="ctr"/>
        <c:lblOffset val="100"/>
      </c:catAx>
      <c:valAx>
        <c:axId val="162635136"/>
        <c:scaling>
          <c:orientation val="minMax"/>
        </c:scaling>
        <c:axPos val="l"/>
        <c:majorGridlines>
          <c:spPr>
            <a:ln w="9525" cap="flat" cmpd="sng" algn="ctr">
              <a:solidFill>
                <a:schemeClr val="tx1">
                  <a:lumMod val="15000"/>
                  <a:lumOff val="85000"/>
                </a:schemeClr>
              </a:solidFill>
              <a:round/>
            </a:ln>
            <a:effectLst/>
          </c:spPr>
        </c:majorGridlines>
        <c:numFmt formatCode="&quot;$&quot;#,##0.00" sourceLinked="1"/>
        <c:maj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26332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Sheet1!$B$4</c:f>
              <c:strCache>
                <c:ptCount val="1"/>
                <c:pt idx="0">
                  <c:v>Service Levels (with IVR)</c:v>
                </c:pt>
              </c:strCache>
            </c:strRef>
          </c:tx>
          <c:spPr>
            <a:solidFill>
              <a:srgbClr val="2E6EBC"/>
            </a:solidFill>
            <a:ln>
              <a:noFill/>
            </a:ln>
            <a:effectLst/>
          </c:spPr>
          <c:cat>
            <c:numRef>
              <c:f>Sheet1!$C$3:$L$3</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Sheet1!$C$4:$L$4</c:f>
              <c:numCache>
                <c:formatCode>0%</c:formatCode>
                <c:ptCount val="10"/>
                <c:pt idx="0">
                  <c:v>0.79</c:v>
                </c:pt>
                <c:pt idx="1">
                  <c:v>0.83000000000000063</c:v>
                </c:pt>
                <c:pt idx="2">
                  <c:v>0.76000000000000101</c:v>
                </c:pt>
                <c:pt idx="3">
                  <c:v>0.81</c:v>
                </c:pt>
                <c:pt idx="4">
                  <c:v>0.79</c:v>
                </c:pt>
                <c:pt idx="5">
                  <c:v>0.82000000000000062</c:v>
                </c:pt>
                <c:pt idx="6">
                  <c:v>0.83000000000000063</c:v>
                </c:pt>
                <c:pt idx="7">
                  <c:v>0.750000000000001</c:v>
                </c:pt>
                <c:pt idx="8">
                  <c:v>0.74000000000000088</c:v>
                </c:pt>
                <c:pt idx="9">
                  <c:v>0.86000000000000065</c:v>
                </c:pt>
              </c:numCache>
            </c:numRef>
          </c:val>
        </c:ser>
        <c:ser>
          <c:idx val="1"/>
          <c:order val="1"/>
          <c:tx>
            <c:strRef>
              <c:f>Sheet1!$B$5</c:f>
              <c:strCache>
                <c:ptCount val="1"/>
                <c:pt idx="0">
                  <c:v>Source DN 04-177</c:v>
                </c:pt>
              </c:strCache>
            </c:strRef>
          </c:tx>
          <c:spPr>
            <a:solidFill>
              <a:schemeClr val="accent2"/>
            </a:solidFill>
            <a:ln>
              <a:noFill/>
            </a:ln>
            <a:effectLst/>
          </c:spPr>
          <c:cat>
            <c:numRef>
              <c:f>Sheet1!$C$3:$L$3</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Sheet1!$C$5:$L$5</c:f>
              <c:numCache>
                <c:formatCode>General</c:formatCode>
                <c:ptCount val="10"/>
              </c:numCache>
            </c:numRef>
          </c:val>
        </c:ser>
        <c:gapWidth val="219"/>
        <c:overlap val="-27"/>
        <c:axId val="150087552"/>
        <c:axId val="150089088"/>
      </c:barChart>
      <c:catAx>
        <c:axId val="1500875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charset="0"/>
                <a:ea typeface="Arial" charset="0"/>
                <a:cs typeface="Arial" charset="0"/>
              </a:defRPr>
            </a:pPr>
            <a:endParaRPr lang="en-US"/>
          </a:p>
        </c:txPr>
        <c:crossAx val="150089088"/>
        <c:crosses val="autoZero"/>
        <c:auto val="1"/>
        <c:lblAlgn val="ctr"/>
        <c:lblOffset val="100"/>
      </c:catAx>
      <c:valAx>
        <c:axId val="150089088"/>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charset="0"/>
                <a:ea typeface="Arial" charset="0"/>
                <a:cs typeface="Arial" charset="0"/>
              </a:defRPr>
            </a:pPr>
            <a:endParaRPr lang="en-US"/>
          </a:p>
        </c:txPr>
        <c:crossAx val="150087552"/>
        <c:crosses val="autoZero"/>
        <c:crossBetween val="between"/>
      </c:valAx>
      <c:spPr>
        <a:noFill/>
        <a:ln>
          <a:noFill/>
        </a:ln>
        <a:effectLst/>
      </c:spPr>
    </c:plotArea>
    <c:plotVisOnly val="1"/>
    <c:dispBlanksAs val="gap"/>
  </c:chart>
  <c:spPr>
    <a:solidFill>
      <a:schemeClr val="bg1"/>
    </a:solidFill>
    <a:ln w="9525" cap="flat" cmpd="sng" algn="ctr">
      <a:solidFill>
        <a:schemeClr val="tx1"/>
      </a:solidFill>
      <a:round/>
    </a:ln>
    <a:effectLst/>
  </c:spPr>
  <c:txPr>
    <a:bodyPr/>
    <a:lstStyle/>
    <a:p>
      <a:pPr>
        <a:defRPr>
          <a:latin typeface="Arial" charset="0"/>
          <a:ea typeface="Arial" charset="0"/>
          <a:cs typeface="Arial" charset="0"/>
        </a:defRPr>
      </a:pPr>
      <a:endParaRPr lang="en-US"/>
    </a:p>
  </c:tx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lang val="en-US"/>
  <c:chart>
    <c:autoTitleDeleted val="1"/>
    <c:plotArea>
      <c:layout/>
      <c:lineChart>
        <c:grouping val="standard"/>
        <c:ser>
          <c:idx val="1"/>
          <c:order val="0"/>
          <c:tx>
            <c:strRef>
              <c:f>'EX 8-TOT OTHER POWER SUPPLY EXP'!$L$18</c:f>
              <c:strCache>
                <c:ptCount val="1"/>
                <c:pt idx="0">
                  <c:v>Duquesne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'EX 8-TOT OTHER POWER SUPPLY EXP'!$M$17:$Q$17</c:f>
              <c:numCache>
                <c:formatCode>General</c:formatCode>
                <c:ptCount val="5"/>
                <c:pt idx="0">
                  <c:v>2010</c:v>
                </c:pt>
                <c:pt idx="1">
                  <c:v>2011</c:v>
                </c:pt>
                <c:pt idx="2">
                  <c:v>2012</c:v>
                </c:pt>
                <c:pt idx="3">
                  <c:v>2013</c:v>
                </c:pt>
                <c:pt idx="4">
                  <c:v>2014</c:v>
                </c:pt>
              </c:numCache>
            </c:numRef>
          </c:cat>
          <c:val>
            <c:numRef>
              <c:f>'EX 8-TOT OTHER POWER SUPPLY EXP'!$M$18:$Q$18</c:f>
              <c:numCache>
                <c:formatCode>"$"#,##0.00</c:formatCode>
                <c:ptCount val="5"/>
                <c:pt idx="0">
                  <c:v>814.87432376374386</c:v>
                </c:pt>
                <c:pt idx="1">
                  <c:v>701.84057705616806</c:v>
                </c:pt>
                <c:pt idx="2">
                  <c:v>618.73767519425508</c:v>
                </c:pt>
                <c:pt idx="3">
                  <c:v>531.94257937296447</c:v>
                </c:pt>
                <c:pt idx="4">
                  <c:v>605.59010462931303</c:v>
                </c:pt>
              </c:numCache>
            </c:numRef>
          </c:val>
        </c:ser>
        <c:ser>
          <c:idx val="2"/>
          <c:order val="1"/>
          <c:tx>
            <c:strRef>
              <c:f>'EX 8-TOT OTHER POWER SUPPLY EXP'!$L$19</c:f>
              <c:strCache>
                <c:ptCount val="1"/>
                <c:pt idx="0">
                  <c:v>Met 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'EX 8-TOT OTHER POWER SUPPLY EXP'!$M$17:$Q$17</c:f>
              <c:numCache>
                <c:formatCode>General</c:formatCode>
                <c:ptCount val="5"/>
                <c:pt idx="0">
                  <c:v>2010</c:v>
                </c:pt>
                <c:pt idx="1">
                  <c:v>2011</c:v>
                </c:pt>
                <c:pt idx="2">
                  <c:v>2012</c:v>
                </c:pt>
                <c:pt idx="3">
                  <c:v>2013</c:v>
                </c:pt>
                <c:pt idx="4">
                  <c:v>2014</c:v>
                </c:pt>
              </c:numCache>
            </c:numRef>
          </c:cat>
          <c:val>
            <c:numRef>
              <c:f>'EX 8-TOT OTHER POWER SUPPLY EXP'!$M$19:$Q$19</c:f>
              <c:numCache>
                <c:formatCode>"$"#,##0.00</c:formatCode>
                <c:ptCount val="5"/>
                <c:pt idx="0">
                  <c:v>1733.5461372962343</c:v>
                </c:pt>
                <c:pt idx="1">
                  <c:v>1185.6371834500751</c:v>
                </c:pt>
                <c:pt idx="2">
                  <c:v>1012.6244845112531</c:v>
                </c:pt>
                <c:pt idx="3">
                  <c:v>967.87528314278438</c:v>
                </c:pt>
                <c:pt idx="4">
                  <c:v>991.93710516458009</c:v>
                </c:pt>
              </c:numCache>
            </c:numRef>
          </c:val>
        </c:ser>
        <c:ser>
          <c:idx val="3"/>
          <c:order val="2"/>
          <c:tx>
            <c:strRef>
              <c:f>'EX 8-TOT OTHER POWER SUPPLY EXP'!$L$20</c:f>
              <c:strCache>
                <c:ptCount val="1"/>
                <c:pt idx="0">
                  <c:v>PECO</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'EX 8-TOT OTHER POWER SUPPLY EXP'!$M$17:$Q$17</c:f>
              <c:numCache>
                <c:formatCode>General</c:formatCode>
                <c:ptCount val="5"/>
                <c:pt idx="0">
                  <c:v>2010</c:v>
                </c:pt>
                <c:pt idx="1">
                  <c:v>2011</c:v>
                </c:pt>
                <c:pt idx="2">
                  <c:v>2012</c:v>
                </c:pt>
                <c:pt idx="3">
                  <c:v>2013</c:v>
                </c:pt>
                <c:pt idx="4">
                  <c:v>2014</c:v>
                </c:pt>
              </c:numCache>
            </c:numRef>
          </c:cat>
          <c:val>
            <c:numRef>
              <c:f>'EX 8-TOT OTHER POWER SUPPLY EXP'!$M$20:$Q$20</c:f>
              <c:numCache>
                <c:formatCode>"$"#,##0.00</c:formatCode>
                <c:ptCount val="5"/>
                <c:pt idx="0">
                  <c:v>1383.3646553942519</c:v>
                </c:pt>
                <c:pt idx="1">
                  <c:v>1068.2001992083458</c:v>
                </c:pt>
                <c:pt idx="2">
                  <c:v>902.29543702139006</c:v>
                </c:pt>
                <c:pt idx="3">
                  <c:v>857.42186516971742</c:v>
                </c:pt>
                <c:pt idx="4">
                  <c:v>813.58338129161234</c:v>
                </c:pt>
              </c:numCache>
            </c:numRef>
          </c:val>
        </c:ser>
        <c:ser>
          <c:idx val="4"/>
          <c:order val="3"/>
          <c:tx>
            <c:strRef>
              <c:f>'EX 8-TOT OTHER POWER SUPPLY EXP'!$L$21</c:f>
              <c:strCache>
                <c:ptCount val="1"/>
                <c:pt idx="0">
                  <c:v>Penelec</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'EX 8-TOT OTHER POWER SUPPLY EXP'!$M$17:$Q$17</c:f>
              <c:numCache>
                <c:formatCode>General</c:formatCode>
                <c:ptCount val="5"/>
                <c:pt idx="0">
                  <c:v>2010</c:v>
                </c:pt>
                <c:pt idx="1">
                  <c:v>2011</c:v>
                </c:pt>
                <c:pt idx="2">
                  <c:v>2012</c:v>
                </c:pt>
                <c:pt idx="3">
                  <c:v>2013</c:v>
                </c:pt>
                <c:pt idx="4">
                  <c:v>2014</c:v>
                </c:pt>
              </c:numCache>
            </c:numRef>
          </c:cat>
          <c:val>
            <c:numRef>
              <c:f>'EX 8-TOT OTHER POWER SUPPLY EXP'!$M$21:$Q$21</c:f>
              <c:numCache>
                <c:formatCode>"$"#,##0.00</c:formatCode>
                <c:ptCount val="5"/>
                <c:pt idx="0">
                  <c:v>1709.5141342306674</c:v>
                </c:pt>
                <c:pt idx="1">
                  <c:v>1000.5851851303399</c:v>
                </c:pt>
                <c:pt idx="2">
                  <c:v>865.89385784282183</c:v>
                </c:pt>
                <c:pt idx="3">
                  <c:v>938.9631841002124</c:v>
                </c:pt>
                <c:pt idx="4">
                  <c:v>963.28344703673349</c:v>
                </c:pt>
              </c:numCache>
            </c:numRef>
          </c:val>
        </c:ser>
        <c:ser>
          <c:idx val="5"/>
          <c:order val="4"/>
          <c:tx>
            <c:strRef>
              <c:f>'EX 8-TOT OTHER POWER SUPPLY EXP'!$L$22</c:f>
              <c:strCache>
                <c:ptCount val="1"/>
                <c:pt idx="0">
                  <c:v>West Penn</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'EX 8-TOT OTHER POWER SUPPLY EXP'!$M$17:$Q$17</c:f>
              <c:numCache>
                <c:formatCode>General</c:formatCode>
                <c:ptCount val="5"/>
                <c:pt idx="0">
                  <c:v>2010</c:v>
                </c:pt>
                <c:pt idx="1">
                  <c:v>2011</c:v>
                </c:pt>
                <c:pt idx="2">
                  <c:v>2012</c:v>
                </c:pt>
                <c:pt idx="3">
                  <c:v>2013</c:v>
                </c:pt>
                <c:pt idx="4">
                  <c:v>2014</c:v>
                </c:pt>
              </c:numCache>
            </c:numRef>
          </c:cat>
          <c:val>
            <c:numRef>
              <c:f>'EX 8-TOT OTHER POWER SUPPLY EXP'!$M$22:$Q$22</c:f>
              <c:numCache>
                <c:formatCode>"$"#,##0.00</c:formatCode>
                <c:ptCount val="5"/>
                <c:pt idx="0">
                  <c:v>1505.4066570997816</c:v>
                </c:pt>
                <c:pt idx="1">
                  <c:v>1050.4004501801196</c:v>
                </c:pt>
                <c:pt idx="2">
                  <c:v>836.80976902028499</c:v>
                </c:pt>
                <c:pt idx="3">
                  <c:v>731.9065771211458</c:v>
                </c:pt>
                <c:pt idx="4">
                  <c:v>882.59131160190191</c:v>
                </c:pt>
              </c:numCache>
            </c:numRef>
          </c:val>
        </c:ser>
        <c:ser>
          <c:idx val="6"/>
          <c:order val="5"/>
          <c:tx>
            <c:strRef>
              <c:f>'EX 8-TOT OTHER POWER SUPPLY EXP'!$L$23</c:f>
              <c:strCache>
                <c:ptCount val="1"/>
                <c:pt idx="0">
                  <c:v>Panel Average</c:v>
                </c:pt>
              </c:strCache>
            </c:strRef>
          </c:tx>
          <c:spPr>
            <a:ln w="28575" cap="rnd">
              <a:solidFill>
                <a:schemeClr val="accent1">
                  <a:lumMod val="60000"/>
                </a:schemeClr>
              </a:solidFill>
              <a:prstDash val="sysDot"/>
              <a:round/>
            </a:ln>
            <a:effectLst/>
          </c:spPr>
          <c:marker>
            <c:symbol val="circle"/>
            <c:size val="5"/>
            <c:spPr>
              <a:solidFill>
                <a:schemeClr val="accent1">
                  <a:lumMod val="60000"/>
                </a:schemeClr>
              </a:solidFill>
              <a:ln w="9525">
                <a:solidFill>
                  <a:schemeClr val="accent1">
                    <a:lumMod val="60000"/>
                  </a:schemeClr>
                </a:solidFill>
              </a:ln>
              <a:effectLst/>
            </c:spPr>
          </c:marker>
          <c:cat>
            <c:numRef>
              <c:f>'EX 8-TOT OTHER POWER SUPPLY EXP'!$M$17:$Q$17</c:f>
              <c:numCache>
                <c:formatCode>General</c:formatCode>
                <c:ptCount val="5"/>
                <c:pt idx="0">
                  <c:v>2010</c:v>
                </c:pt>
                <c:pt idx="1">
                  <c:v>2011</c:v>
                </c:pt>
                <c:pt idx="2">
                  <c:v>2012</c:v>
                </c:pt>
                <c:pt idx="3">
                  <c:v>2013</c:v>
                </c:pt>
                <c:pt idx="4">
                  <c:v>2014</c:v>
                </c:pt>
              </c:numCache>
            </c:numRef>
          </c:cat>
          <c:val>
            <c:numRef>
              <c:f>'EX 8-TOT OTHER POWER SUPPLY EXP'!$M$23:$Q$23</c:f>
              <c:numCache>
                <c:formatCode>"$"#,##0.00</c:formatCode>
                <c:ptCount val="5"/>
                <c:pt idx="0">
                  <c:v>1429.3411815569348</c:v>
                </c:pt>
                <c:pt idx="1">
                  <c:v>1001.3327190050077</c:v>
                </c:pt>
                <c:pt idx="2">
                  <c:v>847.27224471800071</c:v>
                </c:pt>
                <c:pt idx="3">
                  <c:v>805.62189778136496</c:v>
                </c:pt>
                <c:pt idx="4">
                  <c:v>851.39706994482742</c:v>
                </c:pt>
              </c:numCache>
            </c:numRef>
          </c:val>
        </c:ser>
        <c:ser>
          <c:idx val="7"/>
          <c:order val="6"/>
          <c:tx>
            <c:strRef>
              <c:f>'EX 8-TOT OTHER POWER SUPPLY EXP'!$L$24</c:f>
              <c:strCache>
                <c:ptCount val="1"/>
                <c:pt idx="0">
                  <c:v>PPL</c:v>
                </c:pt>
              </c:strCache>
            </c:strRef>
          </c:tx>
          <c:spPr>
            <a:ln w="28575" cap="rnd">
              <a:solidFill>
                <a:schemeClr val="accent2">
                  <a:lumMod val="60000"/>
                </a:schemeClr>
              </a:solidFill>
              <a:prstDash val="dash"/>
              <a:round/>
            </a:ln>
            <a:effectLst/>
          </c:spPr>
          <c:marker>
            <c:symbol val="circle"/>
            <c:size val="5"/>
            <c:spPr>
              <a:solidFill>
                <a:schemeClr val="accent2">
                  <a:lumMod val="60000"/>
                </a:schemeClr>
              </a:solidFill>
              <a:ln w="9525">
                <a:solidFill>
                  <a:schemeClr val="accent2">
                    <a:lumMod val="60000"/>
                  </a:schemeClr>
                </a:solidFill>
              </a:ln>
              <a:effectLst/>
            </c:spPr>
          </c:marker>
          <c:cat>
            <c:numRef>
              <c:f>'EX 8-TOT OTHER POWER SUPPLY EXP'!$M$17:$Q$17</c:f>
              <c:numCache>
                <c:formatCode>General</c:formatCode>
                <c:ptCount val="5"/>
                <c:pt idx="0">
                  <c:v>2010</c:v>
                </c:pt>
                <c:pt idx="1">
                  <c:v>2011</c:v>
                </c:pt>
                <c:pt idx="2">
                  <c:v>2012</c:v>
                </c:pt>
                <c:pt idx="3">
                  <c:v>2013</c:v>
                </c:pt>
                <c:pt idx="4">
                  <c:v>2014</c:v>
                </c:pt>
              </c:numCache>
            </c:numRef>
          </c:cat>
          <c:val>
            <c:numRef>
              <c:f>'EX 8-TOT OTHER POWER SUPPLY EXP'!$M$24:$Q$24</c:f>
              <c:numCache>
                <c:formatCode>"$"#,##0.00</c:formatCode>
                <c:ptCount val="5"/>
                <c:pt idx="0">
                  <c:v>1347.8605198839539</c:v>
                </c:pt>
                <c:pt idx="1">
                  <c:v>882.42683648809589</c:v>
                </c:pt>
                <c:pt idx="2">
                  <c:v>756.75286738199043</c:v>
                </c:pt>
                <c:pt idx="3">
                  <c:v>797.54672268144805</c:v>
                </c:pt>
                <c:pt idx="4">
                  <c:v>867.9834256820094</c:v>
                </c:pt>
              </c:numCache>
            </c:numRef>
          </c:val>
        </c:ser>
        <c:marker val="1"/>
        <c:axId val="162763136"/>
        <c:axId val="162765056"/>
      </c:lineChart>
      <c:catAx>
        <c:axId val="1627631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2765056"/>
        <c:crosses val="autoZero"/>
        <c:auto val="1"/>
        <c:lblAlgn val="ctr"/>
        <c:lblOffset val="100"/>
      </c:catAx>
      <c:valAx>
        <c:axId val="162765056"/>
        <c:scaling>
          <c:orientation val="minMax"/>
        </c:scaling>
        <c:axPos val="l"/>
        <c:majorGridlines>
          <c:spPr>
            <a:ln w="9525" cap="flat" cmpd="sng" algn="ctr">
              <a:solidFill>
                <a:schemeClr val="tx1">
                  <a:lumMod val="15000"/>
                  <a:lumOff val="85000"/>
                </a:schemeClr>
              </a:solidFill>
              <a:round/>
            </a:ln>
            <a:effectLst/>
          </c:spPr>
        </c:majorGridlines>
        <c:numFmt formatCode="&quot;$&quot;#,##0.00" sourceLinked="1"/>
        <c:maj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2763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lang val="en-US"/>
  <c:chart>
    <c:autoTitleDeleted val="1"/>
    <c:plotArea>
      <c:layout/>
      <c:lineChart>
        <c:grouping val="standard"/>
        <c:ser>
          <c:idx val="1"/>
          <c:order val="0"/>
          <c:tx>
            <c:strRef>
              <c:f>'EX 9-TRANS PLANT CAP INVT'!$L$18</c:f>
              <c:strCache>
                <c:ptCount val="1"/>
                <c:pt idx="0">
                  <c:v>Duquesne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'EX 9-TRANS PLANT CAP INVT'!$M$17:$Q$17</c:f>
              <c:numCache>
                <c:formatCode>General</c:formatCode>
                <c:ptCount val="5"/>
                <c:pt idx="0">
                  <c:v>2010</c:v>
                </c:pt>
                <c:pt idx="1">
                  <c:v>2011</c:v>
                </c:pt>
                <c:pt idx="2">
                  <c:v>2012</c:v>
                </c:pt>
                <c:pt idx="3">
                  <c:v>2013</c:v>
                </c:pt>
                <c:pt idx="4">
                  <c:v>2014</c:v>
                </c:pt>
              </c:numCache>
            </c:numRef>
          </c:cat>
          <c:val>
            <c:numRef>
              <c:f>'EX 9-TRANS PLANT CAP INVT'!$M$18:$Q$18</c:f>
              <c:numCache>
                <c:formatCode>"$"#,##0.00</c:formatCode>
                <c:ptCount val="5"/>
                <c:pt idx="0">
                  <c:v>49.289522631810236</c:v>
                </c:pt>
                <c:pt idx="1">
                  <c:v>139.52959616071863</c:v>
                </c:pt>
                <c:pt idx="2">
                  <c:v>134.25285216315913</c:v>
                </c:pt>
                <c:pt idx="3">
                  <c:v>111.63421789933362</c:v>
                </c:pt>
                <c:pt idx="4">
                  <c:v>24.649926786626132</c:v>
                </c:pt>
              </c:numCache>
            </c:numRef>
          </c:val>
          <c:extLst/>
        </c:ser>
        <c:ser>
          <c:idx val="2"/>
          <c:order val="1"/>
          <c:tx>
            <c:strRef>
              <c:f>'EX 9-TRANS PLANT CAP INVT'!$L$19</c:f>
              <c:strCache>
                <c:ptCount val="1"/>
                <c:pt idx="0">
                  <c:v>Met 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'EX 9-TRANS PLANT CAP INVT'!$M$17:$Q$17</c:f>
              <c:numCache>
                <c:formatCode>General</c:formatCode>
                <c:ptCount val="5"/>
                <c:pt idx="0">
                  <c:v>2010</c:v>
                </c:pt>
                <c:pt idx="1">
                  <c:v>2011</c:v>
                </c:pt>
                <c:pt idx="2">
                  <c:v>2012</c:v>
                </c:pt>
                <c:pt idx="3">
                  <c:v>2013</c:v>
                </c:pt>
                <c:pt idx="4">
                  <c:v>2014</c:v>
                </c:pt>
              </c:numCache>
            </c:numRef>
          </c:cat>
          <c:val>
            <c:numRef>
              <c:f>'EX 9-TRANS PLANT CAP INVT'!$M$19:$Q$19</c:f>
              <c:numCache>
                <c:formatCode>"$"#,##0.00</c:formatCode>
                <c:ptCount val="5"/>
                <c:pt idx="0">
                  <c:v>15.370931319955941</c:v>
                </c:pt>
                <c:pt idx="1">
                  <c:v>19.004587147662725</c:v>
                </c:pt>
                <c:pt idx="2">
                  <c:v>4.2003541709959249</c:v>
                </c:pt>
                <c:pt idx="3">
                  <c:v>46.379166095680382</c:v>
                </c:pt>
                <c:pt idx="4">
                  <c:v>30.668935295565543</c:v>
                </c:pt>
              </c:numCache>
            </c:numRef>
          </c:val>
          <c:extLst/>
        </c:ser>
        <c:ser>
          <c:idx val="3"/>
          <c:order val="2"/>
          <c:tx>
            <c:strRef>
              <c:f>'EX 9-TRANS PLANT CAP INVT'!$L$20</c:f>
              <c:strCache>
                <c:ptCount val="1"/>
                <c:pt idx="0">
                  <c:v>PECO</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'EX 9-TRANS PLANT CAP INVT'!$M$17:$Q$17</c:f>
              <c:numCache>
                <c:formatCode>General</c:formatCode>
                <c:ptCount val="5"/>
                <c:pt idx="0">
                  <c:v>2010</c:v>
                </c:pt>
                <c:pt idx="1">
                  <c:v>2011</c:v>
                </c:pt>
                <c:pt idx="2">
                  <c:v>2012</c:v>
                </c:pt>
                <c:pt idx="3">
                  <c:v>2013</c:v>
                </c:pt>
                <c:pt idx="4">
                  <c:v>2014</c:v>
                </c:pt>
              </c:numCache>
            </c:numRef>
          </c:cat>
          <c:val>
            <c:numRef>
              <c:f>'EX 9-TRANS PLANT CAP INVT'!$M$20:$Q$20</c:f>
              <c:numCache>
                <c:formatCode>"$"#,##0.00</c:formatCode>
                <c:ptCount val="5"/>
                <c:pt idx="0">
                  <c:v>23.807104856044436</c:v>
                </c:pt>
                <c:pt idx="1">
                  <c:v>82.099080290932022</c:v>
                </c:pt>
                <c:pt idx="2">
                  <c:v>42.130679971283726</c:v>
                </c:pt>
                <c:pt idx="3">
                  <c:v>29.445333668741203</c:v>
                </c:pt>
                <c:pt idx="4">
                  <c:v>13.471787097966791</c:v>
                </c:pt>
              </c:numCache>
            </c:numRef>
          </c:val>
          <c:extLst/>
        </c:ser>
        <c:ser>
          <c:idx val="4"/>
          <c:order val="3"/>
          <c:tx>
            <c:strRef>
              <c:f>'EX 9-TRANS PLANT CAP INVT'!$L$21</c:f>
              <c:strCache>
                <c:ptCount val="1"/>
                <c:pt idx="0">
                  <c:v>Penelec</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'EX 9-TRANS PLANT CAP INVT'!$M$17:$Q$17</c:f>
              <c:numCache>
                <c:formatCode>General</c:formatCode>
                <c:ptCount val="5"/>
                <c:pt idx="0">
                  <c:v>2010</c:v>
                </c:pt>
                <c:pt idx="1">
                  <c:v>2011</c:v>
                </c:pt>
                <c:pt idx="2">
                  <c:v>2012</c:v>
                </c:pt>
                <c:pt idx="3">
                  <c:v>2013</c:v>
                </c:pt>
                <c:pt idx="4">
                  <c:v>2014</c:v>
                </c:pt>
              </c:numCache>
            </c:numRef>
          </c:cat>
          <c:val>
            <c:numRef>
              <c:f>'EX 9-TRANS PLANT CAP INVT'!$M$21:$Q$21</c:f>
              <c:numCache>
                <c:formatCode>"$"#,##0.00</c:formatCode>
                <c:ptCount val="5"/>
                <c:pt idx="0">
                  <c:v>31.316616710632498</c:v>
                </c:pt>
                <c:pt idx="1">
                  <c:v>66.372610323733667</c:v>
                </c:pt>
                <c:pt idx="2">
                  <c:v>5.0126801299395254</c:v>
                </c:pt>
                <c:pt idx="3">
                  <c:v>123.8012290423177</c:v>
                </c:pt>
                <c:pt idx="4">
                  <c:v>55.502029436599862</c:v>
                </c:pt>
              </c:numCache>
            </c:numRef>
          </c:val>
          <c:extLst/>
        </c:ser>
        <c:ser>
          <c:idx val="5"/>
          <c:order val="4"/>
          <c:tx>
            <c:strRef>
              <c:f>'EX 9-TRANS PLANT CAP INVT'!$L$22</c:f>
              <c:strCache>
                <c:ptCount val="1"/>
                <c:pt idx="0">
                  <c:v>West Penn</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'EX 9-TRANS PLANT CAP INVT'!$M$17:$Q$17</c:f>
              <c:numCache>
                <c:formatCode>General</c:formatCode>
                <c:ptCount val="5"/>
                <c:pt idx="0">
                  <c:v>2010</c:v>
                </c:pt>
                <c:pt idx="1">
                  <c:v>2011</c:v>
                </c:pt>
                <c:pt idx="2">
                  <c:v>2012</c:v>
                </c:pt>
                <c:pt idx="3">
                  <c:v>2013</c:v>
                </c:pt>
                <c:pt idx="4">
                  <c:v>2014</c:v>
                </c:pt>
              </c:numCache>
            </c:numRef>
          </c:cat>
          <c:val>
            <c:numRef>
              <c:f>'EX 9-TRANS PLANT CAP INVT'!$M$22:$Q$22</c:f>
              <c:numCache>
                <c:formatCode>"$"#,##0.00</c:formatCode>
                <c:ptCount val="5"/>
                <c:pt idx="0">
                  <c:v>9.0553547788881161</c:v>
                </c:pt>
                <c:pt idx="1">
                  <c:v>2.5039615541728453</c:v>
                </c:pt>
                <c:pt idx="2">
                  <c:v>1.4779783947388598</c:v>
                </c:pt>
                <c:pt idx="3">
                  <c:v>47.972383109484127</c:v>
                </c:pt>
                <c:pt idx="4">
                  <c:v>5.4088901358994592</c:v>
                </c:pt>
              </c:numCache>
            </c:numRef>
          </c:val>
          <c:extLst/>
        </c:ser>
        <c:ser>
          <c:idx val="6"/>
          <c:order val="5"/>
          <c:tx>
            <c:strRef>
              <c:f>'EX 9-TRANS PLANT CAP INVT'!$L$23</c:f>
              <c:strCache>
                <c:ptCount val="1"/>
                <c:pt idx="0">
                  <c:v>Panel Average</c:v>
                </c:pt>
              </c:strCache>
            </c:strRef>
          </c:tx>
          <c:spPr>
            <a:ln w="28575" cap="rnd">
              <a:solidFill>
                <a:schemeClr val="accent1">
                  <a:lumMod val="60000"/>
                </a:schemeClr>
              </a:solidFill>
              <a:prstDash val="sysDot"/>
              <a:round/>
            </a:ln>
            <a:effectLst/>
          </c:spPr>
          <c:marker>
            <c:symbol val="circle"/>
            <c:size val="5"/>
            <c:spPr>
              <a:solidFill>
                <a:schemeClr val="accent1">
                  <a:lumMod val="60000"/>
                </a:schemeClr>
              </a:solidFill>
              <a:ln w="9525">
                <a:solidFill>
                  <a:schemeClr val="accent1">
                    <a:lumMod val="60000"/>
                  </a:schemeClr>
                </a:solidFill>
              </a:ln>
              <a:effectLst/>
            </c:spPr>
          </c:marker>
          <c:cat>
            <c:numRef>
              <c:f>'EX 9-TRANS PLANT CAP INVT'!$M$17:$Q$17</c:f>
              <c:numCache>
                <c:formatCode>General</c:formatCode>
                <c:ptCount val="5"/>
                <c:pt idx="0">
                  <c:v>2010</c:v>
                </c:pt>
                <c:pt idx="1">
                  <c:v>2011</c:v>
                </c:pt>
                <c:pt idx="2">
                  <c:v>2012</c:v>
                </c:pt>
                <c:pt idx="3">
                  <c:v>2013</c:v>
                </c:pt>
                <c:pt idx="4">
                  <c:v>2014</c:v>
                </c:pt>
              </c:numCache>
            </c:numRef>
          </c:cat>
          <c:val>
            <c:numRef>
              <c:f>'EX 9-TRANS PLANT CAP INVT'!$M$23:$Q$23</c:f>
              <c:numCache>
                <c:formatCode>"$"#,##0.00</c:formatCode>
                <c:ptCount val="5"/>
                <c:pt idx="0">
                  <c:v>24.846900642171299</c:v>
                </c:pt>
                <c:pt idx="1">
                  <c:v>65.316397339856664</c:v>
                </c:pt>
                <c:pt idx="2">
                  <c:v>37.713179892419213</c:v>
                </c:pt>
                <c:pt idx="3">
                  <c:v>60.881385815108146</c:v>
                </c:pt>
                <c:pt idx="4">
                  <c:v>22.148852930362352</c:v>
                </c:pt>
              </c:numCache>
            </c:numRef>
          </c:val>
          <c:extLst/>
        </c:ser>
        <c:ser>
          <c:idx val="7"/>
          <c:order val="6"/>
          <c:tx>
            <c:strRef>
              <c:f>'EX 9-TRANS PLANT CAP INVT'!$L$24</c:f>
              <c:strCache>
                <c:ptCount val="1"/>
                <c:pt idx="0">
                  <c:v>PPL</c:v>
                </c:pt>
              </c:strCache>
            </c:strRef>
          </c:tx>
          <c:spPr>
            <a:ln w="28575" cap="rnd">
              <a:solidFill>
                <a:schemeClr val="accent2">
                  <a:lumMod val="60000"/>
                </a:schemeClr>
              </a:solidFill>
              <a:prstDash val="dash"/>
              <a:round/>
            </a:ln>
            <a:effectLst/>
          </c:spPr>
          <c:marker>
            <c:symbol val="circle"/>
            <c:size val="5"/>
            <c:spPr>
              <a:solidFill>
                <a:schemeClr val="accent2">
                  <a:lumMod val="60000"/>
                </a:schemeClr>
              </a:solidFill>
              <a:ln w="9525">
                <a:solidFill>
                  <a:schemeClr val="accent2">
                    <a:lumMod val="60000"/>
                  </a:schemeClr>
                </a:solidFill>
              </a:ln>
              <a:effectLst/>
            </c:spPr>
          </c:marker>
          <c:cat>
            <c:numRef>
              <c:f>'EX 9-TRANS PLANT CAP INVT'!$M$17:$Q$17</c:f>
              <c:numCache>
                <c:formatCode>General</c:formatCode>
                <c:ptCount val="5"/>
                <c:pt idx="0">
                  <c:v>2010</c:v>
                </c:pt>
                <c:pt idx="1">
                  <c:v>2011</c:v>
                </c:pt>
                <c:pt idx="2">
                  <c:v>2012</c:v>
                </c:pt>
                <c:pt idx="3">
                  <c:v>2013</c:v>
                </c:pt>
                <c:pt idx="4">
                  <c:v>2014</c:v>
                </c:pt>
              </c:numCache>
            </c:numRef>
          </c:cat>
          <c:val>
            <c:numRef>
              <c:f>'EX 9-TRANS PLANT CAP INVT'!$M$24:$Q$24</c:f>
              <c:numCache>
                <c:formatCode>"$"#,##0.00</c:formatCode>
                <c:ptCount val="5"/>
                <c:pt idx="0">
                  <c:v>60.868259495725404</c:v>
                </c:pt>
                <c:pt idx="1">
                  <c:v>68.979001188840428</c:v>
                </c:pt>
                <c:pt idx="2">
                  <c:v>141.98894907077431</c:v>
                </c:pt>
                <c:pt idx="3">
                  <c:v>255.77592807375225</c:v>
                </c:pt>
                <c:pt idx="4">
                  <c:v>344.77290342834635</c:v>
                </c:pt>
              </c:numCache>
            </c:numRef>
          </c:val>
          <c:extLst/>
        </c:ser>
        <c:marker val="1"/>
        <c:axId val="160849280"/>
        <c:axId val="160859648"/>
      </c:lineChart>
      <c:catAx>
        <c:axId val="1608492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0859648"/>
        <c:crosses val="autoZero"/>
        <c:auto val="1"/>
        <c:lblAlgn val="ctr"/>
        <c:lblOffset val="100"/>
      </c:catAx>
      <c:valAx>
        <c:axId val="160859648"/>
        <c:scaling>
          <c:orientation val="minMax"/>
        </c:scaling>
        <c:axPos val="l"/>
        <c:majorGridlines>
          <c:spPr>
            <a:ln w="9525" cap="flat" cmpd="sng" algn="ctr">
              <a:solidFill>
                <a:schemeClr val="tx1">
                  <a:lumMod val="15000"/>
                  <a:lumOff val="85000"/>
                </a:schemeClr>
              </a:solidFill>
              <a:round/>
            </a:ln>
            <a:effectLst/>
          </c:spPr>
        </c:majorGridlines>
        <c:numFmt formatCode="&quot;$&quot;#,##0.00" sourceLinked="1"/>
        <c:maj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08492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lang val="en-US"/>
  <c:chart>
    <c:autoTitleDeleted val="1"/>
    <c:plotArea>
      <c:layout/>
      <c:lineChart>
        <c:grouping val="standard"/>
        <c:ser>
          <c:idx val="1"/>
          <c:order val="0"/>
          <c:tx>
            <c:strRef>
              <c:f>'EX 10-DIST PLANT CAP INVT'!$L$18</c:f>
              <c:strCache>
                <c:ptCount val="1"/>
                <c:pt idx="0">
                  <c:v>Duquesne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'EX 10-DIST PLANT CAP INVT'!$M$17:$Q$17</c:f>
              <c:numCache>
                <c:formatCode>General</c:formatCode>
                <c:ptCount val="5"/>
                <c:pt idx="0">
                  <c:v>2010</c:v>
                </c:pt>
                <c:pt idx="1">
                  <c:v>2011</c:v>
                </c:pt>
                <c:pt idx="2">
                  <c:v>2012</c:v>
                </c:pt>
                <c:pt idx="3">
                  <c:v>2013</c:v>
                </c:pt>
                <c:pt idx="4">
                  <c:v>2014</c:v>
                </c:pt>
              </c:numCache>
            </c:numRef>
          </c:cat>
          <c:val>
            <c:numRef>
              <c:f>'EX 10-DIST PLANT CAP INVT'!$M$18:$Q$18</c:f>
              <c:numCache>
                <c:formatCode>"$"#,##0.00</c:formatCode>
                <c:ptCount val="5"/>
                <c:pt idx="0">
                  <c:v>200.61523708298841</c:v>
                </c:pt>
                <c:pt idx="1">
                  <c:v>251.92527186399141</c:v>
                </c:pt>
                <c:pt idx="2">
                  <c:v>211.01101115044608</c:v>
                </c:pt>
                <c:pt idx="3">
                  <c:v>130.55567751793046</c:v>
                </c:pt>
                <c:pt idx="4">
                  <c:v>170.62992922143579</c:v>
                </c:pt>
              </c:numCache>
            </c:numRef>
          </c:val>
          <c:extLst/>
        </c:ser>
        <c:ser>
          <c:idx val="2"/>
          <c:order val="1"/>
          <c:tx>
            <c:strRef>
              <c:f>'EX 10-DIST PLANT CAP INVT'!$L$19</c:f>
              <c:strCache>
                <c:ptCount val="1"/>
                <c:pt idx="0">
                  <c:v>Met 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'EX 10-DIST PLANT CAP INVT'!$M$17:$Q$17</c:f>
              <c:numCache>
                <c:formatCode>General</c:formatCode>
                <c:ptCount val="5"/>
                <c:pt idx="0">
                  <c:v>2010</c:v>
                </c:pt>
                <c:pt idx="1">
                  <c:v>2011</c:v>
                </c:pt>
                <c:pt idx="2">
                  <c:v>2012</c:v>
                </c:pt>
                <c:pt idx="3">
                  <c:v>2013</c:v>
                </c:pt>
                <c:pt idx="4">
                  <c:v>2014</c:v>
                </c:pt>
              </c:numCache>
            </c:numRef>
          </c:cat>
          <c:val>
            <c:numRef>
              <c:f>'EX 10-DIST PLANT CAP INVT'!$M$19:$Q$19</c:f>
              <c:numCache>
                <c:formatCode>"$"#,##0.00</c:formatCode>
                <c:ptCount val="5"/>
                <c:pt idx="0">
                  <c:v>143.85100113089393</c:v>
                </c:pt>
                <c:pt idx="1">
                  <c:v>141.38597002339716</c:v>
                </c:pt>
                <c:pt idx="2">
                  <c:v>59.074460837903494</c:v>
                </c:pt>
                <c:pt idx="3">
                  <c:v>392.44741397341483</c:v>
                </c:pt>
                <c:pt idx="4">
                  <c:v>145.4219991124323</c:v>
                </c:pt>
              </c:numCache>
            </c:numRef>
          </c:val>
          <c:extLst/>
        </c:ser>
        <c:ser>
          <c:idx val="3"/>
          <c:order val="2"/>
          <c:tx>
            <c:strRef>
              <c:f>'EX 10-DIST PLANT CAP INVT'!$L$20</c:f>
              <c:strCache>
                <c:ptCount val="1"/>
                <c:pt idx="0">
                  <c:v>PECO</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'EX 10-DIST PLANT CAP INVT'!$M$17:$Q$17</c:f>
              <c:numCache>
                <c:formatCode>General</c:formatCode>
                <c:ptCount val="5"/>
                <c:pt idx="0">
                  <c:v>2010</c:v>
                </c:pt>
                <c:pt idx="1">
                  <c:v>2011</c:v>
                </c:pt>
                <c:pt idx="2">
                  <c:v>2012</c:v>
                </c:pt>
                <c:pt idx="3">
                  <c:v>2013</c:v>
                </c:pt>
                <c:pt idx="4">
                  <c:v>2014</c:v>
                </c:pt>
              </c:numCache>
            </c:numRef>
          </c:cat>
          <c:val>
            <c:numRef>
              <c:f>'EX 10-DIST PLANT CAP INVT'!$M$20:$Q$20</c:f>
              <c:numCache>
                <c:formatCode>"$"#,##0.00</c:formatCode>
                <c:ptCount val="5"/>
                <c:pt idx="0">
                  <c:v>119.12109732001078</c:v>
                </c:pt>
                <c:pt idx="1">
                  <c:v>162.17901480073394</c:v>
                </c:pt>
                <c:pt idx="2">
                  <c:v>141.79634950978956</c:v>
                </c:pt>
                <c:pt idx="3">
                  <c:v>193.54612923023248</c:v>
                </c:pt>
                <c:pt idx="4">
                  <c:v>207.09432887471564</c:v>
                </c:pt>
              </c:numCache>
            </c:numRef>
          </c:val>
          <c:extLst/>
        </c:ser>
        <c:ser>
          <c:idx val="4"/>
          <c:order val="3"/>
          <c:tx>
            <c:strRef>
              <c:f>'EX 10-DIST PLANT CAP INVT'!$L$21</c:f>
              <c:strCache>
                <c:ptCount val="1"/>
                <c:pt idx="0">
                  <c:v>Penelec</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'EX 10-DIST PLANT CAP INVT'!$M$17:$Q$17</c:f>
              <c:numCache>
                <c:formatCode>General</c:formatCode>
                <c:ptCount val="5"/>
                <c:pt idx="0">
                  <c:v>2010</c:v>
                </c:pt>
                <c:pt idx="1">
                  <c:v>2011</c:v>
                </c:pt>
                <c:pt idx="2">
                  <c:v>2012</c:v>
                </c:pt>
                <c:pt idx="3">
                  <c:v>2013</c:v>
                </c:pt>
                <c:pt idx="4">
                  <c:v>2014</c:v>
                </c:pt>
              </c:numCache>
            </c:numRef>
          </c:cat>
          <c:val>
            <c:numRef>
              <c:f>'EX 10-DIST PLANT CAP INVT'!$M$21:$Q$21</c:f>
              <c:numCache>
                <c:formatCode>"$"#,##0.00</c:formatCode>
                <c:ptCount val="5"/>
                <c:pt idx="0">
                  <c:v>166.32515953154351</c:v>
                </c:pt>
                <c:pt idx="1">
                  <c:v>132.81544768006844</c:v>
                </c:pt>
                <c:pt idx="2">
                  <c:v>74.661183535338992</c:v>
                </c:pt>
                <c:pt idx="3">
                  <c:v>343.42246887523265</c:v>
                </c:pt>
                <c:pt idx="4">
                  <c:v>129.50879818956238</c:v>
                </c:pt>
              </c:numCache>
            </c:numRef>
          </c:val>
          <c:extLst/>
        </c:ser>
        <c:ser>
          <c:idx val="5"/>
          <c:order val="4"/>
          <c:tx>
            <c:strRef>
              <c:f>'EX 10-DIST PLANT CAP INVT'!$L$22</c:f>
              <c:strCache>
                <c:ptCount val="1"/>
                <c:pt idx="0">
                  <c:v>West Penn</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'EX 10-DIST PLANT CAP INVT'!$M$17:$Q$17</c:f>
              <c:numCache>
                <c:formatCode>General</c:formatCode>
                <c:ptCount val="5"/>
                <c:pt idx="0">
                  <c:v>2010</c:v>
                </c:pt>
                <c:pt idx="1">
                  <c:v>2011</c:v>
                </c:pt>
                <c:pt idx="2">
                  <c:v>2012</c:v>
                </c:pt>
                <c:pt idx="3">
                  <c:v>2013</c:v>
                </c:pt>
                <c:pt idx="4">
                  <c:v>2014</c:v>
                </c:pt>
              </c:numCache>
            </c:numRef>
          </c:cat>
          <c:val>
            <c:numRef>
              <c:f>'EX 10-DIST PLANT CAP INVT'!$M$22:$Q$22</c:f>
              <c:numCache>
                <c:formatCode>"$"#,##0.00</c:formatCode>
                <c:ptCount val="5"/>
                <c:pt idx="0">
                  <c:v>126.13569740877074</c:v>
                </c:pt>
                <c:pt idx="1">
                  <c:v>133.51289822925546</c:v>
                </c:pt>
                <c:pt idx="2">
                  <c:v>23.922554414154302</c:v>
                </c:pt>
                <c:pt idx="3">
                  <c:v>230.7345081585861</c:v>
                </c:pt>
                <c:pt idx="4">
                  <c:v>71.052013767737492</c:v>
                </c:pt>
              </c:numCache>
            </c:numRef>
          </c:val>
          <c:extLst/>
        </c:ser>
        <c:ser>
          <c:idx val="6"/>
          <c:order val="5"/>
          <c:tx>
            <c:strRef>
              <c:f>'EX 10-DIST PLANT CAP INVT'!$L$23</c:f>
              <c:strCache>
                <c:ptCount val="1"/>
                <c:pt idx="0">
                  <c:v>Panel Average</c:v>
                </c:pt>
              </c:strCache>
            </c:strRef>
          </c:tx>
          <c:spPr>
            <a:ln w="28575" cap="rnd">
              <a:solidFill>
                <a:schemeClr val="accent1">
                  <a:lumMod val="60000"/>
                </a:schemeClr>
              </a:solidFill>
              <a:prstDash val="sysDot"/>
              <a:round/>
            </a:ln>
            <a:effectLst/>
          </c:spPr>
          <c:marker>
            <c:symbol val="circle"/>
            <c:size val="5"/>
            <c:spPr>
              <a:solidFill>
                <a:schemeClr val="accent1">
                  <a:lumMod val="60000"/>
                </a:schemeClr>
              </a:solidFill>
              <a:ln w="9525">
                <a:solidFill>
                  <a:schemeClr val="accent1">
                    <a:lumMod val="60000"/>
                  </a:schemeClr>
                </a:solidFill>
              </a:ln>
              <a:effectLst/>
            </c:spPr>
          </c:marker>
          <c:cat>
            <c:numRef>
              <c:f>'EX 10-DIST PLANT CAP INVT'!$M$17:$Q$17</c:f>
              <c:numCache>
                <c:formatCode>General</c:formatCode>
                <c:ptCount val="5"/>
                <c:pt idx="0">
                  <c:v>2010</c:v>
                </c:pt>
                <c:pt idx="1">
                  <c:v>2011</c:v>
                </c:pt>
                <c:pt idx="2">
                  <c:v>2012</c:v>
                </c:pt>
                <c:pt idx="3">
                  <c:v>2013</c:v>
                </c:pt>
                <c:pt idx="4">
                  <c:v>2014</c:v>
                </c:pt>
              </c:numCache>
            </c:numRef>
          </c:cat>
          <c:val>
            <c:numRef>
              <c:f>'EX 10-DIST PLANT CAP INVT'!$M$23:$Q$23</c:f>
              <c:numCache>
                <c:formatCode>"$"#,##0.00</c:formatCode>
                <c:ptCount val="5"/>
                <c:pt idx="0">
                  <c:v>142.6414658915343</c:v>
                </c:pt>
                <c:pt idx="1">
                  <c:v>163.01692295984938</c:v>
                </c:pt>
                <c:pt idx="2">
                  <c:v>109.7306041611826</c:v>
                </c:pt>
                <c:pt idx="3">
                  <c:v>240.18474808217647</c:v>
                </c:pt>
                <c:pt idx="4">
                  <c:v>157.79866854723318</c:v>
                </c:pt>
              </c:numCache>
            </c:numRef>
          </c:val>
          <c:extLst/>
        </c:ser>
        <c:ser>
          <c:idx val="7"/>
          <c:order val="6"/>
          <c:tx>
            <c:strRef>
              <c:f>'EX 10-DIST PLANT CAP INVT'!$L$24</c:f>
              <c:strCache>
                <c:ptCount val="1"/>
                <c:pt idx="0">
                  <c:v>PPL</c:v>
                </c:pt>
              </c:strCache>
            </c:strRef>
          </c:tx>
          <c:spPr>
            <a:ln w="28575" cap="rnd">
              <a:solidFill>
                <a:schemeClr val="accent2">
                  <a:lumMod val="60000"/>
                </a:schemeClr>
              </a:solidFill>
              <a:prstDash val="dash"/>
              <a:round/>
            </a:ln>
            <a:effectLst/>
          </c:spPr>
          <c:marker>
            <c:symbol val="circle"/>
            <c:size val="5"/>
            <c:spPr>
              <a:solidFill>
                <a:schemeClr val="accent2">
                  <a:lumMod val="60000"/>
                </a:schemeClr>
              </a:solidFill>
              <a:ln w="9525">
                <a:solidFill>
                  <a:schemeClr val="accent2">
                    <a:lumMod val="60000"/>
                  </a:schemeClr>
                </a:solidFill>
              </a:ln>
              <a:effectLst/>
            </c:spPr>
          </c:marker>
          <c:cat>
            <c:numRef>
              <c:f>'EX 10-DIST PLANT CAP INVT'!$M$17:$Q$17</c:f>
              <c:numCache>
                <c:formatCode>General</c:formatCode>
                <c:ptCount val="5"/>
                <c:pt idx="0">
                  <c:v>2010</c:v>
                </c:pt>
                <c:pt idx="1">
                  <c:v>2011</c:v>
                </c:pt>
                <c:pt idx="2">
                  <c:v>2012</c:v>
                </c:pt>
                <c:pt idx="3">
                  <c:v>2013</c:v>
                </c:pt>
                <c:pt idx="4">
                  <c:v>2014</c:v>
                </c:pt>
              </c:numCache>
            </c:numRef>
          </c:cat>
          <c:val>
            <c:numRef>
              <c:f>'EX 10-DIST PLANT CAP INVT'!$M$24:$Q$24</c:f>
              <c:numCache>
                <c:formatCode>"$"#,##0.00</c:formatCode>
                <c:ptCount val="5"/>
                <c:pt idx="0">
                  <c:v>139.66417889683422</c:v>
                </c:pt>
                <c:pt idx="1">
                  <c:v>173.76040983297136</c:v>
                </c:pt>
                <c:pt idx="2">
                  <c:v>152.96761336459537</c:v>
                </c:pt>
                <c:pt idx="3">
                  <c:v>198.14615513315266</c:v>
                </c:pt>
                <c:pt idx="4">
                  <c:v>183.38313239722663</c:v>
                </c:pt>
              </c:numCache>
            </c:numRef>
          </c:val>
          <c:extLst/>
        </c:ser>
        <c:marker val="1"/>
        <c:axId val="162363264"/>
        <c:axId val="162381824"/>
      </c:lineChart>
      <c:catAx>
        <c:axId val="1623632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2381824"/>
        <c:crosses val="autoZero"/>
        <c:auto val="1"/>
        <c:lblAlgn val="ctr"/>
        <c:lblOffset val="100"/>
      </c:catAx>
      <c:valAx>
        <c:axId val="162381824"/>
        <c:scaling>
          <c:orientation val="minMax"/>
        </c:scaling>
        <c:axPos val="l"/>
        <c:majorGridlines>
          <c:spPr>
            <a:ln w="9525" cap="flat" cmpd="sng" algn="ctr">
              <a:solidFill>
                <a:schemeClr val="tx1">
                  <a:lumMod val="15000"/>
                  <a:lumOff val="85000"/>
                </a:schemeClr>
              </a:solidFill>
              <a:round/>
            </a:ln>
            <a:effectLst/>
          </c:spPr>
        </c:majorGridlines>
        <c:numFmt formatCode="&quot;$&quot;#,##0.00" sourceLinked="1"/>
        <c:maj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2363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lang val="en-US"/>
  <c:chart>
    <c:autoTitleDeleted val="1"/>
    <c:plotArea>
      <c:layout/>
      <c:lineChart>
        <c:grouping val="standard"/>
        <c:ser>
          <c:idx val="1"/>
          <c:order val="0"/>
          <c:tx>
            <c:strRef>
              <c:f>'EX 11-NET PLANT IN SVC RATIO'!$L$18</c:f>
              <c:strCache>
                <c:ptCount val="1"/>
                <c:pt idx="0">
                  <c:v>Duquesne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'EX 11-NET PLANT IN SVC RATIO'!$M$17:$Q$17</c:f>
              <c:numCache>
                <c:formatCode>General</c:formatCode>
                <c:ptCount val="5"/>
                <c:pt idx="0">
                  <c:v>2010</c:v>
                </c:pt>
                <c:pt idx="1">
                  <c:v>2011</c:v>
                </c:pt>
                <c:pt idx="2">
                  <c:v>2012</c:v>
                </c:pt>
                <c:pt idx="3">
                  <c:v>2013</c:v>
                </c:pt>
                <c:pt idx="4">
                  <c:v>2014</c:v>
                </c:pt>
              </c:numCache>
            </c:numRef>
          </c:cat>
          <c:val>
            <c:numRef>
              <c:f>'EX 11-NET PLANT IN SVC RATIO'!$M$18:$Q$18</c:f>
              <c:numCache>
                <c:formatCode>_(* #,##0.00_);_(* \(#,##0.00\);_(* "-"??_);_(@_)</c:formatCode>
                <c:ptCount val="5"/>
                <c:pt idx="0">
                  <c:v>0.70592985942325892</c:v>
                </c:pt>
                <c:pt idx="1">
                  <c:v>0.712021313831254</c:v>
                </c:pt>
                <c:pt idx="2">
                  <c:v>0.70754796381658969</c:v>
                </c:pt>
                <c:pt idx="3">
                  <c:v>0.70206641141774151</c:v>
                </c:pt>
                <c:pt idx="4">
                  <c:v>0.69688003816290311</c:v>
                </c:pt>
              </c:numCache>
            </c:numRef>
          </c:val>
        </c:ser>
        <c:ser>
          <c:idx val="2"/>
          <c:order val="1"/>
          <c:tx>
            <c:strRef>
              <c:f>'EX 11-NET PLANT IN SVC RATIO'!$L$19</c:f>
              <c:strCache>
                <c:ptCount val="1"/>
                <c:pt idx="0">
                  <c:v>Met 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'EX 11-NET PLANT IN SVC RATIO'!$M$17:$Q$17</c:f>
              <c:numCache>
                <c:formatCode>General</c:formatCode>
                <c:ptCount val="5"/>
                <c:pt idx="0">
                  <c:v>2010</c:v>
                </c:pt>
                <c:pt idx="1">
                  <c:v>2011</c:v>
                </c:pt>
                <c:pt idx="2">
                  <c:v>2012</c:v>
                </c:pt>
                <c:pt idx="3">
                  <c:v>2013</c:v>
                </c:pt>
                <c:pt idx="4">
                  <c:v>2014</c:v>
                </c:pt>
              </c:numCache>
            </c:numRef>
          </c:cat>
          <c:val>
            <c:numRef>
              <c:f>'EX 11-NET PLANT IN SVC RATIO'!$M$19:$Q$19</c:f>
              <c:numCache>
                <c:formatCode>_(* #,##0.00_);_(* \(#,##0.00\);_(* "-"??_);_(@_)</c:formatCode>
                <c:ptCount val="5"/>
                <c:pt idx="0">
                  <c:v>0.64318160238604161</c:v>
                </c:pt>
                <c:pt idx="1">
                  <c:v>0.64840665790985685</c:v>
                </c:pt>
                <c:pt idx="2">
                  <c:v>0.65594738999760427</c:v>
                </c:pt>
                <c:pt idx="3">
                  <c:v>0.6550942203406257</c:v>
                </c:pt>
                <c:pt idx="4">
                  <c:v>0.67426479269499162</c:v>
                </c:pt>
              </c:numCache>
            </c:numRef>
          </c:val>
        </c:ser>
        <c:ser>
          <c:idx val="3"/>
          <c:order val="2"/>
          <c:tx>
            <c:strRef>
              <c:f>'EX 11-NET PLANT IN SVC RATIO'!$L$20</c:f>
              <c:strCache>
                <c:ptCount val="1"/>
                <c:pt idx="0">
                  <c:v>PECO</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'EX 11-NET PLANT IN SVC RATIO'!$M$17:$Q$17</c:f>
              <c:numCache>
                <c:formatCode>General</c:formatCode>
                <c:ptCount val="5"/>
                <c:pt idx="0">
                  <c:v>2010</c:v>
                </c:pt>
                <c:pt idx="1">
                  <c:v>2011</c:v>
                </c:pt>
                <c:pt idx="2">
                  <c:v>2012</c:v>
                </c:pt>
                <c:pt idx="3">
                  <c:v>2013</c:v>
                </c:pt>
                <c:pt idx="4">
                  <c:v>2014</c:v>
                </c:pt>
              </c:numCache>
            </c:numRef>
          </c:cat>
          <c:val>
            <c:numRef>
              <c:f>'EX 11-NET PLANT IN SVC RATIO'!$M$20:$Q$20</c:f>
              <c:numCache>
                <c:formatCode>_(* #,##0.00_);_(* \(#,##0.00\);_(* "-"??_);_(@_)</c:formatCode>
                <c:ptCount val="5"/>
                <c:pt idx="0">
                  <c:v>0.69953549430483364</c:v>
                </c:pt>
                <c:pt idx="1">
                  <c:v>0.7002117155404507</c:v>
                </c:pt>
                <c:pt idx="2">
                  <c:v>0.69720059707749915</c:v>
                </c:pt>
                <c:pt idx="3">
                  <c:v>0.69796073624774868</c:v>
                </c:pt>
                <c:pt idx="4">
                  <c:v>0.71640211698869571</c:v>
                </c:pt>
              </c:numCache>
            </c:numRef>
          </c:val>
        </c:ser>
        <c:ser>
          <c:idx val="4"/>
          <c:order val="3"/>
          <c:tx>
            <c:strRef>
              <c:f>'EX 11-NET PLANT IN SVC RATIO'!$L$21</c:f>
              <c:strCache>
                <c:ptCount val="1"/>
                <c:pt idx="0">
                  <c:v>Penelec</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'EX 11-NET PLANT IN SVC RATIO'!$M$17:$Q$17</c:f>
              <c:numCache>
                <c:formatCode>General</c:formatCode>
                <c:ptCount val="5"/>
                <c:pt idx="0">
                  <c:v>2010</c:v>
                </c:pt>
                <c:pt idx="1">
                  <c:v>2011</c:v>
                </c:pt>
                <c:pt idx="2">
                  <c:v>2012</c:v>
                </c:pt>
                <c:pt idx="3">
                  <c:v>2013</c:v>
                </c:pt>
                <c:pt idx="4">
                  <c:v>2014</c:v>
                </c:pt>
              </c:numCache>
            </c:numRef>
          </c:cat>
          <c:val>
            <c:numRef>
              <c:f>'EX 11-NET PLANT IN SVC RATIO'!$M$21:$Q$21</c:f>
              <c:numCache>
                <c:formatCode>_(* #,##0.00_);_(* \(#,##0.00\);_(* "-"??_);_(@_)</c:formatCode>
                <c:ptCount val="5"/>
                <c:pt idx="0">
                  <c:v>0.65198423570469255</c:v>
                </c:pt>
                <c:pt idx="1">
                  <c:v>0.65793139489150465</c:v>
                </c:pt>
                <c:pt idx="2">
                  <c:v>0.66262819938875084</c:v>
                </c:pt>
                <c:pt idx="3">
                  <c:v>0.66581375774126439</c:v>
                </c:pt>
                <c:pt idx="4">
                  <c:v>0.67501761958095663</c:v>
                </c:pt>
              </c:numCache>
            </c:numRef>
          </c:val>
        </c:ser>
        <c:ser>
          <c:idx val="5"/>
          <c:order val="4"/>
          <c:tx>
            <c:strRef>
              <c:f>'EX 11-NET PLANT IN SVC RATIO'!$L$22</c:f>
              <c:strCache>
                <c:ptCount val="1"/>
                <c:pt idx="0">
                  <c:v>West Penn</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'EX 11-NET PLANT IN SVC RATIO'!$M$17:$Q$17</c:f>
              <c:numCache>
                <c:formatCode>General</c:formatCode>
                <c:ptCount val="5"/>
                <c:pt idx="0">
                  <c:v>2010</c:v>
                </c:pt>
                <c:pt idx="1">
                  <c:v>2011</c:v>
                </c:pt>
                <c:pt idx="2">
                  <c:v>2012</c:v>
                </c:pt>
                <c:pt idx="3">
                  <c:v>2013</c:v>
                </c:pt>
                <c:pt idx="4">
                  <c:v>2014</c:v>
                </c:pt>
              </c:numCache>
            </c:numRef>
          </c:cat>
          <c:val>
            <c:numRef>
              <c:f>'EX 11-NET PLANT IN SVC RATIO'!$M$22:$Q$22</c:f>
              <c:numCache>
                <c:formatCode>_(* #,##0.00_);_(* \(#,##0.00\);_(* "-"??_);_(@_)</c:formatCode>
                <c:ptCount val="5"/>
                <c:pt idx="0">
                  <c:v>0.58543197950675607</c:v>
                </c:pt>
                <c:pt idx="1">
                  <c:v>0.58970574649501062</c:v>
                </c:pt>
                <c:pt idx="2">
                  <c:v>0.60872124218792112</c:v>
                </c:pt>
                <c:pt idx="3">
                  <c:v>0.61068309960030365</c:v>
                </c:pt>
                <c:pt idx="4">
                  <c:v>0.61975114982356361</c:v>
                </c:pt>
              </c:numCache>
            </c:numRef>
          </c:val>
        </c:ser>
        <c:ser>
          <c:idx val="6"/>
          <c:order val="5"/>
          <c:tx>
            <c:strRef>
              <c:f>'EX 11-NET PLANT IN SVC RATIO'!$L$23</c:f>
              <c:strCache>
                <c:ptCount val="1"/>
                <c:pt idx="0">
                  <c:v>Panel Average</c:v>
                </c:pt>
              </c:strCache>
            </c:strRef>
          </c:tx>
          <c:spPr>
            <a:ln w="28575" cap="rnd">
              <a:solidFill>
                <a:schemeClr val="accent1">
                  <a:lumMod val="60000"/>
                </a:schemeClr>
              </a:solidFill>
              <a:prstDash val="sysDot"/>
              <a:round/>
            </a:ln>
            <a:effectLst/>
          </c:spPr>
          <c:marker>
            <c:symbol val="circle"/>
            <c:size val="5"/>
            <c:spPr>
              <a:solidFill>
                <a:schemeClr val="accent1">
                  <a:lumMod val="60000"/>
                </a:schemeClr>
              </a:solidFill>
              <a:ln w="9525">
                <a:solidFill>
                  <a:schemeClr val="accent1">
                    <a:lumMod val="60000"/>
                  </a:schemeClr>
                </a:solidFill>
              </a:ln>
              <a:effectLst/>
            </c:spPr>
          </c:marker>
          <c:cat>
            <c:numRef>
              <c:f>'EX 11-NET PLANT IN SVC RATIO'!$M$17:$Q$17</c:f>
              <c:numCache>
                <c:formatCode>General</c:formatCode>
                <c:ptCount val="5"/>
                <c:pt idx="0">
                  <c:v>2010</c:v>
                </c:pt>
                <c:pt idx="1">
                  <c:v>2011</c:v>
                </c:pt>
                <c:pt idx="2">
                  <c:v>2012</c:v>
                </c:pt>
                <c:pt idx="3">
                  <c:v>2013</c:v>
                </c:pt>
                <c:pt idx="4">
                  <c:v>2014</c:v>
                </c:pt>
              </c:numCache>
            </c:numRef>
          </c:cat>
          <c:val>
            <c:numRef>
              <c:f>'EX 11-NET PLANT IN SVC RATIO'!$M$23:$Q$23</c:f>
              <c:numCache>
                <c:formatCode>_(* #,##0.00_);_(* \(#,##0.00\);_(* "-"??_);_(@_)</c:formatCode>
                <c:ptCount val="5"/>
                <c:pt idx="0">
                  <c:v>0.657212634265117</c:v>
                </c:pt>
                <c:pt idx="1">
                  <c:v>0.66165536573361561</c:v>
                </c:pt>
                <c:pt idx="2">
                  <c:v>0.6664090784936747</c:v>
                </c:pt>
                <c:pt idx="3">
                  <c:v>0.66632364506953745</c:v>
                </c:pt>
                <c:pt idx="4">
                  <c:v>0.67646314345022152</c:v>
                </c:pt>
              </c:numCache>
            </c:numRef>
          </c:val>
        </c:ser>
        <c:ser>
          <c:idx val="7"/>
          <c:order val="6"/>
          <c:tx>
            <c:strRef>
              <c:f>'EX 11-NET PLANT IN SVC RATIO'!$L$24</c:f>
              <c:strCache>
                <c:ptCount val="1"/>
                <c:pt idx="0">
                  <c:v>PPL</c:v>
                </c:pt>
              </c:strCache>
            </c:strRef>
          </c:tx>
          <c:spPr>
            <a:ln w="28575" cap="rnd">
              <a:solidFill>
                <a:schemeClr val="accent2">
                  <a:lumMod val="60000"/>
                </a:schemeClr>
              </a:solidFill>
              <a:prstDash val="dash"/>
              <a:round/>
            </a:ln>
            <a:effectLst/>
          </c:spPr>
          <c:marker>
            <c:symbol val="circle"/>
            <c:size val="5"/>
            <c:spPr>
              <a:solidFill>
                <a:schemeClr val="accent2">
                  <a:lumMod val="60000"/>
                </a:schemeClr>
              </a:solidFill>
              <a:ln w="9525">
                <a:solidFill>
                  <a:schemeClr val="accent2">
                    <a:lumMod val="60000"/>
                  </a:schemeClr>
                </a:solidFill>
              </a:ln>
              <a:effectLst/>
            </c:spPr>
          </c:marker>
          <c:cat>
            <c:numRef>
              <c:f>'EX 11-NET PLANT IN SVC RATIO'!$M$17:$Q$17</c:f>
              <c:numCache>
                <c:formatCode>General</c:formatCode>
                <c:ptCount val="5"/>
                <c:pt idx="0">
                  <c:v>2010</c:v>
                </c:pt>
                <c:pt idx="1">
                  <c:v>2011</c:v>
                </c:pt>
                <c:pt idx="2">
                  <c:v>2012</c:v>
                </c:pt>
                <c:pt idx="3">
                  <c:v>2013</c:v>
                </c:pt>
                <c:pt idx="4">
                  <c:v>2014</c:v>
                </c:pt>
              </c:numCache>
            </c:numRef>
          </c:cat>
          <c:val>
            <c:numRef>
              <c:f>'EX 11-NET PLANT IN SVC RATIO'!$M$24:$Q$24</c:f>
              <c:numCache>
                <c:formatCode>_(* #,##0.00_);_(* \(#,##0.00\);_(* "-"??_);_(@_)</c:formatCode>
                <c:ptCount val="5"/>
                <c:pt idx="0">
                  <c:v>0.63093429103416665</c:v>
                </c:pt>
                <c:pt idx="1">
                  <c:v>0.64252698182746726</c:v>
                </c:pt>
                <c:pt idx="2">
                  <c:v>0.66142499760258333</c:v>
                </c:pt>
                <c:pt idx="3">
                  <c:v>0.68910709684427562</c:v>
                </c:pt>
                <c:pt idx="4">
                  <c:v>0.71047147827618784</c:v>
                </c:pt>
              </c:numCache>
            </c:numRef>
          </c:val>
        </c:ser>
        <c:marker val="1"/>
        <c:axId val="162824960"/>
        <c:axId val="162826880"/>
      </c:lineChart>
      <c:catAx>
        <c:axId val="1628249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2826880"/>
        <c:crosses val="autoZero"/>
        <c:auto val="1"/>
        <c:lblAlgn val="ctr"/>
        <c:lblOffset val="100"/>
      </c:catAx>
      <c:valAx>
        <c:axId val="162826880"/>
        <c:scaling>
          <c:orientation val="minMax"/>
          <c:max val="0.75000000000000122"/>
          <c:min val="0.5"/>
        </c:scaling>
        <c:axPos val="l"/>
        <c:majorGridlines>
          <c:spPr>
            <a:ln w="9525" cap="flat" cmpd="sng" algn="ctr">
              <a:solidFill>
                <a:schemeClr val="tx1">
                  <a:lumMod val="15000"/>
                  <a:lumOff val="85000"/>
                </a:schemeClr>
              </a:solidFill>
              <a:round/>
            </a:ln>
            <a:effectLst/>
          </c:spPr>
        </c:majorGridlines>
        <c:numFmt formatCode="_(* #,##0.00_);_(* \(#,##0.00\);_(* &quot;-&quot;??_);_(@_)" sourceLinked="1"/>
        <c:maj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28249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lang val="en-US"/>
  <c:chart>
    <c:autoTitleDeleted val="1"/>
    <c:plotArea>
      <c:layout/>
      <c:lineChart>
        <c:grouping val="standard"/>
        <c:ser>
          <c:idx val="1"/>
          <c:order val="0"/>
          <c:tx>
            <c:strRef>
              <c:f>'EX 12-TRAN O&amp;M TO PLT IN SVC'!$L$18</c:f>
              <c:strCache>
                <c:ptCount val="1"/>
                <c:pt idx="0">
                  <c:v>Duquesne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'EX 12-TRAN O&amp;M TO PLT IN SVC'!$M$17:$Q$17</c:f>
              <c:numCache>
                <c:formatCode>General</c:formatCode>
                <c:ptCount val="5"/>
                <c:pt idx="0">
                  <c:v>2010</c:v>
                </c:pt>
                <c:pt idx="1">
                  <c:v>2011</c:v>
                </c:pt>
                <c:pt idx="2">
                  <c:v>2012</c:v>
                </c:pt>
                <c:pt idx="3">
                  <c:v>2013</c:v>
                </c:pt>
                <c:pt idx="4">
                  <c:v>2014</c:v>
                </c:pt>
              </c:numCache>
            </c:numRef>
          </c:cat>
          <c:val>
            <c:numRef>
              <c:f>'EX 12-TRAN O&amp;M TO PLT IN SVC'!$M$18:$Q$18</c:f>
              <c:numCache>
                <c:formatCode>0.00%</c:formatCode>
                <c:ptCount val="5"/>
                <c:pt idx="0">
                  <c:v>1.4969290336332423E-2</c:v>
                </c:pt>
                <c:pt idx="1">
                  <c:v>1.7420541162509833E-2</c:v>
                </c:pt>
                <c:pt idx="2">
                  <c:v>1.4968635037185809E-2</c:v>
                </c:pt>
                <c:pt idx="3">
                  <c:v>1.4159288260287653E-2</c:v>
                </c:pt>
                <c:pt idx="4">
                  <c:v>1.3102827037389655E-2</c:v>
                </c:pt>
              </c:numCache>
            </c:numRef>
          </c:val>
          <c:extLst/>
        </c:ser>
        <c:ser>
          <c:idx val="2"/>
          <c:order val="1"/>
          <c:tx>
            <c:strRef>
              <c:f>'EX 12-TRAN O&amp;M TO PLT IN SVC'!$L$19</c:f>
              <c:strCache>
                <c:ptCount val="1"/>
                <c:pt idx="0">
                  <c:v>Met 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'EX 12-TRAN O&amp;M TO PLT IN SVC'!$M$17:$Q$17</c:f>
              <c:numCache>
                <c:formatCode>General</c:formatCode>
                <c:ptCount val="5"/>
                <c:pt idx="0">
                  <c:v>2010</c:v>
                </c:pt>
                <c:pt idx="1">
                  <c:v>2011</c:v>
                </c:pt>
                <c:pt idx="2">
                  <c:v>2012</c:v>
                </c:pt>
                <c:pt idx="3">
                  <c:v>2013</c:v>
                </c:pt>
                <c:pt idx="4">
                  <c:v>2014</c:v>
                </c:pt>
              </c:numCache>
            </c:numRef>
          </c:cat>
          <c:val>
            <c:numRef>
              <c:f>'EX 12-TRAN O&amp;M TO PLT IN SVC'!$M$19:$Q$19</c:f>
              <c:numCache>
                <c:formatCode>0.00%</c:formatCode>
                <c:ptCount val="5"/>
                <c:pt idx="0">
                  <c:v>0.82927470494708533</c:v>
                </c:pt>
                <c:pt idx="1">
                  <c:v>3.0930443931429789E-2</c:v>
                </c:pt>
                <c:pt idx="2">
                  <c:v>4.2406620472484093E-2</c:v>
                </c:pt>
                <c:pt idx="3">
                  <c:v>5.0769554208408903E-2</c:v>
                </c:pt>
                <c:pt idx="4">
                  <c:v>6.3251294604741132E-2</c:v>
                </c:pt>
              </c:numCache>
            </c:numRef>
          </c:val>
          <c:extLst/>
        </c:ser>
        <c:ser>
          <c:idx val="3"/>
          <c:order val="2"/>
          <c:tx>
            <c:strRef>
              <c:f>'EX 12-TRAN O&amp;M TO PLT IN SVC'!$L$20</c:f>
              <c:strCache>
                <c:ptCount val="1"/>
                <c:pt idx="0">
                  <c:v>PECO</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'EX 12-TRAN O&amp;M TO PLT IN SVC'!$M$17:$Q$17</c:f>
              <c:numCache>
                <c:formatCode>General</c:formatCode>
                <c:ptCount val="5"/>
                <c:pt idx="0">
                  <c:v>2010</c:v>
                </c:pt>
                <c:pt idx="1">
                  <c:v>2011</c:v>
                </c:pt>
                <c:pt idx="2">
                  <c:v>2012</c:v>
                </c:pt>
                <c:pt idx="3">
                  <c:v>2013</c:v>
                </c:pt>
                <c:pt idx="4">
                  <c:v>2014</c:v>
                </c:pt>
              </c:numCache>
            </c:numRef>
          </c:cat>
          <c:val>
            <c:numRef>
              <c:f>'EX 12-TRAN O&amp;M TO PLT IN SVC'!$M$20:$Q$20</c:f>
              <c:numCache>
                <c:formatCode>0.00%</c:formatCode>
                <c:ptCount val="5"/>
                <c:pt idx="0">
                  <c:v>0.27493256617823381</c:v>
                </c:pt>
                <c:pt idx="1">
                  <c:v>0.13249694876342202</c:v>
                </c:pt>
                <c:pt idx="2">
                  <c:v>0.11347349175894483</c:v>
                </c:pt>
                <c:pt idx="3">
                  <c:v>0.1075227571224128</c:v>
                </c:pt>
                <c:pt idx="4">
                  <c:v>9.8425140317214402E-2</c:v>
                </c:pt>
              </c:numCache>
            </c:numRef>
          </c:val>
          <c:extLst/>
        </c:ser>
        <c:ser>
          <c:idx val="4"/>
          <c:order val="3"/>
          <c:tx>
            <c:strRef>
              <c:f>'EX 12-TRAN O&amp;M TO PLT IN SVC'!$L$21</c:f>
              <c:strCache>
                <c:ptCount val="1"/>
                <c:pt idx="0">
                  <c:v>Penelec</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'EX 12-TRAN O&amp;M TO PLT IN SVC'!$M$17:$Q$17</c:f>
              <c:numCache>
                <c:formatCode>General</c:formatCode>
                <c:ptCount val="5"/>
                <c:pt idx="0">
                  <c:v>2010</c:v>
                </c:pt>
                <c:pt idx="1">
                  <c:v>2011</c:v>
                </c:pt>
                <c:pt idx="2">
                  <c:v>2012</c:v>
                </c:pt>
                <c:pt idx="3">
                  <c:v>2013</c:v>
                </c:pt>
                <c:pt idx="4">
                  <c:v>2014</c:v>
                </c:pt>
              </c:numCache>
            </c:numRef>
          </c:cat>
          <c:val>
            <c:numRef>
              <c:f>'EX 12-TRAN O&amp;M TO PLT IN SVC'!$M$21:$Q$21</c:f>
              <c:numCache>
                <c:formatCode>0.00%</c:formatCode>
                <c:ptCount val="5"/>
                <c:pt idx="0">
                  <c:v>0.36231263627873489</c:v>
                </c:pt>
                <c:pt idx="1">
                  <c:v>2.3164020263110333E-2</c:v>
                </c:pt>
                <c:pt idx="2">
                  <c:v>3.8596416647755885E-2</c:v>
                </c:pt>
                <c:pt idx="3">
                  <c:v>4.3434513208468063E-2</c:v>
                </c:pt>
                <c:pt idx="4">
                  <c:v>5.8662150165795769E-2</c:v>
                </c:pt>
              </c:numCache>
            </c:numRef>
          </c:val>
          <c:extLst/>
        </c:ser>
        <c:ser>
          <c:idx val="5"/>
          <c:order val="4"/>
          <c:tx>
            <c:strRef>
              <c:f>'EX 12-TRAN O&amp;M TO PLT IN SVC'!$L$22</c:f>
              <c:strCache>
                <c:ptCount val="1"/>
                <c:pt idx="0">
                  <c:v>West Penn</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'EX 12-TRAN O&amp;M TO PLT IN SVC'!$M$17:$Q$17</c:f>
              <c:numCache>
                <c:formatCode>General</c:formatCode>
                <c:ptCount val="5"/>
                <c:pt idx="0">
                  <c:v>2010</c:v>
                </c:pt>
                <c:pt idx="1">
                  <c:v>2011</c:v>
                </c:pt>
                <c:pt idx="2">
                  <c:v>2012</c:v>
                </c:pt>
                <c:pt idx="3">
                  <c:v>2013</c:v>
                </c:pt>
                <c:pt idx="4">
                  <c:v>2014</c:v>
                </c:pt>
              </c:numCache>
            </c:numRef>
          </c:cat>
          <c:val>
            <c:numRef>
              <c:f>'EX 12-TRAN O&amp;M TO PLT IN SVC'!$M$22:$Q$22</c:f>
              <c:numCache>
                <c:formatCode>0.00%</c:formatCode>
                <c:ptCount val="5"/>
                <c:pt idx="0">
                  <c:v>0.1662789539218</c:v>
                </c:pt>
                <c:pt idx="1">
                  <c:v>9.2052725281681791E-2</c:v>
                </c:pt>
                <c:pt idx="2">
                  <c:v>9.0704943030571056E-2</c:v>
                </c:pt>
                <c:pt idx="3">
                  <c:v>9.8877409906764524E-2</c:v>
                </c:pt>
                <c:pt idx="4">
                  <c:v>0.11553086872847433</c:v>
                </c:pt>
              </c:numCache>
            </c:numRef>
          </c:val>
          <c:extLst/>
        </c:ser>
        <c:ser>
          <c:idx val="6"/>
          <c:order val="5"/>
          <c:tx>
            <c:strRef>
              <c:f>'EX 12-TRAN O&amp;M TO PLT IN SVC'!$L$23</c:f>
              <c:strCache>
                <c:ptCount val="1"/>
                <c:pt idx="0">
                  <c:v>Panel Average</c:v>
                </c:pt>
              </c:strCache>
            </c:strRef>
          </c:tx>
          <c:spPr>
            <a:ln w="28575" cap="rnd">
              <a:solidFill>
                <a:schemeClr val="accent1">
                  <a:lumMod val="60000"/>
                </a:schemeClr>
              </a:solidFill>
              <a:prstDash val="sysDot"/>
              <a:round/>
            </a:ln>
            <a:effectLst/>
          </c:spPr>
          <c:marker>
            <c:symbol val="circle"/>
            <c:size val="5"/>
            <c:spPr>
              <a:solidFill>
                <a:schemeClr val="accent1">
                  <a:lumMod val="60000"/>
                </a:schemeClr>
              </a:solidFill>
              <a:ln w="9525">
                <a:solidFill>
                  <a:schemeClr val="accent1">
                    <a:lumMod val="60000"/>
                  </a:schemeClr>
                </a:solidFill>
              </a:ln>
              <a:effectLst/>
            </c:spPr>
          </c:marker>
          <c:cat>
            <c:numRef>
              <c:f>'EX 12-TRAN O&amp;M TO PLT IN SVC'!$M$17:$Q$17</c:f>
              <c:numCache>
                <c:formatCode>General</c:formatCode>
                <c:ptCount val="5"/>
                <c:pt idx="0">
                  <c:v>2010</c:v>
                </c:pt>
                <c:pt idx="1">
                  <c:v>2011</c:v>
                </c:pt>
                <c:pt idx="2">
                  <c:v>2012</c:v>
                </c:pt>
                <c:pt idx="3">
                  <c:v>2013</c:v>
                </c:pt>
                <c:pt idx="4">
                  <c:v>2014</c:v>
                </c:pt>
              </c:numCache>
            </c:numRef>
          </c:cat>
          <c:val>
            <c:numRef>
              <c:f>'EX 12-TRAN O&amp;M TO PLT IN SVC'!$M$23:$Q$23</c:f>
              <c:numCache>
                <c:formatCode>0.00%</c:formatCode>
                <c:ptCount val="5"/>
                <c:pt idx="0">
                  <c:v>0.32955363033243773</c:v>
                </c:pt>
                <c:pt idx="1">
                  <c:v>5.9212935880430848E-2</c:v>
                </c:pt>
                <c:pt idx="2">
                  <c:v>6.0030021389388399E-2</c:v>
                </c:pt>
                <c:pt idx="3">
                  <c:v>6.2952704541268459E-2</c:v>
                </c:pt>
                <c:pt idx="4">
                  <c:v>6.9794456170723121E-2</c:v>
                </c:pt>
              </c:numCache>
            </c:numRef>
          </c:val>
          <c:extLst/>
        </c:ser>
        <c:ser>
          <c:idx val="7"/>
          <c:order val="6"/>
          <c:tx>
            <c:strRef>
              <c:f>'EX 12-TRAN O&amp;M TO PLT IN SVC'!$L$24</c:f>
              <c:strCache>
                <c:ptCount val="1"/>
                <c:pt idx="0">
                  <c:v>PPL</c:v>
                </c:pt>
              </c:strCache>
            </c:strRef>
          </c:tx>
          <c:spPr>
            <a:ln w="28575" cap="rnd">
              <a:solidFill>
                <a:schemeClr val="accent2">
                  <a:lumMod val="60000"/>
                </a:schemeClr>
              </a:solidFill>
              <a:prstDash val="dash"/>
              <a:round/>
            </a:ln>
            <a:effectLst/>
          </c:spPr>
          <c:marker>
            <c:symbol val="circle"/>
            <c:size val="5"/>
            <c:spPr>
              <a:solidFill>
                <a:schemeClr val="accent2">
                  <a:lumMod val="60000"/>
                </a:schemeClr>
              </a:solidFill>
              <a:ln w="9525">
                <a:solidFill>
                  <a:schemeClr val="accent2">
                    <a:lumMod val="60000"/>
                  </a:schemeClr>
                </a:solidFill>
              </a:ln>
              <a:effectLst/>
            </c:spPr>
          </c:marker>
          <c:cat>
            <c:numRef>
              <c:f>'EX 12-TRAN O&amp;M TO PLT IN SVC'!$M$17:$Q$17</c:f>
              <c:numCache>
                <c:formatCode>General</c:formatCode>
                <c:ptCount val="5"/>
                <c:pt idx="0">
                  <c:v>2010</c:v>
                </c:pt>
                <c:pt idx="1">
                  <c:v>2011</c:v>
                </c:pt>
                <c:pt idx="2">
                  <c:v>2012</c:v>
                </c:pt>
                <c:pt idx="3">
                  <c:v>2013</c:v>
                </c:pt>
                <c:pt idx="4">
                  <c:v>2014</c:v>
                </c:pt>
              </c:numCache>
            </c:numRef>
          </c:cat>
          <c:val>
            <c:numRef>
              <c:f>'EX 12-TRAN O&amp;M TO PLT IN SVC'!$M$24:$Q$24</c:f>
              <c:numCache>
                <c:formatCode>0.00%</c:formatCode>
                <c:ptCount val="5"/>
                <c:pt idx="0">
                  <c:v>8.9192951814993177E-2</c:v>
                </c:pt>
                <c:pt idx="1">
                  <c:v>7.254245218228543E-2</c:v>
                </c:pt>
                <c:pt idx="2">
                  <c:v>7.1691450031204779E-2</c:v>
                </c:pt>
                <c:pt idx="3">
                  <c:v>6.1333873933928675E-2</c:v>
                </c:pt>
                <c:pt idx="4">
                  <c:v>5.1763991265115807E-2</c:v>
                </c:pt>
              </c:numCache>
            </c:numRef>
          </c:val>
          <c:extLst/>
        </c:ser>
        <c:marker val="1"/>
        <c:axId val="164314496"/>
        <c:axId val="164333056"/>
      </c:lineChart>
      <c:catAx>
        <c:axId val="16431449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4333056"/>
        <c:crosses val="autoZero"/>
        <c:auto val="1"/>
        <c:lblAlgn val="ctr"/>
        <c:lblOffset val="100"/>
      </c:catAx>
      <c:valAx>
        <c:axId val="164333056"/>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43144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lang val="en-US"/>
  <c:chart>
    <c:autoTitleDeleted val="1"/>
    <c:plotArea>
      <c:layout/>
      <c:lineChart>
        <c:grouping val="standard"/>
        <c:ser>
          <c:idx val="1"/>
          <c:order val="0"/>
          <c:tx>
            <c:strRef>
              <c:f>'EX 13-DIST O&amp;M TO PLT IN SVC'!$L$18</c:f>
              <c:strCache>
                <c:ptCount val="1"/>
                <c:pt idx="0">
                  <c:v>Duquesne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'EX 13-DIST O&amp;M TO PLT IN SVC'!$M$17:$Q$17</c:f>
              <c:numCache>
                <c:formatCode>General</c:formatCode>
                <c:ptCount val="5"/>
                <c:pt idx="0">
                  <c:v>2010</c:v>
                </c:pt>
                <c:pt idx="1">
                  <c:v>2011</c:v>
                </c:pt>
                <c:pt idx="2">
                  <c:v>2012</c:v>
                </c:pt>
                <c:pt idx="3">
                  <c:v>2013</c:v>
                </c:pt>
                <c:pt idx="4">
                  <c:v>2014</c:v>
                </c:pt>
              </c:numCache>
            </c:numRef>
          </c:cat>
          <c:val>
            <c:numRef>
              <c:f>'EX 13-DIST O&amp;M TO PLT IN SVC'!$M$18:$Q$18</c:f>
              <c:numCache>
                <c:formatCode>0.00%</c:formatCode>
                <c:ptCount val="5"/>
                <c:pt idx="0">
                  <c:v>2.1071020651302418E-2</c:v>
                </c:pt>
                <c:pt idx="1">
                  <c:v>1.6859262824915299E-2</c:v>
                </c:pt>
                <c:pt idx="2">
                  <c:v>1.6696940388120619E-2</c:v>
                </c:pt>
                <c:pt idx="3">
                  <c:v>1.8253909147918808E-2</c:v>
                </c:pt>
                <c:pt idx="4">
                  <c:v>1.882710884073405E-2</c:v>
                </c:pt>
              </c:numCache>
            </c:numRef>
          </c:val>
          <c:extLst/>
        </c:ser>
        <c:ser>
          <c:idx val="2"/>
          <c:order val="1"/>
          <c:tx>
            <c:strRef>
              <c:f>'EX 13-DIST O&amp;M TO PLT IN SVC'!$L$19</c:f>
              <c:strCache>
                <c:ptCount val="1"/>
                <c:pt idx="0">
                  <c:v>Met 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'EX 13-DIST O&amp;M TO PLT IN SVC'!$M$17:$Q$17</c:f>
              <c:numCache>
                <c:formatCode>General</c:formatCode>
                <c:ptCount val="5"/>
                <c:pt idx="0">
                  <c:v>2010</c:v>
                </c:pt>
                <c:pt idx="1">
                  <c:v>2011</c:v>
                </c:pt>
                <c:pt idx="2">
                  <c:v>2012</c:v>
                </c:pt>
                <c:pt idx="3">
                  <c:v>2013</c:v>
                </c:pt>
                <c:pt idx="4">
                  <c:v>2014</c:v>
                </c:pt>
              </c:numCache>
            </c:numRef>
          </c:cat>
          <c:val>
            <c:numRef>
              <c:f>'EX 13-DIST O&amp;M TO PLT IN SVC'!$M$19:$Q$19</c:f>
              <c:numCache>
                <c:formatCode>0.00%</c:formatCode>
                <c:ptCount val="5"/>
                <c:pt idx="0">
                  <c:v>2.3885419114384351E-2</c:v>
                </c:pt>
                <c:pt idx="1">
                  <c:v>2.694248923163875E-2</c:v>
                </c:pt>
                <c:pt idx="2">
                  <c:v>2.8396479119023241E-2</c:v>
                </c:pt>
                <c:pt idx="3">
                  <c:v>1.8955001433551083E-2</c:v>
                </c:pt>
                <c:pt idx="4">
                  <c:v>2.5679529864158231E-2</c:v>
                </c:pt>
              </c:numCache>
            </c:numRef>
          </c:val>
          <c:extLst/>
        </c:ser>
        <c:ser>
          <c:idx val="3"/>
          <c:order val="2"/>
          <c:tx>
            <c:strRef>
              <c:f>'EX 13-DIST O&amp;M TO PLT IN SVC'!$L$20</c:f>
              <c:strCache>
                <c:ptCount val="1"/>
                <c:pt idx="0">
                  <c:v>PECO</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'EX 13-DIST O&amp;M TO PLT IN SVC'!$M$17:$Q$17</c:f>
              <c:numCache>
                <c:formatCode>General</c:formatCode>
                <c:ptCount val="5"/>
                <c:pt idx="0">
                  <c:v>2010</c:v>
                </c:pt>
                <c:pt idx="1">
                  <c:v>2011</c:v>
                </c:pt>
                <c:pt idx="2">
                  <c:v>2012</c:v>
                </c:pt>
                <c:pt idx="3">
                  <c:v>2013</c:v>
                </c:pt>
                <c:pt idx="4">
                  <c:v>2014</c:v>
                </c:pt>
              </c:numCache>
            </c:numRef>
          </c:cat>
          <c:val>
            <c:numRef>
              <c:f>'EX 13-DIST O&amp;M TO PLT IN SVC'!$M$20:$Q$20</c:f>
              <c:numCache>
                <c:formatCode>0.00%</c:formatCode>
                <c:ptCount val="5"/>
                <c:pt idx="0">
                  <c:v>4.5468525272624516E-2</c:v>
                </c:pt>
                <c:pt idx="1">
                  <c:v>4.706910955829794E-2</c:v>
                </c:pt>
                <c:pt idx="2">
                  <c:v>4.7611092864964837E-2</c:v>
                </c:pt>
                <c:pt idx="3">
                  <c:v>3.8975553944758407E-2</c:v>
                </c:pt>
                <c:pt idx="4">
                  <c:v>5.9618710927955378E-2</c:v>
                </c:pt>
              </c:numCache>
            </c:numRef>
          </c:val>
          <c:extLst/>
        </c:ser>
        <c:ser>
          <c:idx val="4"/>
          <c:order val="3"/>
          <c:tx>
            <c:strRef>
              <c:f>'EX 13-DIST O&amp;M TO PLT IN SVC'!$L$21</c:f>
              <c:strCache>
                <c:ptCount val="1"/>
                <c:pt idx="0">
                  <c:v>Penelec</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'EX 13-DIST O&amp;M TO PLT IN SVC'!$M$17:$Q$17</c:f>
              <c:numCache>
                <c:formatCode>General</c:formatCode>
                <c:ptCount val="5"/>
                <c:pt idx="0">
                  <c:v>2010</c:v>
                </c:pt>
                <c:pt idx="1">
                  <c:v>2011</c:v>
                </c:pt>
                <c:pt idx="2">
                  <c:v>2012</c:v>
                </c:pt>
                <c:pt idx="3">
                  <c:v>2013</c:v>
                </c:pt>
                <c:pt idx="4">
                  <c:v>2014</c:v>
                </c:pt>
              </c:numCache>
            </c:numRef>
          </c:cat>
          <c:val>
            <c:numRef>
              <c:f>'EX 13-DIST O&amp;M TO PLT IN SVC'!$M$21:$Q$21</c:f>
              <c:numCache>
                <c:formatCode>0.00%</c:formatCode>
                <c:ptCount val="5"/>
                <c:pt idx="0">
                  <c:v>1.7502815470822043E-2</c:v>
                </c:pt>
                <c:pt idx="1">
                  <c:v>1.6720137563347583E-2</c:v>
                </c:pt>
                <c:pt idx="2">
                  <c:v>2.4688407980573084E-2</c:v>
                </c:pt>
                <c:pt idx="3">
                  <c:v>1.8385638244814661E-2</c:v>
                </c:pt>
                <c:pt idx="4">
                  <c:v>1.8036772389751786E-2</c:v>
                </c:pt>
              </c:numCache>
            </c:numRef>
          </c:val>
          <c:extLst/>
        </c:ser>
        <c:ser>
          <c:idx val="5"/>
          <c:order val="4"/>
          <c:tx>
            <c:strRef>
              <c:f>'EX 13-DIST O&amp;M TO PLT IN SVC'!$L$22</c:f>
              <c:strCache>
                <c:ptCount val="1"/>
                <c:pt idx="0">
                  <c:v>West Penn</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'EX 13-DIST O&amp;M TO PLT IN SVC'!$M$17:$Q$17</c:f>
              <c:numCache>
                <c:formatCode>General</c:formatCode>
                <c:ptCount val="5"/>
                <c:pt idx="0">
                  <c:v>2010</c:v>
                </c:pt>
                <c:pt idx="1">
                  <c:v>2011</c:v>
                </c:pt>
                <c:pt idx="2">
                  <c:v>2012</c:v>
                </c:pt>
                <c:pt idx="3">
                  <c:v>2013</c:v>
                </c:pt>
                <c:pt idx="4">
                  <c:v>2014</c:v>
                </c:pt>
              </c:numCache>
            </c:numRef>
          </c:cat>
          <c:val>
            <c:numRef>
              <c:f>'EX 13-DIST O&amp;M TO PLT IN SVC'!$M$22:$Q$22</c:f>
              <c:numCache>
                <c:formatCode>0.00%</c:formatCode>
                <c:ptCount val="5"/>
                <c:pt idx="0">
                  <c:v>3.7700000000000011E-2</c:v>
                </c:pt>
                <c:pt idx="1">
                  <c:v>2.4299999999999999E-2</c:v>
                </c:pt>
                <c:pt idx="2">
                  <c:v>1.1700000000000025E-2</c:v>
                </c:pt>
                <c:pt idx="3">
                  <c:v>2.1500000000000002E-2</c:v>
                </c:pt>
                <c:pt idx="4">
                  <c:v>2.07E-2</c:v>
                </c:pt>
              </c:numCache>
            </c:numRef>
          </c:val>
          <c:extLst/>
        </c:ser>
        <c:ser>
          <c:idx val="6"/>
          <c:order val="5"/>
          <c:tx>
            <c:strRef>
              <c:f>'EX 13-DIST O&amp;M TO PLT IN SVC'!$L$23</c:f>
              <c:strCache>
                <c:ptCount val="1"/>
                <c:pt idx="0">
                  <c:v>Panel Average</c:v>
                </c:pt>
              </c:strCache>
            </c:strRef>
          </c:tx>
          <c:spPr>
            <a:ln w="28575" cap="rnd">
              <a:solidFill>
                <a:schemeClr val="accent1">
                  <a:lumMod val="60000"/>
                </a:schemeClr>
              </a:solidFill>
              <a:prstDash val="sysDot"/>
              <a:round/>
            </a:ln>
            <a:effectLst/>
          </c:spPr>
          <c:marker>
            <c:symbol val="circle"/>
            <c:size val="5"/>
            <c:spPr>
              <a:solidFill>
                <a:schemeClr val="accent1">
                  <a:lumMod val="60000"/>
                </a:schemeClr>
              </a:solidFill>
              <a:ln w="9525">
                <a:solidFill>
                  <a:schemeClr val="accent1">
                    <a:lumMod val="60000"/>
                  </a:schemeClr>
                </a:solidFill>
              </a:ln>
              <a:effectLst/>
            </c:spPr>
          </c:marker>
          <c:cat>
            <c:numRef>
              <c:f>'EX 13-DIST O&amp;M TO PLT IN SVC'!$M$17:$Q$17</c:f>
              <c:numCache>
                <c:formatCode>General</c:formatCode>
                <c:ptCount val="5"/>
                <c:pt idx="0">
                  <c:v>2010</c:v>
                </c:pt>
                <c:pt idx="1">
                  <c:v>2011</c:v>
                </c:pt>
                <c:pt idx="2">
                  <c:v>2012</c:v>
                </c:pt>
                <c:pt idx="3">
                  <c:v>2013</c:v>
                </c:pt>
                <c:pt idx="4">
                  <c:v>2014</c:v>
                </c:pt>
              </c:numCache>
            </c:numRef>
          </c:cat>
          <c:val>
            <c:numRef>
              <c:f>'EX 13-DIST O&amp;M TO PLT IN SVC'!$M$23:$Q$23</c:f>
              <c:numCache>
                <c:formatCode>0.00%</c:formatCode>
                <c:ptCount val="5"/>
                <c:pt idx="0">
                  <c:v>2.9100000000000001E-2</c:v>
                </c:pt>
                <c:pt idx="1">
                  <c:v>2.6400000000000038E-2</c:v>
                </c:pt>
                <c:pt idx="2">
                  <c:v>2.5800000000000035E-2</c:v>
                </c:pt>
                <c:pt idx="3">
                  <c:v>2.3199999999999988E-2</c:v>
                </c:pt>
                <c:pt idx="4">
                  <c:v>2.86E-2</c:v>
                </c:pt>
              </c:numCache>
            </c:numRef>
          </c:val>
          <c:extLst/>
        </c:ser>
        <c:ser>
          <c:idx val="7"/>
          <c:order val="6"/>
          <c:tx>
            <c:strRef>
              <c:f>'EX 13-DIST O&amp;M TO PLT IN SVC'!$L$24</c:f>
              <c:strCache>
                <c:ptCount val="1"/>
                <c:pt idx="0">
                  <c:v>PPL</c:v>
                </c:pt>
              </c:strCache>
            </c:strRef>
          </c:tx>
          <c:spPr>
            <a:ln w="28575" cap="rnd">
              <a:solidFill>
                <a:schemeClr val="accent2">
                  <a:lumMod val="60000"/>
                </a:schemeClr>
              </a:solidFill>
              <a:prstDash val="dash"/>
              <a:round/>
            </a:ln>
            <a:effectLst/>
          </c:spPr>
          <c:marker>
            <c:symbol val="circle"/>
            <c:size val="5"/>
            <c:spPr>
              <a:solidFill>
                <a:schemeClr val="accent2">
                  <a:lumMod val="60000"/>
                </a:schemeClr>
              </a:solidFill>
              <a:ln w="9525">
                <a:solidFill>
                  <a:schemeClr val="accent2">
                    <a:lumMod val="60000"/>
                  </a:schemeClr>
                </a:solidFill>
              </a:ln>
              <a:effectLst/>
            </c:spPr>
          </c:marker>
          <c:cat>
            <c:numRef>
              <c:f>'EX 13-DIST O&amp;M TO PLT IN SVC'!$M$17:$Q$17</c:f>
              <c:numCache>
                <c:formatCode>General</c:formatCode>
                <c:ptCount val="5"/>
                <c:pt idx="0">
                  <c:v>2010</c:v>
                </c:pt>
                <c:pt idx="1">
                  <c:v>2011</c:v>
                </c:pt>
                <c:pt idx="2">
                  <c:v>2012</c:v>
                </c:pt>
                <c:pt idx="3">
                  <c:v>2013</c:v>
                </c:pt>
                <c:pt idx="4">
                  <c:v>2014</c:v>
                </c:pt>
              </c:numCache>
            </c:numRef>
          </c:cat>
          <c:val>
            <c:numRef>
              <c:f>'EX 13-DIST O&amp;M TO PLT IN SVC'!$M$24:$Q$24</c:f>
              <c:numCache>
                <c:formatCode>0.00%</c:formatCode>
                <c:ptCount val="5"/>
                <c:pt idx="0">
                  <c:v>3.7133921373965449E-2</c:v>
                </c:pt>
                <c:pt idx="1">
                  <c:v>3.7569303501081411E-2</c:v>
                </c:pt>
                <c:pt idx="2">
                  <c:v>3.7099458333025657E-2</c:v>
                </c:pt>
                <c:pt idx="3">
                  <c:v>3.6948360409851257E-2</c:v>
                </c:pt>
                <c:pt idx="4">
                  <c:v>3.7215569427238082E-2</c:v>
                </c:pt>
              </c:numCache>
            </c:numRef>
          </c:val>
          <c:extLst/>
        </c:ser>
        <c:marker val="1"/>
        <c:axId val="164501760"/>
        <c:axId val="164524416"/>
      </c:lineChart>
      <c:catAx>
        <c:axId val="1645017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4524416"/>
        <c:crosses val="autoZero"/>
        <c:auto val="1"/>
        <c:lblAlgn val="ctr"/>
        <c:lblOffset val="100"/>
      </c:catAx>
      <c:valAx>
        <c:axId val="164524416"/>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45017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1"/>
          <c:order val="0"/>
          <c:tx>
            <c:strRef>
              <c:f>'EX 14-TR &amp; DST O&amp;M TO PLT IN SV'!$L$18</c:f>
              <c:strCache>
                <c:ptCount val="1"/>
                <c:pt idx="0">
                  <c:v>Duquesne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'EX 14-TR &amp; DST O&amp;M TO PLT IN SV'!$M$17:$Q$17</c:f>
              <c:numCache>
                <c:formatCode>General</c:formatCode>
                <c:ptCount val="5"/>
                <c:pt idx="0">
                  <c:v>2010</c:v>
                </c:pt>
                <c:pt idx="1">
                  <c:v>2011</c:v>
                </c:pt>
                <c:pt idx="2">
                  <c:v>2012</c:v>
                </c:pt>
                <c:pt idx="3">
                  <c:v>2013</c:v>
                </c:pt>
                <c:pt idx="4">
                  <c:v>2014</c:v>
                </c:pt>
              </c:numCache>
            </c:numRef>
          </c:cat>
          <c:val>
            <c:numRef>
              <c:f>'EX 14-TR &amp; DST O&amp;M TO PLT IN SV'!$M$18:$Q$18</c:f>
              <c:numCache>
                <c:formatCode>0.00%</c:formatCode>
                <c:ptCount val="5"/>
                <c:pt idx="0">
                  <c:v>1.9873082685209341E-2</c:v>
                </c:pt>
                <c:pt idx="1">
                  <c:v>1.6978336400006969E-2</c:v>
                </c:pt>
                <c:pt idx="2">
                  <c:v>1.6307472328227407E-2</c:v>
                </c:pt>
                <c:pt idx="3">
                  <c:v>1.7282023996645447E-2</c:v>
                </c:pt>
                <c:pt idx="4">
                  <c:v>1.7492421014647059E-2</c:v>
                </c:pt>
              </c:numCache>
            </c:numRef>
          </c:val>
          <c:extLst/>
        </c:ser>
        <c:ser>
          <c:idx val="2"/>
          <c:order val="1"/>
          <c:tx>
            <c:strRef>
              <c:f>'EX 14-TR &amp; DST O&amp;M TO PLT IN SV'!$L$19</c:f>
              <c:strCache>
                <c:ptCount val="1"/>
                <c:pt idx="0">
                  <c:v>Met 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'EX 14-TR &amp; DST O&amp;M TO PLT IN SV'!$M$17:$Q$17</c:f>
              <c:numCache>
                <c:formatCode>General</c:formatCode>
                <c:ptCount val="5"/>
                <c:pt idx="0">
                  <c:v>2010</c:v>
                </c:pt>
                <c:pt idx="1">
                  <c:v>2011</c:v>
                </c:pt>
                <c:pt idx="2">
                  <c:v>2012</c:v>
                </c:pt>
                <c:pt idx="3">
                  <c:v>2013</c:v>
                </c:pt>
                <c:pt idx="4">
                  <c:v>2014</c:v>
                </c:pt>
              </c:numCache>
            </c:numRef>
          </c:cat>
          <c:val>
            <c:numRef>
              <c:f>'EX 14-TR &amp; DST O&amp;M TO PLT IN SV'!$M$19:$Q$19</c:f>
              <c:numCache>
                <c:formatCode>0.00%</c:formatCode>
                <c:ptCount val="5"/>
                <c:pt idx="0">
                  <c:v>0.15930175550214853</c:v>
                </c:pt>
                <c:pt idx="1">
                  <c:v>2.7596313544481492E-2</c:v>
                </c:pt>
                <c:pt idx="2">
                  <c:v>3.0719947186342102E-2</c:v>
                </c:pt>
                <c:pt idx="3">
                  <c:v>2.4056166593735603E-2</c:v>
                </c:pt>
                <c:pt idx="4">
                  <c:v>3.1715905075458892E-2</c:v>
                </c:pt>
              </c:numCache>
            </c:numRef>
          </c:val>
          <c:extLst/>
        </c:ser>
        <c:ser>
          <c:idx val="3"/>
          <c:order val="2"/>
          <c:tx>
            <c:strRef>
              <c:f>'EX 14-TR &amp; DST O&amp;M TO PLT IN SV'!$L$20</c:f>
              <c:strCache>
                <c:ptCount val="1"/>
                <c:pt idx="0">
                  <c:v>PECO</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'EX 14-TR &amp; DST O&amp;M TO PLT IN SV'!$M$17:$Q$17</c:f>
              <c:numCache>
                <c:formatCode>General</c:formatCode>
                <c:ptCount val="5"/>
                <c:pt idx="0">
                  <c:v>2010</c:v>
                </c:pt>
                <c:pt idx="1">
                  <c:v>2011</c:v>
                </c:pt>
                <c:pt idx="2">
                  <c:v>2012</c:v>
                </c:pt>
                <c:pt idx="3">
                  <c:v>2013</c:v>
                </c:pt>
                <c:pt idx="4">
                  <c:v>2014</c:v>
                </c:pt>
              </c:numCache>
            </c:numRef>
          </c:cat>
          <c:val>
            <c:numRef>
              <c:f>'EX 14-TR &amp; DST O&amp;M TO PLT IN SV'!$M$20:$Q$20</c:f>
              <c:numCache>
                <c:formatCode>0.00%</c:formatCode>
                <c:ptCount val="5"/>
                <c:pt idx="0">
                  <c:v>8.9114108854055366E-2</c:v>
                </c:pt>
                <c:pt idx="1">
                  <c:v>6.4192383921980248E-2</c:v>
                </c:pt>
                <c:pt idx="2">
                  <c:v>6.0962374239045873E-2</c:v>
                </c:pt>
                <c:pt idx="3">
                  <c:v>5.2686956829500885E-2</c:v>
                </c:pt>
                <c:pt idx="4">
                  <c:v>6.728387157400112E-2</c:v>
                </c:pt>
              </c:numCache>
            </c:numRef>
          </c:val>
          <c:extLst/>
        </c:ser>
        <c:ser>
          <c:idx val="4"/>
          <c:order val="3"/>
          <c:tx>
            <c:strRef>
              <c:f>'EX 14-TR &amp; DST O&amp;M TO PLT IN SV'!$L$21</c:f>
              <c:strCache>
                <c:ptCount val="1"/>
                <c:pt idx="0">
                  <c:v>Penelec</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'EX 14-TR &amp; DST O&amp;M TO PLT IN SV'!$M$17:$Q$17</c:f>
              <c:numCache>
                <c:formatCode>General</c:formatCode>
                <c:ptCount val="5"/>
                <c:pt idx="0">
                  <c:v>2010</c:v>
                </c:pt>
                <c:pt idx="1">
                  <c:v>2011</c:v>
                </c:pt>
                <c:pt idx="2">
                  <c:v>2012</c:v>
                </c:pt>
                <c:pt idx="3">
                  <c:v>2013</c:v>
                </c:pt>
                <c:pt idx="4">
                  <c:v>2014</c:v>
                </c:pt>
              </c:numCache>
            </c:numRef>
          </c:cat>
          <c:val>
            <c:numRef>
              <c:f>'EX 14-TR &amp; DST O&amp;M TO PLT IN SV'!$M$21:$Q$21</c:f>
              <c:numCache>
                <c:formatCode>0.00%</c:formatCode>
                <c:ptCount val="5"/>
                <c:pt idx="0">
                  <c:v>7.3881721774667911E-2</c:v>
                </c:pt>
                <c:pt idx="1">
                  <c:v>1.78171426582765E-2</c:v>
                </c:pt>
                <c:pt idx="2">
                  <c:v>2.6932543766797386E-2</c:v>
                </c:pt>
                <c:pt idx="3">
                  <c:v>2.2719093410314029E-2</c:v>
                </c:pt>
                <c:pt idx="4">
                  <c:v>2.5255945945727096E-2</c:v>
                </c:pt>
              </c:numCache>
            </c:numRef>
          </c:val>
          <c:extLst/>
        </c:ser>
        <c:ser>
          <c:idx val="5"/>
          <c:order val="4"/>
          <c:tx>
            <c:strRef>
              <c:f>'EX 14-TR &amp; DST O&amp;M TO PLT IN SV'!$L$22</c:f>
              <c:strCache>
                <c:ptCount val="1"/>
                <c:pt idx="0">
                  <c:v>West Penn</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'EX 14-TR &amp; DST O&amp;M TO PLT IN SV'!$M$17:$Q$17</c:f>
              <c:numCache>
                <c:formatCode>General</c:formatCode>
                <c:ptCount val="5"/>
                <c:pt idx="0">
                  <c:v>2010</c:v>
                </c:pt>
                <c:pt idx="1">
                  <c:v>2011</c:v>
                </c:pt>
                <c:pt idx="2">
                  <c:v>2012</c:v>
                </c:pt>
                <c:pt idx="3">
                  <c:v>2013</c:v>
                </c:pt>
                <c:pt idx="4">
                  <c:v>2014</c:v>
                </c:pt>
              </c:numCache>
            </c:numRef>
          </c:cat>
          <c:val>
            <c:numRef>
              <c:f>'EX 14-TR &amp; DST O&amp;M TO PLT IN SV'!$M$22:$Q$22</c:f>
              <c:numCache>
                <c:formatCode>0.00%</c:formatCode>
                <c:ptCount val="5"/>
                <c:pt idx="0">
                  <c:v>6.1199999999999997E-2</c:v>
                </c:pt>
                <c:pt idx="1">
                  <c:v>3.61E-2</c:v>
                </c:pt>
                <c:pt idx="2">
                  <c:v>2.5500000000000002E-2</c:v>
                </c:pt>
                <c:pt idx="3">
                  <c:v>3.500000000000001E-2</c:v>
                </c:pt>
                <c:pt idx="4">
                  <c:v>3.6999999999999998E-2</c:v>
                </c:pt>
              </c:numCache>
            </c:numRef>
          </c:val>
          <c:extLst/>
        </c:ser>
        <c:ser>
          <c:idx val="6"/>
          <c:order val="5"/>
          <c:tx>
            <c:strRef>
              <c:f>'EX 14-TR &amp; DST O&amp;M TO PLT IN SV'!$L$23</c:f>
              <c:strCache>
                <c:ptCount val="1"/>
                <c:pt idx="0">
                  <c:v>Panel Average</c:v>
                </c:pt>
              </c:strCache>
            </c:strRef>
          </c:tx>
          <c:spPr>
            <a:ln w="28575" cap="rnd">
              <a:solidFill>
                <a:schemeClr val="accent1">
                  <a:lumMod val="60000"/>
                </a:schemeClr>
              </a:solidFill>
              <a:prstDash val="sysDot"/>
              <a:round/>
            </a:ln>
            <a:effectLst/>
          </c:spPr>
          <c:marker>
            <c:symbol val="circle"/>
            <c:size val="5"/>
            <c:spPr>
              <a:solidFill>
                <a:schemeClr val="accent1">
                  <a:lumMod val="60000"/>
                </a:schemeClr>
              </a:solidFill>
              <a:ln w="9525">
                <a:solidFill>
                  <a:schemeClr val="accent1">
                    <a:lumMod val="60000"/>
                  </a:schemeClr>
                </a:solidFill>
              </a:ln>
              <a:effectLst/>
            </c:spPr>
          </c:marker>
          <c:cat>
            <c:numRef>
              <c:f>'EX 14-TR &amp; DST O&amp;M TO PLT IN SV'!$M$17:$Q$17</c:f>
              <c:numCache>
                <c:formatCode>General</c:formatCode>
                <c:ptCount val="5"/>
                <c:pt idx="0">
                  <c:v>2010</c:v>
                </c:pt>
                <c:pt idx="1">
                  <c:v>2011</c:v>
                </c:pt>
                <c:pt idx="2">
                  <c:v>2012</c:v>
                </c:pt>
                <c:pt idx="3">
                  <c:v>2013</c:v>
                </c:pt>
                <c:pt idx="4">
                  <c:v>2014</c:v>
                </c:pt>
              </c:numCache>
            </c:numRef>
          </c:cat>
          <c:val>
            <c:numRef>
              <c:f>'EX 14-TR &amp; DST O&amp;M TO PLT IN SV'!$M$23:$Q$23</c:f>
              <c:numCache>
                <c:formatCode>0.00%</c:formatCode>
                <c:ptCount val="5"/>
                <c:pt idx="0">
                  <c:v>8.0700000000000063E-2</c:v>
                </c:pt>
                <c:pt idx="1">
                  <c:v>3.2500000000000001E-2</c:v>
                </c:pt>
                <c:pt idx="2">
                  <c:v>3.210000000000001E-2</c:v>
                </c:pt>
                <c:pt idx="3">
                  <c:v>3.0300000000000001E-2</c:v>
                </c:pt>
                <c:pt idx="4">
                  <c:v>3.570000000000001E-2</c:v>
                </c:pt>
              </c:numCache>
            </c:numRef>
          </c:val>
          <c:extLst/>
        </c:ser>
        <c:ser>
          <c:idx val="7"/>
          <c:order val="6"/>
          <c:tx>
            <c:strRef>
              <c:f>'EX 14-TR &amp; DST O&amp;M TO PLT IN SV'!$L$24</c:f>
              <c:strCache>
                <c:ptCount val="1"/>
                <c:pt idx="0">
                  <c:v>PPL</c:v>
                </c:pt>
              </c:strCache>
            </c:strRef>
          </c:tx>
          <c:spPr>
            <a:ln w="28575" cap="rnd">
              <a:solidFill>
                <a:schemeClr val="accent2">
                  <a:lumMod val="60000"/>
                </a:schemeClr>
              </a:solidFill>
              <a:prstDash val="dash"/>
              <a:round/>
            </a:ln>
            <a:effectLst/>
          </c:spPr>
          <c:marker>
            <c:symbol val="circle"/>
            <c:size val="5"/>
            <c:spPr>
              <a:solidFill>
                <a:schemeClr val="accent2">
                  <a:lumMod val="60000"/>
                </a:schemeClr>
              </a:solidFill>
              <a:ln w="9525">
                <a:solidFill>
                  <a:schemeClr val="accent2">
                    <a:lumMod val="60000"/>
                  </a:schemeClr>
                </a:solidFill>
              </a:ln>
              <a:effectLst/>
            </c:spPr>
          </c:marker>
          <c:cat>
            <c:numRef>
              <c:f>'EX 14-TR &amp; DST O&amp;M TO PLT IN SV'!$M$17:$Q$17</c:f>
              <c:numCache>
                <c:formatCode>General</c:formatCode>
                <c:ptCount val="5"/>
                <c:pt idx="0">
                  <c:v>2010</c:v>
                </c:pt>
                <c:pt idx="1">
                  <c:v>2011</c:v>
                </c:pt>
                <c:pt idx="2">
                  <c:v>2012</c:v>
                </c:pt>
                <c:pt idx="3">
                  <c:v>2013</c:v>
                </c:pt>
                <c:pt idx="4">
                  <c:v>2014</c:v>
                </c:pt>
              </c:numCache>
            </c:numRef>
          </c:cat>
          <c:val>
            <c:numRef>
              <c:f>'EX 14-TR &amp; DST O&amp;M TO PLT IN SV'!$M$24:$Q$24</c:f>
              <c:numCache>
                <c:formatCode>0.00%</c:formatCode>
                <c:ptCount val="5"/>
                <c:pt idx="0">
                  <c:v>5.0005731436813521E-2</c:v>
                </c:pt>
                <c:pt idx="1">
                  <c:v>4.6293811417691573E-2</c:v>
                </c:pt>
                <c:pt idx="2">
                  <c:v>4.6307678231884995E-2</c:v>
                </c:pt>
                <c:pt idx="3">
                  <c:v>4.4146007049526544E-2</c:v>
                </c:pt>
                <c:pt idx="4">
                  <c:v>4.2054855675068656E-2</c:v>
                </c:pt>
              </c:numCache>
            </c:numRef>
          </c:val>
          <c:extLst/>
        </c:ser>
        <c:marker val="1"/>
        <c:axId val="166679680"/>
        <c:axId val="166681600"/>
      </c:lineChart>
      <c:catAx>
        <c:axId val="1666796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6681600"/>
        <c:crosses val="autoZero"/>
        <c:auto val="1"/>
        <c:lblAlgn val="ctr"/>
        <c:lblOffset val="100"/>
      </c:catAx>
      <c:valAx>
        <c:axId val="166681600"/>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66796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0.353783783783784"/>
          <c:y val="2.9723991507430998E-2"/>
          <c:w val="0.66055090401650285"/>
          <c:h val="0.70181955278497954"/>
        </c:manualLayout>
      </c:layout>
      <c:lineChart>
        <c:grouping val="standard"/>
        <c:ser>
          <c:idx val="1"/>
          <c:order val="0"/>
          <c:tx>
            <c:strRef>
              <c:f>'EX 1-Cust Svc-Calls Answered'!$L$18</c:f>
              <c:strCache>
                <c:ptCount val="1"/>
                <c:pt idx="0">
                  <c:v>Duquesne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'EX 1-Cust Svc-Calls Answered'!$M$17:$Q$17</c:f>
              <c:numCache>
                <c:formatCode>General</c:formatCode>
                <c:ptCount val="5"/>
                <c:pt idx="0">
                  <c:v>2010</c:v>
                </c:pt>
                <c:pt idx="1">
                  <c:v>2011</c:v>
                </c:pt>
                <c:pt idx="2">
                  <c:v>2012</c:v>
                </c:pt>
                <c:pt idx="3">
                  <c:v>2013</c:v>
                </c:pt>
                <c:pt idx="4">
                  <c:v>2014</c:v>
                </c:pt>
              </c:numCache>
            </c:numRef>
          </c:cat>
          <c:val>
            <c:numRef>
              <c:f>'EX 1-Cust Svc-Calls Answered'!$M$18:$Q$18</c:f>
              <c:numCache>
                <c:formatCode>0%</c:formatCode>
                <c:ptCount val="5"/>
                <c:pt idx="0">
                  <c:v>0.77000000000000102</c:v>
                </c:pt>
                <c:pt idx="1">
                  <c:v>0.76000000000000101</c:v>
                </c:pt>
                <c:pt idx="2">
                  <c:v>0.77000000000000102</c:v>
                </c:pt>
                <c:pt idx="3">
                  <c:v>0.8</c:v>
                </c:pt>
                <c:pt idx="4">
                  <c:v>0.8</c:v>
                </c:pt>
              </c:numCache>
            </c:numRef>
          </c:val>
        </c:ser>
        <c:ser>
          <c:idx val="2"/>
          <c:order val="1"/>
          <c:tx>
            <c:strRef>
              <c:f>'EX 1-Cust Svc-Calls Answered'!$L$19</c:f>
              <c:strCache>
                <c:ptCount val="1"/>
                <c:pt idx="0">
                  <c:v>First Energy **: Met Ed, Penelec &amp; Penn Power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'EX 1-Cust Svc-Calls Answered'!$M$17:$Q$17</c:f>
              <c:numCache>
                <c:formatCode>General</c:formatCode>
                <c:ptCount val="5"/>
                <c:pt idx="0">
                  <c:v>2010</c:v>
                </c:pt>
                <c:pt idx="1">
                  <c:v>2011</c:v>
                </c:pt>
                <c:pt idx="2">
                  <c:v>2012</c:v>
                </c:pt>
                <c:pt idx="3">
                  <c:v>2013</c:v>
                </c:pt>
                <c:pt idx="4">
                  <c:v>2014</c:v>
                </c:pt>
              </c:numCache>
            </c:numRef>
          </c:cat>
          <c:val>
            <c:numRef>
              <c:f>'EX 1-Cust Svc-Calls Answered'!$M$19:$Q$19</c:f>
              <c:numCache>
                <c:formatCode>0%</c:formatCode>
                <c:ptCount val="5"/>
                <c:pt idx="0">
                  <c:v>0.8</c:v>
                </c:pt>
                <c:pt idx="1">
                  <c:v>0.8</c:v>
                </c:pt>
                <c:pt idx="2">
                  <c:v>0.78</c:v>
                </c:pt>
                <c:pt idx="3">
                  <c:v>0.82000000000000062</c:v>
                </c:pt>
                <c:pt idx="4">
                  <c:v>0.8</c:v>
                </c:pt>
              </c:numCache>
            </c:numRef>
          </c:val>
        </c:ser>
        <c:ser>
          <c:idx val="3"/>
          <c:order val="2"/>
          <c:tx>
            <c:strRef>
              <c:f>'EX 1-Cust Svc-Calls Answered'!$L$20</c:f>
              <c:strCache>
                <c:ptCount val="1"/>
                <c:pt idx="0">
                  <c:v>PECO</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'EX 1-Cust Svc-Calls Answered'!$M$17:$Q$17</c:f>
              <c:numCache>
                <c:formatCode>General</c:formatCode>
                <c:ptCount val="5"/>
                <c:pt idx="0">
                  <c:v>2010</c:v>
                </c:pt>
                <c:pt idx="1">
                  <c:v>2011</c:v>
                </c:pt>
                <c:pt idx="2">
                  <c:v>2012</c:v>
                </c:pt>
                <c:pt idx="3">
                  <c:v>2013</c:v>
                </c:pt>
                <c:pt idx="4">
                  <c:v>2014</c:v>
                </c:pt>
              </c:numCache>
            </c:numRef>
          </c:cat>
          <c:val>
            <c:numRef>
              <c:f>'EX 1-Cust Svc-Calls Answered'!$M$20:$Q$20</c:f>
              <c:numCache>
                <c:formatCode>0%</c:formatCode>
                <c:ptCount val="5"/>
                <c:pt idx="0">
                  <c:v>0.77000000000000102</c:v>
                </c:pt>
                <c:pt idx="1">
                  <c:v>0.8</c:v>
                </c:pt>
                <c:pt idx="2">
                  <c:v>0.85000000000000064</c:v>
                </c:pt>
                <c:pt idx="3">
                  <c:v>0.85000000000000064</c:v>
                </c:pt>
                <c:pt idx="4">
                  <c:v>0.89</c:v>
                </c:pt>
              </c:numCache>
            </c:numRef>
          </c:val>
        </c:ser>
        <c:ser>
          <c:idx val="4"/>
          <c:order val="3"/>
          <c:tx>
            <c:strRef>
              <c:f>'EX 1-Cust Svc-Calls Answered'!$L$21</c:f>
              <c:strCache>
                <c:ptCount val="1"/>
                <c:pt idx="0">
                  <c:v>West Penn</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'EX 1-Cust Svc-Calls Answered'!$M$17:$Q$17</c:f>
              <c:numCache>
                <c:formatCode>General</c:formatCode>
                <c:ptCount val="5"/>
                <c:pt idx="0">
                  <c:v>2010</c:v>
                </c:pt>
                <c:pt idx="1">
                  <c:v>2011</c:v>
                </c:pt>
                <c:pt idx="2">
                  <c:v>2012</c:v>
                </c:pt>
                <c:pt idx="3">
                  <c:v>2013</c:v>
                </c:pt>
                <c:pt idx="4">
                  <c:v>2014</c:v>
                </c:pt>
              </c:numCache>
            </c:numRef>
          </c:cat>
          <c:val>
            <c:numRef>
              <c:f>'EX 1-Cust Svc-Calls Answered'!$M$21:$Q$21</c:f>
              <c:numCache>
                <c:formatCode>0%</c:formatCode>
                <c:ptCount val="5"/>
                <c:pt idx="0">
                  <c:v>0.66000000000000114</c:v>
                </c:pt>
                <c:pt idx="1">
                  <c:v>0.62000000000000088</c:v>
                </c:pt>
                <c:pt idx="2">
                  <c:v>0.65000000000000113</c:v>
                </c:pt>
                <c:pt idx="3">
                  <c:v>0.69000000000000061</c:v>
                </c:pt>
                <c:pt idx="4">
                  <c:v>0.71000000000000063</c:v>
                </c:pt>
              </c:numCache>
            </c:numRef>
          </c:val>
        </c:ser>
        <c:ser>
          <c:idx val="5"/>
          <c:order val="4"/>
          <c:tx>
            <c:strRef>
              <c:f>'EX 1-Cust Svc-Calls Answered'!$L$22</c:f>
              <c:strCache>
                <c:ptCount val="1"/>
                <c:pt idx="0">
                  <c:v>Panel Average</c:v>
                </c:pt>
              </c:strCache>
            </c:strRef>
          </c:tx>
          <c:spPr>
            <a:ln w="28575" cap="rnd">
              <a:solidFill>
                <a:schemeClr val="accent5">
                  <a:lumMod val="50000"/>
                </a:schemeClr>
              </a:solidFill>
              <a:prstDash val="sysDot"/>
              <a:round/>
            </a:ln>
            <a:effectLst/>
          </c:spPr>
          <c:marker>
            <c:symbol val="circle"/>
            <c:size val="5"/>
            <c:spPr>
              <a:solidFill>
                <a:schemeClr val="accent5">
                  <a:lumMod val="50000"/>
                </a:schemeClr>
              </a:solidFill>
              <a:ln w="9525">
                <a:solidFill>
                  <a:schemeClr val="accent5">
                    <a:lumMod val="50000"/>
                  </a:schemeClr>
                </a:solidFill>
              </a:ln>
              <a:effectLst/>
            </c:spPr>
          </c:marker>
          <c:cat>
            <c:numRef>
              <c:f>'EX 1-Cust Svc-Calls Answered'!$M$17:$Q$17</c:f>
              <c:numCache>
                <c:formatCode>General</c:formatCode>
                <c:ptCount val="5"/>
                <c:pt idx="0">
                  <c:v>2010</c:v>
                </c:pt>
                <c:pt idx="1">
                  <c:v>2011</c:v>
                </c:pt>
                <c:pt idx="2">
                  <c:v>2012</c:v>
                </c:pt>
                <c:pt idx="3">
                  <c:v>2013</c:v>
                </c:pt>
                <c:pt idx="4">
                  <c:v>2014</c:v>
                </c:pt>
              </c:numCache>
            </c:numRef>
          </c:cat>
          <c:val>
            <c:numRef>
              <c:f>'EX 1-Cust Svc-Calls Answered'!$M$22:$Q$22</c:f>
              <c:numCache>
                <c:formatCode>0%</c:formatCode>
                <c:ptCount val="5"/>
                <c:pt idx="0">
                  <c:v>0.750000000000001</c:v>
                </c:pt>
                <c:pt idx="1">
                  <c:v>0.74500000000000099</c:v>
                </c:pt>
                <c:pt idx="2">
                  <c:v>0.76250000000000062</c:v>
                </c:pt>
                <c:pt idx="3">
                  <c:v>0.79</c:v>
                </c:pt>
                <c:pt idx="4">
                  <c:v>0.8</c:v>
                </c:pt>
              </c:numCache>
            </c:numRef>
          </c:val>
        </c:ser>
        <c:ser>
          <c:idx val="6"/>
          <c:order val="5"/>
          <c:tx>
            <c:strRef>
              <c:f>'EX 1-Cust Svc-Calls Answered'!$L$23</c:f>
              <c:strCache>
                <c:ptCount val="1"/>
                <c:pt idx="0">
                  <c:v>PPL</c:v>
                </c:pt>
              </c:strCache>
            </c:strRef>
          </c:tx>
          <c:spPr>
            <a:ln w="28575" cap="rnd">
              <a:solidFill>
                <a:schemeClr val="accent2">
                  <a:lumMod val="50000"/>
                </a:schemeClr>
              </a:solidFill>
              <a:prstDash val="dash"/>
              <a:round/>
            </a:ln>
            <a:effectLst/>
          </c:spPr>
          <c:marker>
            <c:symbol val="circle"/>
            <c:size val="5"/>
            <c:spPr>
              <a:solidFill>
                <a:schemeClr val="accent2">
                  <a:lumMod val="50000"/>
                </a:schemeClr>
              </a:solidFill>
              <a:ln w="9525">
                <a:solidFill>
                  <a:schemeClr val="accent2">
                    <a:lumMod val="50000"/>
                  </a:schemeClr>
                </a:solidFill>
              </a:ln>
              <a:effectLst/>
            </c:spPr>
          </c:marker>
          <c:cat>
            <c:numRef>
              <c:f>'EX 1-Cust Svc-Calls Answered'!$M$17:$Q$17</c:f>
              <c:numCache>
                <c:formatCode>General</c:formatCode>
                <c:ptCount val="5"/>
                <c:pt idx="0">
                  <c:v>2010</c:v>
                </c:pt>
                <c:pt idx="1">
                  <c:v>2011</c:v>
                </c:pt>
                <c:pt idx="2">
                  <c:v>2012</c:v>
                </c:pt>
                <c:pt idx="3">
                  <c:v>2013</c:v>
                </c:pt>
                <c:pt idx="4">
                  <c:v>2014</c:v>
                </c:pt>
              </c:numCache>
            </c:numRef>
          </c:cat>
          <c:val>
            <c:numRef>
              <c:f>'EX 1-Cust Svc-Calls Answered'!$M$23:$Q$23</c:f>
              <c:numCache>
                <c:formatCode>0%</c:formatCode>
                <c:ptCount val="5"/>
                <c:pt idx="0">
                  <c:v>0.79</c:v>
                </c:pt>
                <c:pt idx="1">
                  <c:v>0.82000000000000062</c:v>
                </c:pt>
                <c:pt idx="2">
                  <c:v>0.83000000000000063</c:v>
                </c:pt>
                <c:pt idx="3">
                  <c:v>0.750000000000001</c:v>
                </c:pt>
                <c:pt idx="4">
                  <c:v>0.74000000000000088</c:v>
                </c:pt>
              </c:numCache>
            </c:numRef>
          </c:val>
        </c:ser>
        <c:marker val="1"/>
        <c:axId val="166722560"/>
        <c:axId val="166737024"/>
      </c:lineChart>
      <c:catAx>
        <c:axId val="1667225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6737024"/>
        <c:crosses val="autoZero"/>
        <c:auto val="1"/>
        <c:lblAlgn val="ctr"/>
        <c:lblOffset val="100"/>
      </c:catAx>
      <c:valAx>
        <c:axId val="166737024"/>
        <c:scaling>
          <c:orientation val="minMax"/>
          <c:max val="1"/>
          <c:min val="0.5"/>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6722560"/>
        <c:crosses val="autoZero"/>
        <c:crossBetween val="between"/>
        <c:majorUnit val="5.0000000000000024E-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lang val="en-US"/>
  <c:chart>
    <c:autoTitleDeleted val="1"/>
    <c:plotArea>
      <c:layout/>
      <c:lineChart>
        <c:grouping val="standard"/>
        <c:ser>
          <c:idx val="1"/>
          <c:order val="0"/>
          <c:tx>
            <c:strRef>
              <c:f>'EX 2-Cust Svc-Abandonment Rate'!$L$18</c:f>
              <c:strCache>
                <c:ptCount val="1"/>
                <c:pt idx="0">
                  <c:v>Duquesne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'EX 2-Cust Svc-Abandonment Rate'!$M$17:$Q$17</c:f>
              <c:numCache>
                <c:formatCode>General</c:formatCode>
                <c:ptCount val="5"/>
                <c:pt idx="0">
                  <c:v>2010</c:v>
                </c:pt>
                <c:pt idx="1">
                  <c:v>2011</c:v>
                </c:pt>
                <c:pt idx="2">
                  <c:v>2012</c:v>
                </c:pt>
                <c:pt idx="3">
                  <c:v>2013</c:v>
                </c:pt>
                <c:pt idx="4">
                  <c:v>2014</c:v>
                </c:pt>
              </c:numCache>
            </c:numRef>
          </c:cat>
          <c:val>
            <c:numRef>
              <c:f>'EX 2-Cust Svc-Abandonment Rate'!$M$18:$Q$18</c:f>
              <c:numCache>
                <c:formatCode>0%</c:formatCode>
                <c:ptCount val="5"/>
                <c:pt idx="0">
                  <c:v>3.0000000000000002E-2</c:v>
                </c:pt>
                <c:pt idx="1">
                  <c:v>3.0000000000000002E-2</c:v>
                </c:pt>
                <c:pt idx="2">
                  <c:v>3.0000000000000002E-2</c:v>
                </c:pt>
                <c:pt idx="3">
                  <c:v>3.0000000000000002E-2</c:v>
                </c:pt>
                <c:pt idx="4">
                  <c:v>4.0000000000000022E-2</c:v>
                </c:pt>
              </c:numCache>
            </c:numRef>
          </c:val>
        </c:ser>
        <c:ser>
          <c:idx val="2"/>
          <c:order val="1"/>
          <c:tx>
            <c:strRef>
              <c:f>'EX 2-Cust Svc-Abandonment Rate'!$L$19</c:f>
              <c:strCache>
                <c:ptCount val="1"/>
                <c:pt idx="0">
                  <c:v>First Energy **: Met Ed, Penelec &amp; Penn Power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'EX 2-Cust Svc-Abandonment Rate'!$M$17:$Q$17</c:f>
              <c:numCache>
                <c:formatCode>General</c:formatCode>
                <c:ptCount val="5"/>
                <c:pt idx="0">
                  <c:v>2010</c:v>
                </c:pt>
                <c:pt idx="1">
                  <c:v>2011</c:v>
                </c:pt>
                <c:pt idx="2">
                  <c:v>2012</c:v>
                </c:pt>
                <c:pt idx="3">
                  <c:v>2013</c:v>
                </c:pt>
                <c:pt idx="4">
                  <c:v>2014</c:v>
                </c:pt>
              </c:numCache>
            </c:numRef>
          </c:cat>
          <c:val>
            <c:numRef>
              <c:f>'EX 2-Cust Svc-Abandonment Rate'!$M$19:$Q$19</c:f>
              <c:numCache>
                <c:formatCode>0%</c:formatCode>
                <c:ptCount val="5"/>
                <c:pt idx="0">
                  <c:v>3.0000000000000002E-2</c:v>
                </c:pt>
                <c:pt idx="1">
                  <c:v>3.0000000000000002E-2</c:v>
                </c:pt>
                <c:pt idx="2">
                  <c:v>4.0000000000000022E-2</c:v>
                </c:pt>
                <c:pt idx="3">
                  <c:v>4.0000000000000022E-2</c:v>
                </c:pt>
                <c:pt idx="4">
                  <c:v>4.0000000000000022E-2</c:v>
                </c:pt>
              </c:numCache>
            </c:numRef>
          </c:val>
        </c:ser>
        <c:ser>
          <c:idx val="3"/>
          <c:order val="2"/>
          <c:tx>
            <c:strRef>
              <c:f>'EX 2-Cust Svc-Abandonment Rate'!$L$20</c:f>
              <c:strCache>
                <c:ptCount val="1"/>
                <c:pt idx="0">
                  <c:v>PECO</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'EX 2-Cust Svc-Abandonment Rate'!$M$17:$Q$17</c:f>
              <c:numCache>
                <c:formatCode>General</c:formatCode>
                <c:ptCount val="5"/>
                <c:pt idx="0">
                  <c:v>2010</c:v>
                </c:pt>
                <c:pt idx="1">
                  <c:v>2011</c:v>
                </c:pt>
                <c:pt idx="2">
                  <c:v>2012</c:v>
                </c:pt>
                <c:pt idx="3">
                  <c:v>2013</c:v>
                </c:pt>
                <c:pt idx="4">
                  <c:v>2014</c:v>
                </c:pt>
              </c:numCache>
            </c:numRef>
          </c:cat>
          <c:val>
            <c:numRef>
              <c:f>'EX 2-Cust Svc-Abandonment Rate'!$M$20:$Q$20</c:f>
              <c:numCache>
                <c:formatCode>0%</c:formatCode>
                <c:ptCount val="5"/>
                <c:pt idx="0">
                  <c:v>6.0000000000000032E-2</c:v>
                </c:pt>
                <c:pt idx="1">
                  <c:v>0.05</c:v>
                </c:pt>
                <c:pt idx="2">
                  <c:v>4.0000000000000022E-2</c:v>
                </c:pt>
                <c:pt idx="3">
                  <c:v>2.0000000000000011E-2</c:v>
                </c:pt>
                <c:pt idx="4">
                  <c:v>3.0000000000000002E-2</c:v>
                </c:pt>
              </c:numCache>
            </c:numRef>
          </c:val>
        </c:ser>
        <c:ser>
          <c:idx val="4"/>
          <c:order val="3"/>
          <c:tx>
            <c:strRef>
              <c:f>'EX 2-Cust Svc-Abandonment Rate'!$L$21</c:f>
              <c:strCache>
                <c:ptCount val="1"/>
                <c:pt idx="0">
                  <c:v>West Penn</c:v>
                </c:pt>
              </c:strCache>
            </c:strRef>
          </c:tx>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cat>
            <c:numRef>
              <c:f>'EX 2-Cust Svc-Abandonment Rate'!$M$17:$Q$17</c:f>
              <c:numCache>
                <c:formatCode>General</c:formatCode>
                <c:ptCount val="5"/>
                <c:pt idx="0">
                  <c:v>2010</c:v>
                </c:pt>
                <c:pt idx="1">
                  <c:v>2011</c:v>
                </c:pt>
                <c:pt idx="2">
                  <c:v>2012</c:v>
                </c:pt>
                <c:pt idx="3">
                  <c:v>2013</c:v>
                </c:pt>
                <c:pt idx="4">
                  <c:v>2014</c:v>
                </c:pt>
              </c:numCache>
            </c:numRef>
          </c:cat>
          <c:val>
            <c:numRef>
              <c:f>'EX 2-Cust Svc-Abandonment Rate'!$M$21:$Q$21</c:f>
              <c:numCache>
                <c:formatCode>0%</c:formatCode>
                <c:ptCount val="5"/>
                <c:pt idx="0">
                  <c:v>0.05</c:v>
                </c:pt>
                <c:pt idx="1">
                  <c:v>0.05</c:v>
                </c:pt>
                <c:pt idx="2">
                  <c:v>9.0000000000000024E-2</c:v>
                </c:pt>
                <c:pt idx="3">
                  <c:v>7.0000000000000021E-2</c:v>
                </c:pt>
                <c:pt idx="4">
                  <c:v>8.0000000000000043E-2</c:v>
                </c:pt>
              </c:numCache>
            </c:numRef>
          </c:val>
        </c:ser>
        <c:ser>
          <c:idx val="5"/>
          <c:order val="4"/>
          <c:tx>
            <c:strRef>
              <c:f>'EX 2-Cust Svc-Abandonment Rate'!$L$22</c:f>
              <c:strCache>
                <c:ptCount val="1"/>
                <c:pt idx="0">
                  <c:v>Panel Average</c:v>
                </c:pt>
              </c:strCache>
            </c:strRef>
          </c:tx>
          <c:spPr>
            <a:ln w="28575" cap="rnd">
              <a:solidFill>
                <a:schemeClr val="accent5">
                  <a:lumMod val="50000"/>
                </a:schemeClr>
              </a:solidFill>
              <a:prstDash val="sysDot"/>
              <a:round/>
            </a:ln>
            <a:effectLst/>
          </c:spPr>
          <c:marker>
            <c:symbol val="circle"/>
            <c:size val="5"/>
            <c:spPr>
              <a:solidFill>
                <a:schemeClr val="accent5">
                  <a:lumMod val="50000"/>
                </a:schemeClr>
              </a:solidFill>
              <a:ln w="9525">
                <a:solidFill>
                  <a:schemeClr val="accent5">
                    <a:lumMod val="50000"/>
                  </a:schemeClr>
                </a:solidFill>
              </a:ln>
              <a:effectLst/>
            </c:spPr>
          </c:marker>
          <c:cat>
            <c:numRef>
              <c:f>'EX 2-Cust Svc-Abandonment Rate'!$M$17:$Q$17</c:f>
              <c:numCache>
                <c:formatCode>General</c:formatCode>
                <c:ptCount val="5"/>
                <c:pt idx="0">
                  <c:v>2010</c:v>
                </c:pt>
                <c:pt idx="1">
                  <c:v>2011</c:v>
                </c:pt>
                <c:pt idx="2">
                  <c:v>2012</c:v>
                </c:pt>
                <c:pt idx="3">
                  <c:v>2013</c:v>
                </c:pt>
                <c:pt idx="4">
                  <c:v>2014</c:v>
                </c:pt>
              </c:numCache>
            </c:numRef>
          </c:cat>
          <c:val>
            <c:numRef>
              <c:f>'EX 2-Cust Svc-Abandonment Rate'!$M$22:$Q$22</c:f>
              <c:numCache>
                <c:formatCode>0%</c:formatCode>
                <c:ptCount val="5"/>
                <c:pt idx="0">
                  <c:v>4.2500000000000003E-2</c:v>
                </c:pt>
                <c:pt idx="1">
                  <c:v>4.0000000000000022E-2</c:v>
                </c:pt>
                <c:pt idx="2">
                  <c:v>0.05</c:v>
                </c:pt>
                <c:pt idx="3">
                  <c:v>4.0000000000000022E-2</c:v>
                </c:pt>
                <c:pt idx="4">
                  <c:v>4.7500000000000014E-2</c:v>
                </c:pt>
              </c:numCache>
            </c:numRef>
          </c:val>
        </c:ser>
        <c:ser>
          <c:idx val="6"/>
          <c:order val="5"/>
          <c:tx>
            <c:strRef>
              <c:f>'EX 2-Cust Svc-Abandonment Rate'!$L$23</c:f>
              <c:strCache>
                <c:ptCount val="1"/>
                <c:pt idx="0">
                  <c:v>PPL</c:v>
                </c:pt>
              </c:strCache>
            </c:strRef>
          </c:tx>
          <c:spPr>
            <a:ln w="28575" cap="rnd">
              <a:solidFill>
                <a:schemeClr val="accent2">
                  <a:lumMod val="50000"/>
                </a:schemeClr>
              </a:solidFill>
              <a:prstDash val="dash"/>
              <a:round/>
            </a:ln>
            <a:effectLst/>
          </c:spPr>
          <c:marker>
            <c:symbol val="circle"/>
            <c:size val="5"/>
            <c:spPr>
              <a:solidFill>
                <a:schemeClr val="accent2">
                  <a:lumMod val="75000"/>
                </a:schemeClr>
              </a:solidFill>
              <a:ln w="9525">
                <a:solidFill>
                  <a:schemeClr val="accent2">
                    <a:lumMod val="50000"/>
                  </a:schemeClr>
                </a:solidFill>
              </a:ln>
              <a:effectLst/>
            </c:spPr>
          </c:marker>
          <c:cat>
            <c:numRef>
              <c:f>'EX 2-Cust Svc-Abandonment Rate'!$M$17:$Q$17</c:f>
              <c:numCache>
                <c:formatCode>General</c:formatCode>
                <c:ptCount val="5"/>
                <c:pt idx="0">
                  <c:v>2010</c:v>
                </c:pt>
                <c:pt idx="1">
                  <c:v>2011</c:v>
                </c:pt>
                <c:pt idx="2">
                  <c:v>2012</c:v>
                </c:pt>
                <c:pt idx="3">
                  <c:v>2013</c:v>
                </c:pt>
                <c:pt idx="4">
                  <c:v>2014</c:v>
                </c:pt>
              </c:numCache>
            </c:numRef>
          </c:cat>
          <c:val>
            <c:numRef>
              <c:f>'EX 2-Cust Svc-Abandonment Rate'!$M$23:$Q$23</c:f>
              <c:numCache>
                <c:formatCode>0%</c:formatCode>
                <c:ptCount val="5"/>
                <c:pt idx="0">
                  <c:v>3.0000000000000002E-2</c:v>
                </c:pt>
                <c:pt idx="1">
                  <c:v>3.0000000000000002E-2</c:v>
                </c:pt>
                <c:pt idx="2">
                  <c:v>2.0000000000000011E-2</c:v>
                </c:pt>
                <c:pt idx="3">
                  <c:v>6.0000000000000032E-2</c:v>
                </c:pt>
                <c:pt idx="4">
                  <c:v>7.0000000000000021E-2</c:v>
                </c:pt>
              </c:numCache>
            </c:numRef>
          </c:val>
        </c:ser>
        <c:marker val="1"/>
        <c:axId val="166790272"/>
        <c:axId val="166792192"/>
      </c:lineChart>
      <c:catAx>
        <c:axId val="1667902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6792192"/>
        <c:crosses val="autoZero"/>
        <c:auto val="1"/>
        <c:lblAlgn val="ctr"/>
        <c:lblOffset val="100"/>
      </c:catAx>
      <c:valAx>
        <c:axId val="166792192"/>
        <c:scaling>
          <c:orientation val="minMax"/>
          <c:max val="0.1"/>
          <c:min val="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67902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lang val="en-US"/>
  <c:chart>
    <c:autoTitleDeleted val="1"/>
    <c:plotArea>
      <c:layout/>
      <c:lineChart>
        <c:grouping val="standard"/>
        <c:ser>
          <c:idx val="1"/>
          <c:order val="0"/>
          <c:tx>
            <c:strRef>
              <c:f>'EX 3-Cust Svc-%Meters Read'!$L$18</c:f>
              <c:strCache>
                <c:ptCount val="1"/>
                <c:pt idx="0">
                  <c:v>Duquesne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'EX 3-Cust Svc-%Meters Read'!$M$17:$Q$17</c:f>
              <c:numCache>
                <c:formatCode>General</c:formatCode>
                <c:ptCount val="5"/>
                <c:pt idx="0">
                  <c:v>2010</c:v>
                </c:pt>
                <c:pt idx="1">
                  <c:v>2011</c:v>
                </c:pt>
                <c:pt idx="2">
                  <c:v>2012</c:v>
                </c:pt>
                <c:pt idx="3">
                  <c:v>2013</c:v>
                </c:pt>
                <c:pt idx="4">
                  <c:v>2014</c:v>
                </c:pt>
              </c:numCache>
            </c:numRef>
          </c:cat>
          <c:val>
            <c:numRef>
              <c:f>'EX 3-Cust Svc-%Meters Read'!$M$18:$Q$18</c:f>
              <c:numCache>
                <c:formatCode>0.00%</c:formatCode>
                <c:ptCount val="5"/>
                <c:pt idx="0">
                  <c:v>0</c:v>
                </c:pt>
                <c:pt idx="1">
                  <c:v>0</c:v>
                </c:pt>
                <c:pt idx="2">
                  <c:v>0</c:v>
                </c:pt>
                <c:pt idx="3">
                  <c:v>0</c:v>
                </c:pt>
                <c:pt idx="4">
                  <c:v>0</c:v>
                </c:pt>
              </c:numCache>
            </c:numRef>
          </c:val>
        </c:ser>
        <c:ser>
          <c:idx val="0"/>
          <c:order val="1"/>
          <c:tx>
            <c:strRef>
              <c:f>'EX 3-Cust Svc-%Meters Read'!$L$19</c:f>
              <c:strCache>
                <c:ptCount val="1"/>
                <c:pt idx="0">
                  <c:v>Met Ed</c:v>
                </c:pt>
              </c:strCache>
            </c:strRef>
          </c:tx>
          <c:spPr>
            <a:ln w="28575" cap="rnd">
              <a:solidFill>
                <a:schemeClr val="accent3"/>
              </a:solidFill>
              <a:prstDash val="solid"/>
              <a:round/>
            </a:ln>
            <a:effectLst/>
          </c:spPr>
          <c:marker>
            <c:symbol val="circle"/>
            <c:size val="5"/>
            <c:spPr>
              <a:solidFill>
                <a:schemeClr val="accent3"/>
              </a:solidFill>
              <a:ln w="9525">
                <a:solidFill>
                  <a:schemeClr val="accent3"/>
                </a:solidFill>
              </a:ln>
              <a:effectLst/>
            </c:spPr>
          </c:marker>
          <c:val>
            <c:numRef>
              <c:f>'EX 3-Cust Svc-%Meters Read'!$M$19:$Q$19</c:f>
              <c:numCache>
                <c:formatCode>0.00%</c:formatCode>
                <c:ptCount val="5"/>
                <c:pt idx="0">
                  <c:v>9.0000000000000182E-4</c:v>
                </c:pt>
                <c:pt idx="1">
                  <c:v>7.0000000000000119E-4</c:v>
                </c:pt>
                <c:pt idx="2">
                  <c:v>2.0000000000000039E-4</c:v>
                </c:pt>
                <c:pt idx="3">
                  <c:v>7.0000000000000119E-4</c:v>
                </c:pt>
                <c:pt idx="4">
                  <c:v>1.800000000000003E-3</c:v>
                </c:pt>
              </c:numCache>
            </c:numRef>
          </c:val>
        </c:ser>
        <c:ser>
          <c:idx val="2"/>
          <c:order val="2"/>
          <c:tx>
            <c:strRef>
              <c:f>'EX 3-Cust Svc-%Meters Read'!$L$20</c:f>
              <c:strCache>
                <c:ptCount val="1"/>
                <c:pt idx="0">
                  <c:v>PECO</c:v>
                </c:pt>
              </c:strCache>
            </c:strRef>
          </c:tx>
          <c:spPr>
            <a:ln w="28575" cap="rnd">
              <a:solidFill>
                <a:schemeClr val="accent4"/>
              </a:solidFill>
              <a:prstDash val="solid"/>
              <a:round/>
            </a:ln>
            <a:effectLst/>
          </c:spPr>
          <c:marker>
            <c:symbol val="circle"/>
            <c:size val="5"/>
            <c:spPr>
              <a:solidFill>
                <a:schemeClr val="accent4"/>
              </a:solidFill>
              <a:ln w="9525">
                <a:solidFill>
                  <a:schemeClr val="accent4"/>
                </a:solidFill>
              </a:ln>
              <a:effectLst/>
            </c:spPr>
          </c:marker>
          <c:cat>
            <c:numRef>
              <c:f>'EX 3-Cust Svc-%Meters Read'!$M$17:$Q$17</c:f>
              <c:numCache>
                <c:formatCode>General</c:formatCode>
                <c:ptCount val="5"/>
                <c:pt idx="0">
                  <c:v>2010</c:v>
                </c:pt>
                <c:pt idx="1">
                  <c:v>2011</c:v>
                </c:pt>
                <c:pt idx="2">
                  <c:v>2012</c:v>
                </c:pt>
                <c:pt idx="3">
                  <c:v>2013</c:v>
                </c:pt>
                <c:pt idx="4">
                  <c:v>2014</c:v>
                </c:pt>
              </c:numCache>
            </c:numRef>
          </c:cat>
          <c:val>
            <c:numRef>
              <c:f>'EX 3-Cust Svc-%Meters Read'!$M$20:$Q$20</c:f>
              <c:numCache>
                <c:formatCode>0.00%</c:formatCode>
                <c:ptCount val="5"/>
                <c:pt idx="0">
                  <c:v>0</c:v>
                </c:pt>
                <c:pt idx="1">
                  <c:v>0</c:v>
                </c:pt>
                <c:pt idx="2">
                  <c:v>0</c:v>
                </c:pt>
                <c:pt idx="3">
                  <c:v>0</c:v>
                </c:pt>
                <c:pt idx="4">
                  <c:v>1.0000000000000018E-4</c:v>
                </c:pt>
              </c:numCache>
            </c:numRef>
          </c:val>
        </c:ser>
        <c:ser>
          <c:idx val="3"/>
          <c:order val="3"/>
          <c:tx>
            <c:strRef>
              <c:f>'EX 3-Cust Svc-%Meters Read'!$L$21</c:f>
              <c:strCache>
                <c:ptCount val="1"/>
                <c:pt idx="0">
                  <c:v>Penelec </c:v>
                </c:pt>
              </c:strCache>
            </c:strRef>
          </c:tx>
          <c:spPr>
            <a:ln w="28575" cap="rnd">
              <a:solidFill>
                <a:schemeClr val="accent5"/>
              </a:solidFill>
              <a:prstDash val="solid"/>
              <a:round/>
            </a:ln>
            <a:effectLst/>
          </c:spPr>
          <c:marker>
            <c:symbol val="circle"/>
            <c:size val="5"/>
            <c:spPr>
              <a:solidFill>
                <a:schemeClr val="accent5"/>
              </a:solidFill>
              <a:ln w="9525">
                <a:solidFill>
                  <a:schemeClr val="accent5"/>
                </a:solidFill>
              </a:ln>
              <a:effectLst/>
            </c:spPr>
          </c:marker>
          <c:cat>
            <c:numRef>
              <c:f>'EX 3-Cust Svc-%Meters Read'!$M$17:$Q$17</c:f>
              <c:numCache>
                <c:formatCode>General</c:formatCode>
                <c:ptCount val="5"/>
                <c:pt idx="0">
                  <c:v>2010</c:v>
                </c:pt>
                <c:pt idx="1">
                  <c:v>2011</c:v>
                </c:pt>
                <c:pt idx="2">
                  <c:v>2012</c:v>
                </c:pt>
                <c:pt idx="3">
                  <c:v>2013</c:v>
                </c:pt>
                <c:pt idx="4">
                  <c:v>2014</c:v>
                </c:pt>
              </c:numCache>
            </c:numRef>
          </c:cat>
          <c:val>
            <c:numRef>
              <c:f>'EX 3-Cust Svc-%Meters Read'!$M$21:$Q$21</c:f>
              <c:numCache>
                <c:formatCode>0.00%</c:formatCode>
                <c:ptCount val="5"/>
                <c:pt idx="0">
                  <c:v>5.0000000000000034E-4</c:v>
                </c:pt>
                <c:pt idx="1">
                  <c:v>5.0000000000000034E-4</c:v>
                </c:pt>
                <c:pt idx="2">
                  <c:v>0</c:v>
                </c:pt>
                <c:pt idx="3">
                  <c:v>1.0000000000000018E-4</c:v>
                </c:pt>
                <c:pt idx="4">
                  <c:v>1.0000000000000018E-4</c:v>
                </c:pt>
              </c:numCache>
            </c:numRef>
          </c:val>
        </c:ser>
        <c:ser>
          <c:idx val="4"/>
          <c:order val="4"/>
          <c:tx>
            <c:strRef>
              <c:f>'EX 3-Cust Svc-%Meters Read'!$L$22</c:f>
              <c:strCache>
                <c:ptCount val="1"/>
                <c:pt idx="0">
                  <c:v>West Penn</c:v>
                </c:pt>
              </c:strCache>
            </c:strRef>
          </c:tx>
          <c:spPr>
            <a:ln w="28575" cap="rnd">
              <a:solidFill>
                <a:schemeClr val="accent6"/>
              </a:solidFill>
              <a:prstDash val="solid"/>
              <a:round/>
            </a:ln>
            <a:effectLst/>
          </c:spPr>
          <c:marker>
            <c:symbol val="circle"/>
            <c:size val="5"/>
            <c:spPr>
              <a:solidFill>
                <a:schemeClr val="accent6"/>
              </a:solidFill>
              <a:ln w="9525">
                <a:solidFill>
                  <a:schemeClr val="accent6"/>
                </a:solidFill>
              </a:ln>
              <a:effectLst/>
            </c:spPr>
          </c:marker>
          <c:cat>
            <c:numRef>
              <c:f>'EX 3-Cust Svc-%Meters Read'!$M$17:$Q$17</c:f>
              <c:numCache>
                <c:formatCode>General</c:formatCode>
                <c:ptCount val="5"/>
                <c:pt idx="0">
                  <c:v>2010</c:v>
                </c:pt>
                <c:pt idx="1">
                  <c:v>2011</c:v>
                </c:pt>
                <c:pt idx="2">
                  <c:v>2012</c:v>
                </c:pt>
                <c:pt idx="3">
                  <c:v>2013</c:v>
                </c:pt>
                <c:pt idx="4">
                  <c:v>2014</c:v>
                </c:pt>
              </c:numCache>
            </c:numRef>
          </c:cat>
          <c:val>
            <c:numRef>
              <c:f>'EX 3-Cust Svc-%Meters Read'!$M$22:$Q$22</c:f>
              <c:numCache>
                <c:formatCode>0.00%</c:formatCode>
                <c:ptCount val="5"/>
                <c:pt idx="0">
                  <c:v>6.0000000000000103E-4</c:v>
                </c:pt>
                <c:pt idx="1">
                  <c:v>4.0000000000000034E-4</c:v>
                </c:pt>
                <c:pt idx="2">
                  <c:v>3.500000000000004E-3</c:v>
                </c:pt>
                <c:pt idx="3">
                  <c:v>1.4000000000000017E-3</c:v>
                </c:pt>
                <c:pt idx="4">
                  <c:v>5.0000000000000034E-4</c:v>
                </c:pt>
              </c:numCache>
            </c:numRef>
          </c:val>
        </c:ser>
        <c:ser>
          <c:idx val="5"/>
          <c:order val="5"/>
          <c:tx>
            <c:strRef>
              <c:f>'EX 3-Cust Svc-%Meters Read'!$L$23</c:f>
              <c:strCache>
                <c:ptCount val="1"/>
                <c:pt idx="0">
                  <c:v>Panel Average</c:v>
                </c:pt>
              </c:strCache>
            </c:strRef>
          </c:tx>
          <c:spPr>
            <a:ln w="28575" cap="rnd">
              <a:solidFill>
                <a:schemeClr val="accent5">
                  <a:lumMod val="50000"/>
                </a:schemeClr>
              </a:solidFill>
              <a:prstDash val="sysDot"/>
              <a:round/>
            </a:ln>
            <a:effectLst/>
          </c:spPr>
          <c:marker>
            <c:symbol val="circle"/>
            <c:size val="5"/>
            <c:spPr>
              <a:solidFill>
                <a:schemeClr val="accent5">
                  <a:lumMod val="50000"/>
                </a:schemeClr>
              </a:solidFill>
              <a:ln w="9525">
                <a:solidFill>
                  <a:schemeClr val="accent5">
                    <a:lumMod val="50000"/>
                  </a:schemeClr>
                </a:solidFill>
              </a:ln>
              <a:effectLst/>
            </c:spPr>
          </c:marker>
          <c:cat>
            <c:numRef>
              <c:f>'EX 3-Cust Svc-%Meters Read'!$M$17:$Q$17</c:f>
              <c:numCache>
                <c:formatCode>General</c:formatCode>
                <c:ptCount val="5"/>
                <c:pt idx="0">
                  <c:v>2010</c:v>
                </c:pt>
                <c:pt idx="1">
                  <c:v>2011</c:v>
                </c:pt>
                <c:pt idx="2">
                  <c:v>2012</c:v>
                </c:pt>
                <c:pt idx="3">
                  <c:v>2013</c:v>
                </c:pt>
                <c:pt idx="4">
                  <c:v>2014</c:v>
                </c:pt>
              </c:numCache>
            </c:numRef>
          </c:cat>
          <c:val>
            <c:numRef>
              <c:f>'EX 3-Cust Svc-%Meters Read'!$M$23:$Q$23</c:f>
              <c:numCache>
                <c:formatCode>0.00%</c:formatCode>
                <c:ptCount val="5"/>
                <c:pt idx="0">
                  <c:v>4.0000000000000034E-4</c:v>
                </c:pt>
                <c:pt idx="1">
                  <c:v>3.2000000000000079E-4</c:v>
                </c:pt>
                <c:pt idx="2">
                  <c:v>7.400000000000014E-4</c:v>
                </c:pt>
                <c:pt idx="3">
                  <c:v>4.4000000000000105E-4</c:v>
                </c:pt>
                <c:pt idx="4">
                  <c:v>5.0000000000000034E-4</c:v>
                </c:pt>
              </c:numCache>
            </c:numRef>
          </c:val>
        </c:ser>
        <c:ser>
          <c:idx val="6"/>
          <c:order val="6"/>
          <c:tx>
            <c:strRef>
              <c:f>'EX 3-Cust Svc-%Meters Read'!$L$24</c:f>
              <c:strCache>
                <c:ptCount val="1"/>
                <c:pt idx="0">
                  <c:v>PPL</c:v>
                </c:pt>
              </c:strCache>
            </c:strRef>
          </c:tx>
          <c:spPr>
            <a:ln w="28575" cap="rnd">
              <a:solidFill>
                <a:schemeClr val="accent2">
                  <a:lumMod val="50000"/>
                </a:schemeClr>
              </a:solidFill>
              <a:prstDash val="dash"/>
              <a:round/>
            </a:ln>
            <a:effectLst/>
          </c:spPr>
          <c:marker>
            <c:symbol val="circle"/>
            <c:size val="5"/>
            <c:spPr>
              <a:solidFill>
                <a:schemeClr val="accent2">
                  <a:lumMod val="50000"/>
                </a:schemeClr>
              </a:solidFill>
              <a:ln w="9525">
                <a:solidFill>
                  <a:schemeClr val="accent2">
                    <a:lumMod val="50000"/>
                  </a:schemeClr>
                </a:solidFill>
              </a:ln>
              <a:effectLst/>
            </c:spPr>
          </c:marker>
          <c:cat>
            <c:numRef>
              <c:f>'EX 3-Cust Svc-%Meters Read'!$M$17:$Q$17</c:f>
              <c:numCache>
                <c:formatCode>General</c:formatCode>
                <c:ptCount val="5"/>
                <c:pt idx="0">
                  <c:v>2010</c:v>
                </c:pt>
                <c:pt idx="1">
                  <c:v>2011</c:v>
                </c:pt>
                <c:pt idx="2">
                  <c:v>2012</c:v>
                </c:pt>
                <c:pt idx="3">
                  <c:v>2013</c:v>
                </c:pt>
                <c:pt idx="4">
                  <c:v>2014</c:v>
                </c:pt>
              </c:numCache>
            </c:numRef>
          </c:cat>
          <c:val>
            <c:numRef>
              <c:f>'EX 3-Cust Svc-%Meters Read'!$M$24:$Q$24</c:f>
              <c:numCache>
                <c:formatCode>0.00%</c:formatCode>
                <c:ptCount val="5"/>
                <c:pt idx="0">
                  <c:v>1.0000000000000018E-4</c:v>
                </c:pt>
                <c:pt idx="1">
                  <c:v>0</c:v>
                </c:pt>
                <c:pt idx="2">
                  <c:v>0</c:v>
                </c:pt>
                <c:pt idx="3">
                  <c:v>0</c:v>
                </c:pt>
                <c:pt idx="4">
                  <c:v>0</c:v>
                </c:pt>
              </c:numCache>
            </c:numRef>
          </c:val>
        </c:ser>
        <c:marker val="1"/>
        <c:axId val="166866944"/>
        <c:axId val="166868864"/>
      </c:lineChart>
      <c:catAx>
        <c:axId val="16686694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6868864"/>
        <c:crosses val="autoZero"/>
        <c:auto val="1"/>
        <c:lblAlgn val="ctr"/>
        <c:lblOffset val="100"/>
      </c:catAx>
      <c:valAx>
        <c:axId val="166868864"/>
        <c:scaling>
          <c:orientation val="minMax"/>
          <c:max val="4.0000000000000079E-3"/>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6866944"/>
        <c:crosses val="autoZero"/>
        <c:crossBetween val="between"/>
        <c:majorUnit val="5.0000000000000034E-4"/>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1"/>
          <c:order val="0"/>
          <c:spPr>
            <a:solidFill>
              <a:srgbClr val="2E6EBC"/>
            </a:solidFill>
          </c:spPr>
          <c:cat>
            <c:numLit>
              <c:formatCode>General</c:formatCode>
              <c:ptCount val="5"/>
              <c:pt idx="0">
                <c:v>2011</c:v>
              </c:pt>
              <c:pt idx="1">
                <c:v>2012</c:v>
              </c:pt>
              <c:pt idx="2">
                <c:v>2013</c:v>
              </c:pt>
              <c:pt idx="3">
                <c:v>2014</c:v>
              </c:pt>
              <c:pt idx="4">
                <c:v>2015</c:v>
              </c:pt>
            </c:numLit>
          </c:cat>
          <c:val>
            <c:numRef>
              <c:f>Sheet1!$F$3:$F$7</c:f>
              <c:numCache>
                <c:formatCode>0%</c:formatCode>
                <c:ptCount val="5"/>
                <c:pt idx="0">
                  <c:v>0.84000000000000064</c:v>
                </c:pt>
                <c:pt idx="1">
                  <c:v>0.9</c:v>
                </c:pt>
                <c:pt idx="2">
                  <c:v>0.85000000000000064</c:v>
                </c:pt>
                <c:pt idx="3">
                  <c:v>0.750000000000001</c:v>
                </c:pt>
                <c:pt idx="4">
                  <c:v>0.83000000000000063</c:v>
                </c:pt>
              </c:numCache>
            </c:numRef>
          </c:val>
        </c:ser>
        <c:axId val="150100224"/>
        <c:axId val="150102016"/>
      </c:barChart>
      <c:catAx>
        <c:axId val="150100224"/>
        <c:scaling>
          <c:orientation val="minMax"/>
        </c:scaling>
        <c:axPos val="b"/>
        <c:numFmt formatCode="General" sourceLinked="1"/>
        <c:tickLblPos val="nextTo"/>
        <c:crossAx val="150102016"/>
        <c:crosses val="autoZero"/>
        <c:auto val="1"/>
        <c:lblAlgn val="ctr"/>
        <c:lblOffset val="100"/>
      </c:catAx>
      <c:valAx>
        <c:axId val="150102016"/>
        <c:scaling>
          <c:orientation val="minMax"/>
        </c:scaling>
        <c:axPos val="l"/>
        <c:majorGridlines/>
        <c:numFmt formatCode="0%" sourceLinked="1"/>
        <c:tickLblPos val="nextTo"/>
        <c:crossAx val="150100224"/>
        <c:crosses val="autoZero"/>
        <c:crossBetween val="between"/>
      </c:valAx>
    </c:plotArea>
    <c:plotVisOnly val="1"/>
    <c:dispBlanksAs val="gap"/>
  </c:chart>
  <c:txPr>
    <a:bodyPr/>
    <a:lstStyle/>
    <a:p>
      <a:pPr>
        <a:defRPr>
          <a:latin typeface="Arial" charset="0"/>
          <a:ea typeface="Arial" charset="0"/>
          <a:cs typeface="Arial" charset="0"/>
        </a:defRPr>
      </a:pPr>
      <a:endParaRPr lang="en-US"/>
    </a:p>
  </c:tx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lang val="en-US"/>
  <c:chart>
    <c:autoTitleDeleted val="1"/>
    <c:plotArea>
      <c:layout/>
      <c:lineChart>
        <c:grouping val="standard"/>
        <c:ser>
          <c:idx val="1"/>
          <c:order val="0"/>
          <c:tx>
            <c:strRef>
              <c:f>'EX 4-Gross Wite Offs Per Cust'!$L$18</c:f>
              <c:strCache>
                <c:ptCount val="1"/>
                <c:pt idx="0">
                  <c:v>Duquesne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'EX 4-Gross Wite Offs Per Cust'!$M$17:$Q$17</c:f>
              <c:numCache>
                <c:formatCode>General</c:formatCode>
                <c:ptCount val="5"/>
                <c:pt idx="0">
                  <c:v>2010</c:v>
                </c:pt>
                <c:pt idx="1">
                  <c:v>2011</c:v>
                </c:pt>
                <c:pt idx="2">
                  <c:v>2012</c:v>
                </c:pt>
                <c:pt idx="3">
                  <c:v>2013</c:v>
                </c:pt>
                <c:pt idx="4">
                  <c:v>2014</c:v>
                </c:pt>
              </c:numCache>
            </c:numRef>
          </c:cat>
          <c:val>
            <c:numRef>
              <c:f>'EX 4-Gross Wite Offs Per Cust'!$M$18:$Q$18</c:f>
              <c:numCache>
                <c:formatCode>"$"#,##0.00</c:formatCode>
                <c:ptCount val="5"/>
                <c:pt idx="0">
                  <c:v>11.086103354480858</c:v>
                </c:pt>
                <c:pt idx="1">
                  <c:v>12.281314004218093</c:v>
                </c:pt>
                <c:pt idx="2">
                  <c:v>12.629825231066066</c:v>
                </c:pt>
                <c:pt idx="3">
                  <c:v>9.959933481320979</c:v>
                </c:pt>
                <c:pt idx="4">
                  <c:v>6.0630390953052284</c:v>
                </c:pt>
              </c:numCache>
            </c:numRef>
          </c:val>
        </c:ser>
        <c:ser>
          <c:idx val="0"/>
          <c:order val="1"/>
          <c:tx>
            <c:strRef>
              <c:f>'EX 4-Gross Wite Offs Per Cust'!$L$19</c:f>
              <c:strCache>
                <c:ptCount val="1"/>
                <c:pt idx="0">
                  <c:v>Met Ed</c:v>
                </c:pt>
              </c:strCache>
            </c:strRef>
          </c:tx>
          <c:spPr>
            <a:ln w="28575" cap="rnd">
              <a:solidFill>
                <a:schemeClr val="accent3"/>
              </a:solidFill>
              <a:prstDash val="solid"/>
              <a:round/>
            </a:ln>
            <a:effectLst/>
          </c:spPr>
          <c:marker>
            <c:symbol val="circle"/>
            <c:size val="5"/>
            <c:spPr>
              <a:solidFill>
                <a:schemeClr val="accent3"/>
              </a:solidFill>
              <a:ln w="9525">
                <a:solidFill>
                  <a:schemeClr val="accent3"/>
                </a:solidFill>
              </a:ln>
              <a:effectLst/>
            </c:spPr>
          </c:marker>
          <c:val>
            <c:numRef>
              <c:f>'EX 4-Gross Wite Offs Per Cust'!$M$19:$Q$19</c:f>
              <c:numCache>
                <c:formatCode>"$"#,##0.00</c:formatCode>
                <c:ptCount val="5"/>
                <c:pt idx="0">
                  <c:v>23.817150042324513</c:v>
                </c:pt>
                <c:pt idx="1">
                  <c:v>29.301161538524774</c:v>
                </c:pt>
                <c:pt idx="2">
                  <c:v>29.222919354408649</c:v>
                </c:pt>
                <c:pt idx="3">
                  <c:v>22.000932355178229</c:v>
                </c:pt>
                <c:pt idx="4">
                  <c:v>24.813963195380538</c:v>
                </c:pt>
              </c:numCache>
            </c:numRef>
          </c:val>
        </c:ser>
        <c:ser>
          <c:idx val="2"/>
          <c:order val="2"/>
          <c:tx>
            <c:strRef>
              <c:f>'EX 4-Gross Wite Offs Per Cust'!$L$20</c:f>
              <c:strCache>
                <c:ptCount val="1"/>
                <c:pt idx="0">
                  <c:v>PECO</c:v>
                </c:pt>
              </c:strCache>
            </c:strRef>
          </c:tx>
          <c:spPr>
            <a:ln w="28575" cap="rnd">
              <a:solidFill>
                <a:schemeClr val="accent4"/>
              </a:solidFill>
              <a:prstDash val="solid"/>
              <a:round/>
            </a:ln>
            <a:effectLst/>
          </c:spPr>
          <c:marker>
            <c:symbol val="circle"/>
            <c:size val="5"/>
            <c:spPr>
              <a:solidFill>
                <a:schemeClr val="accent4"/>
              </a:solidFill>
              <a:ln w="9525">
                <a:solidFill>
                  <a:schemeClr val="accent4"/>
                </a:solidFill>
              </a:ln>
              <a:effectLst/>
            </c:spPr>
          </c:marker>
          <c:cat>
            <c:numRef>
              <c:f>'EX 4-Gross Wite Offs Per Cust'!$M$17:$Q$17</c:f>
              <c:numCache>
                <c:formatCode>General</c:formatCode>
                <c:ptCount val="5"/>
                <c:pt idx="0">
                  <c:v>2010</c:v>
                </c:pt>
                <c:pt idx="1">
                  <c:v>2011</c:v>
                </c:pt>
                <c:pt idx="2">
                  <c:v>2012</c:v>
                </c:pt>
                <c:pt idx="3">
                  <c:v>2013</c:v>
                </c:pt>
                <c:pt idx="4">
                  <c:v>2014</c:v>
                </c:pt>
              </c:numCache>
            </c:numRef>
          </c:cat>
          <c:val>
            <c:numRef>
              <c:f>'EX 4-Gross Wite Offs Per Cust'!$M$20:$Q$20</c:f>
              <c:numCache>
                <c:formatCode>"$"#,##0.00</c:formatCode>
                <c:ptCount val="5"/>
                <c:pt idx="0">
                  <c:v>29.14932171951639</c:v>
                </c:pt>
                <c:pt idx="1">
                  <c:v>23.010802574873832</c:v>
                </c:pt>
                <c:pt idx="2">
                  <c:v>28.043750149882431</c:v>
                </c:pt>
                <c:pt idx="3">
                  <c:v>26.707499571348624</c:v>
                </c:pt>
                <c:pt idx="4">
                  <c:v>23.452767098718212</c:v>
                </c:pt>
              </c:numCache>
            </c:numRef>
          </c:val>
        </c:ser>
        <c:ser>
          <c:idx val="3"/>
          <c:order val="3"/>
          <c:tx>
            <c:strRef>
              <c:f>'EX 4-Gross Wite Offs Per Cust'!$L$21</c:f>
              <c:strCache>
                <c:ptCount val="1"/>
                <c:pt idx="0">
                  <c:v>Penelec</c:v>
                </c:pt>
              </c:strCache>
            </c:strRef>
          </c:tx>
          <c:spPr>
            <a:ln w="28575" cap="rnd">
              <a:solidFill>
                <a:schemeClr val="accent5"/>
              </a:solidFill>
              <a:prstDash val="solid"/>
              <a:round/>
            </a:ln>
            <a:effectLst/>
          </c:spPr>
          <c:marker>
            <c:symbol val="circle"/>
            <c:size val="5"/>
            <c:spPr>
              <a:solidFill>
                <a:schemeClr val="accent5"/>
              </a:solidFill>
              <a:ln w="9525">
                <a:solidFill>
                  <a:schemeClr val="accent5"/>
                </a:solidFill>
              </a:ln>
              <a:effectLst/>
            </c:spPr>
          </c:marker>
          <c:cat>
            <c:numRef>
              <c:f>'EX 4-Gross Wite Offs Per Cust'!$M$17:$Q$17</c:f>
              <c:numCache>
                <c:formatCode>General</c:formatCode>
                <c:ptCount val="5"/>
                <c:pt idx="0">
                  <c:v>2010</c:v>
                </c:pt>
                <c:pt idx="1">
                  <c:v>2011</c:v>
                </c:pt>
                <c:pt idx="2">
                  <c:v>2012</c:v>
                </c:pt>
                <c:pt idx="3">
                  <c:v>2013</c:v>
                </c:pt>
                <c:pt idx="4">
                  <c:v>2014</c:v>
                </c:pt>
              </c:numCache>
            </c:numRef>
          </c:cat>
          <c:val>
            <c:numRef>
              <c:f>'EX 4-Gross Wite Offs Per Cust'!$M$21:$Q$21</c:f>
              <c:numCache>
                <c:formatCode>"$"#,##0.00</c:formatCode>
                <c:ptCount val="5"/>
                <c:pt idx="0">
                  <c:v>16.580690167621142</c:v>
                </c:pt>
                <c:pt idx="1">
                  <c:v>21.392953583382063</c:v>
                </c:pt>
                <c:pt idx="2">
                  <c:v>21.726789503204618</c:v>
                </c:pt>
                <c:pt idx="3">
                  <c:v>17.95964979215648</c:v>
                </c:pt>
                <c:pt idx="4">
                  <c:v>19.752528765326602</c:v>
                </c:pt>
              </c:numCache>
            </c:numRef>
          </c:val>
        </c:ser>
        <c:ser>
          <c:idx val="4"/>
          <c:order val="4"/>
          <c:tx>
            <c:strRef>
              <c:f>'EX 4-Gross Wite Offs Per Cust'!$L$22</c:f>
              <c:strCache>
                <c:ptCount val="1"/>
                <c:pt idx="0">
                  <c:v>West Penn *</c:v>
                </c:pt>
              </c:strCache>
            </c:strRef>
          </c:tx>
          <c:spPr>
            <a:ln w="28575" cap="rnd">
              <a:solidFill>
                <a:schemeClr val="accent6"/>
              </a:solidFill>
              <a:prstDash val="solid"/>
              <a:round/>
            </a:ln>
            <a:effectLst/>
          </c:spPr>
          <c:marker>
            <c:symbol val="circle"/>
            <c:size val="5"/>
            <c:spPr>
              <a:solidFill>
                <a:schemeClr val="accent6"/>
              </a:solidFill>
              <a:ln w="9525">
                <a:solidFill>
                  <a:schemeClr val="accent6"/>
                </a:solidFill>
              </a:ln>
              <a:effectLst/>
            </c:spPr>
          </c:marker>
          <c:cat>
            <c:numRef>
              <c:f>'EX 4-Gross Wite Offs Per Cust'!$M$17:$Q$17</c:f>
              <c:numCache>
                <c:formatCode>General</c:formatCode>
                <c:ptCount val="5"/>
                <c:pt idx="0">
                  <c:v>2010</c:v>
                </c:pt>
                <c:pt idx="1">
                  <c:v>2011</c:v>
                </c:pt>
                <c:pt idx="2">
                  <c:v>2012</c:v>
                </c:pt>
                <c:pt idx="3">
                  <c:v>2013</c:v>
                </c:pt>
                <c:pt idx="4">
                  <c:v>2014</c:v>
                </c:pt>
              </c:numCache>
            </c:numRef>
          </c:cat>
          <c:val>
            <c:numRef>
              <c:f>'EX 4-Gross Wite Offs Per Cust'!$M$22:$Q$22</c:f>
              <c:numCache>
                <c:formatCode>"$"#,##0.00</c:formatCode>
                <c:ptCount val="5"/>
                <c:pt idx="0">
                  <c:v>0</c:v>
                </c:pt>
                <c:pt idx="1">
                  <c:v>11.30354145389054</c:v>
                </c:pt>
                <c:pt idx="2">
                  <c:v>10.570854354131274</c:v>
                </c:pt>
                <c:pt idx="3">
                  <c:v>9.7807582663595642</c:v>
                </c:pt>
                <c:pt idx="4">
                  <c:v>13.154178278131639</c:v>
                </c:pt>
              </c:numCache>
            </c:numRef>
          </c:val>
        </c:ser>
        <c:ser>
          <c:idx val="5"/>
          <c:order val="5"/>
          <c:tx>
            <c:strRef>
              <c:f>'EX 4-Gross Wite Offs Per Cust'!$L$23</c:f>
              <c:strCache>
                <c:ptCount val="1"/>
                <c:pt idx="0">
                  <c:v>Panel Average</c:v>
                </c:pt>
              </c:strCache>
            </c:strRef>
          </c:tx>
          <c:spPr>
            <a:ln w="28575" cap="rnd">
              <a:solidFill>
                <a:schemeClr val="accent5">
                  <a:lumMod val="50000"/>
                </a:schemeClr>
              </a:solidFill>
              <a:prstDash val="sysDot"/>
              <a:round/>
            </a:ln>
            <a:effectLst/>
          </c:spPr>
          <c:marker>
            <c:symbol val="circle"/>
            <c:size val="5"/>
            <c:spPr>
              <a:solidFill>
                <a:schemeClr val="accent5">
                  <a:lumMod val="50000"/>
                </a:schemeClr>
              </a:solidFill>
              <a:ln w="9525">
                <a:solidFill>
                  <a:schemeClr val="accent5">
                    <a:lumMod val="50000"/>
                  </a:schemeClr>
                </a:solidFill>
              </a:ln>
              <a:effectLst/>
            </c:spPr>
          </c:marker>
          <c:cat>
            <c:numRef>
              <c:f>'EX 4-Gross Wite Offs Per Cust'!$M$17:$Q$17</c:f>
              <c:numCache>
                <c:formatCode>General</c:formatCode>
                <c:ptCount val="5"/>
                <c:pt idx="0">
                  <c:v>2010</c:v>
                </c:pt>
                <c:pt idx="1">
                  <c:v>2011</c:v>
                </c:pt>
                <c:pt idx="2">
                  <c:v>2012</c:v>
                </c:pt>
                <c:pt idx="3">
                  <c:v>2013</c:v>
                </c:pt>
                <c:pt idx="4">
                  <c:v>2014</c:v>
                </c:pt>
              </c:numCache>
            </c:numRef>
          </c:cat>
          <c:val>
            <c:numRef>
              <c:f>'EX 4-Gross Wite Offs Per Cust'!$M$23:$Q$23</c:f>
              <c:numCache>
                <c:formatCode>"$"#,##0.00</c:formatCode>
                <c:ptCount val="5"/>
                <c:pt idx="0">
                  <c:v>20.158316320985726</c:v>
                </c:pt>
                <c:pt idx="1">
                  <c:v>19.45795463097787</c:v>
                </c:pt>
                <c:pt idx="2">
                  <c:v>20.438827718538615</c:v>
                </c:pt>
                <c:pt idx="3">
                  <c:v>17.281754693272788</c:v>
                </c:pt>
                <c:pt idx="4">
                  <c:v>17.447295286572427</c:v>
                </c:pt>
              </c:numCache>
            </c:numRef>
          </c:val>
        </c:ser>
        <c:ser>
          <c:idx val="6"/>
          <c:order val="6"/>
          <c:tx>
            <c:strRef>
              <c:f>'EX 4-Gross Wite Offs Per Cust'!$L$24</c:f>
              <c:strCache>
                <c:ptCount val="1"/>
                <c:pt idx="0">
                  <c:v>PPL</c:v>
                </c:pt>
              </c:strCache>
            </c:strRef>
          </c:tx>
          <c:spPr>
            <a:ln w="28575" cap="rnd">
              <a:solidFill>
                <a:schemeClr val="accent2">
                  <a:lumMod val="50000"/>
                </a:schemeClr>
              </a:solidFill>
              <a:prstDash val="dash"/>
              <a:round/>
            </a:ln>
            <a:effectLst/>
          </c:spPr>
          <c:marker>
            <c:symbol val="circle"/>
            <c:size val="5"/>
            <c:spPr>
              <a:solidFill>
                <a:schemeClr val="accent2">
                  <a:lumMod val="50000"/>
                </a:schemeClr>
              </a:solidFill>
              <a:ln w="9525">
                <a:solidFill>
                  <a:schemeClr val="accent2">
                    <a:lumMod val="50000"/>
                  </a:schemeClr>
                </a:solidFill>
              </a:ln>
              <a:effectLst/>
            </c:spPr>
          </c:marker>
          <c:cat>
            <c:numRef>
              <c:f>'EX 4-Gross Wite Offs Per Cust'!$M$17:$Q$17</c:f>
              <c:numCache>
                <c:formatCode>General</c:formatCode>
                <c:ptCount val="5"/>
                <c:pt idx="0">
                  <c:v>2010</c:v>
                </c:pt>
                <c:pt idx="1">
                  <c:v>2011</c:v>
                </c:pt>
                <c:pt idx="2">
                  <c:v>2012</c:v>
                </c:pt>
                <c:pt idx="3">
                  <c:v>2013</c:v>
                </c:pt>
                <c:pt idx="4">
                  <c:v>2014</c:v>
                </c:pt>
              </c:numCache>
            </c:numRef>
          </c:cat>
          <c:val>
            <c:numRef>
              <c:f>'EX 4-Gross Wite Offs Per Cust'!$M$24:$Q$24</c:f>
              <c:numCache>
                <c:formatCode>"$"#,##0.00</c:formatCode>
                <c:ptCount val="5"/>
                <c:pt idx="0">
                  <c:v>32.364364134472424</c:v>
                </c:pt>
                <c:pt idx="1">
                  <c:v>40.630656774485558</c:v>
                </c:pt>
                <c:pt idx="2">
                  <c:v>41.181118220266782</c:v>
                </c:pt>
                <c:pt idx="3">
                  <c:v>43.55997143114827</c:v>
                </c:pt>
                <c:pt idx="4">
                  <c:v>50.013400332298474</c:v>
                </c:pt>
              </c:numCache>
            </c:numRef>
          </c:val>
        </c:ser>
        <c:marker val="1"/>
        <c:axId val="166918784"/>
        <c:axId val="166929152"/>
      </c:lineChart>
      <c:catAx>
        <c:axId val="1669187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6929152"/>
        <c:crosses val="autoZero"/>
        <c:auto val="1"/>
        <c:lblAlgn val="ctr"/>
        <c:lblOffset val="100"/>
      </c:catAx>
      <c:valAx>
        <c:axId val="166929152"/>
        <c:scaling>
          <c:orientation val="minMax"/>
        </c:scaling>
        <c:axPos val="l"/>
        <c:majorGridlines>
          <c:spPr>
            <a:ln w="9525" cap="flat" cmpd="sng" algn="ctr">
              <a:solidFill>
                <a:schemeClr val="tx1">
                  <a:lumMod val="15000"/>
                  <a:lumOff val="85000"/>
                </a:schemeClr>
              </a:solidFill>
              <a:round/>
            </a:ln>
            <a:effectLst/>
          </c:spPr>
        </c:majorGridlines>
        <c:numFmt formatCode="&quot;$&quot;#,##0.00" sourceLinked="1"/>
        <c:maj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69187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lang val="en-US"/>
  <c:chart>
    <c:autoTitleDeleted val="1"/>
    <c:plotArea>
      <c:layout/>
      <c:lineChart>
        <c:grouping val="standard"/>
        <c:ser>
          <c:idx val="1"/>
          <c:order val="0"/>
          <c:tx>
            <c:strRef>
              <c:f>'EX 5-Gross Write Offs Per OPREV'!$L$18</c:f>
              <c:strCache>
                <c:ptCount val="1"/>
                <c:pt idx="0">
                  <c:v>Duquesne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'EX 5-Gross Write Offs Per OPREV'!$M$17:$Q$17</c:f>
              <c:numCache>
                <c:formatCode>General</c:formatCode>
                <c:ptCount val="5"/>
                <c:pt idx="0">
                  <c:v>2010</c:v>
                </c:pt>
                <c:pt idx="1">
                  <c:v>2011</c:v>
                </c:pt>
                <c:pt idx="2">
                  <c:v>2012</c:v>
                </c:pt>
                <c:pt idx="3">
                  <c:v>2013</c:v>
                </c:pt>
                <c:pt idx="4">
                  <c:v>2014</c:v>
                </c:pt>
              </c:numCache>
            </c:numRef>
          </c:cat>
          <c:val>
            <c:numRef>
              <c:f>'EX 5-Gross Write Offs Per OPREV'!$M$18:$Q$18</c:f>
              <c:numCache>
                <c:formatCode>0.00%</c:formatCode>
                <c:ptCount val="5"/>
                <c:pt idx="0">
                  <c:v>1.1394140617004165E-2</c:v>
                </c:pt>
                <c:pt idx="1">
                  <c:v>1.2337943661650778E-2</c:v>
                </c:pt>
                <c:pt idx="2">
                  <c:v>1.3878310861040858E-2</c:v>
                </c:pt>
                <c:pt idx="3">
                  <c:v>1.2855949225903837E-2</c:v>
                </c:pt>
                <c:pt idx="4">
                  <c:v>7.3424157996966324E-3</c:v>
                </c:pt>
              </c:numCache>
            </c:numRef>
          </c:val>
        </c:ser>
        <c:ser>
          <c:idx val="0"/>
          <c:order val="1"/>
          <c:tx>
            <c:strRef>
              <c:f>'EX 5-Gross Write Offs Per OPREV'!$L$19</c:f>
              <c:strCache>
                <c:ptCount val="1"/>
                <c:pt idx="0">
                  <c:v>Met Ed</c:v>
                </c:pt>
              </c:strCache>
            </c:strRef>
          </c:tx>
          <c:spPr>
            <a:ln w="28575" cap="rnd">
              <a:solidFill>
                <a:schemeClr val="accent3"/>
              </a:solidFill>
              <a:prstDash val="solid"/>
              <a:round/>
            </a:ln>
            <a:effectLst/>
          </c:spPr>
          <c:marker>
            <c:symbol val="circle"/>
            <c:size val="5"/>
            <c:spPr>
              <a:solidFill>
                <a:schemeClr val="accent3"/>
              </a:solidFill>
              <a:ln w="9525">
                <a:solidFill>
                  <a:schemeClr val="accent3"/>
                </a:solidFill>
              </a:ln>
              <a:effectLst/>
            </c:spPr>
          </c:marker>
          <c:val>
            <c:numRef>
              <c:f>'EX 5-Gross Write Offs Per OPREV'!$M$19:$Q$19</c:f>
              <c:numCache>
                <c:formatCode>0.00%</c:formatCode>
                <c:ptCount val="5"/>
                <c:pt idx="0">
                  <c:v>1.6517229131962571E-2</c:v>
                </c:pt>
                <c:pt idx="1">
                  <c:v>1.934875159651182E-2</c:v>
                </c:pt>
                <c:pt idx="2">
                  <c:v>2.4271290577654415E-2</c:v>
                </c:pt>
                <c:pt idx="3">
                  <c:v>1.9050839050936207E-2</c:v>
                </c:pt>
                <c:pt idx="4">
                  <c:v>2.3144252019955392E-2</c:v>
                </c:pt>
              </c:numCache>
            </c:numRef>
          </c:val>
        </c:ser>
        <c:ser>
          <c:idx val="2"/>
          <c:order val="2"/>
          <c:tx>
            <c:strRef>
              <c:f>'EX 5-Gross Write Offs Per OPREV'!$L$20</c:f>
              <c:strCache>
                <c:ptCount val="1"/>
                <c:pt idx="0">
                  <c:v>PECO</c:v>
                </c:pt>
              </c:strCache>
            </c:strRef>
          </c:tx>
          <c:spPr>
            <a:ln w="28575" cap="rnd">
              <a:solidFill>
                <a:schemeClr val="accent4"/>
              </a:solidFill>
              <a:prstDash val="solid"/>
              <a:round/>
            </a:ln>
            <a:effectLst/>
          </c:spPr>
          <c:marker>
            <c:symbol val="circle"/>
            <c:size val="5"/>
            <c:spPr>
              <a:solidFill>
                <a:schemeClr val="accent4"/>
              </a:solidFill>
              <a:ln w="9525">
                <a:solidFill>
                  <a:schemeClr val="accent4"/>
                </a:solidFill>
              </a:ln>
              <a:effectLst/>
            </c:spPr>
          </c:marker>
          <c:cat>
            <c:numRef>
              <c:f>'EX 5-Gross Write Offs Per OPREV'!$M$17:$Q$17</c:f>
              <c:numCache>
                <c:formatCode>General</c:formatCode>
                <c:ptCount val="5"/>
                <c:pt idx="0">
                  <c:v>2010</c:v>
                </c:pt>
                <c:pt idx="1">
                  <c:v>2011</c:v>
                </c:pt>
                <c:pt idx="2">
                  <c:v>2012</c:v>
                </c:pt>
                <c:pt idx="3">
                  <c:v>2013</c:v>
                </c:pt>
                <c:pt idx="4">
                  <c:v>2014</c:v>
                </c:pt>
              </c:numCache>
            </c:numRef>
          </c:cat>
          <c:val>
            <c:numRef>
              <c:f>'EX 5-Gross Write Offs Per OPREV'!$M$20:$Q$20</c:f>
              <c:numCache>
                <c:formatCode>0.00%</c:formatCode>
                <c:ptCount val="5"/>
                <c:pt idx="0">
                  <c:v>1.986652457534642E-2</c:v>
                </c:pt>
                <c:pt idx="1">
                  <c:v>1.6864069068760153E-2</c:v>
                </c:pt>
                <c:pt idx="2">
                  <c:v>2.3536265184808388E-2</c:v>
                </c:pt>
                <c:pt idx="3">
                  <c:v>2.3856016790891107E-2</c:v>
                </c:pt>
                <c:pt idx="4">
                  <c:v>2.1621469391532283E-2</c:v>
                </c:pt>
              </c:numCache>
            </c:numRef>
          </c:val>
        </c:ser>
        <c:ser>
          <c:idx val="3"/>
          <c:order val="3"/>
          <c:tx>
            <c:strRef>
              <c:f>'EX 5-Gross Write Offs Per OPREV'!$L$21</c:f>
              <c:strCache>
                <c:ptCount val="1"/>
                <c:pt idx="0">
                  <c:v>Penelec</c:v>
                </c:pt>
              </c:strCache>
            </c:strRef>
          </c:tx>
          <c:spPr>
            <a:ln w="28575" cap="rnd">
              <a:solidFill>
                <a:schemeClr val="accent5"/>
              </a:solidFill>
              <a:prstDash val="solid"/>
              <a:round/>
            </a:ln>
            <a:effectLst/>
          </c:spPr>
          <c:marker>
            <c:symbol val="circle"/>
            <c:size val="5"/>
            <c:spPr>
              <a:solidFill>
                <a:schemeClr val="accent5"/>
              </a:solidFill>
              <a:ln w="9525">
                <a:solidFill>
                  <a:schemeClr val="accent5"/>
                </a:solidFill>
              </a:ln>
              <a:effectLst/>
            </c:spPr>
          </c:marker>
          <c:cat>
            <c:numRef>
              <c:f>'EX 5-Gross Write Offs Per OPREV'!$M$17:$Q$17</c:f>
              <c:numCache>
                <c:formatCode>General</c:formatCode>
                <c:ptCount val="5"/>
                <c:pt idx="0">
                  <c:v>2010</c:v>
                </c:pt>
                <c:pt idx="1">
                  <c:v>2011</c:v>
                </c:pt>
                <c:pt idx="2">
                  <c:v>2012</c:v>
                </c:pt>
                <c:pt idx="3">
                  <c:v>2013</c:v>
                </c:pt>
                <c:pt idx="4">
                  <c:v>2014</c:v>
                </c:pt>
              </c:numCache>
            </c:numRef>
          </c:cat>
          <c:val>
            <c:numRef>
              <c:f>'EX 5-Gross Write Offs Per OPREV'!$M$21:$Q$21</c:f>
              <c:numCache>
                <c:formatCode>0.00%</c:formatCode>
                <c:ptCount val="5"/>
                <c:pt idx="0">
                  <c:v>1.6234679352111803E-2</c:v>
                </c:pt>
                <c:pt idx="1">
                  <c:v>1.7944094735969401E-2</c:v>
                </c:pt>
                <c:pt idx="2">
                  <c:v>2.180884189115069E-2</c:v>
                </c:pt>
                <c:pt idx="3">
                  <c:v>1.9351575372347045E-2</c:v>
                </c:pt>
                <c:pt idx="4">
                  <c:v>2.2167633071885372E-2</c:v>
                </c:pt>
              </c:numCache>
            </c:numRef>
          </c:val>
        </c:ser>
        <c:ser>
          <c:idx val="4"/>
          <c:order val="4"/>
          <c:tx>
            <c:strRef>
              <c:f>'EX 5-Gross Write Offs Per OPREV'!$L$22</c:f>
              <c:strCache>
                <c:ptCount val="1"/>
                <c:pt idx="0">
                  <c:v>West Penn *</c:v>
                </c:pt>
              </c:strCache>
            </c:strRef>
          </c:tx>
          <c:spPr>
            <a:ln w="28575" cap="rnd">
              <a:solidFill>
                <a:schemeClr val="accent6"/>
              </a:solidFill>
              <a:prstDash val="solid"/>
              <a:round/>
            </a:ln>
            <a:effectLst/>
          </c:spPr>
          <c:marker>
            <c:symbol val="circle"/>
            <c:size val="5"/>
            <c:spPr>
              <a:solidFill>
                <a:schemeClr val="accent6"/>
              </a:solidFill>
              <a:ln w="9525">
                <a:solidFill>
                  <a:schemeClr val="accent6"/>
                </a:solidFill>
              </a:ln>
              <a:effectLst/>
            </c:spPr>
          </c:marker>
          <c:cat>
            <c:numRef>
              <c:f>'EX 5-Gross Write Offs Per OPREV'!$M$17:$Q$17</c:f>
              <c:numCache>
                <c:formatCode>General</c:formatCode>
                <c:ptCount val="5"/>
                <c:pt idx="0">
                  <c:v>2010</c:v>
                </c:pt>
                <c:pt idx="1">
                  <c:v>2011</c:v>
                </c:pt>
                <c:pt idx="2">
                  <c:v>2012</c:v>
                </c:pt>
                <c:pt idx="3">
                  <c:v>2013</c:v>
                </c:pt>
                <c:pt idx="4">
                  <c:v>2014</c:v>
                </c:pt>
              </c:numCache>
            </c:numRef>
          </c:cat>
          <c:val>
            <c:numRef>
              <c:f>'EX 5-Gross Write Offs Per OPREV'!$M$22:$Q$22</c:f>
              <c:numCache>
                <c:formatCode>0.00%</c:formatCode>
                <c:ptCount val="5"/>
                <c:pt idx="0">
                  <c:v>0</c:v>
                </c:pt>
                <c:pt idx="1">
                  <c:v>1.0332485294011887E-2</c:v>
                </c:pt>
                <c:pt idx="2">
                  <c:v>1.2369779921018058E-2</c:v>
                </c:pt>
                <c:pt idx="3">
                  <c:v>1.2223386766763071E-2</c:v>
                </c:pt>
                <c:pt idx="4">
                  <c:v>1.5832228967473362E-2</c:v>
                </c:pt>
              </c:numCache>
            </c:numRef>
          </c:val>
        </c:ser>
        <c:ser>
          <c:idx val="5"/>
          <c:order val="5"/>
          <c:tx>
            <c:strRef>
              <c:f>'EX 5-Gross Write Offs Per OPREV'!$L$23</c:f>
              <c:strCache>
                <c:ptCount val="1"/>
                <c:pt idx="0">
                  <c:v>Panel Average</c:v>
                </c:pt>
              </c:strCache>
            </c:strRef>
          </c:tx>
          <c:spPr>
            <a:ln w="28575" cap="rnd">
              <a:solidFill>
                <a:schemeClr val="accent5">
                  <a:lumMod val="50000"/>
                </a:schemeClr>
              </a:solidFill>
              <a:prstDash val="sysDot"/>
              <a:round/>
            </a:ln>
            <a:effectLst/>
          </c:spPr>
          <c:marker>
            <c:symbol val="circle"/>
            <c:size val="5"/>
            <c:spPr>
              <a:solidFill>
                <a:schemeClr val="accent5">
                  <a:lumMod val="50000"/>
                </a:schemeClr>
              </a:solidFill>
              <a:ln w="9525">
                <a:solidFill>
                  <a:schemeClr val="accent5">
                    <a:lumMod val="50000"/>
                  </a:schemeClr>
                </a:solidFill>
              </a:ln>
              <a:effectLst/>
            </c:spPr>
          </c:marker>
          <c:cat>
            <c:numRef>
              <c:f>'EX 5-Gross Write Offs Per OPREV'!$M$17:$Q$17</c:f>
              <c:numCache>
                <c:formatCode>General</c:formatCode>
                <c:ptCount val="5"/>
                <c:pt idx="0">
                  <c:v>2010</c:v>
                </c:pt>
                <c:pt idx="1">
                  <c:v>2011</c:v>
                </c:pt>
                <c:pt idx="2">
                  <c:v>2012</c:v>
                </c:pt>
                <c:pt idx="3">
                  <c:v>2013</c:v>
                </c:pt>
                <c:pt idx="4">
                  <c:v>2014</c:v>
                </c:pt>
              </c:numCache>
            </c:numRef>
          </c:cat>
          <c:val>
            <c:numRef>
              <c:f>'EX 5-Gross Write Offs Per OPREV'!$M$23:$Q$23</c:f>
              <c:numCache>
                <c:formatCode>0.00%</c:formatCode>
                <c:ptCount val="5"/>
                <c:pt idx="0">
                  <c:v>1.6003143419106223E-2</c:v>
                </c:pt>
                <c:pt idx="1">
                  <c:v>1.5365468871380785E-2</c:v>
                </c:pt>
                <c:pt idx="2">
                  <c:v>1.9172897687134465E-2</c:v>
                </c:pt>
                <c:pt idx="3">
                  <c:v>1.7467553441368269E-2</c:v>
                </c:pt>
                <c:pt idx="4">
                  <c:v>1.8021599850108642E-2</c:v>
                </c:pt>
              </c:numCache>
            </c:numRef>
          </c:val>
        </c:ser>
        <c:ser>
          <c:idx val="6"/>
          <c:order val="6"/>
          <c:tx>
            <c:strRef>
              <c:f>'EX 5-Gross Write Offs Per OPREV'!$L$24</c:f>
              <c:strCache>
                <c:ptCount val="1"/>
                <c:pt idx="0">
                  <c:v>PPL</c:v>
                </c:pt>
              </c:strCache>
            </c:strRef>
          </c:tx>
          <c:spPr>
            <a:ln w="28575" cap="rnd">
              <a:solidFill>
                <a:schemeClr val="accent2">
                  <a:lumMod val="50000"/>
                </a:schemeClr>
              </a:solidFill>
              <a:prstDash val="dash"/>
              <a:round/>
            </a:ln>
            <a:effectLst/>
          </c:spPr>
          <c:marker>
            <c:symbol val="circle"/>
            <c:size val="5"/>
            <c:spPr>
              <a:solidFill>
                <a:schemeClr val="accent2">
                  <a:lumMod val="50000"/>
                </a:schemeClr>
              </a:solidFill>
              <a:ln w="9525">
                <a:solidFill>
                  <a:schemeClr val="accent2">
                    <a:lumMod val="50000"/>
                  </a:schemeClr>
                </a:solidFill>
              </a:ln>
              <a:effectLst/>
            </c:spPr>
          </c:marker>
          <c:cat>
            <c:numRef>
              <c:f>'EX 5-Gross Write Offs Per OPREV'!$M$17:$Q$17</c:f>
              <c:numCache>
                <c:formatCode>General</c:formatCode>
                <c:ptCount val="5"/>
                <c:pt idx="0">
                  <c:v>2010</c:v>
                </c:pt>
                <c:pt idx="1">
                  <c:v>2011</c:v>
                </c:pt>
                <c:pt idx="2">
                  <c:v>2012</c:v>
                </c:pt>
                <c:pt idx="3">
                  <c:v>2013</c:v>
                </c:pt>
                <c:pt idx="4">
                  <c:v>2014</c:v>
                </c:pt>
              </c:numCache>
            </c:numRef>
          </c:cat>
          <c:val>
            <c:numRef>
              <c:f>'EX 5-Gross Write Offs Per OPREV'!$M$24:$Q$24</c:f>
              <c:numCache>
                <c:formatCode>0.00%</c:formatCode>
                <c:ptCount val="5"/>
                <c:pt idx="0">
                  <c:v>2.7007439188400605E-2</c:v>
                </c:pt>
                <c:pt idx="1">
                  <c:v>3.8956989797049174E-2</c:v>
                </c:pt>
                <c:pt idx="2">
                  <c:v>4.4942553359195732E-2</c:v>
                </c:pt>
                <c:pt idx="3">
                  <c:v>4.4408805891578064E-2</c:v>
                </c:pt>
                <c:pt idx="4">
                  <c:v>4.8627282255190453E-2</c:v>
                </c:pt>
              </c:numCache>
            </c:numRef>
          </c:val>
        </c:ser>
        <c:marker val="1"/>
        <c:axId val="164374784"/>
        <c:axId val="164388864"/>
      </c:lineChart>
      <c:catAx>
        <c:axId val="1643747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4388864"/>
        <c:crosses val="autoZero"/>
        <c:auto val="1"/>
        <c:lblAlgn val="ctr"/>
        <c:lblOffset val="100"/>
      </c:catAx>
      <c:valAx>
        <c:axId val="164388864"/>
        <c:scaling>
          <c:orientation val="minMax"/>
        </c:scaling>
        <c:axPos val="l"/>
        <c:majorGridlines>
          <c:spPr>
            <a:ln w="9525" cap="flat" cmpd="sng" algn="ctr">
              <a:solidFill>
                <a:schemeClr val="tx1">
                  <a:lumMod val="15000"/>
                  <a:lumOff val="85000"/>
                </a:schemeClr>
              </a:solidFill>
              <a:round/>
            </a:ln>
            <a:effectLst/>
          </c:spPr>
        </c:majorGridlines>
        <c:numFmt formatCode="0.00%" sourceLinked="0"/>
        <c:maj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43747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US"/>
  <c:style val="18"/>
  <c:chart>
    <c:plotArea>
      <c:layout/>
      <c:barChart>
        <c:barDir val="col"/>
        <c:grouping val="clustered"/>
        <c:ser>
          <c:idx val="0"/>
          <c:order val="0"/>
          <c:tx>
            <c:strRef>
              <c:f>Sheet1!$B$46</c:f>
              <c:strCache>
                <c:ptCount val="1"/>
                <c:pt idx="0">
                  <c:v>Act 129 WRAP Dollars per Job</c:v>
                </c:pt>
              </c:strCache>
            </c:strRef>
          </c:tx>
          <c:spPr>
            <a:solidFill>
              <a:srgbClr val="2E6EBC"/>
            </a:solidFill>
          </c:spPr>
          <c:cat>
            <c:numRef>
              <c:f>Sheet1!$C$45:$G$45</c:f>
              <c:numCache>
                <c:formatCode>General</c:formatCode>
                <c:ptCount val="5"/>
                <c:pt idx="0">
                  <c:v>2011</c:v>
                </c:pt>
                <c:pt idx="1">
                  <c:v>2012</c:v>
                </c:pt>
                <c:pt idx="2">
                  <c:v>2013</c:v>
                </c:pt>
                <c:pt idx="3">
                  <c:v>2014</c:v>
                </c:pt>
                <c:pt idx="4">
                  <c:v>2015</c:v>
                </c:pt>
              </c:numCache>
            </c:numRef>
          </c:cat>
          <c:val>
            <c:numRef>
              <c:f>Sheet1!$C$46:$G$46</c:f>
              <c:numCache>
                <c:formatCode>General</c:formatCode>
                <c:ptCount val="5"/>
                <c:pt idx="0">
                  <c:v>2219</c:v>
                </c:pt>
                <c:pt idx="1">
                  <c:v>2362</c:v>
                </c:pt>
                <c:pt idx="2">
                  <c:v>1249</c:v>
                </c:pt>
                <c:pt idx="3">
                  <c:v>1430</c:v>
                </c:pt>
                <c:pt idx="4">
                  <c:v>1907</c:v>
                </c:pt>
              </c:numCache>
            </c:numRef>
          </c:val>
        </c:ser>
        <c:ser>
          <c:idx val="1"/>
          <c:order val="1"/>
          <c:tx>
            <c:strRef>
              <c:f>Sheet1!$B$47</c:f>
              <c:strCache>
                <c:ptCount val="1"/>
                <c:pt idx="0">
                  <c:v>Universal Service WRAP Dollars per Job</c:v>
                </c:pt>
              </c:strCache>
            </c:strRef>
          </c:tx>
          <c:spPr>
            <a:solidFill>
              <a:srgbClr val="FD3347"/>
            </a:solidFill>
          </c:spPr>
          <c:cat>
            <c:numRef>
              <c:f>Sheet1!$C$45:$G$45</c:f>
              <c:numCache>
                <c:formatCode>General</c:formatCode>
                <c:ptCount val="5"/>
                <c:pt idx="0">
                  <c:v>2011</c:v>
                </c:pt>
                <c:pt idx="1">
                  <c:v>2012</c:v>
                </c:pt>
                <c:pt idx="2">
                  <c:v>2013</c:v>
                </c:pt>
                <c:pt idx="3">
                  <c:v>2014</c:v>
                </c:pt>
                <c:pt idx="4">
                  <c:v>2015</c:v>
                </c:pt>
              </c:numCache>
            </c:numRef>
          </c:cat>
          <c:val>
            <c:numRef>
              <c:f>Sheet1!$C$47:$G$47</c:f>
              <c:numCache>
                <c:formatCode>0</c:formatCode>
                <c:ptCount val="5"/>
                <c:pt idx="0">
                  <c:v>2347.2765573277147</c:v>
                </c:pt>
                <c:pt idx="1">
                  <c:v>2615.2337365152066</c:v>
                </c:pt>
                <c:pt idx="2">
                  <c:v>2499.2380371837849</c:v>
                </c:pt>
                <c:pt idx="3">
                  <c:v>3479.1965566714539</c:v>
                </c:pt>
                <c:pt idx="4">
                  <c:v>3236</c:v>
                </c:pt>
              </c:numCache>
            </c:numRef>
          </c:val>
        </c:ser>
        <c:axId val="150117760"/>
        <c:axId val="150119552"/>
      </c:barChart>
      <c:catAx>
        <c:axId val="150117760"/>
        <c:scaling>
          <c:orientation val="minMax"/>
        </c:scaling>
        <c:axPos val="b"/>
        <c:numFmt formatCode="General" sourceLinked="0"/>
        <c:tickLblPos val="nextTo"/>
        <c:crossAx val="150119552"/>
        <c:crosses val="autoZero"/>
        <c:auto val="1"/>
        <c:lblAlgn val="ctr"/>
        <c:lblOffset val="100"/>
      </c:catAx>
      <c:valAx>
        <c:axId val="150119552"/>
        <c:scaling>
          <c:orientation val="minMax"/>
        </c:scaling>
        <c:axPos val="l"/>
        <c:majorGridlines/>
        <c:numFmt formatCode="&quot;$&quot;#,##0" sourceLinked="0"/>
        <c:tickLblPos val="nextTo"/>
        <c:crossAx val="150117760"/>
        <c:crosses val="autoZero"/>
        <c:crossBetween val="between"/>
        <c:majorUnit val="1000"/>
      </c:valAx>
    </c:plotArea>
    <c:legend>
      <c:legendPos val="r"/>
    </c:legend>
    <c:plotVisOnly val="1"/>
    <c:dispBlanksAs val="gap"/>
  </c:chart>
  <c:spPr>
    <a:ln>
      <a:solidFill>
        <a:schemeClr val="tx1"/>
      </a:solidFill>
    </a:ln>
  </c:spPr>
  <c:txPr>
    <a:bodyPr/>
    <a:lstStyle/>
    <a:p>
      <a:pPr>
        <a:defRPr>
          <a:latin typeface="Arial"/>
          <a:cs typeface="Arial"/>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18"/>
  <c:chart>
    <c:autoTitleDeleted val="1"/>
    <c:plotArea>
      <c:layout>
        <c:manualLayout>
          <c:layoutTarget val="inner"/>
          <c:xMode val="edge"/>
          <c:yMode val="edge"/>
          <c:x val="0.11284317585301799"/>
          <c:y val="0.14452234133383901"/>
          <c:w val="0.50742637644046096"/>
          <c:h val="0.71431742718907165"/>
        </c:manualLayout>
      </c:layout>
      <c:barChart>
        <c:barDir val="col"/>
        <c:grouping val="clustered"/>
        <c:ser>
          <c:idx val="0"/>
          <c:order val="0"/>
          <c:tx>
            <c:strRef>
              <c:f>Sheet1!$A$32</c:f>
              <c:strCache>
                <c:ptCount val="1"/>
                <c:pt idx="0">
                  <c:v>WRAP Cost per Customer</c:v>
                </c:pt>
              </c:strCache>
            </c:strRef>
          </c:tx>
          <c:spPr>
            <a:solidFill>
              <a:srgbClr val="2E6EBC"/>
            </a:solidFill>
          </c:spPr>
          <c:trendline>
            <c:trendlineType val="linear"/>
            <c:forward val="2"/>
          </c:trendline>
          <c:trendline>
            <c:trendlineType val="linear"/>
          </c:trendline>
          <c:cat>
            <c:numRef>
              <c:f>Sheet1!$B$31:$G$31</c:f>
              <c:numCache>
                <c:formatCode>General</c:formatCode>
                <c:ptCount val="6"/>
                <c:pt idx="0">
                  <c:v>2010</c:v>
                </c:pt>
                <c:pt idx="1">
                  <c:v>2011</c:v>
                </c:pt>
                <c:pt idx="2" formatCode="0">
                  <c:v>2012</c:v>
                </c:pt>
                <c:pt idx="3">
                  <c:v>2013</c:v>
                </c:pt>
                <c:pt idx="4">
                  <c:v>2014</c:v>
                </c:pt>
                <c:pt idx="5">
                  <c:v>2015</c:v>
                </c:pt>
              </c:numCache>
            </c:numRef>
          </c:cat>
          <c:val>
            <c:numRef>
              <c:f>Sheet1!$B$32:$G$32</c:f>
              <c:numCache>
                <c:formatCode>"$"#,##0.00</c:formatCode>
                <c:ptCount val="6"/>
                <c:pt idx="0">
                  <c:v>0.49000000000000032</c:v>
                </c:pt>
                <c:pt idx="1">
                  <c:v>0.48000000000000032</c:v>
                </c:pt>
                <c:pt idx="2">
                  <c:v>0.49000000000000032</c:v>
                </c:pt>
                <c:pt idx="3">
                  <c:v>0.49000000000000032</c:v>
                </c:pt>
                <c:pt idx="4">
                  <c:v>0.59</c:v>
                </c:pt>
                <c:pt idx="5">
                  <c:v>0.56999999999999995</c:v>
                </c:pt>
              </c:numCache>
            </c:numRef>
          </c:val>
        </c:ser>
        <c:axId val="152766336"/>
        <c:axId val="152767872"/>
      </c:barChart>
      <c:catAx>
        <c:axId val="152766336"/>
        <c:scaling>
          <c:orientation val="minMax"/>
        </c:scaling>
        <c:axPos val="b"/>
        <c:numFmt formatCode="General" sourceLinked="0"/>
        <c:tickLblPos val="nextTo"/>
        <c:crossAx val="152767872"/>
        <c:crosses val="autoZero"/>
        <c:auto val="1"/>
        <c:lblAlgn val="ctr"/>
        <c:lblOffset val="100"/>
      </c:catAx>
      <c:valAx>
        <c:axId val="152767872"/>
        <c:scaling>
          <c:orientation val="minMax"/>
        </c:scaling>
        <c:axPos val="l"/>
        <c:majorGridlines/>
        <c:numFmt formatCode="&quot;$&quot;#,##0.00" sourceLinked="1"/>
        <c:tickLblPos val="nextTo"/>
        <c:crossAx val="152766336"/>
        <c:crosses val="autoZero"/>
        <c:crossBetween val="between"/>
      </c:valAx>
    </c:plotArea>
    <c:legend>
      <c:legendPos val="r"/>
      <c:legendEntry>
        <c:idx val="2"/>
        <c:delete val="1"/>
      </c:legendEntry>
    </c:legend>
    <c:plotVisOnly val="1"/>
    <c:dispBlanksAs val="gap"/>
  </c:chart>
  <c:spPr>
    <a:ln>
      <a:solidFill>
        <a:schemeClr val="tx1"/>
      </a:solidFill>
    </a:ln>
  </c:spPr>
  <c:txPr>
    <a:bodyPr/>
    <a:lstStyle/>
    <a:p>
      <a:pPr>
        <a:defRPr>
          <a:latin typeface="Arial"/>
          <a:cs typeface="Arial"/>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50"/>
      <c:depthPercent val="100"/>
      <c:perspective val="6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5.1152952152686733E-2"/>
          <c:y val="7.0564516129032334E-2"/>
          <c:w val="0.59867714122558002"/>
          <c:h val="0.85080645161290303"/>
        </c:manualLayout>
      </c:layout>
      <c:pie3DChart>
        <c:varyColors val="1"/>
        <c:ser>
          <c:idx val="0"/>
          <c:order val="0"/>
          <c:dPt>
            <c:idx val="0"/>
            <c:spPr>
              <a:solidFill>
                <a:srgbClr val="2E6EBC"/>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
            <c:spPr>
              <a:solidFill>
                <a:srgbClr val="FD3347"/>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2"/>
            <c:spPr>
              <a:solidFill>
                <a:srgbClr val="42B455"/>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3"/>
            <c:spPr>
              <a:solidFill>
                <a:srgbClr val="A14D07"/>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4"/>
            <c:spPr>
              <a:solidFill>
                <a:srgbClr val="745A94"/>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5"/>
            <c:spPr>
              <a:solidFill>
                <a:srgbClr val="DFDA00"/>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6"/>
            <c:spPr>
              <a:solidFill>
                <a:srgbClr val="FF5425"/>
              </a:solidFill>
              <a:ln>
                <a:noFill/>
              </a:ln>
              <a:effectLst>
                <a:outerShdw blurRad="88900" sx="102000" sy="102000" algn="ctr" rotWithShape="0">
                  <a:prstClr val="black">
                    <a:alpha val="20000"/>
                  </a:prstClr>
                </a:outerShdw>
              </a:effectLst>
              <a:scene3d>
                <a:camera prst="orthographicFront"/>
                <a:lightRig rig="threePt" dir="t"/>
              </a:scene3d>
              <a:sp3d prstMaterial="matte"/>
            </c:spPr>
          </c:dPt>
          <c:dLbls>
            <c:dLbl>
              <c:idx val="1"/>
              <c:layout>
                <c:manualLayout>
                  <c:x val="-0.18817661039305675"/>
                  <c:y val="-0.13069342138684301"/>
                </c:manualLayout>
              </c:layout>
              <c:showPercent val="1"/>
              <c:extLst>
                <c:ext xmlns:c15="http://schemas.microsoft.com/office/drawing/2012/chart" uri="{CE6537A1-D6FC-4f65-9D91-7224C49458BB}"/>
              </c:extLst>
            </c:dLbl>
            <c:dLbl>
              <c:idx val="2"/>
              <c:layout>
                <c:manualLayout>
                  <c:x val="0.10159420668688122"/>
                  <c:y val="-9.1509398018796248E-2"/>
                </c:manualLayout>
              </c:layout>
              <c:showPercent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Arial" charset="0"/>
                    <a:ea typeface="Arial" charset="0"/>
                    <a:cs typeface="Arial" charset="0"/>
                  </a:defRPr>
                </a:pPr>
                <a:endParaRPr lang="en-US"/>
              </a:p>
            </c:txPr>
            <c:showPercent val="1"/>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Sheet1!$A$49:$A$55</c:f>
              <c:strCache>
                <c:ptCount val="7"/>
                <c:pt idx="0">
                  <c:v>Application for Service</c:v>
                </c:pt>
                <c:pt idx="1">
                  <c:v>Billing</c:v>
                </c:pt>
                <c:pt idx="2">
                  <c:v>Collections</c:v>
                </c:pt>
                <c:pt idx="3">
                  <c:v>Customer Choice</c:v>
                </c:pt>
                <c:pt idx="4">
                  <c:v>Equipment Issues</c:v>
                </c:pt>
                <c:pt idx="5">
                  <c:v>Financial Accountability</c:v>
                </c:pt>
                <c:pt idx="6">
                  <c:v>Other</c:v>
                </c:pt>
              </c:strCache>
            </c:strRef>
          </c:cat>
          <c:val>
            <c:numRef>
              <c:f>Sheet1!$B$49:$B$55</c:f>
              <c:numCache>
                <c:formatCode>0.0%</c:formatCode>
                <c:ptCount val="7"/>
                <c:pt idx="0">
                  <c:v>5.7000000000000023E-2</c:v>
                </c:pt>
                <c:pt idx="1">
                  <c:v>0.57299999999999995</c:v>
                </c:pt>
                <c:pt idx="2">
                  <c:v>0.15300000000000022</c:v>
                </c:pt>
                <c:pt idx="3">
                  <c:v>0.10199999999999998</c:v>
                </c:pt>
                <c:pt idx="4">
                  <c:v>4.5000000000000012E-2</c:v>
                </c:pt>
                <c:pt idx="5">
                  <c:v>5.1000000000000004E-2</c:v>
                </c:pt>
                <c:pt idx="6">
                  <c:v>1.9000000000000027E-2</c:v>
                </c:pt>
              </c:numCache>
            </c:numRef>
          </c:val>
        </c:ser>
        <c:dLbls>
          <c:showPercent val="1"/>
        </c:dLbls>
      </c:pie3DChart>
      <c:spPr>
        <a:noFill/>
        <a:ln>
          <a:noFill/>
        </a:ln>
        <a:effectLst/>
      </c:spPr>
    </c:plotArea>
    <c:legend>
      <c:legendPos val="r"/>
      <c:spPr>
        <a:solidFill>
          <a:schemeClr val="lt1">
            <a:alpha val="78000"/>
          </a:schemeClr>
        </a:solid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Arial" charset="0"/>
              <a:ea typeface="Arial" charset="0"/>
              <a:cs typeface="Arial" charset="0"/>
            </a:defRPr>
          </a:pPr>
          <a:endParaRPr lang="en-US"/>
        </a:p>
      </c:txPr>
    </c:legend>
    <c:plotVisOnly val="1"/>
    <c:dispBlanksAs val="zero"/>
  </c:chart>
  <c:spPr>
    <a:pattFill prst="dkDnDiag">
      <a:fgClr>
        <a:schemeClr val="lt1">
          <a:lumMod val="95000"/>
        </a:schemeClr>
      </a:fgClr>
      <a:bgClr>
        <a:schemeClr val="lt1"/>
      </a:bgClr>
    </a:pattFill>
    <a:ln w="9525" cap="flat" cmpd="sng" algn="ctr">
      <a:solidFill>
        <a:schemeClr val="tx1"/>
      </a:solidFill>
      <a:round/>
    </a:ln>
    <a:effectLst/>
  </c:spPr>
  <c:txPr>
    <a:bodyPr/>
    <a:lstStyle/>
    <a:p>
      <a:pPr>
        <a:defRPr>
          <a:latin typeface="Arial" charset="0"/>
          <a:ea typeface="Arial" charset="0"/>
          <a:cs typeface="Arial" charset="0"/>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3"/>
  <c:chart>
    <c:plotArea>
      <c:layout/>
      <c:barChart>
        <c:barDir val="col"/>
        <c:grouping val="clustered"/>
        <c:ser>
          <c:idx val="0"/>
          <c:order val="0"/>
          <c:tx>
            <c:strRef>
              <c:f>Sheet1!#REF!</c:f>
              <c:strCache>
                <c:ptCount val="1"/>
                <c:pt idx="0">
                  <c:v>#REF!</c:v>
                </c:pt>
              </c:strCache>
            </c:strRef>
          </c:tx>
          <c:spPr>
            <a:gradFill rotWithShape="1">
              <a:gsLst>
                <a:gs pos="0">
                  <a:schemeClr val="accent1">
                    <a:shade val="76000"/>
                    <a:tint val="100000"/>
                    <a:shade val="100000"/>
                    <a:satMod val="130000"/>
                  </a:schemeClr>
                </a:gs>
                <a:gs pos="100000">
                  <a:schemeClr val="accent1">
                    <a:shade val="76000"/>
                    <a:tint val="50000"/>
                    <a:shade val="100000"/>
                    <a:satMod val="350000"/>
                  </a:schemeClr>
                </a:gs>
              </a:gsLst>
              <a:lin ang="16200000" scaled="0"/>
            </a:gradFill>
            <a:ln>
              <a:noFill/>
            </a:ln>
            <a:effectLst>
              <a:outerShdw blurRad="40000" dist="23000" dir="5400000" rotWithShape="0">
                <a:srgbClr val="000000">
                  <a:alpha val="35000"/>
                </a:srgbClr>
              </a:outerShdw>
            </a:effectLst>
          </c:spPr>
          <c:cat>
            <c:numRef>
              <c:f>Sheet1!$B$29:$F$29</c:f>
              <c:numCache>
                <c:formatCode>General</c:formatCode>
                <c:ptCount val="5"/>
                <c:pt idx="0">
                  <c:v>2011</c:v>
                </c:pt>
                <c:pt idx="1">
                  <c:v>2012</c:v>
                </c:pt>
                <c:pt idx="2">
                  <c:v>2013</c:v>
                </c:pt>
                <c:pt idx="3">
                  <c:v>2014</c:v>
                </c:pt>
                <c:pt idx="4">
                  <c:v>2015</c:v>
                </c:pt>
              </c:numCache>
            </c:numRef>
          </c:cat>
          <c:val>
            <c:numRef>
              <c:f>Sheet1!#REF!</c:f>
              <c:numCache>
                <c:formatCode>General</c:formatCode>
                <c:ptCount val="1"/>
                <c:pt idx="0">
                  <c:v>1</c:v>
                </c:pt>
              </c:numCache>
            </c:numRef>
          </c:val>
        </c:ser>
        <c:ser>
          <c:idx val="1"/>
          <c:order val="1"/>
          <c:tx>
            <c:strRef>
              <c:f>Sheet1!$A$30</c:f>
              <c:strCache>
                <c:ptCount val="1"/>
                <c:pt idx="0">
                  <c:v>Actual Cuts (shut-off)</c:v>
                </c:pt>
              </c:strCache>
            </c:strRef>
          </c:tx>
          <c:spPr>
            <a:solidFill>
              <a:srgbClr val="2E6EBC"/>
            </a:solidFill>
            <a:ln>
              <a:noFill/>
            </a:ln>
            <a:effectLst>
              <a:outerShdw blurRad="40000" dist="23000" dir="5400000" rotWithShape="0">
                <a:srgbClr val="000000">
                  <a:alpha val="35000"/>
                </a:srgbClr>
              </a:outerShdw>
            </a:effectLst>
          </c:spPr>
          <c:cat>
            <c:numRef>
              <c:f>Sheet1!$B$29:$F$29</c:f>
              <c:numCache>
                <c:formatCode>General</c:formatCode>
                <c:ptCount val="5"/>
                <c:pt idx="0">
                  <c:v>2011</c:v>
                </c:pt>
                <c:pt idx="1">
                  <c:v>2012</c:v>
                </c:pt>
                <c:pt idx="2">
                  <c:v>2013</c:v>
                </c:pt>
                <c:pt idx="3">
                  <c:v>2014</c:v>
                </c:pt>
                <c:pt idx="4">
                  <c:v>2015</c:v>
                </c:pt>
              </c:numCache>
            </c:numRef>
          </c:cat>
          <c:val>
            <c:numRef>
              <c:f>Sheet1!$B$30:$F$30</c:f>
              <c:numCache>
                <c:formatCode>#,##0</c:formatCode>
                <c:ptCount val="5"/>
                <c:pt idx="0">
                  <c:v>33940</c:v>
                </c:pt>
                <c:pt idx="1">
                  <c:v>41359</c:v>
                </c:pt>
                <c:pt idx="2">
                  <c:v>52882</c:v>
                </c:pt>
                <c:pt idx="3">
                  <c:v>59338</c:v>
                </c:pt>
                <c:pt idx="4">
                  <c:v>50360</c:v>
                </c:pt>
              </c:numCache>
            </c:numRef>
          </c:val>
        </c:ser>
        <c:axId val="155607808"/>
        <c:axId val="155609344"/>
      </c:barChart>
      <c:catAx>
        <c:axId val="155607808"/>
        <c:scaling>
          <c:orientation val="minMax"/>
        </c:scaling>
        <c:axPos val="b"/>
        <c:numFmt formatCode="General" sourceLinked="0"/>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a:ea typeface="+mn-ea"/>
                <a:cs typeface="Arial"/>
              </a:defRPr>
            </a:pPr>
            <a:endParaRPr lang="en-US"/>
          </a:p>
        </c:txPr>
        <c:crossAx val="155609344"/>
        <c:crosses val="autoZero"/>
        <c:auto val="1"/>
        <c:lblAlgn val="ctr"/>
        <c:lblOffset val="100"/>
      </c:catAx>
      <c:valAx>
        <c:axId val="155609344"/>
        <c:scaling>
          <c:orientation val="minMax"/>
        </c:scaling>
        <c:axPos val="l"/>
        <c:majorGridlines>
          <c:spPr>
            <a:ln w="9525" cap="flat" cmpd="sng" algn="ctr">
              <a:solidFill>
                <a:schemeClr val="tx1">
                  <a:tint val="75000"/>
                  <a:shade val="95000"/>
                  <a:satMod val="105000"/>
                </a:schemeClr>
              </a:solidFill>
              <a:prstDash val="solid"/>
              <a:round/>
            </a:ln>
            <a:effectLst/>
          </c:spPr>
        </c:majorGridlines>
        <c:numFmt formatCode="#,##0" sourceLinked="0"/>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a:ea typeface="+mn-ea"/>
                <a:cs typeface="Arial"/>
              </a:defRPr>
            </a:pPr>
            <a:endParaRPr lang="en-US"/>
          </a:p>
        </c:txPr>
        <c:crossAx val="155607808"/>
        <c:crosses val="autoZero"/>
        <c:crossBetween val="between"/>
      </c:valAx>
      <c:spPr>
        <a:solidFill>
          <a:schemeClr val="bg1"/>
        </a:solidFill>
        <a:ln>
          <a:noFill/>
        </a:ln>
        <a:effectLst/>
      </c:spPr>
    </c:plotArea>
    <c:plotVisOnly val="1"/>
    <c:dispBlanksAs val="gap"/>
  </c:chart>
  <c:spPr>
    <a:solidFill>
      <a:schemeClr val="bg1"/>
    </a:solidFill>
    <a:ln w="9525" cap="flat" cmpd="sng" algn="ctr">
      <a:solidFill>
        <a:schemeClr val="tx1"/>
      </a:solidFill>
      <a:prstDash val="solid"/>
      <a:round/>
    </a:ln>
    <a:effectLst/>
  </c:spPr>
  <c:txPr>
    <a:bodyPr/>
    <a:lstStyle/>
    <a:p>
      <a:pPr>
        <a:defRPr>
          <a:latin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822DD-8176-46BC-ABEC-CDD9ED600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356</Pages>
  <Words>122177</Words>
  <Characters>696411</Characters>
  <Application>Microsoft Office Word</Application>
  <DocSecurity>0</DocSecurity>
  <Lines>5803</Lines>
  <Paragraphs>1633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816955</CharactersWithSpaces>
  <SharedDoc>false</SharedDoc>
  <HLinks>
    <vt:vector size="6" baseType="variant">
      <vt:variant>
        <vt:i4>2490477</vt:i4>
      </vt:variant>
      <vt:variant>
        <vt:i4>0</vt:i4>
      </vt:variant>
      <vt:variant>
        <vt:i4>0</vt:i4>
      </vt:variant>
      <vt:variant>
        <vt:i4>5</vt:i4>
      </vt:variant>
      <vt:variant>
        <vt:lpwstr>http://legal-dictionary.thefreedictionary.com/Massachusetts+business+trust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Collins</dc:creator>
  <cp:lastModifiedBy>DWhitman</cp:lastModifiedBy>
  <cp:revision>2</cp:revision>
  <cp:lastPrinted>2016-10-20T17:38:00Z</cp:lastPrinted>
  <dcterms:created xsi:type="dcterms:W3CDTF">2016-10-25T15:06:00Z</dcterms:created>
  <dcterms:modified xsi:type="dcterms:W3CDTF">2016-10-25T15:06:00Z</dcterms:modified>
</cp:coreProperties>
</file>