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27437" w:rsidTr="00427437">
        <w:trPr>
          <w:trHeight w:val="990"/>
          <w:jc w:val="center"/>
        </w:trPr>
        <w:tc>
          <w:tcPr>
            <w:tcW w:w="1363" w:type="dxa"/>
            <w:hideMark/>
          </w:tcPr>
          <w:p w:rsidR="00427437" w:rsidRDefault="0042743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C1DC03D" wp14:editId="5C64A9D8">
                  <wp:extent cx="838200" cy="830580"/>
                  <wp:effectExtent l="0" t="0" r="0" b="762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427437" w:rsidRDefault="0042743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427437" w:rsidRDefault="0042743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427437" w:rsidRDefault="0042743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427437" w:rsidRDefault="0042743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427437" w:rsidRDefault="00427437">
            <w:pPr>
              <w:jc w:val="center"/>
              <w:rPr>
                <w:rFonts w:ascii="Arial" w:hAnsi="Arial"/>
                <w:sz w:val="12"/>
              </w:rPr>
            </w:pPr>
          </w:p>
          <w:p w:rsidR="00427437" w:rsidRDefault="00427437">
            <w:pPr>
              <w:jc w:val="center"/>
              <w:rPr>
                <w:rFonts w:ascii="Arial" w:hAnsi="Arial"/>
                <w:sz w:val="12"/>
              </w:rPr>
            </w:pPr>
          </w:p>
          <w:p w:rsidR="00427437" w:rsidRDefault="00427437">
            <w:pPr>
              <w:jc w:val="center"/>
              <w:rPr>
                <w:rFonts w:ascii="Arial" w:hAnsi="Arial"/>
                <w:sz w:val="12"/>
              </w:rPr>
            </w:pPr>
          </w:p>
          <w:p w:rsidR="00427437" w:rsidRDefault="00427437">
            <w:pPr>
              <w:jc w:val="center"/>
              <w:rPr>
                <w:rFonts w:ascii="Arial" w:hAnsi="Arial"/>
                <w:sz w:val="12"/>
              </w:rPr>
            </w:pPr>
          </w:p>
          <w:p w:rsidR="00427437" w:rsidRDefault="00427437">
            <w:pPr>
              <w:jc w:val="center"/>
              <w:rPr>
                <w:rFonts w:ascii="Arial" w:hAnsi="Arial"/>
                <w:sz w:val="12"/>
              </w:rPr>
            </w:pPr>
          </w:p>
          <w:p w:rsidR="00427437" w:rsidRDefault="00427437">
            <w:pPr>
              <w:jc w:val="center"/>
              <w:rPr>
                <w:rFonts w:ascii="Arial" w:hAnsi="Arial"/>
                <w:sz w:val="12"/>
              </w:rPr>
            </w:pPr>
          </w:p>
          <w:p w:rsidR="00427437" w:rsidRDefault="0042743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071F60" w:rsidRDefault="00B533DB" w:rsidP="006F51A3">
      <w:pPr>
        <w:tabs>
          <w:tab w:val="left" w:pos="984"/>
        </w:tabs>
        <w:jc w:val="center"/>
        <w:rPr>
          <w:color w:val="000000"/>
          <w:szCs w:val="24"/>
        </w:rPr>
      </w:pPr>
      <w:r>
        <w:rPr>
          <w:color w:val="000000"/>
          <w:szCs w:val="24"/>
        </w:rPr>
        <w:t>December 8, 2016</w:t>
      </w:r>
      <w:r w:rsidR="00D11B24">
        <w:rPr>
          <w:color w:val="000000"/>
          <w:szCs w:val="24"/>
        </w:rPr>
        <w:tab/>
      </w:r>
    </w:p>
    <w:p w:rsidR="008A392D" w:rsidRPr="006F51A3" w:rsidRDefault="004376E3" w:rsidP="00D11B24">
      <w:pPr>
        <w:tabs>
          <w:tab w:val="left" w:pos="984"/>
        </w:tabs>
        <w:jc w:val="right"/>
        <w:rPr>
          <w:color w:val="000000" w:themeColor="text1"/>
          <w:szCs w:val="24"/>
        </w:rPr>
      </w:pPr>
      <w:r w:rsidRPr="006F51A3">
        <w:rPr>
          <w:color w:val="000000" w:themeColor="text1"/>
          <w:szCs w:val="24"/>
        </w:rPr>
        <w:t>Docket No</w:t>
      </w:r>
      <w:r w:rsidR="008A392D" w:rsidRPr="006F51A3">
        <w:rPr>
          <w:color w:val="000000" w:themeColor="text1"/>
          <w:szCs w:val="24"/>
        </w:rPr>
        <w:t>s</w:t>
      </w:r>
      <w:r w:rsidRPr="006F51A3">
        <w:rPr>
          <w:color w:val="000000" w:themeColor="text1"/>
          <w:szCs w:val="24"/>
        </w:rPr>
        <w:t xml:space="preserve">. </w:t>
      </w:r>
      <w:r w:rsidR="008A392D" w:rsidRPr="006F51A3">
        <w:rPr>
          <w:color w:val="000000" w:themeColor="text1"/>
          <w:szCs w:val="24"/>
        </w:rPr>
        <w:t>P-2014-2446303</w:t>
      </w:r>
    </w:p>
    <w:p w:rsidR="004376E3" w:rsidRPr="006F51A3" w:rsidRDefault="008A392D" w:rsidP="00D11B24">
      <w:pPr>
        <w:tabs>
          <w:tab w:val="left" w:pos="984"/>
        </w:tabs>
        <w:jc w:val="right"/>
        <w:rPr>
          <w:color w:val="000000" w:themeColor="text1"/>
          <w:szCs w:val="24"/>
        </w:rPr>
      </w:pPr>
      <w:r w:rsidRPr="006F51A3">
        <w:rPr>
          <w:color w:val="000000" w:themeColor="text1"/>
          <w:szCs w:val="24"/>
        </w:rPr>
        <w:t>P-2014-2446304</w:t>
      </w:r>
      <w:r w:rsidR="002E5260" w:rsidRPr="006F51A3">
        <w:rPr>
          <w:color w:val="000000" w:themeColor="text1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376E3" w:rsidRPr="006F51A3">
        <w:rPr>
          <w:color w:val="000000" w:themeColor="text1"/>
          <w:szCs w:val="24"/>
        </w:rPr>
        <w:instrText xml:space="preserve"> FORMTEXT </w:instrText>
      </w:r>
      <w:r w:rsidR="00B26874">
        <w:rPr>
          <w:color w:val="000000" w:themeColor="text1"/>
          <w:szCs w:val="24"/>
        </w:rPr>
      </w:r>
      <w:r w:rsidR="00B26874">
        <w:rPr>
          <w:color w:val="000000" w:themeColor="text1"/>
          <w:szCs w:val="24"/>
        </w:rPr>
        <w:fldChar w:fldCharType="separate"/>
      </w:r>
      <w:r w:rsidR="002E5260" w:rsidRPr="006F51A3">
        <w:rPr>
          <w:color w:val="000000" w:themeColor="text1"/>
          <w:szCs w:val="24"/>
        </w:rPr>
        <w:fldChar w:fldCharType="end"/>
      </w:r>
    </w:p>
    <w:p w:rsidR="004376E3" w:rsidRPr="006F51A3" w:rsidRDefault="004376E3" w:rsidP="00D11B24">
      <w:pPr>
        <w:pStyle w:val="BodyText"/>
        <w:jc w:val="right"/>
        <w:rPr>
          <w:color w:val="000000" w:themeColor="text1"/>
        </w:rPr>
      </w:pPr>
      <w:r w:rsidRPr="006F51A3">
        <w:rPr>
          <w:color w:val="000000" w:themeColor="text1"/>
          <w:szCs w:val="24"/>
        </w:rPr>
        <w:t xml:space="preserve">                                                                           </w:t>
      </w:r>
      <w:r w:rsidRPr="006F51A3">
        <w:rPr>
          <w:color w:val="000000" w:themeColor="text1"/>
        </w:rPr>
        <w:t>Utility Code</w:t>
      </w:r>
      <w:r w:rsidR="008A392D" w:rsidRPr="006F51A3">
        <w:rPr>
          <w:color w:val="000000" w:themeColor="text1"/>
        </w:rPr>
        <w:t>s</w:t>
      </w:r>
      <w:r w:rsidRPr="006F51A3">
        <w:rPr>
          <w:color w:val="000000" w:themeColor="text1"/>
        </w:rPr>
        <w:t xml:space="preserve">: </w:t>
      </w:r>
      <w:r w:rsidR="008A392D" w:rsidRPr="006F51A3">
        <w:rPr>
          <w:color w:val="000000" w:themeColor="text1"/>
        </w:rPr>
        <w:t>310200</w:t>
      </w:r>
    </w:p>
    <w:p w:rsidR="00071F60" w:rsidRPr="006F51A3" w:rsidRDefault="008A392D" w:rsidP="00D11B24">
      <w:pPr>
        <w:pStyle w:val="BodyText"/>
        <w:jc w:val="right"/>
        <w:rPr>
          <w:color w:val="000000" w:themeColor="text1"/>
        </w:rPr>
      </w:pPr>
      <w:r w:rsidRPr="006F51A3">
        <w:rPr>
          <w:color w:val="000000" w:themeColor="text1"/>
        </w:rPr>
        <w:t>3111162</w:t>
      </w:r>
    </w:p>
    <w:p w:rsidR="004376E3" w:rsidRPr="006F51A3" w:rsidRDefault="008A392D" w:rsidP="00D11B24">
      <w:pPr>
        <w:rPr>
          <w:caps/>
          <w:color w:val="000000" w:themeColor="text1"/>
          <w:szCs w:val="24"/>
        </w:rPr>
      </w:pPr>
      <w:r w:rsidRPr="006F51A3">
        <w:rPr>
          <w:caps/>
          <w:color w:val="000000" w:themeColor="text1"/>
          <w:szCs w:val="24"/>
        </w:rPr>
        <w:t>PHILIP J WOOD</w:t>
      </w:r>
      <w:r w:rsidR="004376E3" w:rsidRPr="006F51A3">
        <w:rPr>
          <w:caps/>
          <w:color w:val="000000" w:themeColor="text1"/>
          <w:szCs w:val="24"/>
        </w:rPr>
        <w:t xml:space="preserve">                                                  </w:t>
      </w:r>
    </w:p>
    <w:p w:rsidR="004376E3" w:rsidRPr="006F51A3" w:rsidRDefault="008A392D" w:rsidP="00D11B24">
      <w:pPr>
        <w:rPr>
          <w:color w:val="000000" w:themeColor="text1"/>
          <w:szCs w:val="24"/>
        </w:rPr>
      </w:pPr>
      <w:r w:rsidRPr="006F51A3">
        <w:rPr>
          <w:color w:val="000000" w:themeColor="text1"/>
          <w:szCs w:val="24"/>
        </w:rPr>
        <w:t>VERIZON</w:t>
      </w:r>
    </w:p>
    <w:p w:rsidR="008A392D" w:rsidRPr="006F51A3" w:rsidRDefault="00256376" w:rsidP="00D11B2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417 WALNUT ST 12</w:t>
      </w:r>
      <w:r w:rsidRPr="006F51A3">
        <w:rPr>
          <w:color w:val="000000" w:themeColor="text1"/>
          <w:szCs w:val="24"/>
          <w:vertAlign w:val="superscript"/>
        </w:rPr>
        <w:t>TH</w:t>
      </w:r>
      <w:r>
        <w:rPr>
          <w:color w:val="000000" w:themeColor="text1"/>
          <w:szCs w:val="24"/>
        </w:rPr>
        <w:t xml:space="preserve"> FLOOR</w:t>
      </w:r>
    </w:p>
    <w:p w:rsidR="004376E3" w:rsidRPr="006F51A3" w:rsidRDefault="008A392D" w:rsidP="00D11B24">
      <w:pPr>
        <w:rPr>
          <w:color w:val="000000" w:themeColor="text1"/>
          <w:szCs w:val="24"/>
        </w:rPr>
      </w:pPr>
      <w:r w:rsidRPr="006F51A3">
        <w:rPr>
          <w:color w:val="000000" w:themeColor="text1"/>
          <w:szCs w:val="24"/>
        </w:rPr>
        <w:t>HARRISBURG PA  17101</w:t>
      </w:r>
    </w:p>
    <w:p w:rsidR="004376E3" w:rsidRPr="006F51A3" w:rsidRDefault="004376E3" w:rsidP="00D11B24">
      <w:pPr>
        <w:ind w:left="-90" w:firstLine="90"/>
        <w:jc w:val="both"/>
        <w:rPr>
          <w:color w:val="000000" w:themeColor="text1"/>
          <w:szCs w:val="24"/>
        </w:rPr>
      </w:pPr>
    </w:p>
    <w:p w:rsidR="00B136AA" w:rsidRPr="006F51A3" w:rsidRDefault="004376E3" w:rsidP="006F51A3">
      <w:pPr>
        <w:ind w:left="1440" w:right="720" w:hanging="720"/>
        <w:contextualSpacing/>
        <w:rPr>
          <w:color w:val="000000" w:themeColor="text1"/>
          <w:szCs w:val="24"/>
        </w:rPr>
      </w:pPr>
      <w:r w:rsidRPr="006F51A3">
        <w:rPr>
          <w:color w:val="000000" w:themeColor="text1"/>
          <w:szCs w:val="24"/>
        </w:rPr>
        <w:t>Re:</w:t>
      </w:r>
      <w:r w:rsidRPr="006F51A3">
        <w:rPr>
          <w:color w:val="000000" w:themeColor="text1"/>
          <w:szCs w:val="24"/>
        </w:rPr>
        <w:tab/>
      </w:r>
      <w:r w:rsidR="00B136AA" w:rsidRPr="006F51A3">
        <w:rPr>
          <w:color w:val="000000" w:themeColor="text1"/>
          <w:szCs w:val="24"/>
        </w:rPr>
        <w:t>Joint Petition of Verizon Pennsylvania LLC and Verizon North LLC for Competitive Classification of All Retail Services in Certain Geographic Areas and for a Waiver of Regulations for Competitive Services (Reclass)</w:t>
      </w:r>
    </w:p>
    <w:p w:rsidR="004376E3" w:rsidRPr="006F51A3" w:rsidRDefault="004376E3" w:rsidP="00B136AA">
      <w:pPr>
        <w:ind w:left="1440" w:hanging="720"/>
        <w:jc w:val="both"/>
        <w:rPr>
          <w:color w:val="000000" w:themeColor="text1"/>
          <w:szCs w:val="24"/>
        </w:rPr>
      </w:pPr>
    </w:p>
    <w:p w:rsidR="004376E3" w:rsidRPr="006F51A3" w:rsidRDefault="004376E3" w:rsidP="00D11B24">
      <w:pPr>
        <w:rPr>
          <w:color w:val="000000" w:themeColor="text1"/>
          <w:szCs w:val="24"/>
        </w:rPr>
      </w:pPr>
      <w:r w:rsidRPr="006F51A3">
        <w:rPr>
          <w:color w:val="000000" w:themeColor="text1"/>
          <w:szCs w:val="24"/>
        </w:rPr>
        <w:t>Dear M</w:t>
      </w:r>
      <w:r w:rsidR="005539D3" w:rsidRPr="006F51A3">
        <w:rPr>
          <w:color w:val="000000" w:themeColor="text1"/>
          <w:szCs w:val="24"/>
        </w:rPr>
        <w:t>r. Wood</w:t>
      </w:r>
      <w:r w:rsidRPr="006F51A3">
        <w:rPr>
          <w:color w:val="000000" w:themeColor="text1"/>
          <w:szCs w:val="24"/>
        </w:rPr>
        <w:t>:</w:t>
      </w:r>
    </w:p>
    <w:p w:rsidR="00D11B24" w:rsidRPr="006F51A3" w:rsidRDefault="00D11B24" w:rsidP="00D11B24">
      <w:pPr>
        <w:rPr>
          <w:color w:val="000000" w:themeColor="text1"/>
          <w:szCs w:val="24"/>
        </w:rPr>
      </w:pPr>
    </w:p>
    <w:p w:rsidR="00D7553A" w:rsidRDefault="00314281" w:rsidP="002E3ACD">
      <w:pPr>
        <w:pStyle w:val="BodyText"/>
        <w:ind w:firstLine="720"/>
        <w:rPr>
          <w:color w:val="000000" w:themeColor="text1"/>
          <w:szCs w:val="24"/>
        </w:rPr>
      </w:pPr>
      <w:r w:rsidRPr="006F51A3">
        <w:rPr>
          <w:color w:val="000000" w:themeColor="text1"/>
          <w:szCs w:val="24"/>
        </w:rPr>
        <w:t xml:space="preserve">Commission Staff reviewed the </w:t>
      </w:r>
      <w:r w:rsidR="002105E3">
        <w:rPr>
          <w:color w:val="000000" w:themeColor="text1"/>
          <w:szCs w:val="24"/>
        </w:rPr>
        <w:t xml:space="preserve">compliance </w:t>
      </w:r>
      <w:r w:rsidRPr="006F51A3">
        <w:rPr>
          <w:color w:val="000000" w:themeColor="text1"/>
          <w:szCs w:val="24"/>
        </w:rPr>
        <w:t>spreadsheets</w:t>
      </w:r>
      <w:r w:rsidR="00256376">
        <w:rPr>
          <w:color w:val="000000" w:themeColor="text1"/>
          <w:szCs w:val="24"/>
        </w:rPr>
        <w:t xml:space="preserve"> filed</w:t>
      </w:r>
      <w:r w:rsidRPr="006F51A3">
        <w:rPr>
          <w:color w:val="000000" w:themeColor="text1"/>
          <w:szCs w:val="24"/>
        </w:rPr>
        <w:t xml:space="preserve"> by</w:t>
      </w:r>
      <w:r w:rsidR="005539D3" w:rsidRPr="006F51A3">
        <w:rPr>
          <w:color w:val="000000" w:themeColor="text1"/>
          <w:szCs w:val="24"/>
        </w:rPr>
        <w:t xml:space="preserve"> Verizon Pennsylvania LLC and Verizon North LLC (Verizon) on April 1, 2016</w:t>
      </w:r>
      <w:r w:rsidR="00382B58" w:rsidRPr="006F51A3">
        <w:rPr>
          <w:color w:val="000000" w:themeColor="text1"/>
          <w:szCs w:val="24"/>
        </w:rPr>
        <w:t>,</w:t>
      </w:r>
      <w:r w:rsidR="005539D3" w:rsidRPr="006F51A3">
        <w:rPr>
          <w:color w:val="000000" w:themeColor="text1"/>
          <w:szCs w:val="24"/>
        </w:rPr>
        <w:t xml:space="preserve"> and November 17, 2016</w:t>
      </w:r>
      <w:r w:rsidR="00382B58" w:rsidRPr="006F51A3">
        <w:rPr>
          <w:color w:val="000000" w:themeColor="text1"/>
          <w:szCs w:val="24"/>
        </w:rPr>
        <w:t>,</w:t>
      </w:r>
      <w:r w:rsidR="000237C9" w:rsidRPr="006F51A3">
        <w:rPr>
          <w:color w:val="000000" w:themeColor="text1"/>
          <w:szCs w:val="24"/>
        </w:rPr>
        <w:t xml:space="preserve"> </w:t>
      </w:r>
      <w:r w:rsidR="00256376">
        <w:rPr>
          <w:color w:val="000000" w:themeColor="text1"/>
          <w:szCs w:val="24"/>
        </w:rPr>
        <w:t>in the above</w:t>
      </w:r>
      <w:r w:rsidR="006D3931">
        <w:rPr>
          <w:color w:val="000000" w:themeColor="text1"/>
          <w:szCs w:val="24"/>
        </w:rPr>
        <w:noBreakHyphen/>
      </w:r>
      <w:r w:rsidR="00256376">
        <w:rPr>
          <w:color w:val="000000" w:themeColor="text1"/>
          <w:szCs w:val="24"/>
        </w:rPr>
        <w:t xml:space="preserve">captioned </w:t>
      </w:r>
      <w:r w:rsidR="00B2556C">
        <w:rPr>
          <w:color w:val="000000" w:themeColor="text1"/>
          <w:szCs w:val="24"/>
        </w:rPr>
        <w:t>consolidated proceeding</w:t>
      </w:r>
      <w:r w:rsidR="00256376">
        <w:rPr>
          <w:color w:val="000000" w:themeColor="text1"/>
          <w:szCs w:val="24"/>
        </w:rPr>
        <w:t xml:space="preserve">.  </w:t>
      </w:r>
      <w:r w:rsidR="005539D3" w:rsidRPr="006F51A3">
        <w:rPr>
          <w:color w:val="000000" w:themeColor="text1"/>
          <w:szCs w:val="24"/>
        </w:rPr>
        <w:t>The spreadsheet</w:t>
      </w:r>
      <w:r w:rsidR="000237C9" w:rsidRPr="006F51A3">
        <w:rPr>
          <w:color w:val="000000" w:themeColor="text1"/>
          <w:szCs w:val="24"/>
        </w:rPr>
        <w:t>s</w:t>
      </w:r>
      <w:r w:rsidR="005539D3" w:rsidRPr="006F51A3">
        <w:rPr>
          <w:color w:val="000000" w:themeColor="text1"/>
          <w:szCs w:val="24"/>
        </w:rPr>
        <w:t xml:space="preserve"> submitted </w:t>
      </w:r>
      <w:r w:rsidR="000237C9" w:rsidRPr="006F51A3">
        <w:rPr>
          <w:color w:val="000000" w:themeColor="text1"/>
          <w:szCs w:val="24"/>
        </w:rPr>
        <w:t>are</w:t>
      </w:r>
      <w:r w:rsidR="005539D3" w:rsidRPr="006F51A3">
        <w:rPr>
          <w:color w:val="000000" w:themeColor="text1"/>
          <w:szCs w:val="24"/>
        </w:rPr>
        <w:t xml:space="preserve"> </w:t>
      </w:r>
      <w:r w:rsidRPr="006F51A3">
        <w:rPr>
          <w:color w:val="000000" w:themeColor="text1"/>
          <w:szCs w:val="24"/>
        </w:rPr>
        <w:t>in</w:t>
      </w:r>
      <w:r w:rsidR="005539D3" w:rsidRPr="006F51A3">
        <w:rPr>
          <w:color w:val="000000" w:themeColor="text1"/>
          <w:szCs w:val="24"/>
        </w:rPr>
        <w:t xml:space="preserve">complete </w:t>
      </w:r>
      <w:r w:rsidR="002E3ACD" w:rsidRPr="006F51A3">
        <w:rPr>
          <w:color w:val="000000" w:themeColor="text1"/>
          <w:szCs w:val="24"/>
        </w:rPr>
        <w:t>as</w:t>
      </w:r>
      <w:r w:rsidR="005539D3" w:rsidRPr="006F51A3">
        <w:rPr>
          <w:color w:val="000000" w:themeColor="text1"/>
          <w:szCs w:val="24"/>
        </w:rPr>
        <w:t xml:space="preserve"> the Residential Account Data </w:t>
      </w:r>
      <w:r w:rsidR="00D7553A">
        <w:rPr>
          <w:color w:val="000000" w:themeColor="text1"/>
          <w:szCs w:val="24"/>
        </w:rPr>
        <w:t>sheets</w:t>
      </w:r>
      <w:r w:rsidR="00D7553A" w:rsidRPr="006F51A3">
        <w:rPr>
          <w:color w:val="000000" w:themeColor="text1"/>
          <w:szCs w:val="24"/>
        </w:rPr>
        <w:t xml:space="preserve"> </w:t>
      </w:r>
      <w:r w:rsidR="00D7553A">
        <w:rPr>
          <w:color w:val="000000" w:themeColor="text1"/>
          <w:szCs w:val="24"/>
        </w:rPr>
        <w:t>do not contain data.  Rather, the Residential Account Data</w:t>
      </w:r>
      <w:r w:rsidR="005539D3" w:rsidRPr="006F51A3">
        <w:rPr>
          <w:color w:val="000000" w:themeColor="text1"/>
          <w:szCs w:val="24"/>
        </w:rPr>
        <w:t xml:space="preserve"> </w:t>
      </w:r>
      <w:r w:rsidR="00D7553A">
        <w:rPr>
          <w:color w:val="000000" w:themeColor="text1"/>
          <w:szCs w:val="24"/>
        </w:rPr>
        <w:t>sheets</w:t>
      </w:r>
      <w:r w:rsidR="00440A6A">
        <w:rPr>
          <w:color w:val="000000" w:themeColor="text1"/>
          <w:szCs w:val="24"/>
        </w:rPr>
        <w:t xml:space="preserve"> contain</w:t>
      </w:r>
      <w:r w:rsidR="00D7553A">
        <w:rPr>
          <w:color w:val="000000" w:themeColor="text1"/>
          <w:szCs w:val="24"/>
        </w:rPr>
        <w:t xml:space="preserve"> the following text:</w:t>
      </w:r>
    </w:p>
    <w:p w:rsidR="00D7553A" w:rsidRDefault="00D7553A" w:rsidP="002E3ACD">
      <w:pPr>
        <w:pStyle w:val="BodyText"/>
        <w:ind w:firstLine="720"/>
        <w:rPr>
          <w:color w:val="000000" w:themeColor="text1"/>
          <w:szCs w:val="24"/>
        </w:rPr>
      </w:pPr>
    </w:p>
    <w:p w:rsidR="00D7553A" w:rsidRDefault="00D7553A" w:rsidP="006F51A3">
      <w:pPr>
        <w:pStyle w:val="BodyText"/>
        <w:ind w:left="720" w:right="720"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“Data reporting triggered only if rates charged in competitive wire centers become higher than rates charged in </w:t>
      </w:r>
      <w:proofErr w:type="spellStart"/>
      <w:r>
        <w:rPr>
          <w:color w:val="000000" w:themeColor="text1"/>
          <w:szCs w:val="24"/>
        </w:rPr>
        <w:t>non competitive</w:t>
      </w:r>
      <w:proofErr w:type="spellEnd"/>
      <w:r>
        <w:rPr>
          <w:color w:val="000000" w:themeColor="text1"/>
          <w:szCs w:val="24"/>
        </w:rPr>
        <w:t xml:space="preserve"> wire centers (Final Order entered August 20, 2015, p. 14).”</w:t>
      </w:r>
    </w:p>
    <w:p w:rsidR="00D7553A" w:rsidRDefault="00D7553A" w:rsidP="002E3ACD">
      <w:pPr>
        <w:pStyle w:val="BodyText"/>
        <w:ind w:firstLine="720"/>
        <w:rPr>
          <w:color w:val="000000" w:themeColor="text1"/>
          <w:szCs w:val="24"/>
        </w:rPr>
      </w:pPr>
    </w:p>
    <w:p w:rsidR="00C53217" w:rsidRDefault="00071F60" w:rsidP="002E3ACD">
      <w:pPr>
        <w:pStyle w:val="BodyText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We believe </w:t>
      </w:r>
      <w:r w:rsidR="00D7553A">
        <w:rPr>
          <w:color w:val="000000" w:themeColor="text1"/>
          <w:szCs w:val="24"/>
        </w:rPr>
        <w:t>Verizon meant to cite</w:t>
      </w:r>
      <w:r w:rsidR="00C53217">
        <w:rPr>
          <w:color w:val="000000" w:themeColor="text1"/>
          <w:szCs w:val="24"/>
        </w:rPr>
        <w:t xml:space="preserve"> page 14 of</w:t>
      </w:r>
      <w:r w:rsidR="00D7553A">
        <w:rPr>
          <w:color w:val="000000" w:themeColor="text1"/>
          <w:szCs w:val="24"/>
        </w:rPr>
        <w:t xml:space="preserve"> our Order entered September 11, 2015</w:t>
      </w:r>
      <w:r w:rsidR="006E1ADB">
        <w:rPr>
          <w:rStyle w:val="FootnoteReference"/>
          <w:color w:val="000000" w:themeColor="text1"/>
          <w:szCs w:val="24"/>
        </w:rPr>
        <w:footnoteReference w:id="1"/>
      </w:r>
      <w:r w:rsidR="00440A6A">
        <w:rPr>
          <w:color w:val="000000" w:themeColor="text1"/>
          <w:szCs w:val="24"/>
        </w:rPr>
        <w:t xml:space="preserve"> in this proceeding </w:t>
      </w:r>
      <w:r w:rsidR="00D7553A">
        <w:rPr>
          <w:color w:val="000000" w:themeColor="text1"/>
          <w:szCs w:val="24"/>
        </w:rPr>
        <w:t>(there is no “Final Order entered August 20, 2015”).  Nonetheless, even if the citation were correct</w:t>
      </w:r>
      <w:r w:rsidR="00C53217">
        <w:rPr>
          <w:color w:val="000000" w:themeColor="text1"/>
          <w:szCs w:val="24"/>
        </w:rPr>
        <w:t>,</w:t>
      </w:r>
      <w:r w:rsidR="00D7553A">
        <w:rPr>
          <w:color w:val="000000" w:themeColor="text1"/>
          <w:szCs w:val="24"/>
        </w:rPr>
        <w:t xml:space="preserve"> Verizon is mistaken in its belief that the entire category of R</w:t>
      </w:r>
      <w:r w:rsidR="00C53217">
        <w:rPr>
          <w:color w:val="000000" w:themeColor="text1"/>
          <w:szCs w:val="24"/>
        </w:rPr>
        <w:t>esidential Account Data is exempted from reporting</w:t>
      </w:r>
      <w:r w:rsidR="00440A6A">
        <w:rPr>
          <w:color w:val="000000" w:themeColor="text1"/>
          <w:szCs w:val="24"/>
        </w:rPr>
        <w:t xml:space="preserve"> at this time</w:t>
      </w:r>
      <w:r w:rsidR="006E1ADB">
        <w:rPr>
          <w:color w:val="000000" w:themeColor="text1"/>
          <w:szCs w:val="24"/>
        </w:rPr>
        <w:t>.</w:t>
      </w:r>
      <w:r w:rsidR="00C53217">
        <w:rPr>
          <w:color w:val="000000" w:themeColor="text1"/>
          <w:szCs w:val="24"/>
        </w:rPr>
        <w:t xml:space="preserve"> </w:t>
      </w:r>
    </w:p>
    <w:p w:rsidR="00C53217" w:rsidRDefault="00C53217" w:rsidP="002E3ACD">
      <w:pPr>
        <w:pStyle w:val="BodyText"/>
        <w:ind w:firstLine="720"/>
        <w:rPr>
          <w:color w:val="000000" w:themeColor="text1"/>
          <w:szCs w:val="24"/>
        </w:rPr>
      </w:pPr>
    </w:p>
    <w:p w:rsidR="00D7553A" w:rsidRDefault="00C53217" w:rsidP="002E3ACD">
      <w:pPr>
        <w:pStyle w:val="BodyText"/>
        <w:ind w:firstLine="720"/>
        <w:rPr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While </w:t>
      </w:r>
      <w:r w:rsidR="006E1ADB">
        <w:rPr>
          <w:color w:val="000000" w:themeColor="text1"/>
          <w:szCs w:val="24"/>
        </w:rPr>
        <w:t xml:space="preserve">our September 11 Order </w:t>
      </w:r>
      <w:r>
        <w:rPr>
          <w:color w:val="000000" w:themeColor="text1"/>
          <w:szCs w:val="24"/>
        </w:rPr>
        <w:t xml:space="preserve">does exempt the reporting of </w:t>
      </w:r>
      <w:r w:rsidRPr="00C53217">
        <w:rPr>
          <w:bCs/>
          <w:color w:val="000000" w:themeColor="text1"/>
          <w:szCs w:val="24"/>
        </w:rPr>
        <w:t>1) Average Residential Customer Bill for Basic Service; 2) Residential Overdue Accounts; and 3) Average Residential Ove</w:t>
      </w:r>
      <w:r w:rsidR="006E1ADB">
        <w:rPr>
          <w:bCs/>
          <w:color w:val="000000" w:themeColor="text1"/>
          <w:szCs w:val="24"/>
        </w:rPr>
        <w:t>rdue Bill Amount Basic Service</w:t>
      </w:r>
      <w:r w:rsidR="00440A6A">
        <w:rPr>
          <w:bCs/>
          <w:color w:val="000000" w:themeColor="text1"/>
          <w:szCs w:val="24"/>
        </w:rPr>
        <w:t xml:space="preserve"> until such time that rates charged in competitive wire centers become higher than those in noncompetitive wire centers, the remaining </w:t>
      </w:r>
      <w:r w:rsidR="00CD5022">
        <w:rPr>
          <w:bCs/>
          <w:color w:val="000000" w:themeColor="text1"/>
          <w:szCs w:val="24"/>
        </w:rPr>
        <w:t>Residential</w:t>
      </w:r>
      <w:r w:rsidR="00440A6A">
        <w:rPr>
          <w:bCs/>
          <w:color w:val="000000" w:themeColor="text1"/>
          <w:szCs w:val="24"/>
        </w:rPr>
        <w:t xml:space="preserve"> Account Data items (Residential Accounts, Residential Basic Service Suspensions, Residential Terminations, and Disputes Handled) are not exempt</w:t>
      </w:r>
      <w:r w:rsidR="00CD5022">
        <w:rPr>
          <w:bCs/>
          <w:color w:val="000000" w:themeColor="text1"/>
          <w:szCs w:val="24"/>
        </w:rPr>
        <w:t xml:space="preserve"> and </w:t>
      </w:r>
      <w:r w:rsidR="002105E3">
        <w:rPr>
          <w:bCs/>
          <w:color w:val="000000" w:themeColor="text1"/>
          <w:szCs w:val="24"/>
        </w:rPr>
        <w:t>must be</w:t>
      </w:r>
      <w:r w:rsidR="00CD5022">
        <w:rPr>
          <w:bCs/>
          <w:color w:val="000000" w:themeColor="text1"/>
          <w:szCs w:val="24"/>
        </w:rPr>
        <w:t xml:space="preserve"> reported</w:t>
      </w:r>
      <w:r w:rsidR="00440A6A">
        <w:rPr>
          <w:bCs/>
          <w:color w:val="000000" w:themeColor="text1"/>
          <w:szCs w:val="24"/>
        </w:rPr>
        <w:t xml:space="preserve">. </w:t>
      </w:r>
    </w:p>
    <w:p w:rsidR="00071F60" w:rsidRDefault="00071F60" w:rsidP="002E3ACD">
      <w:pPr>
        <w:pStyle w:val="BodyText"/>
        <w:ind w:firstLine="720"/>
        <w:rPr>
          <w:color w:val="000000" w:themeColor="text1"/>
          <w:szCs w:val="24"/>
        </w:rPr>
      </w:pPr>
    </w:p>
    <w:p w:rsidR="00CD5022" w:rsidRDefault="00CD5022" w:rsidP="002E3ACD">
      <w:pPr>
        <w:pStyle w:val="BodyText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Therefore, within 20 business days from the date of this letter, Verizon is directed to file the missing data with the Secretary of the Commission.  Additionally, </w:t>
      </w:r>
      <w:r w:rsidR="003770E3">
        <w:rPr>
          <w:color w:val="000000" w:themeColor="text1"/>
          <w:szCs w:val="24"/>
        </w:rPr>
        <w:t xml:space="preserve">Verizon is to </w:t>
      </w:r>
      <w:r>
        <w:rPr>
          <w:color w:val="000000" w:themeColor="text1"/>
          <w:szCs w:val="24"/>
        </w:rPr>
        <w:t>email copies</w:t>
      </w:r>
      <w:r w:rsidR="003770E3">
        <w:rPr>
          <w:color w:val="000000" w:themeColor="text1"/>
          <w:szCs w:val="24"/>
        </w:rPr>
        <w:t xml:space="preserve"> of the missing data</w:t>
      </w:r>
      <w:r>
        <w:rPr>
          <w:color w:val="000000" w:themeColor="text1"/>
          <w:szCs w:val="24"/>
        </w:rPr>
        <w:t xml:space="preserve"> to Melissa Derr at </w:t>
      </w:r>
      <w:hyperlink r:id="rId9" w:history="1">
        <w:r w:rsidRPr="0010454A">
          <w:rPr>
            <w:rStyle w:val="Hyperlink"/>
            <w:szCs w:val="24"/>
          </w:rPr>
          <w:t>mderr@pa.gov</w:t>
        </w:r>
      </w:hyperlink>
      <w:r>
        <w:rPr>
          <w:color w:val="000000" w:themeColor="text1"/>
          <w:szCs w:val="24"/>
        </w:rPr>
        <w:t>.</w:t>
      </w:r>
    </w:p>
    <w:p w:rsidR="00CD5022" w:rsidRDefault="00CD5022" w:rsidP="002E3ACD">
      <w:pPr>
        <w:pStyle w:val="BodyText"/>
        <w:ind w:firstLine="720"/>
        <w:rPr>
          <w:color w:val="000000" w:themeColor="text1"/>
          <w:szCs w:val="24"/>
        </w:rPr>
      </w:pPr>
    </w:p>
    <w:p w:rsidR="003770E3" w:rsidRDefault="003770E3" w:rsidP="003770E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440A6A">
        <w:rPr>
          <w:color w:val="000000" w:themeColor="text1"/>
          <w:szCs w:val="24"/>
        </w:rPr>
        <w:t xml:space="preserve">We remind </w:t>
      </w:r>
      <w:r w:rsidR="005F1762" w:rsidRPr="006F51A3">
        <w:rPr>
          <w:color w:val="000000" w:themeColor="text1"/>
          <w:szCs w:val="24"/>
        </w:rPr>
        <w:t>Verizon that</w:t>
      </w:r>
      <w:r>
        <w:rPr>
          <w:color w:val="000000" w:themeColor="text1"/>
          <w:szCs w:val="24"/>
        </w:rPr>
        <w:t xml:space="preserve"> the Commission’s approval of the </w:t>
      </w:r>
      <w:r w:rsidR="00071F60">
        <w:rPr>
          <w:color w:val="000000" w:themeColor="text1"/>
          <w:szCs w:val="24"/>
        </w:rPr>
        <w:t xml:space="preserve">temporary waiver of rules and regulations in the </w:t>
      </w:r>
      <w:r>
        <w:rPr>
          <w:color w:val="000000" w:themeColor="text1"/>
          <w:szCs w:val="24"/>
        </w:rPr>
        <w:t>Reclass was conditioned, in part, on Verizon’s compliance with the data reporting requirements</w:t>
      </w:r>
      <w:r w:rsidR="00071F60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="00071F6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Moreover, this data is necessary </w:t>
      </w:r>
      <w:r w:rsidR="00071F60">
        <w:rPr>
          <w:color w:val="000000" w:themeColor="text1"/>
          <w:szCs w:val="24"/>
        </w:rPr>
        <w:t xml:space="preserve">for the Commission </w:t>
      </w:r>
      <w:r>
        <w:rPr>
          <w:color w:val="000000" w:themeColor="text1"/>
          <w:szCs w:val="24"/>
        </w:rPr>
        <w:t xml:space="preserve">to </w:t>
      </w:r>
      <w:r w:rsidR="00071F60">
        <w:rPr>
          <w:color w:val="000000" w:themeColor="text1"/>
          <w:szCs w:val="24"/>
        </w:rPr>
        <w:t>assess market conditions and determine what rules and regulations, if any, should be considered for permanent waiver.</w:t>
      </w:r>
      <w:r w:rsidR="002105E3">
        <w:rPr>
          <w:color w:val="000000" w:themeColor="text1"/>
          <w:szCs w:val="24"/>
        </w:rPr>
        <w:t xml:space="preserve">  Failure to supply the required data within 20 </w:t>
      </w:r>
      <w:r w:rsidR="006D3931">
        <w:rPr>
          <w:color w:val="000000" w:themeColor="text1"/>
          <w:szCs w:val="24"/>
        </w:rPr>
        <w:t xml:space="preserve">business </w:t>
      </w:r>
      <w:r w:rsidR="002105E3">
        <w:rPr>
          <w:color w:val="000000" w:themeColor="text1"/>
          <w:szCs w:val="24"/>
        </w:rPr>
        <w:t xml:space="preserve">days may result in revocation of the regulatory relief provided in the above-captioned </w:t>
      </w:r>
      <w:r w:rsidR="00B2556C">
        <w:rPr>
          <w:color w:val="000000" w:themeColor="text1"/>
          <w:szCs w:val="24"/>
        </w:rPr>
        <w:t>consolidated proceeding</w:t>
      </w:r>
      <w:r w:rsidR="002105E3">
        <w:rPr>
          <w:color w:val="000000" w:themeColor="text1"/>
          <w:szCs w:val="24"/>
        </w:rPr>
        <w:t>.</w:t>
      </w:r>
    </w:p>
    <w:p w:rsidR="003770E3" w:rsidRDefault="003770E3" w:rsidP="003770E3">
      <w:pPr>
        <w:rPr>
          <w:color w:val="000000" w:themeColor="text1"/>
          <w:szCs w:val="24"/>
        </w:rPr>
      </w:pPr>
    </w:p>
    <w:p w:rsidR="009575BA" w:rsidRPr="006F51A3" w:rsidRDefault="00071F60">
      <w:pPr>
        <w:pStyle w:val="BodyText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Questions concerning this matter may be directed to </w:t>
      </w:r>
      <w:r w:rsidR="005539D3" w:rsidRPr="006F51A3">
        <w:rPr>
          <w:color w:val="000000" w:themeColor="text1"/>
          <w:szCs w:val="24"/>
        </w:rPr>
        <w:t>Melissa Derr</w:t>
      </w:r>
      <w:r w:rsidR="009575BA" w:rsidRPr="006F51A3">
        <w:rPr>
          <w:color w:val="000000" w:themeColor="text1"/>
          <w:szCs w:val="24"/>
        </w:rPr>
        <w:t xml:space="preserve">, Bureau of </w:t>
      </w:r>
      <w:r w:rsidR="00AE4FCE" w:rsidRPr="006F51A3">
        <w:rPr>
          <w:color w:val="000000" w:themeColor="text1"/>
          <w:szCs w:val="24"/>
        </w:rPr>
        <w:t>Technical</w:t>
      </w:r>
      <w:r w:rsidR="009575BA" w:rsidRPr="006F51A3">
        <w:rPr>
          <w:color w:val="000000" w:themeColor="text1"/>
          <w:szCs w:val="24"/>
        </w:rPr>
        <w:t xml:space="preserve"> Utility Services</w:t>
      </w:r>
      <w:r w:rsidR="00CD5022">
        <w:rPr>
          <w:color w:val="000000" w:themeColor="text1"/>
          <w:szCs w:val="24"/>
        </w:rPr>
        <w:t>,</w:t>
      </w:r>
      <w:r w:rsidR="00B136AA" w:rsidRPr="006F51A3">
        <w:rPr>
          <w:color w:val="000000" w:themeColor="text1"/>
          <w:szCs w:val="24"/>
        </w:rPr>
        <w:t xml:space="preserve"> </w:t>
      </w:r>
      <w:r w:rsidR="009575BA" w:rsidRPr="006F51A3">
        <w:rPr>
          <w:color w:val="000000" w:themeColor="text1"/>
          <w:szCs w:val="24"/>
        </w:rPr>
        <w:t>at (717)</w:t>
      </w:r>
      <w:r w:rsidR="005539D3" w:rsidRPr="006F51A3">
        <w:rPr>
          <w:color w:val="000000" w:themeColor="text1"/>
          <w:szCs w:val="24"/>
        </w:rPr>
        <w:t xml:space="preserve"> 783-6171</w:t>
      </w:r>
      <w:r w:rsidR="009575BA" w:rsidRPr="006F51A3">
        <w:rPr>
          <w:color w:val="000000" w:themeColor="text1"/>
          <w:szCs w:val="24"/>
        </w:rPr>
        <w:t xml:space="preserve"> or </w:t>
      </w:r>
      <w:hyperlink r:id="rId10" w:history="1">
        <w:r w:rsidR="005539D3" w:rsidRPr="006F51A3">
          <w:rPr>
            <w:rStyle w:val="Hyperlink"/>
          </w:rPr>
          <w:t>mderr</w:t>
        </w:r>
        <w:r w:rsidR="009575BA" w:rsidRPr="006F51A3">
          <w:rPr>
            <w:rStyle w:val="Hyperlink"/>
          </w:rPr>
          <w:t>@</w:t>
        </w:r>
        <w:r w:rsidR="004A6903" w:rsidRPr="006F51A3">
          <w:rPr>
            <w:rStyle w:val="Hyperlink"/>
          </w:rPr>
          <w:t>pa.gov</w:t>
        </w:r>
      </w:hyperlink>
      <w:r w:rsidR="009575BA" w:rsidRPr="00B136AA">
        <w:rPr>
          <w:color w:val="000000" w:themeColor="text1"/>
          <w:szCs w:val="24"/>
        </w:rPr>
        <w:t>.</w:t>
      </w:r>
      <w:r w:rsidR="009575BA" w:rsidRPr="006F51A3">
        <w:rPr>
          <w:color w:val="000000" w:themeColor="text1"/>
          <w:szCs w:val="24"/>
        </w:rPr>
        <w:t xml:space="preserve"> </w:t>
      </w:r>
    </w:p>
    <w:p w:rsidR="009575BA" w:rsidRPr="00E9717D" w:rsidRDefault="00B533DB" w:rsidP="00D11B24">
      <w:pPr>
        <w:rPr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BF00C45" wp14:editId="03137588">
            <wp:simplePos x="0" y="0"/>
            <wp:positionH relativeFrom="column">
              <wp:posOffset>2092960</wp:posOffset>
            </wp:positionH>
            <wp:positionV relativeFrom="paragraph">
              <wp:posOffset>79375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575BA" w:rsidRPr="00E9717D" w:rsidRDefault="009575BA" w:rsidP="00D11B24">
      <w:pPr>
        <w:rPr>
          <w:szCs w:val="24"/>
        </w:rPr>
      </w:pP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</w:r>
      <w:r w:rsidRPr="00E9717D">
        <w:rPr>
          <w:szCs w:val="24"/>
        </w:rPr>
        <w:tab/>
        <w:t>Sincerely,</w:t>
      </w:r>
    </w:p>
    <w:p w:rsidR="009575BA" w:rsidRDefault="009575BA" w:rsidP="00D11B24">
      <w:pPr>
        <w:rPr>
          <w:szCs w:val="24"/>
        </w:rPr>
      </w:pPr>
    </w:p>
    <w:p w:rsidR="009575BA" w:rsidRPr="00E9717D" w:rsidRDefault="009575BA" w:rsidP="00D11B24">
      <w:pPr>
        <w:rPr>
          <w:szCs w:val="24"/>
        </w:rPr>
      </w:pPr>
    </w:p>
    <w:p w:rsidR="009575BA" w:rsidRPr="00E9717D" w:rsidRDefault="009575BA" w:rsidP="00D11B24">
      <w:pPr>
        <w:rPr>
          <w:szCs w:val="24"/>
        </w:rPr>
      </w:pPr>
    </w:p>
    <w:p w:rsidR="009575BA" w:rsidRPr="00E9717D" w:rsidRDefault="009575BA" w:rsidP="00D11B24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E9717D">
        <w:rPr>
          <w:szCs w:val="24"/>
        </w:rPr>
        <w:tab/>
      </w:r>
      <w:r>
        <w:rPr>
          <w:szCs w:val="24"/>
        </w:rPr>
        <w:t>Rosemary Chiavetta</w:t>
      </w:r>
    </w:p>
    <w:p w:rsidR="009575BA" w:rsidRPr="00E9717D" w:rsidRDefault="009575BA" w:rsidP="00D11B24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E9717D">
        <w:rPr>
          <w:szCs w:val="24"/>
        </w:rPr>
        <w:tab/>
        <w:t>Secretary</w:t>
      </w:r>
    </w:p>
    <w:p w:rsidR="009575BA" w:rsidRPr="00E9717D" w:rsidRDefault="009575BA" w:rsidP="00D11B24">
      <w:pPr>
        <w:rPr>
          <w:szCs w:val="24"/>
        </w:rPr>
      </w:pPr>
    </w:p>
    <w:p w:rsidR="00A24641" w:rsidRPr="002E699B" w:rsidRDefault="009575BA" w:rsidP="00D11B24">
      <w:pPr>
        <w:rPr>
          <w:color w:val="FF00FF"/>
          <w:szCs w:val="24"/>
        </w:rPr>
      </w:pPr>
      <w:r w:rsidRPr="00E9717D">
        <w:rPr>
          <w:szCs w:val="24"/>
        </w:rPr>
        <w:t>cc:</w:t>
      </w:r>
      <w:r w:rsidRPr="00E9717D">
        <w:rPr>
          <w:szCs w:val="24"/>
        </w:rPr>
        <w:tab/>
      </w:r>
      <w:r w:rsidR="00A56E7A">
        <w:rPr>
          <w:szCs w:val="24"/>
        </w:rPr>
        <w:t>Melissa Derr</w:t>
      </w:r>
      <w:r w:rsidRPr="00E9717D">
        <w:rPr>
          <w:szCs w:val="24"/>
        </w:rPr>
        <w:t xml:space="preserve">, </w:t>
      </w:r>
      <w:r w:rsidR="00AE4FCE">
        <w:rPr>
          <w:szCs w:val="24"/>
        </w:rPr>
        <w:t>TUS</w:t>
      </w:r>
    </w:p>
    <w:sectPr w:rsidR="00A24641" w:rsidRPr="002E699B" w:rsidSect="006F51A3">
      <w:type w:val="continuous"/>
      <w:pgSz w:w="12240" w:h="15840"/>
      <w:pgMar w:top="72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74" w:rsidRDefault="00B26874">
      <w:r>
        <w:separator/>
      </w:r>
    </w:p>
  </w:endnote>
  <w:endnote w:type="continuationSeparator" w:id="0">
    <w:p w:rsidR="00B26874" w:rsidRDefault="00B2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74" w:rsidRDefault="00B26874">
      <w:r>
        <w:separator/>
      </w:r>
    </w:p>
  </w:footnote>
  <w:footnote w:type="continuationSeparator" w:id="0">
    <w:p w:rsidR="00B26874" w:rsidRDefault="00B26874">
      <w:r>
        <w:continuationSeparator/>
      </w:r>
    </w:p>
  </w:footnote>
  <w:footnote w:id="1">
    <w:p w:rsidR="006E1ADB" w:rsidRPr="006F51A3" w:rsidRDefault="006E1ADB">
      <w:pPr>
        <w:pStyle w:val="FootnoteText"/>
        <w:rPr>
          <w:sz w:val="20"/>
        </w:rPr>
      </w:pPr>
      <w:r w:rsidRPr="006F51A3">
        <w:rPr>
          <w:rStyle w:val="FootnoteReference"/>
          <w:sz w:val="20"/>
        </w:rPr>
        <w:footnoteRef/>
      </w:r>
      <w:r w:rsidRPr="006F51A3">
        <w:rPr>
          <w:sz w:val="20"/>
        </w:rPr>
        <w:t xml:space="preserve"> </w:t>
      </w:r>
      <w:proofErr w:type="gramStart"/>
      <w:r w:rsidRPr="006F51A3">
        <w:rPr>
          <w:i/>
          <w:sz w:val="20"/>
        </w:rPr>
        <w:t xml:space="preserve">Joint Petition of Verizon Pennsylvania LLC and Verizon North LLC for Competitive Classification of All Retail Services in Certain Geographic Areas and for a Waiver of Regulations for Competitive Services, </w:t>
      </w:r>
      <w:r w:rsidRPr="006F51A3">
        <w:rPr>
          <w:sz w:val="20"/>
        </w:rPr>
        <w:t>Docket Nos.</w:t>
      </w:r>
      <w:proofErr w:type="gramEnd"/>
      <w:r w:rsidRPr="006F51A3">
        <w:rPr>
          <w:sz w:val="20"/>
        </w:rPr>
        <w:t xml:space="preserve"> P-2014-2446303 and P-2014-244640 (Order entered September 11, 2015)</w:t>
      </w:r>
      <w:r>
        <w:rPr>
          <w:sz w:val="20"/>
        </w:rPr>
        <w:t xml:space="preserve"> (September 11 Order)</w:t>
      </w:r>
      <w:r w:rsidRPr="006F51A3">
        <w:rPr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237C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1F60"/>
    <w:rsid w:val="000723FA"/>
    <w:rsid w:val="000761C0"/>
    <w:rsid w:val="0008427B"/>
    <w:rsid w:val="000902EE"/>
    <w:rsid w:val="0009284F"/>
    <w:rsid w:val="000A2451"/>
    <w:rsid w:val="000C1530"/>
    <w:rsid w:val="000D01DF"/>
    <w:rsid w:val="000D03CA"/>
    <w:rsid w:val="000D0FD9"/>
    <w:rsid w:val="000E07BF"/>
    <w:rsid w:val="000E3B2C"/>
    <w:rsid w:val="000E6A31"/>
    <w:rsid w:val="00121464"/>
    <w:rsid w:val="001264B6"/>
    <w:rsid w:val="00131DDA"/>
    <w:rsid w:val="001334FC"/>
    <w:rsid w:val="00142BA3"/>
    <w:rsid w:val="00145849"/>
    <w:rsid w:val="00150A3B"/>
    <w:rsid w:val="00150F8B"/>
    <w:rsid w:val="001535C8"/>
    <w:rsid w:val="00157C40"/>
    <w:rsid w:val="00162439"/>
    <w:rsid w:val="0016278E"/>
    <w:rsid w:val="00166A0E"/>
    <w:rsid w:val="0017540A"/>
    <w:rsid w:val="0017760B"/>
    <w:rsid w:val="0018720B"/>
    <w:rsid w:val="00191FE1"/>
    <w:rsid w:val="001A1A45"/>
    <w:rsid w:val="001A2153"/>
    <w:rsid w:val="001B4A25"/>
    <w:rsid w:val="001B4A58"/>
    <w:rsid w:val="001B4F9B"/>
    <w:rsid w:val="001D1712"/>
    <w:rsid w:val="001F4A76"/>
    <w:rsid w:val="002105E3"/>
    <w:rsid w:val="00212299"/>
    <w:rsid w:val="00227576"/>
    <w:rsid w:val="002311CC"/>
    <w:rsid w:val="00231244"/>
    <w:rsid w:val="00244511"/>
    <w:rsid w:val="00246943"/>
    <w:rsid w:val="00256182"/>
    <w:rsid w:val="00256376"/>
    <w:rsid w:val="00266BF8"/>
    <w:rsid w:val="00272D3C"/>
    <w:rsid w:val="00294B4B"/>
    <w:rsid w:val="002B1776"/>
    <w:rsid w:val="002D043D"/>
    <w:rsid w:val="002E3ACD"/>
    <w:rsid w:val="002E5260"/>
    <w:rsid w:val="002E699B"/>
    <w:rsid w:val="002F1221"/>
    <w:rsid w:val="002F2CF3"/>
    <w:rsid w:val="00303F21"/>
    <w:rsid w:val="003107D6"/>
    <w:rsid w:val="0031378E"/>
    <w:rsid w:val="00314281"/>
    <w:rsid w:val="003212C6"/>
    <w:rsid w:val="00323D97"/>
    <w:rsid w:val="00331BA5"/>
    <w:rsid w:val="0033489B"/>
    <w:rsid w:val="0034777A"/>
    <w:rsid w:val="00352AFA"/>
    <w:rsid w:val="003770E3"/>
    <w:rsid w:val="00382B58"/>
    <w:rsid w:val="003B1A94"/>
    <w:rsid w:val="003C1936"/>
    <w:rsid w:val="003C2ACF"/>
    <w:rsid w:val="003D021C"/>
    <w:rsid w:val="003E6E97"/>
    <w:rsid w:val="003F44B6"/>
    <w:rsid w:val="003F7CE2"/>
    <w:rsid w:val="00401C75"/>
    <w:rsid w:val="004159C6"/>
    <w:rsid w:val="00420E46"/>
    <w:rsid w:val="00427437"/>
    <w:rsid w:val="004376E3"/>
    <w:rsid w:val="00440A6A"/>
    <w:rsid w:val="00466AD7"/>
    <w:rsid w:val="00470AE3"/>
    <w:rsid w:val="00471C2A"/>
    <w:rsid w:val="004728E1"/>
    <w:rsid w:val="00486A7A"/>
    <w:rsid w:val="004A6903"/>
    <w:rsid w:val="004B3F1D"/>
    <w:rsid w:val="004B6F33"/>
    <w:rsid w:val="004C4A7F"/>
    <w:rsid w:val="004D2C06"/>
    <w:rsid w:val="004E0233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39D3"/>
    <w:rsid w:val="005548F3"/>
    <w:rsid w:val="005553DC"/>
    <w:rsid w:val="00571CC5"/>
    <w:rsid w:val="00574F8B"/>
    <w:rsid w:val="005758E5"/>
    <w:rsid w:val="00583A30"/>
    <w:rsid w:val="0058733C"/>
    <w:rsid w:val="005947A2"/>
    <w:rsid w:val="00597EC1"/>
    <w:rsid w:val="005A7E07"/>
    <w:rsid w:val="005D0EA3"/>
    <w:rsid w:val="005D298F"/>
    <w:rsid w:val="005D669C"/>
    <w:rsid w:val="005F1762"/>
    <w:rsid w:val="005F3F27"/>
    <w:rsid w:val="00600756"/>
    <w:rsid w:val="006011EB"/>
    <w:rsid w:val="00621754"/>
    <w:rsid w:val="006238FB"/>
    <w:rsid w:val="00633EEA"/>
    <w:rsid w:val="00635A69"/>
    <w:rsid w:val="00643EE5"/>
    <w:rsid w:val="006504C9"/>
    <w:rsid w:val="00651853"/>
    <w:rsid w:val="0065332E"/>
    <w:rsid w:val="0065384C"/>
    <w:rsid w:val="00654399"/>
    <w:rsid w:val="00657116"/>
    <w:rsid w:val="00663517"/>
    <w:rsid w:val="0066399C"/>
    <w:rsid w:val="0066708F"/>
    <w:rsid w:val="006721A8"/>
    <w:rsid w:val="00674304"/>
    <w:rsid w:val="0067692B"/>
    <w:rsid w:val="006901A9"/>
    <w:rsid w:val="006A0190"/>
    <w:rsid w:val="006A19DE"/>
    <w:rsid w:val="006B1842"/>
    <w:rsid w:val="006D3931"/>
    <w:rsid w:val="006E1263"/>
    <w:rsid w:val="006E1ADB"/>
    <w:rsid w:val="006F51A3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5095"/>
    <w:rsid w:val="00736988"/>
    <w:rsid w:val="007415A2"/>
    <w:rsid w:val="00747AED"/>
    <w:rsid w:val="00752296"/>
    <w:rsid w:val="007533A6"/>
    <w:rsid w:val="00756A92"/>
    <w:rsid w:val="00774679"/>
    <w:rsid w:val="00777420"/>
    <w:rsid w:val="00794AEA"/>
    <w:rsid w:val="007979C9"/>
    <w:rsid w:val="007A2F47"/>
    <w:rsid w:val="007B7DB3"/>
    <w:rsid w:val="007C3C93"/>
    <w:rsid w:val="007C5683"/>
    <w:rsid w:val="007D0340"/>
    <w:rsid w:val="007F16BF"/>
    <w:rsid w:val="007F36B4"/>
    <w:rsid w:val="007F7700"/>
    <w:rsid w:val="007F78A1"/>
    <w:rsid w:val="008159FD"/>
    <w:rsid w:val="00833958"/>
    <w:rsid w:val="00834BEC"/>
    <w:rsid w:val="00841BD1"/>
    <w:rsid w:val="008506C3"/>
    <w:rsid w:val="00856AB4"/>
    <w:rsid w:val="00862F80"/>
    <w:rsid w:val="008704FE"/>
    <w:rsid w:val="00882E3F"/>
    <w:rsid w:val="008834E0"/>
    <w:rsid w:val="00885F07"/>
    <w:rsid w:val="00897392"/>
    <w:rsid w:val="008A392D"/>
    <w:rsid w:val="008A6E17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5936"/>
    <w:rsid w:val="008E0D47"/>
    <w:rsid w:val="008E73B0"/>
    <w:rsid w:val="008F3AEB"/>
    <w:rsid w:val="008F4B6C"/>
    <w:rsid w:val="00900849"/>
    <w:rsid w:val="00905ACF"/>
    <w:rsid w:val="00914CFE"/>
    <w:rsid w:val="009402D8"/>
    <w:rsid w:val="009417CD"/>
    <w:rsid w:val="00950684"/>
    <w:rsid w:val="0095390B"/>
    <w:rsid w:val="00955C6D"/>
    <w:rsid w:val="009575BA"/>
    <w:rsid w:val="00960081"/>
    <w:rsid w:val="009612BE"/>
    <w:rsid w:val="00961A05"/>
    <w:rsid w:val="00961D6A"/>
    <w:rsid w:val="0097644D"/>
    <w:rsid w:val="009847E8"/>
    <w:rsid w:val="009877CD"/>
    <w:rsid w:val="009925D5"/>
    <w:rsid w:val="00993F00"/>
    <w:rsid w:val="009A0779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46305"/>
    <w:rsid w:val="00A47D19"/>
    <w:rsid w:val="00A56E7A"/>
    <w:rsid w:val="00A61883"/>
    <w:rsid w:val="00A825C2"/>
    <w:rsid w:val="00A91C81"/>
    <w:rsid w:val="00A97571"/>
    <w:rsid w:val="00AA4F00"/>
    <w:rsid w:val="00AB0C2C"/>
    <w:rsid w:val="00AB556F"/>
    <w:rsid w:val="00AB5F58"/>
    <w:rsid w:val="00AB67BC"/>
    <w:rsid w:val="00AC597D"/>
    <w:rsid w:val="00AC62AC"/>
    <w:rsid w:val="00AE4FCE"/>
    <w:rsid w:val="00AF0D8C"/>
    <w:rsid w:val="00AF5BD4"/>
    <w:rsid w:val="00B0488D"/>
    <w:rsid w:val="00B10D25"/>
    <w:rsid w:val="00B11DA5"/>
    <w:rsid w:val="00B136AA"/>
    <w:rsid w:val="00B13ECF"/>
    <w:rsid w:val="00B16E7A"/>
    <w:rsid w:val="00B23F5E"/>
    <w:rsid w:val="00B2556C"/>
    <w:rsid w:val="00B264D5"/>
    <w:rsid w:val="00B26874"/>
    <w:rsid w:val="00B32990"/>
    <w:rsid w:val="00B4715B"/>
    <w:rsid w:val="00B472C6"/>
    <w:rsid w:val="00B473BE"/>
    <w:rsid w:val="00B533DB"/>
    <w:rsid w:val="00B800F7"/>
    <w:rsid w:val="00B80AFA"/>
    <w:rsid w:val="00B8278F"/>
    <w:rsid w:val="00B95752"/>
    <w:rsid w:val="00B977B2"/>
    <w:rsid w:val="00BA064B"/>
    <w:rsid w:val="00BA0E50"/>
    <w:rsid w:val="00BC0696"/>
    <w:rsid w:val="00BC76A3"/>
    <w:rsid w:val="00BD13EF"/>
    <w:rsid w:val="00BD24A2"/>
    <w:rsid w:val="00BD6B09"/>
    <w:rsid w:val="00BE46FD"/>
    <w:rsid w:val="00BE51E5"/>
    <w:rsid w:val="00BE7C84"/>
    <w:rsid w:val="00BF0CE9"/>
    <w:rsid w:val="00C22074"/>
    <w:rsid w:val="00C25A0A"/>
    <w:rsid w:val="00C33E42"/>
    <w:rsid w:val="00C3562A"/>
    <w:rsid w:val="00C43775"/>
    <w:rsid w:val="00C53217"/>
    <w:rsid w:val="00C70A0F"/>
    <w:rsid w:val="00C7770C"/>
    <w:rsid w:val="00C92AAA"/>
    <w:rsid w:val="00C97AC7"/>
    <w:rsid w:val="00CB3A5E"/>
    <w:rsid w:val="00CD5022"/>
    <w:rsid w:val="00CF103F"/>
    <w:rsid w:val="00CF57C9"/>
    <w:rsid w:val="00CF7CEF"/>
    <w:rsid w:val="00D02C14"/>
    <w:rsid w:val="00D11B24"/>
    <w:rsid w:val="00D15212"/>
    <w:rsid w:val="00D15C97"/>
    <w:rsid w:val="00D23E68"/>
    <w:rsid w:val="00D443D0"/>
    <w:rsid w:val="00D4608E"/>
    <w:rsid w:val="00D50808"/>
    <w:rsid w:val="00D5571A"/>
    <w:rsid w:val="00D6758E"/>
    <w:rsid w:val="00D7553A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19E8"/>
    <w:rsid w:val="00E060EE"/>
    <w:rsid w:val="00E11251"/>
    <w:rsid w:val="00E1312E"/>
    <w:rsid w:val="00E200A1"/>
    <w:rsid w:val="00E22A88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61D5D"/>
    <w:rsid w:val="00E73F89"/>
    <w:rsid w:val="00E80250"/>
    <w:rsid w:val="00E86FC9"/>
    <w:rsid w:val="00E965F7"/>
    <w:rsid w:val="00E9717D"/>
    <w:rsid w:val="00EA42F2"/>
    <w:rsid w:val="00EA6E47"/>
    <w:rsid w:val="00EB3229"/>
    <w:rsid w:val="00EB6E43"/>
    <w:rsid w:val="00ED021A"/>
    <w:rsid w:val="00ED78C6"/>
    <w:rsid w:val="00EE0DB3"/>
    <w:rsid w:val="00EE2764"/>
    <w:rsid w:val="00EE3DC3"/>
    <w:rsid w:val="00EE5D1E"/>
    <w:rsid w:val="00EF21CF"/>
    <w:rsid w:val="00EF3697"/>
    <w:rsid w:val="00EF6B14"/>
    <w:rsid w:val="00EF7CCD"/>
    <w:rsid w:val="00F007AF"/>
    <w:rsid w:val="00F10C7F"/>
    <w:rsid w:val="00F1132B"/>
    <w:rsid w:val="00F11F75"/>
    <w:rsid w:val="00F12B60"/>
    <w:rsid w:val="00F20234"/>
    <w:rsid w:val="00F25353"/>
    <w:rsid w:val="00F3436F"/>
    <w:rsid w:val="00F408CF"/>
    <w:rsid w:val="00F50CBC"/>
    <w:rsid w:val="00F5135F"/>
    <w:rsid w:val="00F5665E"/>
    <w:rsid w:val="00F61260"/>
    <w:rsid w:val="00F721B6"/>
    <w:rsid w:val="00F7367E"/>
    <w:rsid w:val="00F743A5"/>
    <w:rsid w:val="00F851EF"/>
    <w:rsid w:val="00F93B8B"/>
    <w:rsid w:val="00F94022"/>
    <w:rsid w:val="00FB1170"/>
    <w:rsid w:val="00FB3F71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derr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er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DABA-3FEE-41AE-9D8C-03F9EAC2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3187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Derr, Melissa</dc:creator>
  <cp:lastModifiedBy>Farner, Joyce</cp:lastModifiedBy>
  <cp:revision>7</cp:revision>
  <cp:lastPrinted>2016-12-08T19:32:00Z</cp:lastPrinted>
  <dcterms:created xsi:type="dcterms:W3CDTF">2016-12-07T15:47:00Z</dcterms:created>
  <dcterms:modified xsi:type="dcterms:W3CDTF">2016-12-08T19:32:00Z</dcterms:modified>
</cp:coreProperties>
</file>