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384" w:rsidRPr="00615384" w:rsidRDefault="00615384" w:rsidP="00615384">
      <w:pPr>
        <w:tabs>
          <w:tab w:val="clear" w:pos="1440"/>
          <w:tab w:val="left" w:pos="360"/>
        </w:tabs>
        <w:spacing w:before="0" w:after="0" w:line="240" w:lineRule="auto"/>
        <w:jc w:val="center"/>
        <w:rPr>
          <w:rFonts w:eastAsia="SimSun"/>
          <w:b/>
        </w:rPr>
      </w:pPr>
      <w:r w:rsidRPr="00615384">
        <w:rPr>
          <w:rFonts w:eastAsia="SimSun"/>
          <w:b/>
        </w:rPr>
        <w:t>BEFORE THE</w:t>
      </w:r>
    </w:p>
    <w:p w:rsidR="00615384" w:rsidRPr="00615384" w:rsidRDefault="00615384" w:rsidP="00615384">
      <w:pPr>
        <w:tabs>
          <w:tab w:val="clear" w:pos="1440"/>
          <w:tab w:val="left" w:pos="360"/>
        </w:tabs>
        <w:spacing w:before="0" w:after="0" w:line="240" w:lineRule="auto"/>
        <w:jc w:val="center"/>
        <w:rPr>
          <w:rFonts w:eastAsia="SimSun"/>
          <w:b/>
        </w:rPr>
      </w:pPr>
      <w:r w:rsidRPr="00615384">
        <w:rPr>
          <w:rFonts w:eastAsia="SimSun"/>
          <w:b/>
        </w:rPr>
        <w:t>PENNSYLVANIA PUBLIC UTILITY COMMISSION</w:t>
      </w:r>
    </w:p>
    <w:p w:rsidR="00615384" w:rsidRPr="00615384" w:rsidRDefault="00615384" w:rsidP="00615384">
      <w:pPr>
        <w:tabs>
          <w:tab w:val="clear" w:pos="1440"/>
          <w:tab w:val="left" w:pos="360"/>
        </w:tabs>
        <w:spacing w:before="0" w:after="0" w:line="240" w:lineRule="auto"/>
        <w:jc w:val="center"/>
        <w:rPr>
          <w:rFonts w:eastAsia="SimSun"/>
          <w:b/>
        </w:rPr>
      </w:pPr>
    </w:p>
    <w:p w:rsidR="00615384" w:rsidRPr="00615384" w:rsidRDefault="00615384" w:rsidP="00615384">
      <w:pPr>
        <w:tabs>
          <w:tab w:val="clear" w:pos="1440"/>
          <w:tab w:val="left" w:pos="360"/>
        </w:tabs>
        <w:spacing w:before="0" w:after="0" w:line="240" w:lineRule="auto"/>
        <w:jc w:val="both"/>
        <w:rPr>
          <w:rFonts w:eastAsia="SimSun"/>
          <w:b/>
        </w:rPr>
      </w:pPr>
    </w:p>
    <w:p w:rsidR="00615384" w:rsidRPr="00615384" w:rsidRDefault="00615384" w:rsidP="00615384">
      <w:pPr>
        <w:tabs>
          <w:tab w:val="clear" w:pos="1440"/>
          <w:tab w:val="left" w:pos="360"/>
        </w:tabs>
        <w:spacing w:before="0" w:after="0" w:line="240" w:lineRule="auto"/>
        <w:jc w:val="both"/>
        <w:rPr>
          <w:rFonts w:eastAsia="SimSun"/>
          <w:b/>
        </w:rPr>
      </w:pPr>
    </w:p>
    <w:p w:rsidR="00615384" w:rsidRPr="00615384" w:rsidRDefault="00615384" w:rsidP="00615384">
      <w:pPr>
        <w:tabs>
          <w:tab w:val="clear" w:pos="1440"/>
          <w:tab w:val="left" w:pos="360"/>
        </w:tabs>
        <w:spacing w:before="0" w:after="0" w:line="240" w:lineRule="auto"/>
        <w:jc w:val="both"/>
        <w:rPr>
          <w:rFonts w:eastAsia="SimSun"/>
          <w:b/>
        </w:rPr>
      </w:pPr>
      <w:r w:rsidRPr="00615384">
        <w:rPr>
          <w:rFonts w:eastAsia="SimSun"/>
        </w:rPr>
        <w:t xml:space="preserve">Mandy </w:t>
      </w:r>
      <w:proofErr w:type="spellStart"/>
      <w:r w:rsidRPr="00615384">
        <w:rPr>
          <w:rFonts w:eastAsia="SimSun"/>
        </w:rPr>
        <w:t>Botts</w:t>
      </w:r>
      <w:proofErr w:type="spellEnd"/>
      <w:r w:rsidRPr="00615384">
        <w:rPr>
          <w:rFonts w:eastAsia="SimSun"/>
        </w:rPr>
        <w:tab/>
      </w:r>
      <w:r w:rsidRPr="00615384">
        <w:rPr>
          <w:rFonts w:eastAsia="SimSun"/>
        </w:rPr>
        <w:tab/>
      </w:r>
      <w:r w:rsidRPr="00615384">
        <w:rPr>
          <w:rFonts w:eastAsia="SimSun"/>
        </w:rPr>
        <w:tab/>
      </w:r>
      <w:r w:rsidRPr="00615384">
        <w:rPr>
          <w:rFonts w:eastAsia="SimSun"/>
        </w:rPr>
        <w:tab/>
      </w:r>
      <w:r w:rsidRPr="00615384">
        <w:rPr>
          <w:rFonts w:eastAsia="SimSun"/>
        </w:rPr>
        <w:tab/>
      </w:r>
      <w:r w:rsidRPr="00615384">
        <w:rPr>
          <w:rFonts w:eastAsia="SimSun"/>
        </w:rPr>
        <w:tab/>
      </w:r>
      <w:r w:rsidRPr="00615384">
        <w:rPr>
          <w:rFonts w:eastAsia="SimSun"/>
          <w:b/>
        </w:rPr>
        <w:t>:</w:t>
      </w:r>
    </w:p>
    <w:p w:rsidR="00615384" w:rsidRPr="00615384" w:rsidRDefault="00615384" w:rsidP="00615384">
      <w:pPr>
        <w:tabs>
          <w:tab w:val="clear" w:pos="1440"/>
          <w:tab w:val="left" w:pos="360"/>
        </w:tabs>
        <w:spacing w:before="0" w:after="0" w:line="240" w:lineRule="auto"/>
        <w:jc w:val="both"/>
        <w:rPr>
          <w:rFonts w:eastAsia="SimSun"/>
        </w:rPr>
      </w:pPr>
      <w:r w:rsidRPr="00615384">
        <w:rPr>
          <w:rFonts w:eastAsia="SimSun"/>
          <w:b/>
        </w:rPr>
        <w:tab/>
      </w:r>
      <w:r w:rsidRPr="00615384">
        <w:rPr>
          <w:rFonts w:eastAsia="SimSun"/>
          <w:b/>
        </w:rPr>
        <w:tab/>
      </w:r>
      <w:r w:rsidRPr="00615384">
        <w:rPr>
          <w:rFonts w:eastAsia="SimSun"/>
          <w:b/>
        </w:rPr>
        <w:tab/>
      </w:r>
      <w:r w:rsidRPr="00615384">
        <w:rPr>
          <w:rFonts w:eastAsia="SimSun"/>
          <w:b/>
        </w:rPr>
        <w:tab/>
      </w:r>
      <w:r w:rsidRPr="00615384">
        <w:rPr>
          <w:rFonts w:eastAsia="SimSun"/>
          <w:b/>
        </w:rPr>
        <w:tab/>
      </w:r>
      <w:r w:rsidRPr="00615384">
        <w:rPr>
          <w:rFonts w:eastAsia="SimSun"/>
          <w:b/>
        </w:rPr>
        <w:tab/>
      </w:r>
      <w:r w:rsidRPr="00615384">
        <w:rPr>
          <w:rFonts w:eastAsia="SimSun"/>
          <w:b/>
        </w:rPr>
        <w:tab/>
      </w:r>
      <w:r w:rsidRPr="00615384">
        <w:rPr>
          <w:rFonts w:eastAsia="SimSun"/>
          <w:b/>
        </w:rPr>
        <w:tab/>
        <w:t>:</w:t>
      </w:r>
    </w:p>
    <w:p w:rsidR="00615384" w:rsidRPr="00615384" w:rsidRDefault="00615384" w:rsidP="00615384">
      <w:pPr>
        <w:tabs>
          <w:tab w:val="clear" w:pos="1440"/>
          <w:tab w:val="left" w:pos="360"/>
          <w:tab w:val="left" w:pos="720"/>
        </w:tabs>
        <w:spacing w:before="0" w:after="0" w:line="240" w:lineRule="auto"/>
        <w:jc w:val="both"/>
        <w:rPr>
          <w:rFonts w:eastAsia="SimSun"/>
        </w:rPr>
      </w:pPr>
      <w:r w:rsidRPr="00615384">
        <w:rPr>
          <w:rFonts w:eastAsia="SimSun"/>
        </w:rPr>
        <w:tab/>
      </w:r>
      <w:r w:rsidRPr="00615384">
        <w:rPr>
          <w:rFonts w:eastAsia="SimSun"/>
        </w:rPr>
        <w:tab/>
        <w:t>v.</w:t>
      </w:r>
      <w:r w:rsidRPr="00615384">
        <w:rPr>
          <w:rFonts w:eastAsia="SimSun"/>
        </w:rPr>
        <w:tab/>
      </w:r>
      <w:r w:rsidRPr="00615384">
        <w:rPr>
          <w:rFonts w:eastAsia="SimSun"/>
        </w:rPr>
        <w:tab/>
      </w:r>
      <w:r w:rsidRPr="00615384">
        <w:rPr>
          <w:rFonts w:eastAsia="SimSun"/>
        </w:rPr>
        <w:tab/>
      </w:r>
      <w:r w:rsidRPr="00615384">
        <w:rPr>
          <w:rFonts w:eastAsia="SimSun"/>
        </w:rPr>
        <w:tab/>
      </w:r>
      <w:r w:rsidRPr="00615384">
        <w:rPr>
          <w:rFonts w:eastAsia="SimSun"/>
        </w:rPr>
        <w:tab/>
      </w:r>
      <w:r w:rsidRPr="00615384">
        <w:rPr>
          <w:rFonts w:eastAsia="SimSun"/>
        </w:rPr>
        <w:tab/>
      </w:r>
      <w:r w:rsidRPr="00615384">
        <w:rPr>
          <w:rFonts w:eastAsia="SimSun"/>
          <w:b/>
        </w:rPr>
        <w:t>:</w:t>
      </w:r>
      <w:r w:rsidRPr="00615384">
        <w:rPr>
          <w:rFonts w:eastAsia="SimSun"/>
        </w:rPr>
        <w:tab/>
      </w:r>
      <w:r w:rsidRPr="00615384">
        <w:rPr>
          <w:rFonts w:eastAsia="SimSun"/>
        </w:rPr>
        <w:tab/>
        <w:t>C-2016-2526980</w:t>
      </w:r>
    </w:p>
    <w:p w:rsidR="00615384" w:rsidRPr="00615384" w:rsidRDefault="00615384" w:rsidP="00615384">
      <w:pPr>
        <w:tabs>
          <w:tab w:val="clear" w:pos="1440"/>
          <w:tab w:val="left" w:pos="360"/>
        </w:tabs>
        <w:spacing w:before="0" w:after="0" w:line="240" w:lineRule="auto"/>
        <w:jc w:val="both"/>
        <w:rPr>
          <w:rFonts w:eastAsia="SimSun"/>
        </w:rPr>
      </w:pPr>
      <w:r w:rsidRPr="00615384">
        <w:rPr>
          <w:rFonts w:eastAsia="SimSun"/>
        </w:rPr>
        <w:tab/>
      </w:r>
      <w:r w:rsidRPr="00615384">
        <w:rPr>
          <w:rFonts w:eastAsia="SimSun"/>
        </w:rPr>
        <w:tab/>
      </w:r>
      <w:r w:rsidRPr="00615384">
        <w:rPr>
          <w:rFonts w:eastAsia="SimSun"/>
        </w:rPr>
        <w:tab/>
      </w:r>
      <w:r w:rsidRPr="00615384">
        <w:rPr>
          <w:rFonts w:eastAsia="SimSun"/>
        </w:rPr>
        <w:tab/>
      </w:r>
      <w:r w:rsidRPr="00615384">
        <w:rPr>
          <w:rFonts w:eastAsia="SimSun"/>
        </w:rPr>
        <w:tab/>
      </w:r>
      <w:r w:rsidRPr="00615384">
        <w:rPr>
          <w:rFonts w:eastAsia="SimSun"/>
        </w:rPr>
        <w:tab/>
      </w:r>
      <w:r w:rsidRPr="00615384">
        <w:rPr>
          <w:rFonts w:eastAsia="SimSun"/>
        </w:rPr>
        <w:tab/>
      </w:r>
      <w:r w:rsidRPr="00615384">
        <w:rPr>
          <w:rFonts w:eastAsia="SimSun"/>
        </w:rPr>
        <w:tab/>
      </w:r>
      <w:r w:rsidRPr="00615384">
        <w:rPr>
          <w:rFonts w:eastAsia="SimSun"/>
          <w:b/>
        </w:rPr>
        <w:t>:</w:t>
      </w:r>
    </w:p>
    <w:p w:rsidR="00615384" w:rsidRPr="00615384" w:rsidRDefault="00615384" w:rsidP="00615384">
      <w:pPr>
        <w:tabs>
          <w:tab w:val="clear" w:pos="1440"/>
          <w:tab w:val="left" w:pos="360"/>
        </w:tabs>
        <w:spacing w:before="0" w:after="0" w:line="240" w:lineRule="auto"/>
        <w:jc w:val="both"/>
        <w:rPr>
          <w:rFonts w:eastAsia="SimSun"/>
        </w:rPr>
      </w:pPr>
      <w:r w:rsidRPr="00615384">
        <w:rPr>
          <w:rFonts w:eastAsia="SimSun"/>
        </w:rPr>
        <w:t>PPL Electric Utilities Corporation/</w:t>
      </w:r>
      <w:r w:rsidRPr="00615384">
        <w:rPr>
          <w:rFonts w:eastAsia="SimSun"/>
        </w:rPr>
        <w:tab/>
      </w:r>
      <w:r w:rsidRPr="00615384">
        <w:rPr>
          <w:rFonts w:eastAsia="SimSun"/>
        </w:rPr>
        <w:tab/>
      </w:r>
      <w:r w:rsidRPr="00615384">
        <w:rPr>
          <w:rFonts w:eastAsia="SimSun"/>
        </w:rPr>
        <w:tab/>
      </w:r>
      <w:r w:rsidRPr="00615384">
        <w:rPr>
          <w:rFonts w:eastAsia="SimSun"/>
          <w:b/>
        </w:rPr>
        <w:t>:</w:t>
      </w:r>
    </w:p>
    <w:p w:rsidR="00615384" w:rsidRPr="00615384" w:rsidRDefault="00615384" w:rsidP="00615384">
      <w:pPr>
        <w:tabs>
          <w:tab w:val="clear" w:pos="1440"/>
          <w:tab w:val="left" w:pos="360"/>
        </w:tabs>
        <w:spacing w:before="0" w:after="0" w:line="240" w:lineRule="auto"/>
        <w:jc w:val="both"/>
        <w:rPr>
          <w:rFonts w:eastAsia="SimSun"/>
        </w:rPr>
      </w:pPr>
      <w:r w:rsidRPr="00615384">
        <w:rPr>
          <w:rFonts w:eastAsia="SimSun"/>
        </w:rPr>
        <w:t>Direct Energy Services, LLC</w:t>
      </w:r>
      <w:r w:rsidRPr="00615384">
        <w:rPr>
          <w:rFonts w:eastAsia="SimSun"/>
        </w:rPr>
        <w:tab/>
      </w:r>
      <w:r w:rsidRPr="00615384">
        <w:rPr>
          <w:rFonts w:eastAsia="SimSun"/>
        </w:rPr>
        <w:tab/>
      </w:r>
      <w:r w:rsidRPr="00615384">
        <w:rPr>
          <w:rFonts w:eastAsia="SimSun"/>
        </w:rPr>
        <w:tab/>
      </w:r>
      <w:r w:rsidRPr="00615384">
        <w:rPr>
          <w:rFonts w:eastAsia="SimSun"/>
        </w:rPr>
        <w:tab/>
      </w:r>
      <w:r w:rsidRPr="00FC4FBE">
        <w:rPr>
          <w:rFonts w:eastAsia="SimSun"/>
          <w:b/>
        </w:rPr>
        <w:t>:</w:t>
      </w:r>
    </w:p>
    <w:p w:rsidR="00615384" w:rsidRDefault="00615384" w:rsidP="00615384">
      <w:pPr>
        <w:tabs>
          <w:tab w:val="clear" w:pos="1440"/>
          <w:tab w:val="left" w:pos="360"/>
        </w:tabs>
        <w:spacing w:before="0" w:after="0" w:line="240" w:lineRule="auto"/>
        <w:jc w:val="both"/>
        <w:rPr>
          <w:rFonts w:eastAsia="SimSun"/>
        </w:rPr>
      </w:pPr>
    </w:p>
    <w:p w:rsidR="001C7744" w:rsidRPr="00615384" w:rsidRDefault="001C7744" w:rsidP="00615384">
      <w:pPr>
        <w:tabs>
          <w:tab w:val="clear" w:pos="1440"/>
          <w:tab w:val="left" w:pos="360"/>
        </w:tabs>
        <w:spacing w:before="0" w:after="0" w:line="240" w:lineRule="auto"/>
        <w:jc w:val="both"/>
        <w:rPr>
          <w:rFonts w:eastAsia="SimSun"/>
        </w:rPr>
      </w:pPr>
    </w:p>
    <w:p w:rsidR="00615384" w:rsidRPr="00615384" w:rsidRDefault="00615384" w:rsidP="00615384">
      <w:pPr>
        <w:tabs>
          <w:tab w:val="clear" w:pos="1440"/>
          <w:tab w:val="left" w:pos="360"/>
        </w:tabs>
        <w:spacing w:before="0" w:after="0" w:line="240" w:lineRule="auto"/>
        <w:jc w:val="both"/>
        <w:rPr>
          <w:rFonts w:eastAsia="SimSun"/>
          <w:b/>
        </w:rPr>
      </w:pPr>
    </w:p>
    <w:p w:rsidR="00471F73" w:rsidRDefault="00471F73" w:rsidP="00FC4FBE">
      <w:pPr>
        <w:spacing w:before="0" w:after="0" w:line="240" w:lineRule="auto"/>
        <w:jc w:val="center"/>
        <w:rPr>
          <w:b/>
          <w:u w:val="single"/>
        </w:rPr>
      </w:pPr>
      <w:r w:rsidRPr="00D93AC6">
        <w:rPr>
          <w:b/>
          <w:u w:val="single"/>
        </w:rPr>
        <w:t>INITIAL DECISION</w:t>
      </w:r>
    </w:p>
    <w:p w:rsidR="00FC4FBE" w:rsidRDefault="00FC4FBE" w:rsidP="00FC4FBE">
      <w:pPr>
        <w:spacing w:before="0" w:after="0" w:line="240" w:lineRule="auto"/>
        <w:jc w:val="center"/>
        <w:rPr>
          <w:b/>
          <w:u w:val="single"/>
        </w:rPr>
      </w:pPr>
    </w:p>
    <w:p w:rsidR="00FC4FBE" w:rsidRPr="00D93AC6" w:rsidRDefault="00FC4FBE" w:rsidP="00FC4FBE">
      <w:pPr>
        <w:spacing w:before="0" w:after="0" w:line="240" w:lineRule="auto"/>
        <w:jc w:val="center"/>
        <w:rPr>
          <w:b/>
          <w:u w:val="single"/>
        </w:rPr>
      </w:pPr>
    </w:p>
    <w:p w:rsidR="009E454B" w:rsidRDefault="00471F73" w:rsidP="009E454B">
      <w:pPr>
        <w:spacing w:before="0" w:after="0" w:line="240" w:lineRule="auto"/>
        <w:jc w:val="center"/>
      </w:pPr>
      <w:r>
        <w:t xml:space="preserve">Before </w:t>
      </w:r>
    </w:p>
    <w:p w:rsidR="00471F73" w:rsidRDefault="00471F73" w:rsidP="009E454B">
      <w:pPr>
        <w:spacing w:before="0" w:after="0" w:line="240" w:lineRule="auto"/>
        <w:jc w:val="center"/>
      </w:pPr>
      <w:r>
        <w:t>Mary D. Long</w:t>
      </w:r>
    </w:p>
    <w:p w:rsidR="00471F73" w:rsidRDefault="00471F73" w:rsidP="009E454B">
      <w:pPr>
        <w:spacing w:before="0" w:after="0" w:line="240" w:lineRule="auto"/>
        <w:jc w:val="center"/>
      </w:pPr>
      <w:r>
        <w:t>Administrative Law Judge</w:t>
      </w:r>
    </w:p>
    <w:p w:rsidR="00FC4FBE" w:rsidRDefault="00FC4FBE" w:rsidP="009E454B">
      <w:pPr>
        <w:spacing w:before="0" w:after="0" w:line="240" w:lineRule="auto"/>
        <w:jc w:val="center"/>
      </w:pPr>
    </w:p>
    <w:p w:rsidR="00471F73" w:rsidRPr="009E454B" w:rsidRDefault="00471F73" w:rsidP="009E454B">
      <w:pPr>
        <w:jc w:val="center"/>
        <w:rPr>
          <w:u w:val="single"/>
        </w:rPr>
      </w:pPr>
      <w:r w:rsidRPr="009E454B">
        <w:rPr>
          <w:u w:val="single"/>
        </w:rPr>
        <w:t>INTRODUCTION</w:t>
      </w:r>
    </w:p>
    <w:p w:rsidR="00471F73" w:rsidRDefault="00212DCD">
      <w:r>
        <w:tab/>
        <w:t>A consumer failed to prove that her electric distribution company and electric generation supplier billing was incorrect.  The consumer is not eligible for a second Commission-ordered payment arrangement.</w:t>
      </w:r>
    </w:p>
    <w:p w:rsidR="00471F73" w:rsidRPr="00F05B13" w:rsidRDefault="00471F73" w:rsidP="00F05B13">
      <w:pPr>
        <w:jc w:val="center"/>
        <w:rPr>
          <w:u w:val="single"/>
        </w:rPr>
      </w:pPr>
      <w:r w:rsidRPr="00F05B13">
        <w:rPr>
          <w:u w:val="single"/>
        </w:rPr>
        <w:t>HISTORY OF THE PROCEEDINGS</w:t>
      </w:r>
    </w:p>
    <w:p w:rsidR="00B01557" w:rsidRDefault="00B01557">
      <w:r>
        <w:tab/>
        <w:t xml:space="preserve">On January 27, 2016, Mandy </w:t>
      </w:r>
      <w:proofErr w:type="spellStart"/>
      <w:r>
        <w:t>Botts</w:t>
      </w:r>
      <w:proofErr w:type="spellEnd"/>
      <w:r>
        <w:t xml:space="preserve"> (Complainant) filed a formal complaint against PPL Electric Utilities Corporation (PPL) and Direct Energy Services, LLC (Direct Energy).  The Complainant allege</w:t>
      </w:r>
      <w:r w:rsidR="007A00CD">
        <w:t>s</w:t>
      </w:r>
      <w:r>
        <w:t xml:space="preserve"> that there were incorrect charges on her bill and that she would like a payment arrangement.  Specifically</w:t>
      </w:r>
      <w:r w:rsidR="00FC4FBE">
        <w:t>,</w:t>
      </w:r>
      <w:r>
        <w:t xml:space="preserve"> she states that the charges aren’t correct on her bill because she is supposed to receive energy for free from Direct Energy during certain hours of the day.  She also notes that there are charges on her bills that don’t make sense</w:t>
      </w:r>
      <w:r w:rsidR="00212DCD">
        <w:t xml:space="preserve"> to her</w:t>
      </w:r>
      <w:r>
        <w:t xml:space="preserve">.  Finally, she alleges that her household income has </w:t>
      </w:r>
      <w:proofErr w:type="gramStart"/>
      <w:r>
        <w:t>changed,</w:t>
      </w:r>
      <w:proofErr w:type="gramEnd"/>
      <w:r>
        <w:t xml:space="preserve"> therefore she needs a new payment arrangement.</w:t>
      </w:r>
    </w:p>
    <w:p w:rsidR="00CB4ACF" w:rsidRDefault="00CB4ACF">
      <w:r>
        <w:lastRenderedPageBreak/>
        <w:tab/>
        <w:t>PPL filed an answer on February 22, 2016.  PPL denies the material allegations of the complaint, noting that the Complainant’s consumption remains consistent from year to year.</w:t>
      </w:r>
      <w:r w:rsidR="003F1A31">
        <w:t xml:space="preserve">  PPL also denies that the Complainant is entitled to a new payment arrangement because she has defaulted on </w:t>
      </w:r>
      <w:r w:rsidR="00FC4FBE">
        <w:t>12</w:t>
      </w:r>
      <w:r w:rsidR="003F1A31">
        <w:t xml:space="preserve"> payment arrangements.</w:t>
      </w:r>
    </w:p>
    <w:p w:rsidR="003F1A31" w:rsidRDefault="003F1A31">
      <w:r>
        <w:tab/>
        <w:t>Direct Energy filed an answer to the complaint on February 26, 2016.  Direct Energy also denies the material allegations of the complaint and states that at all times the Complainant has been charged the correct price for service.</w:t>
      </w:r>
    </w:p>
    <w:p w:rsidR="003F1A31" w:rsidRDefault="003F1A31">
      <w:r>
        <w:tab/>
        <w:t>By hearing notice dated April 7, 2016, the complaint was assigned to me for disposition and scheduled for a hearing on May 27, 2016.</w:t>
      </w:r>
      <w:r w:rsidR="00976850">
        <w:t xml:space="preserve">  A prehearing order was issued on April 8, 2016.</w:t>
      </w:r>
    </w:p>
    <w:p w:rsidR="00976850" w:rsidRDefault="00976850">
      <w:r>
        <w:tab/>
        <w:t xml:space="preserve">The hearing convened as scheduled.  The Complainant was self-represented and testified on her own behalf.  Attorney Kimberly G. Krupka appeared on behalf of PPL.  PPL presented the testimony of Alecia Weaver and offered nine exhibits which were admitted into the record.  Attorney Carl </w:t>
      </w:r>
      <w:r w:rsidR="00FC4FBE">
        <w:t xml:space="preserve">R. </w:t>
      </w:r>
      <w:r>
        <w:t xml:space="preserve">Shultz appeared on behalf of Direct Energy.  Direct Energy presented the testimony of Diane </w:t>
      </w:r>
      <w:proofErr w:type="spellStart"/>
      <w:r>
        <w:t>Burckhart</w:t>
      </w:r>
      <w:proofErr w:type="spellEnd"/>
      <w:r>
        <w:t xml:space="preserve"> and offered two exhibits which were admitted into the record.  </w:t>
      </w:r>
    </w:p>
    <w:p w:rsidR="00976850" w:rsidRDefault="00976850">
      <w:r>
        <w:tab/>
        <w:t>At the conclusion of the hearing it was agreed that PPL would perform a meter analysis.  The Complainant also wished to send copies of bills as well as some receipts for payment that she had made</w:t>
      </w:r>
      <w:r w:rsidR="00212DCD">
        <w:t xml:space="preserve"> as exhibits</w:t>
      </w:r>
      <w:r>
        <w:t xml:space="preserve">.  The Complainant sent the materials to me on or about June 2, 2016.  I received the results of PPL’s meter test on June 9, 2016.  In reviewing these materials, I determined that a further hearing was necessary.  </w:t>
      </w:r>
    </w:p>
    <w:p w:rsidR="00976850" w:rsidRDefault="00976850">
      <w:r>
        <w:tab/>
        <w:t>By hearing notice dated June 15, 2016, a further hearing was scheduled for August 2, 2016.  The Complainant appeared and offered three exhibits which were admitted into the record.  PPL appeared and offered additional testimony by Ms. Weaver.  PPL offered one additional exhibit which was admitted into the record.  Direct Energy also appeared, but did not offer any additional testimony</w:t>
      </w:r>
      <w:r w:rsidR="00212DCD">
        <w:t xml:space="preserve"> or exhibits</w:t>
      </w:r>
      <w:r>
        <w:t>.  The hearings resulted in a transcript of 86 pages.  Following the receipt of the transcripts, the record was closed by order dated August 29, 2016.</w:t>
      </w:r>
    </w:p>
    <w:p w:rsidR="000628B5" w:rsidRPr="005C657F" w:rsidRDefault="000628B5" w:rsidP="00D15BE7">
      <w:pPr>
        <w:jc w:val="center"/>
        <w:rPr>
          <w:u w:val="single"/>
        </w:rPr>
      </w:pPr>
      <w:r w:rsidRPr="005C657F">
        <w:rPr>
          <w:u w:val="single"/>
        </w:rPr>
        <w:lastRenderedPageBreak/>
        <w:t>FINDINGS OF FACT</w:t>
      </w:r>
    </w:p>
    <w:p w:rsidR="000628B5" w:rsidRDefault="003D345A" w:rsidP="00D15BE7">
      <w:pPr>
        <w:pStyle w:val="ListParagraph"/>
        <w:ind w:firstLine="1440"/>
      </w:pPr>
      <w:r>
        <w:t xml:space="preserve"> </w:t>
      </w:r>
      <w:r w:rsidR="00B06A81">
        <w:t xml:space="preserve">The Complainant, Mandy </w:t>
      </w:r>
      <w:proofErr w:type="spellStart"/>
      <w:r w:rsidR="00B06A81">
        <w:t>Botts</w:t>
      </w:r>
      <w:proofErr w:type="spellEnd"/>
      <w:r w:rsidR="00B06A81">
        <w:t xml:space="preserve">, resides at 9 Smoke House Lane, Shamokin Dam, </w:t>
      </w:r>
      <w:proofErr w:type="gramStart"/>
      <w:r w:rsidR="00B06A81">
        <w:t>Pennsylvania</w:t>
      </w:r>
      <w:proofErr w:type="gramEnd"/>
      <w:r w:rsidR="00B06A81">
        <w:t>.</w:t>
      </w:r>
    </w:p>
    <w:p w:rsidR="00B06A81" w:rsidRDefault="00B06A81" w:rsidP="00D15BE7">
      <w:pPr>
        <w:pStyle w:val="ListParagraph"/>
        <w:ind w:firstLine="1440"/>
      </w:pPr>
      <w:r>
        <w:t>The Complainant receives electric distribution service from PPL Electric Utilities</w:t>
      </w:r>
      <w:r w:rsidR="00165692">
        <w:t xml:space="preserve"> Corporation</w:t>
      </w:r>
      <w:r>
        <w:t>, a jurisdictional public utility.</w:t>
      </w:r>
    </w:p>
    <w:p w:rsidR="003D345A" w:rsidRDefault="003D345A" w:rsidP="00D15BE7">
      <w:pPr>
        <w:pStyle w:val="ListParagraph"/>
        <w:ind w:firstLine="1440"/>
      </w:pPr>
      <w:r>
        <w:t xml:space="preserve"> </w:t>
      </w:r>
      <w:r w:rsidR="00B06A81">
        <w:t xml:space="preserve">The Complainant receives </w:t>
      </w:r>
      <w:r w:rsidR="004C1D25">
        <w:t xml:space="preserve">electric </w:t>
      </w:r>
      <w:r w:rsidR="00B06A81">
        <w:t xml:space="preserve">generation service from Direct Energy. </w:t>
      </w:r>
      <w:r w:rsidR="00165692">
        <w:t xml:space="preserve"> (N.T. </w:t>
      </w:r>
      <w:r w:rsidR="00B06A81">
        <w:t>53)</w:t>
      </w:r>
    </w:p>
    <w:p w:rsidR="00575840" w:rsidRDefault="00575840" w:rsidP="00D15BE7">
      <w:pPr>
        <w:pStyle w:val="ListParagraph"/>
        <w:ind w:firstLine="1440"/>
      </w:pPr>
      <w:r>
        <w:t>The Complainant has not made significant changes in her</w:t>
      </w:r>
      <w:r w:rsidR="006D7D96">
        <w:t xml:space="preserve"> energy consumption</w:t>
      </w:r>
      <w:r>
        <w:t xml:space="preserve"> habits </w:t>
      </w:r>
      <w:r w:rsidR="006D7D96">
        <w:t>in</w:t>
      </w:r>
      <w:r>
        <w:t xml:space="preserve"> 2014, 2015</w:t>
      </w:r>
      <w:r w:rsidR="006D7D96">
        <w:t>,</w:t>
      </w:r>
      <w:r>
        <w:t xml:space="preserve"> </w:t>
      </w:r>
      <w:r w:rsidR="006D7D96">
        <w:t>or</w:t>
      </w:r>
      <w:r>
        <w:t xml:space="preserve"> 2016.  (N.T. 10)</w:t>
      </w:r>
    </w:p>
    <w:p w:rsidR="00575840" w:rsidRDefault="00575840" w:rsidP="00D15BE7">
      <w:pPr>
        <w:pStyle w:val="ListParagraph"/>
        <w:ind w:firstLine="1440"/>
      </w:pPr>
      <w:r>
        <w:t>Her home is heated with electricity.  (N.T. 10)</w:t>
      </w:r>
    </w:p>
    <w:p w:rsidR="000C1BF1" w:rsidRDefault="00575840" w:rsidP="00D15BE7">
      <w:pPr>
        <w:pStyle w:val="ListParagraph"/>
        <w:ind w:firstLine="1440"/>
      </w:pPr>
      <w:r>
        <w:t>She typically sets her thermostat at 66 degrees.  (N.T. 10)</w:t>
      </w:r>
      <w:r w:rsidR="000C1BF1" w:rsidRPr="000C1BF1">
        <w:t xml:space="preserve"> </w:t>
      </w:r>
    </w:p>
    <w:p w:rsidR="000C1BF1" w:rsidRDefault="000C1BF1" w:rsidP="00D15BE7">
      <w:pPr>
        <w:pStyle w:val="ListParagraph"/>
        <w:ind w:firstLine="1440"/>
      </w:pPr>
      <w:r>
        <w:t xml:space="preserve">The Complainant enrolled for Direct Energy </w:t>
      </w:r>
      <w:r w:rsidR="00B33C35">
        <w:t xml:space="preserve">generation </w:t>
      </w:r>
      <w:r>
        <w:t>service on December 19, 2012, and renewed her contract on June 2, 2014.  (N.T. 53)</w:t>
      </w:r>
    </w:p>
    <w:p w:rsidR="00B33C35" w:rsidRDefault="000C1BF1" w:rsidP="00D15BE7">
      <w:pPr>
        <w:pStyle w:val="ListParagraph"/>
        <w:ind w:firstLine="1440"/>
      </w:pPr>
      <w:r>
        <w:t>When the Complainant renewed her contract, she renewed her account for a 24-month term</w:t>
      </w:r>
      <w:r w:rsidR="00B33C35">
        <w:t>.  (N.T. 58; Direct Energy Ex. 1)</w:t>
      </w:r>
      <w:r w:rsidR="00B33C35" w:rsidRPr="000C1BF1">
        <w:t xml:space="preserve"> </w:t>
      </w:r>
    </w:p>
    <w:p w:rsidR="000C1BF1" w:rsidRDefault="000C1BF1" w:rsidP="00D15BE7">
      <w:pPr>
        <w:pStyle w:val="ListParagraph"/>
        <w:ind w:firstLine="1440"/>
      </w:pPr>
      <w:r>
        <w:t xml:space="preserve"> Pursuant to the terms of the Direct Energy contract, the Complainant pays nothing per kilowatt hour between 7:00 p.m. and 11:00 p.m.  (N.T. 58; Direct Energy Ex. 1)</w:t>
      </w:r>
    </w:p>
    <w:p w:rsidR="00B33C35" w:rsidRDefault="00B33C35" w:rsidP="00D15BE7">
      <w:pPr>
        <w:pStyle w:val="ListParagraph"/>
        <w:ind w:firstLine="1440"/>
      </w:pPr>
      <w:r>
        <w:t>At all other times, she is charged 9.6 cents per kWh.  (N.T. 58; Direct Energy Ex. 1)</w:t>
      </w:r>
    </w:p>
    <w:p w:rsidR="000C1BF1" w:rsidRDefault="000C1BF1" w:rsidP="00D15BE7">
      <w:pPr>
        <w:pStyle w:val="ListParagraph"/>
        <w:ind w:firstLine="1440"/>
      </w:pPr>
      <w:r>
        <w:t>The Complainant does her laundry between 7:00 p.m. and 11:00 p.m. and tries to time her other activities that require electricity within that time period.  (N.T. 29)</w:t>
      </w:r>
    </w:p>
    <w:p w:rsidR="000C1BF1" w:rsidRDefault="000C1BF1" w:rsidP="00D15BE7">
      <w:pPr>
        <w:pStyle w:val="ListParagraph"/>
        <w:ind w:firstLine="1440"/>
      </w:pPr>
      <w:r>
        <w:lastRenderedPageBreak/>
        <w:t>Direct Energy utilize</w:t>
      </w:r>
      <w:r w:rsidR="00B33C35">
        <w:t>s</w:t>
      </w:r>
      <w:r>
        <w:t xml:space="preserve"> the usage information provided by PPL.</w:t>
      </w:r>
      <w:r w:rsidR="00165692">
        <w:t xml:space="preserve">  </w:t>
      </w:r>
      <w:r>
        <w:t>(N.T. 55)</w:t>
      </w:r>
    </w:p>
    <w:p w:rsidR="000C1BF1" w:rsidRDefault="00B33C35" w:rsidP="00D15BE7">
      <w:pPr>
        <w:pStyle w:val="ListParagraph"/>
        <w:ind w:firstLine="1440"/>
      </w:pPr>
      <w:r>
        <w:t xml:space="preserve">According to her account history, </w:t>
      </w:r>
      <w:r w:rsidR="000C1BF1">
        <w:t xml:space="preserve">the Complainant typically pays nothing for about 20% of her total monthly </w:t>
      </w:r>
      <w:r>
        <w:t>generation from Direct Energy</w:t>
      </w:r>
      <w:r w:rsidR="000C1BF1">
        <w:t>.  (Direct Energy Ex. 2)</w:t>
      </w:r>
    </w:p>
    <w:p w:rsidR="000C1BF1" w:rsidRDefault="000C1BF1" w:rsidP="00D15BE7">
      <w:pPr>
        <w:pStyle w:val="ListParagraph"/>
        <w:ind w:firstLine="1440"/>
      </w:pPr>
      <w:r>
        <w:t>The Complainant’s seasonal usage is not significantly different</w:t>
      </w:r>
      <w:r w:rsidR="00005230">
        <w:t xml:space="preserve"> from season to season</w:t>
      </w:r>
      <w:r>
        <w:t xml:space="preserve">. </w:t>
      </w:r>
      <w:r w:rsidR="00165692">
        <w:t xml:space="preserve"> </w:t>
      </w:r>
      <w:r>
        <w:t>(N.T. 56; Direct Energy Ex. 2)</w:t>
      </w:r>
    </w:p>
    <w:p w:rsidR="000C1BF1" w:rsidRDefault="000C1BF1" w:rsidP="00D15BE7">
      <w:pPr>
        <w:pStyle w:val="ListParagraph"/>
        <w:ind w:firstLine="1440"/>
      </w:pPr>
      <w:r>
        <w:t>The Complainant’s meter was tested by PPL on June 6, 2016.  (N.T. 79)</w:t>
      </w:r>
    </w:p>
    <w:p w:rsidR="00575840" w:rsidRDefault="000C1BF1" w:rsidP="00D15BE7">
      <w:pPr>
        <w:pStyle w:val="ListParagraph"/>
        <w:ind w:firstLine="1440"/>
      </w:pPr>
      <w:r>
        <w:t>The results of the meter test are that the meter was operating properly and consistently with Commission regulations.  (N.T. 79; PPL Ex. 5)</w:t>
      </w:r>
    </w:p>
    <w:p w:rsidR="00E41C19" w:rsidRDefault="00E41C19" w:rsidP="00D15BE7">
      <w:pPr>
        <w:pStyle w:val="ListParagraph"/>
        <w:ind w:firstLine="1440"/>
      </w:pPr>
      <w:r>
        <w:t>The Complainant resides with her two minor children, her husband and her mother-in-law.  (N.T. 8)</w:t>
      </w:r>
    </w:p>
    <w:p w:rsidR="003D345A" w:rsidRDefault="00E41C19" w:rsidP="00D15BE7">
      <w:pPr>
        <w:pStyle w:val="ListParagraph"/>
        <w:ind w:firstLine="1440"/>
      </w:pPr>
      <w:r>
        <w:t>At the May 27, 2016 hearing, the Complainant stated that she and her husband were in the process of separating and that he would be moving out along with his mother in the near future.</w:t>
      </w:r>
      <w:r w:rsidR="00F80C11">
        <w:t xml:space="preserve">  (N.T. 7-8)</w:t>
      </w:r>
    </w:p>
    <w:p w:rsidR="003D345A" w:rsidRDefault="00663970" w:rsidP="00D15BE7">
      <w:pPr>
        <w:pStyle w:val="ListParagraph"/>
        <w:ind w:firstLine="1440"/>
      </w:pPr>
      <w:r>
        <w:t xml:space="preserve">At the time of the August 2, 2016 hearing, the Complainant’s husband and </w:t>
      </w:r>
      <w:r w:rsidR="00F80C11">
        <w:t xml:space="preserve">his </w:t>
      </w:r>
      <w:r>
        <w:t>mother were still living with the Complainant.  (N.T. 75)</w:t>
      </w:r>
      <w:r w:rsidR="003D345A">
        <w:t xml:space="preserve"> </w:t>
      </w:r>
    </w:p>
    <w:p w:rsidR="003D345A" w:rsidRDefault="003D345A" w:rsidP="00D15BE7">
      <w:pPr>
        <w:pStyle w:val="ListParagraph"/>
        <w:ind w:firstLine="1440"/>
      </w:pPr>
      <w:r>
        <w:t xml:space="preserve"> The Complainant made payments on her account which were credited </w:t>
      </w:r>
      <w:r w:rsidR="00F80C11">
        <w:t xml:space="preserve">by PPL </w:t>
      </w:r>
      <w:r>
        <w:t>on March 1, 2016, March 28, 2016, and May 9, 2016.  (N.T. 33</w:t>
      </w:r>
      <w:r w:rsidR="00DD3E26">
        <w:t>; Complainant Ex. 1; PPL Ex. 1</w:t>
      </w:r>
      <w:r>
        <w:t>)</w:t>
      </w:r>
    </w:p>
    <w:p w:rsidR="003D345A" w:rsidRDefault="003D345A" w:rsidP="00D15BE7">
      <w:pPr>
        <w:pStyle w:val="ListParagraph"/>
        <w:ind w:firstLine="1440"/>
      </w:pPr>
      <w:r>
        <w:t>The Complainant receives $10,482 per year in social security disability benefits. (N.T. 8</w:t>
      </w:r>
      <w:r w:rsidR="0090065F">
        <w:t>)</w:t>
      </w:r>
    </w:p>
    <w:p w:rsidR="003D345A" w:rsidRDefault="003D345A" w:rsidP="00D15BE7">
      <w:pPr>
        <w:pStyle w:val="ListParagraph"/>
        <w:ind w:firstLine="1440"/>
      </w:pPr>
      <w:r>
        <w:t>The Complainant’s husband earns approximately $45,760 per year.  (N.T. 18)</w:t>
      </w:r>
    </w:p>
    <w:p w:rsidR="00F80C11" w:rsidRDefault="00F80C11" w:rsidP="00D15BE7">
      <w:pPr>
        <w:pStyle w:val="ListParagraph"/>
        <w:ind w:firstLine="1440"/>
      </w:pPr>
      <w:r>
        <w:lastRenderedPageBreak/>
        <w:t xml:space="preserve">The Complainant’s mother-in-law does not have any income.  (N.T. </w:t>
      </w:r>
      <w:r w:rsidR="0090065F">
        <w:t>22)</w:t>
      </w:r>
    </w:p>
    <w:p w:rsidR="003D345A" w:rsidRDefault="003D345A" w:rsidP="00D15BE7">
      <w:pPr>
        <w:pStyle w:val="ListParagraph"/>
        <w:ind w:firstLine="1440"/>
      </w:pPr>
      <w:r>
        <w:t>With a household income of</w:t>
      </w:r>
      <w:r w:rsidR="00525442">
        <w:t xml:space="preserve"> approximately</w:t>
      </w:r>
      <w:r>
        <w:t xml:space="preserve"> $56,000 per year, the Complainant does not qualify for PPL’s customer assistance program</w:t>
      </w:r>
      <w:r w:rsidR="008E79EB">
        <w:t>,</w:t>
      </w:r>
      <w:r>
        <w:t xml:space="preserve"> referred to as </w:t>
      </w:r>
      <w:proofErr w:type="spellStart"/>
      <w:r>
        <w:t>OnTrak</w:t>
      </w:r>
      <w:proofErr w:type="spellEnd"/>
      <w:r w:rsidR="008E79EB">
        <w:t>,</w:t>
      </w:r>
      <w:r>
        <w:t xml:space="preserve"> or</w:t>
      </w:r>
      <w:r w:rsidR="008E79EB">
        <w:t xml:space="preserve"> for</w:t>
      </w:r>
      <w:r>
        <w:t xml:space="preserve"> LIHEAP assistance.  (N.T. 34-35)</w:t>
      </w:r>
    </w:p>
    <w:p w:rsidR="003D345A" w:rsidRDefault="00525442" w:rsidP="00D15BE7">
      <w:pPr>
        <w:pStyle w:val="ListParagraph"/>
        <w:ind w:firstLine="1440"/>
      </w:pPr>
      <w:r>
        <w:t xml:space="preserve"> PPL negotiated a payment arrangement with the Complainant </w:t>
      </w:r>
      <w:r w:rsidR="0062797C">
        <w:t>on</w:t>
      </w:r>
      <w:r>
        <w:t xml:space="preserve"> February</w:t>
      </w:r>
      <w:r w:rsidR="0062797C">
        <w:t xml:space="preserve"> 23</w:t>
      </w:r>
      <w:r w:rsidR="00C67727">
        <w:t>,</w:t>
      </w:r>
      <w:r>
        <w:t xml:space="preserve"> 2016.  (N.T. 36</w:t>
      </w:r>
      <w:r w:rsidR="0062797C">
        <w:t>; PPL Ex. 2</w:t>
      </w:r>
      <w:r>
        <w:t>)</w:t>
      </w:r>
    </w:p>
    <w:p w:rsidR="00525442" w:rsidRDefault="00525442" w:rsidP="00D15BE7">
      <w:pPr>
        <w:pStyle w:val="ListParagraph"/>
        <w:ind w:firstLine="1440"/>
      </w:pPr>
      <w:r>
        <w:t>The February 2016 PPL payment arrangement required the Complainant to pay her current bill plus $200 per month toward her arrearage.  (N.T. 36)</w:t>
      </w:r>
    </w:p>
    <w:p w:rsidR="00525442" w:rsidRDefault="00525442" w:rsidP="00D15BE7">
      <w:pPr>
        <w:pStyle w:val="ListParagraph"/>
        <w:ind w:firstLine="1440"/>
      </w:pPr>
      <w:r>
        <w:t>The Compl</w:t>
      </w:r>
      <w:r w:rsidR="00404393">
        <w:t>ainant failed to make payment i</w:t>
      </w:r>
      <w:r>
        <w:t>n accordance with the February 2016 payment arrangement.  (N.T. 36)</w:t>
      </w:r>
    </w:p>
    <w:p w:rsidR="00525442" w:rsidRDefault="00B81296" w:rsidP="00D15BE7">
      <w:pPr>
        <w:pStyle w:val="ListParagraph"/>
        <w:ind w:firstLine="1440"/>
      </w:pPr>
      <w:r>
        <w:t xml:space="preserve">  The Complainant advised PPL that her mother-in-law joined her household in December 2015.  (N.T. 38)</w:t>
      </w:r>
    </w:p>
    <w:p w:rsidR="00B81296" w:rsidRDefault="00B81296" w:rsidP="00D15BE7">
      <w:pPr>
        <w:pStyle w:val="ListParagraph"/>
        <w:ind w:firstLine="1440"/>
      </w:pPr>
      <w:r>
        <w:t>At that time, PPL worked with the Complainant to verify her income and explore her eligibility for a customer assistance program.  (N.T. 38)</w:t>
      </w:r>
    </w:p>
    <w:p w:rsidR="00B81296" w:rsidRDefault="00B81296" w:rsidP="00D15BE7">
      <w:pPr>
        <w:pStyle w:val="ListParagraph"/>
        <w:ind w:firstLine="1440"/>
      </w:pPr>
      <w:r>
        <w:t>Even with the addition of one more person to the household, the Complainant’s household income did not qualify her for customer assistance.  (N.T. 38-39)</w:t>
      </w:r>
    </w:p>
    <w:p w:rsidR="0024553D" w:rsidRDefault="00D24CB8" w:rsidP="00D15BE7">
      <w:pPr>
        <w:pStyle w:val="ListParagraph"/>
        <w:ind w:firstLine="1440"/>
      </w:pPr>
      <w:r>
        <w:t>The Complainant has defaulted on 12 payment arrangements with PPL during the last five years.  (N.T. 43; PPL Ex. 3)</w:t>
      </w:r>
    </w:p>
    <w:p w:rsidR="00D24CB8" w:rsidRDefault="00D24CB8" w:rsidP="00D15BE7">
      <w:pPr>
        <w:pStyle w:val="ListParagraph"/>
        <w:ind w:firstLine="1440"/>
      </w:pPr>
      <w:r>
        <w:t xml:space="preserve"> The Commission granted the Complainant a payment arrang</w:t>
      </w:r>
      <w:r w:rsidR="00916025">
        <w:t xml:space="preserve">ement in 2011 at BCS </w:t>
      </w:r>
      <w:r w:rsidR="00165692">
        <w:t>Case No.</w:t>
      </w:r>
      <w:r w:rsidR="00916025">
        <w:t xml:space="preserve"> 286394.</w:t>
      </w:r>
      <w:r w:rsidR="00165692">
        <w:t xml:space="preserve">  </w:t>
      </w:r>
      <w:r>
        <w:t>(N.T. 46-47; PPL Ex. 4-F)</w:t>
      </w:r>
    </w:p>
    <w:p w:rsidR="00D24CB8" w:rsidRDefault="00D24CB8" w:rsidP="00D15BE7">
      <w:pPr>
        <w:pStyle w:val="ListParagraph"/>
        <w:ind w:firstLine="1440"/>
      </w:pPr>
      <w:r>
        <w:t>At the tim</w:t>
      </w:r>
      <w:r w:rsidR="00916025">
        <w:t xml:space="preserve">e of the payment arrangement on August 22, </w:t>
      </w:r>
      <w:r>
        <w:t>2011, the Complainant’s household income qualified her as a “Level Two”.  (N.T. 47; PPL Ex. 4-F)</w:t>
      </w:r>
    </w:p>
    <w:p w:rsidR="00D24CB8" w:rsidRDefault="00D24CB8" w:rsidP="00D15BE7">
      <w:pPr>
        <w:pStyle w:val="ListParagraph"/>
        <w:ind w:firstLine="1440"/>
      </w:pPr>
      <w:r>
        <w:lastRenderedPageBreak/>
        <w:t xml:space="preserve">The Complainant defaulted on the 2011 BCS payment arrangement. </w:t>
      </w:r>
      <w:r w:rsidR="00165692">
        <w:t xml:space="preserve"> </w:t>
      </w:r>
      <w:r>
        <w:t>(N.T. 47)</w:t>
      </w:r>
    </w:p>
    <w:p w:rsidR="00D24CB8" w:rsidRDefault="00D24CB8" w:rsidP="00D15BE7">
      <w:pPr>
        <w:pStyle w:val="ListParagraph"/>
        <w:ind w:firstLine="1440"/>
      </w:pPr>
      <w:r>
        <w:t>The Complainant’s current household income is also “Level Two.”  (N.T. 47)</w:t>
      </w:r>
    </w:p>
    <w:p w:rsidR="00385DD5" w:rsidRPr="00D8550F" w:rsidRDefault="00385DD5" w:rsidP="00D8550F">
      <w:pPr>
        <w:jc w:val="center"/>
        <w:rPr>
          <w:u w:val="single"/>
        </w:rPr>
      </w:pPr>
      <w:r w:rsidRPr="00D8550F">
        <w:rPr>
          <w:u w:val="single"/>
        </w:rPr>
        <w:t>DISCUSSION</w:t>
      </w:r>
    </w:p>
    <w:p w:rsidR="00385DD5" w:rsidRPr="00F83993" w:rsidRDefault="00385DD5" w:rsidP="00385DD5">
      <w:pPr>
        <w:spacing w:before="0" w:after="0"/>
      </w:pPr>
      <w:r>
        <w:tab/>
      </w:r>
      <w:r w:rsidRPr="00F83993">
        <w:t xml:space="preserve">In this matter, the </w:t>
      </w:r>
      <w:r>
        <w:t xml:space="preserve">Complainant is </w:t>
      </w:r>
      <w:r w:rsidRPr="00F83993">
        <w:t xml:space="preserve">the party seeking affirmative relief from the Commission; therefore, </w:t>
      </w:r>
      <w:r w:rsidR="001439AF">
        <w:t>s</w:t>
      </w:r>
      <w:r>
        <w:t>he has</w:t>
      </w:r>
      <w:r w:rsidRPr="00F83993">
        <w:t xml:space="preserve"> the burden of proof.</w:t>
      </w:r>
      <w:r w:rsidRPr="00F83993">
        <w:rPr>
          <w:vertAlign w:val="superscript"/>
        </w:rPr>
        <w:footnoteReference w:id="1"/>
      </w:r>
      <w:r w:rsidRPr="00F83993">
        <w:t xml:space="preserve">  This means that </w:t>
      </w:r>
      <w:r w:rsidR="001439AF">
        <w:t>s</w:t>
      </w:r>
      <w:r>
        <w:t xml:space="preserve">he </w:t>
      </w:r>
      <w:r w:rsidRPr="00F83993">
        <w:t>must establ</w:t>
      </w:r>
      <w:r>
        <w:t>ish each fact which supports her claim</w:t>
      </w:r>
      <w:r w:rsidRPr="00F83993">
        <w:t xml:space="preserve"> by a preponderance of the evidence.</w:t>
      </w:r>
      <w:r w:rsidRPr="00F83993">
        <w:rPr>
          <w:vertAlign w:val="superscript"/>
        </w:rPr>
        <w:footnoteReference w:id="2"/>
      </w:r>
      <w:r w:rsidRPr="00F83993">
        <w:t xml:space="preserve"> </w:t>
      </w:r>
    </w:p>
    <w:p w:rsidR="0027382D" w:rsidRDefault="00B8663E" w:rsidP="00B8663E">
      <w:r>
        <w:tab/>
      </w:r>
      <w:r w:rsidR="00385DD5" w:rsidRPr="00F83993">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00385DD5" w:rsidRPr="00F83993">
        <w:rPr>
          <w:vertAlign w:val="superscript"/>
        </w:rPr>
        <w:footnoteReference w:id="3"/>
      </w:r>
      <w:r w:rsidR="00385DD5">
        <w:t xml:space="preserve">  </w:t>
      </w:r>
    </w:p>
    <w:p w:rsidR="00385DD5" w:rsidRPr="0098528A" w:rsidRDefault="0027382D" w:rsidP="00B8663E">
      <w:pPr>
        <w:rPr>
          <w:szCs w:val="24"/>
        </w:rPr>
      </w:pPr>
      <w:r>
        <w:tab/>
      </w:r>
      <w:r w:rsidR="00385DD5" w:rsidRPr="0098528A">
        <w:rPr>
          <w:szCs w:val="24"/>
        </w:rPr>
        <w:t xml:space="preserve">The Complainant here alleges </w:t>
      </w:r>
      <w:r w:rsidR="00640EC0">
        <w:rPr>
          <w:szCs w:val="24"/>
        </w:rPr>
        <w:t>that her bills are too high</w:t>
      </w:r>
      <w:r w:rsidR="00385DD5" w:rsidRPr="0098528A">
        <w:rPr>
          <w:szCs w:val="24"/>
        </w:rPr>
        <w:t xml:space="preserve">.  Therefore, the Complainant’s burden of proof is governed by </w:t>
      </w:r>
      <w:r w:rsidR="00385DD5" w:rsidRPr="0098528A">
        <w:rPr>
          <w:i/>
          <w:szCs w:val="24"/>
        </w:rPr>
        <w:t xml:space="preserve">Waldron v. Philadelphia Electric </w:t>
      </w:r>
      <w:proofErr w:type="gramStart"/>
      <w:r w:rsidR="00385DD5" w:rsidRPr="0098528A">
        <w:rPr>
          <w:i/>
          <w:szCs w:val="24"/>
        </w:rPr>
        <w:t>Co.</w:t>
      </w:r>
      <w:r w:rsidR="00385DD5" w:rsidRPr="0098528A">
        <w:rPr>
          <w:szCs w:val="24"/>
          <w:vertAlign w:val="superscript"/>
        </w:rPr>
        <w:footnoteReference w:id="4"/>
      </w:r>
      <w:r w:rsidR="00385DD5" w:rsidRPr="0098528A">
        <w:rPr>
          <w:szCs w:val="24"/>
        </w:rPr>
        <w:t xml:space="preserve">  In</w:t>
      </w:r>
      <w:proofErr w:type="gramEnd"/>
      <w:r w:rsidR="00385DD5" w:rsidRPr="0098528A">
        <w:rPr>
          <w:szCs w:val="24"/>
        </w:rPr>
        <w:t xml:space="preserve"> </w:t>
      </w:r>
      <w:r w:rsidR="00385DD5" w:rsidRPr="0098528A">
        <w:rPr>
          <w:i/>
          <w:szCs w:val="24"/>
        </w:rPr>
        <w:t>Waldron</w:t>
      </w:r>
      <w:r w:rsidR="00385DD5" w:rsidRPr="0098528A">
        <w:rPr>
          <w:szCs w:val="24"/>
        </w:rPr>
        <w:t xml:space="preserve">, the Commission concluded that a complainant may establish a </w:t>
      </w:r>
      <w:r w:rsidR="00385DD5" w:rsidRPr="0098528A">
        <w:rPr>
          <w:i/>
          <w:szCs w:val="24"/>
        </w:rPr>
        <w:t>prima facie</w:t>
      </w:r>
      <w:r w:rsidR="00385DD5" w:rsidRPr="0098528A">
        <w:rPr>
          <w:szCs w:val="24"/>
        </w:rPr>
        <w:t xml:space="preserve"> case by showing that:  (1) the number of occupants of the household has not changed; (2) the potential for energy utilization is low; and (3) the prior billing history shows no previous abnormalities.  </w:t>
      </w:r>
    </w:p>
    <w:p w:rsidR="00385DD5" w:rsidRDefault="00385DD5" w:rsidP="00385DD5">
      <w:pPr>
        <w:ind w:firstLine="1440"/>
        <w:rPr>
          <w:szCs w:val="24"/>
        </w:rPr>
      </w:pPr>
      <w:r w:rsidRPr="0098528A">
        <w:rPr>
          <w:szCs w:val="24"/>
        </w:rPr>
        <w:t xml:space="preserve">The Commonwealth Court broadened the Commission’s ruling in </w:t>
      </w:r>
      <w:r w:rsidRPr="0098528A">
        <w:rPr>
          <w:i/>
          <w:szCs w:val="24"/>
        </w:rPr>
        <w:t>Waldron</w:t>
      </w:r>
      <w:r w:rsidRPr="0098528A">
        <w:rPr>
          <w:szCs w:val="24"/>
        </w:rPr>
        <w:t xml:space="preserve"> in </w:t>
      </w:r>
      <w:proofErr w:type="spellStart"/>
      <w:r w:rsidRPr="0098528A">
        <w:rPr>
          <w:i/>
          <w:szCs w:val="24"/>
        </w:rPr>
        <w:t>Milkie</w:t>
      </w:r>
      <w:proofErr w:type="spellEnd"/>
      <w:r w:rsidRPr="0098528A">
        <w:rPr>
          <w:i/>
          <w:szCs w:val="24"/>
        </w:rPr>
        <w:t xml:space="preserve"> v. Pennsylvania Public Utility Commission</w:t>
      </w:r>
      <w:r w:rsidRPr="0098528A">
        <w:rPr>
          <w:szCs w:val="24"/>
        </w:rPr>
        <w:t>.</w:t>
      </w:r>
      <w:r w:rsidRPr="0098528A">
        <w:rPr>
          <w:szCs w:val="24"/>
          <w:vertAlign w:val="superscript"/>
        </w:rPr>
        <w:footnoteReference w:id="5"/>
      </w:r>
      <w:r w:rsidRPr="0098528A">
        <w:rPr>
          <w:szCs w:val="24"/>
        </w:rPr>
        <w:t xml:space="preserve">  The Commonwealth Court held that the Commission’s requirement that the </w:t>
      </w:r>
      <w:r w:rsidR="00165692">
        <w:rPr>
          <w:szCs w:val="24"/>
        </w:rPr>
        <w:t>c</w:t>
      </w:r>
      <w:r w:rsidRPr="0098528A">
        <w:rPr>
          <w:szCs w:val="24"/>
        </w:rPr>
        <w:t xml:space="preserve">omplainant must establish certain specific elements in order </w:t>
      </w:r>
      <w:r w:rsidRPr="0098528A">
        <w:rPr>
          <w:szCs w:val="24"/>
        </w:rPr>
        <w:lastRenderedPageBreak/>
        <w:t xml:space="preserve">to make out a </w:t>
      </w:r>
      <w:r w:rsidRPr="0098528A">
        <w:rPr>
          <w:i/>
          <w:szCs w:val="24"/>
        </w:rPr>
        <w:t>prima facie</w:t>
      </w:r>
      <w:r w:rsidRPr="0098528A">
        <w:rPr>
          <w:szCs w:val="24"/>
        </w:rPr>
        <w:t xml:space="preserve"> case was too restrictive.  The Commonwealth Court ruled that even where the utility has presented evidence that it has tested the customer’s meter and found it to be </w:t>
      </w:r>
      <w:proofErr w:type="gramStart"/>
      <w:r w:rsidRPr="0098528A">
        <w:rPr>
          <w:szCs w:val="24"/>
        </w:rPr>
        <w:t>accurate,</w:t>
      </w:r>
      <w:proofErr w:type="gramEnd"/>
      <w:r w:rsidRPr="0098528A">
        <w:rPr>
          <w:szCs w:val="24"/>
        </w:rPr>
        <w:t xml:space="preserve"> the customer may prove his or her case by circumstantial evidence that the metered usage exceeded actual usage.  Accordingly, the Commission may consider the billing history of the account, any change in usage pattern or any other relevant facts or circumstances that come to light during the proceeding.</w:t>
      </w:r>
      <w:r w:rsidRPr="0098528A">
        <w:rPr>
          <w:szCs w:val="24"/>
          <w:vertAlign w:val="superscript"/>
        </w:rPr>
        <w:footnoteReference w:id="6"/>
      </w:r>
      <w:r w:rsidRPr="0098528A">
        <w:rPr>
          <w:szCs w:val="24"/>
        </w:rPr>
        <w:t xml:space="preserve">  Further, the Commission has also held that in response to a high bill complaint, the accuracy of a meter test alone is not conclusive evidence and does not by itself mandate a finding against a complainant and in favor of a utility.</w:t>
      </w:r>
      <w:r w:rsidRPr="0098528A">
        <w:rPr>
          <w:szCs w:val="24"/>
          <w:vertAlign w:val="superscript"/>
        </w:rPr>
        <w:footnoteReference w:id="7"/>
      </w:r>
      <w:r w:rsidRPr="0098528A">
        <w:rPr>
          <w:szCs w:val="24"/>
        </w:rPr>
        <w:t xml:space="preserve">  This rule protects the complainant from dismissal because of his inability to produce direct proof that the meter malfunctioned. </w:t>
      </w:r>
    </w:p>
    <w:p w:rsidR="00C64CF5" w:rsidRDefault="00C64CF5" w:rsidP="00385DD5">
      <w:pPr>
        <w:ind w:firstLine="1440"/>
        <w:rPr>
          <w:szCs w:val="24"/>
        </w:rPr>
      </w:pPr>
      <w:r>
        <w:rPr>
          <w:szCs w:val="24"/>
        </w:rPr>
        <w:t>The Complainant identified four bills which she believed were incorrect:  February 2015; March 2015; April 2015 and February 2016.  However, she did not articulate any particular reason for why she thought these bills were</w:t>
      </w:r>
      <w:r w:rsidR="00715D3F">
        <w:rPr>
          <w:szCs w:val="24"/>
        </w:rPr>
        <w:t xml:space="preserve"> too</w:t>
      </w:r>
      <w:r>
        <w:rPr>
          <w:szCs w:val="24"/>
        </w:rPr>
        <w:t xml:space="preserve"> high. </w:t>
      </w:r>
      <w:r w:rsidR="00165692">
        <w:rPr>
          <w:szCs w:val="24"/>
        </w:rPr>
        <w:t xml:space="preserve"> </w:t>
      </w:r>
      <w:r w:rsidR="00C04248">
        <w:rPr>
          <w:szCs w:val="24"/>
        </w:rPr>
        <w:t xml:space="preserve">The Complainant did not offer any usage data from </w:t>
      </w:r>
      <w:r w:rsidR="00E41BA0">
        <w:rPr>
          <w:szCs w:val="24"/>
        </w:rPr>
        <w:t xml:space="preserve">February, March or April </w:t>
      </w:r>
      <w:r w:rsidR="00C04248">
        <w:rPr>
          <w:szCs w:val="24"/>
        </w:rPr>
        <w:t>2014 to compare to</w:t>
      </w:r>
      <w:r w:rsidR="00E41BA0">
        <w:rPr>
          <w:szCs w:val="24"/>
        </w:rPr>
        <w:t xml:space="preserve"> her usage during the same period in </w:t>
      </w:r>
      <w:r w:rsidR="00C04248">
        <w:rPr>
          <w:szCs w:val="24"/>
        </w:rPr>
        <w:t>2015.</w:t>
      </w:r>
      <w:r w:rsidR="00E41BA0">
        <w:rPr>
          <w:szCs w:val="24"/>
        </w:rPr>
        <w:t xml:space="preserve">  Her billed usage in February 2015 is somewhat lower than </w:t>
      </w:r>
      <w:r w:rsidR="00715D3F">
        <w:rPr>
          <w:szCs w:val="24"/>
        </w:rPr>
        <w:t xml:space="preserve">her billed usage in </w:t>
      </w:r>
      <w:r w:rsidR="00E41BA0">
        <w:rPr>
          <w:szCs w:val="24"/>
        </w:rPr>
        <w:t>February 2016.  However, the billing period in 2015 was 29 days, but the billing period during 2016 was 32 days.  Further, there was an additional person in her household in 2016 when her mother-in-law moved in</w:t>
      </w:r>
      <w:r w:rsidR="007A00CD">
        <w:rPr>
          <w:szCs w:val="24"/>
        </w:rPr>
        <w:t>to the household in</w:t>
      </w:r>
      <w:r w:rsidR="00E41BA0">
        <w:rPr>
          <w:szCs w:val="24"/>
        </w:rPr>
        <w:t xml:space="preserve"> December 2015. </w:t>
      </w:r>
      <w:r>
        <w:rPr>
          <w:szCs w:val="24"/>
        </w:rPr>
        <w:t xml:space="preserve"> </w:t>
      </w:r>
      <w:r w:rsidR="00F8154E">
        <w:rPr>
          <w:szCs w:val="24"/>
        </w:rPr>
        <w:t>The addition of another person to a household is more likely to increase consumption.</w:t>
      </w:r>
      <w:r>
        <w:rPr>
          <w:szCs w:val="24"/>
        </w:rPr>
        <w:t xml:space="preserve"> </w:t>
      </w:r>
      <w:r w:rsidR="001C7744">
        <w:rPr>
          <w:szCs w:val="24"/>
        </w:rPr>
        <w:t xml:space="preserve"> </w:t>
      </w:r>
      <w:r w:rsidR="00E930AC">
        <w:rPr>
          <w:szCs w:val="24"/>
        </w:rPr>
        <w:t>The Complainant</w:t>
      </w:r>
      <w:r>
        <w:rPr>
          <w:szCs w:val="24"/>
        </w:rPr>
        <w:t xml:space="preserve"> did not testify that any new, energy-efficient appliances had been installed or that anything unusual or different happened which would indicate that her consumption was not properly measured by PPL.</w:t>
      </w:r>
    </w:p>
    <w:p w:rsidR="00C64CF5" w:rsidRDefault="00C64CF5" w:rsidP="00385DD5">
      <w:pPr>
        <w:ind w:firstLine="1440"/>
        <w:rPr>
          <w:szCs w:val="24"/>
        </w:rPr>
      </w:pPr>
      <w:r>
        <w:rPr>
          <w:szCs w:val="24"/>
        </w:rPr>
        <w:t>PPL tested the Complainant’s meter and determined that the meter was reading her consumption correctly.  Also, a review of her usage d</w:t>
      </w:r>
      <w:r w:rsidR="0046491C">
        <w:rPr>
          <w:szCs w:val="24"/>
        </w:rPr>
        <w:t xml:space="preserve">id not indicate any unusual </w:t>
      </w:r>
      <w:r w:rsidR="00715D3F">
        <w:rPr>
          <w:szCs w:val="24"/>
        </w:rPr>
        <w:t xml:space="preserve">or </w:t>
      </w:r>
      <w:r w:rsidR="0046491C">
        <w:rPr>
          <w:szCs w:val="24"/>
        </w:rPr>
        <w:t>unexplained spikes</w:t>
      </w:r>
      <w:r>
        <w:rPr>
          <w:szCs w:val="24"/>
        </w:rPr>
        <w:t xml:space="preserve"> in her usage.  Instead, her consumption from season to season has remained relatively consistent.</w:t>
      </w:r>
    </w:p>
    <w:p w:rsidR="00C64CF5" w:rsidRDefault="00C64CF5" w:rsidP="00385DD5">
      <w:pPr>
        <w:ind w:firstLine="1440"/>
        <w:rPr>
          <w:szCs w:val="24"/>
        </w:rPr>
      </w:pPr>
      <w:r>
        <w:rPr>
          <w:szCs w:val="24"/>
        </w:rPr>
        <w:lastRenderedPageBreak/>
        <w:t>I find that the Complainant failed to prove that her household consumption was incorrectly measured or recorded.  Therefore, this claim must be dismissed.</w:t>
      </w:r>
    </w:p>
    <w:p w:rsidR="00C64CF5" w:rsidRDefault="00C64CF5" w:rsidP="00385DD5">
      <w:pPr>
        <w:ind w:firstLine="1440"/>
        <w:rPr>
          <w:szCs w:val="24"/>
        </w:rPr>
      </w:pPr>
      <w:r>
        <w:rPr>
          <w:szCs w:val="24"/>
        </w:rPr>
        <w:t>The Complainant also claimed that some of her payments had not been pro</w:t>
      </w:r>
      <w:r w:rsidR="00CE6C73">
        <w:rPr>
          <w:szCs w:val="24"/>
        </w:rPr>
        <w:t>perly credited to her account by PPL.  The Complainant produced three receipts for payments that she had made at a bill payment center in February 2016, March 2016 and May 2016, in the amounts of $200, $200 and $270</w:t>
      </w:r>
      <w:r w:rsidR="00AE3C26">
        <w:rPr>
          <w:szCs w:val="24"/>
        </w:rPr>
        <w:t>, respectively</w:t>
      </w:r>
      <w:r w:rsidR="00CE6C73">
        <w:rPr>
          <w:szCs w:val="24"/>
        </w:rPr>
        <w:t>.  She also claimed that she paid PPL $400 in December 2015.  A review of the Complainant’s PPL account statement indicates that all of those payments were credited to her account.  There is no evidence that the Complainant made a p</w:t>
      </w:r>
      <w:r w:rsidR="00AE3C26">
        <w:rPr>
          <w:szCs w:val="24"/>
        </w:rPr>
        <w:t xml:space="preserve">ayment that was not appropriately </w:t>
      </w:r>
      <w:r w:rsidR="00CE6C73">
        <w:rPr>
          <w:szCs w:val="24"/>
        </w:rPr>
        <w:t>posted to her account by PPL.</w:t>
      </w:r>
    </w:p>
    <w:p w:rsidR="00C141DF" w:rsidRDefault="006C768C" w:rsidP="00385DD5">
      <w:pPr>
        <w:ind w:firstLine="1440"/>
        <w:rPr>
          <w:szCs w:val="24"/>
        </w:rPr>
      </w:pPr>
      <w:r>
        <w:rPr>
          <w:szCs w:val="24"/>
        </w:rPr>
        <w:t xml:space="preserve">The Complainant complains that Direct Energy failed to properly charge her for generation services.  </w:t>
      </w:r>
      <w:r w:rsidR="00575840">
        <w:rPr>
          <w:szCs w:val="24"/>
        </w:rPr>
        <w:t>She states that she believes that she should receive free energy on ni</w:t>
      </w:r>
      <w:r w:rsidR="00C141DF">
        <w:rPr>
          <w:szCs w:val="24"/>
        </w:rPr>
        <w:t xml:space="preserve">ghts and weekends.  The Complainant endeavors to take advantage of the free energy rate by doing </w:t>
      </w:r>
      <w:r w:rsidR="00C141DF">
        <w:t xml:space="preserve">her laundry between 7:00 p.m. and 11:00 p.m. </w:t>
      </w:r>
      <w:r w:rsidR="00165692">
        <w:t xml:space="preserve"> </w:t>
      </w:r>
      <w:r w:rsidR="00C141DF">
        <w:t>She tries to time her other activities that require electricity within that time period</w:t>
      </w:r>
      <w:r w:rsidR="00C141DF">
        <w:rPr>
          <w:szCs w:val="24"/>
        </w:rPr>
        <w:t>.</w:t>
      </w:r>
    </w:p>
    <w:p w:rsidR="00084945" w:rsidRDefault="006C768C" w:rsidP="00385DD5">
      <w:pPr>
        <w:ind w:firstLine="1440"/>
        <w:rPr>
          <w:szCs w:val="24"/>
        </w:rPr>
      </w:pPr>
      <w:r>
        <w:rPr>
          <w:szCs w:val="24"/>
        </w:rPr>
        <w:t xml:space="preserve">The Complainant’s contract with Direct Energy is a rate plan called the “Free Nights Plan.”  The description of the plan states that Sundays through Saturdays, from 7:00 p.m. to 11:00 p.m., the Complainant does not pay anything per kilowatt hour for generation.  At all other times the Complainant pays </w:t>
      </w:r>
      <w:r w:rsidR="002E4842">
        <w:rPr>
          <w:szCs w:val="24"/>
        </w:rPr>
        <w:t>9</w:t>
      </w:r>
      <w:r>
        <w:rPr>
          <w:szCs w:val="24"/>
        </w:rPr>
        <w:t>.</w:t>
      </w:r>
      <w:r w:rsidR="002E4842">
        <w:rPr>
          <w:szCs w:val="24"/>
        </w:rPr>
        <w:t xml:space="preserve">6 cents per </w:t>
      </w:r>
      <w:r>
        <w:rPr>
          <w:szCs w:val="24"/>
        </w:rPr>
        <w:t xml:space="preserve">kilowatt hour. </w:t>
      </w:r>
      <w:r w:rsidR="00084945">
        <w:rPr>
          <w:szCs w:val="24"/>
        </w:rPr>
        <w:t xml:space="preserve"> There is nothing in the language of the contract which indicates that the period of time that she pays nothing for energy includes the entire weekend.</w:t>
      </w:r>
    </w:p>
    <w:p w:rsidR="00C64CF5" w:rsidRDefault="00084945" w:rsidP="00385DD5">
      <w:pPr>
        <w:ind w:firstLine="1440"/>
        <w:rPr>
          <w:szCs w:val="24"/>
        </w:rPr>
      </w:pPr>
      <w:r>
        <w:rPr>
          <w:szCs w:val="24"/>
        </w:rPr>
        <w:t xml:space="preserve">Further, a </w:t>
      </w:r>
      <w:r w:rsidR="006C768C">
        <w:rPr>
          <w:szCs w:val="24"/>
        </w:rPr>
        <w:t>review of the Complainant</w:t>
      </w:r>
      <w:r>
        <w:rPr>
          <w:szCs w:val="24"/>
        </w:rPr>
        <w:t>’</w:t>
      </w:r>
      <w:r w:rsidR="006C768C">
        <w:rPr>
          <w:szCs w:val="24"/>
        </w:rPr>
        <w:t>s Direct Energy account statement indicates that the Complainant generally does not pay anything per kilowatt hour for approximately 20% of her monthly consumption.  This level of usage is consistent with the number of “free hours” per month.</w:t>
      </w:r>
      <w:r w:rsidR="00BA2E00">
        <w:rPr>
          <w:szCs w:val="24"/>
        </w:rPr>
        <w:t xml:space="preserve">  There is no evidence that Direct Energy is not calculating the Complainant’s generation bill consistently with the terms </w:t>
      </w:r>
      <w:r w:rsidR="00AE3C26">
        <w:rPr>
          <w:szCs w:val="24"/>
        </w:rPr>
        <w:t>stated</w:t>
      </w:r>
      <w:r w:rsidR="00BA2E00">
        <w:rPr>
          <w:szCs w:val="24"/>
        </w:rPr>
        <w:t xml:space="preserve"> in the contract.</w:t>
      </w:r>
    </w:p>
    <w:p w:rsidR="00385DD5" w:rsidRPr="00C64CF5" w:rsidRDefault="00C64CF5" w:rsidP="00C64CF5">
      <w:pPr>
        <w:ind w:firstLine="1440"/>
        <w:rPr>
          <w:szCs w:val="24"/>
        </w:rPr>
      </w:pPr>
      <w:r w:rsidRPr="00C64CF5">
        <w:rPr>
          <w:szCs w:val="24"/>
        </w:rPr>
        <w:lastRenderedPageBreak/>
        <w:t>Finally, the Complainant requests</w:t>
      </w:r>
      <w:r w:rsidR="00385DD5" w:rsidRPr="00C64CF5">
        <w:rPr>
          <w:szCs w:val="24"/>
        </w:rPr>
        <w:t xml:space="preserve"> a further payment arrangement in an amount that </w:t>
      </w:r>
      <w:r w:rsidR="00AE3C26">
        <w:rPr>
          <w:szCs w:val="24"/>
        </w:rPr>
        <w:t>she</w:t>
      </w:r>
      <w:r w:rsidR="00385DD5" w:rsidRPr="00C64CF5">
        <w:rPr>
          <w:szCs w:val="24"/>
        </w:rPr>
        <w:t xml:space="preserve"> can afford.  As explained below, the Commission is not authorized </w:t>
      </w:r>
      <w:r w:rsidR="00B11261">
        <w:rPr>
          <w:szCs w:val="24"/>
        </w:rPr>
        <w:t xml:space="preserve">to </w:t>
      </w:r>
      <w:r w:rsidR="00385DD5" w:rsidRPr="00C64CF5">
        <w:rPr>
          <w:szCs w:val="24"/>
        </w:rPr>
        <w:t>award an additional payment arrangement to the Complainant.</w:t>
      </w:r>
    </w:p>
    <w:p w:rsidR="00385DD5" w:rsidRPr="00C64CF5" w:rsidRDefault="00385DD5" w:rsidP="00E53601">
      <w:pPr>
        <w:tabs>
          <w:tab w:val="clear" w:pos="1440"/>
        </w:tabs>
        <w:spacing w:after="0"/>
        <w:ind w:firstLine="1440"/>
        <w:rPr>
          <w:szCs w:val="24"/>
        </w:rPr>
      </w:pPr>
      <w:r w:rsidRPr="00C64CF5">
        <w:rPr>
          <w:szCs w:val="24"/>
        </w:rPr>
        <w:t xml:space="preserve">It is axiomatic that a utility customer must pay for the utility service that </w:t>
      </w:r>
      <w:r w:rsidR="00E226BC">
        <w:rPr>
          <w:szCs w:val="24"/>
        </w:rPr>
        <w:t>s</w:t>
      </w:r>
      <w:r w:rsidRPr="00C64CF5">
        <w:rPr>
          <w:szCs w:val="24"/>
        </w:rPr>
        <w:t>he consumes.</w:t>
      </w:r>
      <w:r w:rsidRPr="00C64CF5">
        <w:rPr>
          <w:szCs w:val="24"/>
          <w:vertAlign w:val="superscript"/>
        </w:rPr>
        <w:footnoteReference w:id="8"/>
      </w:r>
      <w:r w:rsidRPr="00C64CF5">
        <w:rPr>
          <w:szCs w:val="24"/>
        </w:rPr>
        <w:t xml:space="preserve">  Chapter 14 of the Public Utility Code provides that in certain circumstances a customer may be permitted to amortize the amount due on a utility account:</w:t>
      </w:r>
    </w:p>
    <w:p w:rsidR="00385DD5" w:rsidRPr="00C64CF5" w:rsidRDefault="00385DD5" w:rsidP="00385DD5">
      <w:pPr>
        <w:tabs>
          <w:tab w:val="clear" w:pos="1440"/>
        </w:tabs>
        <w:spacing w:after="0" w:line="240" w:lineRule="auto"/>
        <w:ind w:left="1440" w:right="1440"/>
        <w:rPr>
          <w:szCs w:val="24"/>
        </w:rPr>
      </w:pPr>
      <w:r w:rsidRPr="00C64CF5">
        <w:rPr>
          <w:szCs w:val="24"/>
        </w:rPr>
        <w:t>The Commission is authorized to investigate complaints regarding payment disputes between a public utility, applicants and customers.  The Commission is authorized to establish payment a</w:t>
      </w:r>
      <w:r w:rsidR="00E226BC">
        <w:rPr>
          <w:szCs w:val="24"/>
        </w:rPr>
        <w:t>rrangements</w:t>
      </w:r>
      <w:r w:rsidRPr="00C64CF5">
        <w:rPr>
          <w:szCs w:val="24"/>
        </w:rPr>
        <w:t xml:space="preserve"> between a public utility, customers and applicants within the time limits established by this chapter.</w:t>
      </w:r>
      <w:r w:rsidRPr="00C64CF5">
        <w:rPr>
          <w:szCs w:val="24"/>
          <w:vertAlign w:val="superscript"/>
        </w:rPr>
        <w:footnoteReference w:id="9"/>
      </w:r>
    </w:p>
    <w:p w:rsidR="00385DD5" w:rsidRPr="00C64CF5" w:rsidRDefault="00385DD5" w:rsidP="00385DD5">
      <w:pPr>
        <w:tabs>
          <w:tab w:val="clear" w:pos="1440"/>
        </w:tabs>
        <w:spacing w:after="0"/>
      </w:pPr>
      <w:r w:rsidRPr="00C64CF5">
        <w:rPr>
          <w:szCs w:val="24"/>
        </w:rPr>
        <w:t>The award of a payment arrangement is not mandatory.</w:t>
      </w:r>
      <w:r w:rsidRPr="00C64CF5">
        <w:rPr>
          <w:szCs w:val="24"/>
          <w:vertAlign w:val="superscript"/>
        </w:rPr>
        <w:footnoteReference w:id="10"/>
      </w:r>
      <w:r w:rsidRPr="00C64CF5">
        <w:rPr>
          <w:szCs w:val="24"/>
        </w:rPr>
        <w:t xml:space="preserve">  </w:t>
      </w:r>
      <w:r w:rsidRPr="00C64CF5">
        <w:t>The Commission is authorized to order one payment a</w:t>
      </w:r>
      <w:r w:rsidR="00E910D4">
        <w:t>rrange</w:t>
      </w:r>
      <w:r w:rsidRPr="00C64CF5">
        <w:t>ment per customer.</w:t>
      </w:r>
      <w:r w:rsidRPr="00C64CF5">
        <w:rPr>
          <w:szCs w:val="24"/>
          <w:vertAlign w:val="superscript"/>
        </w:rPr>
        <w:footnoteReference w:id="11"/>
      </w:r>
      <w:r w:rsidRPr="00C64CF5">
        <w:t xml:space="preserve">  </w:t>
      </w:r>
    </w:p>
    <w:p w:rsidR="001E7230" w:rsidRPr="009F2EA1" w:rsidRDefault="00385DD5" w:rsidP="00385DD5">
      <w:pPr>
        <w:spacing w:after="0"/>
        <w:ind w:firstLine="1440"/>
      </w:pPr>
      <w:r w:rsidRPr="009F2EA1">
        <w:t>In this case, the Complainant do</w:t>
      </w:r>
      <w:r w:rsidR="00E226BC">
        <w:t>es</w:t>
      </w:r>
      <w:r w:rsidRPr="009F2EA1">
        <w:t xml:space="preserve"> not qualify for a payment arrangement.  The Commission’s Bureau of Consumer Services awarded the Complainant a payment arrangement </w:t>
      </w:r>
      <w:r w:rsidR="00B11261">
        <w:t xml:space="preserve">on </w:t>
      </w:r>
      <w:r w:rsidR="001E7230" w:rsidRPr="009F2EA1">
        <w:t>August 22, 2011.</w:t>
      </w:r>
      <w:r w:rsidR="001E7230" w:rsidRPr="009F2EA1">
        <w:rPr>
          <w:rStyle w:val="FootnoteReference"/>
        </w:rPr>
        <w:footnoteReference w:id="12"/>
      </w:r>
      <w:r w:rsidRPr="009F2EA1">
        <w:t xml:space="preserve">  </w:t>
      </w:r>
      <w:r w:rsidR="001E7230" w:rsidRPr="009F2EA1">
        <w:t xml:space="preserve">At that time, BCS determined that her household income was $3,000 per month.  </w:t>
      </w:r>
      <w:r w:rsidR="000263A4" w:rsidRPr="009F2EA1">
        <w:t>She</w:t>
      </w:r>
      <w:r w:rsidR="001E7230" w:rsidRPr="009F2EA1">
        <w:t xml:space="preserve"> qualified for a payment arrangement as a </w:t>
      </w:r>
      <w:r w:rsidR="00076099">
        <w:t>“</w:t>
      </w:r>
      <w:r w:rsidR="001E7230" w:rsidRPr="009F2EA1">
        <w:t>Level Two</w:t>
      </w:r>
      <w:r w:rsidR="00076099">
        <w:t>”</w:t>
      </w:r>
      <w:r w:rsidR="001E7230" w:rsidRPr="009F2EA1">
        <w:t xml:space="preserve"> household</w:t>
      </w:r>
      <w:r w:rsidR="000263A4" w:rsidRPr="009F2EA1">
        <w:t xml:space="preserve"> because her gross monthly household income was between 150% and 250% of the Federal poverty level in effect at the time.</w:t>
      </w:r>
      <w:r w:rsidR="00076099">
        <w:rPr>
          <w:rStyle w:val="FootnoteReference"/>
        </w:rPr>
        <w:footnoteReference w:id="13"/>
      </w:r>
      <w:r w:rsidR="000263A4" w:rsidRPr="009F2EA1">
        <w:t xml:space="preserve">  BCS awarded her a payment arrang</w:t>
      </w:r>
      <w:r w:rsidR="0040433B">
        <w:t>e</w:t>
      </w:r>
      <w:r w:rsidR="000263A4" w:rsidRPr="009F2EA1">
        <w:t>ment</w:t>
      </w:r>
      <w:r w:rsidR="001E7230" w:rsidRPr="009F2EA1">
        <w:t xml:space="preserve"> even though she had previously defaulted on two </w:t>
      </w:r>
      <w:r w:rsidR="00504401">
        <w:t xml:space="preserve">company </w:t>
      </w:r>
      <w:r w:rsidR="001E7230" w:rsidRPr="009F2EA1">
        <w:t>payment arrang</w:t>
      </w:r>
      <w:r w:rsidR="000263A4" w:rsidRPr="009F2EA1">
        <w:t>e</w:t>
      </w:r>
      <w:r w:rsidR="001E7230" w:rsidRPr="009F2EA1">
        <w:t xml:space="preserve">ments.  The Complainant was required to pay her current </w:t>
      </w:r>
      <w:r w:rsidR="001E7230" w:rsidRPr="009F2EA1">
        <w:lastRenderedPageBreak/>
        <w:t>charges by September 2011.  Beginning in October 2011, she was to pay her budget bill plus $76.00 toward her arrearage.  The Complainant defaulted on this a</w:t>
      </w:r>
      <w:r w:rsidR="00E910D4">
        <w:t>rrange</w:t>
      </w:r>
      <w:r w:rsidR="001E7230" w:rsidRPr="009F2EA1">
        <w:t>ment.</w:t>
      </w:r>
    </w:p>
    <w:p w:rsidR="00385DD5" w:rsidRPr="009F2EA1" w:rsidRDefault="001E7230" w:rsidP="00385DD5">
      <w:pPr>
        <w:spacing w:after="0"/>
        <w:ind w:firstLine="1440"/>
        <w:rPr>
          <w:szCs w:val="24"/>
        </w:rPr>
      </w:pPr>
      <w:r w:rsidRPr="009F2EA1">
        <w:rPr>
          <w:szCs w:val="24"/>
        </w:rPr>
        <w:t>Th</w:t>
      </w:r>
      <w:r w:rsidR="00385DD5" w:rsidRPr="009F2EA1">
        <w:rPr>
          <w:szCs w:val="24"/>
        </w:rPr>
        <w:t>e Commission is precluded by the specific language of Section 1405(d) of the Public Utility Code, from awarding the Complainant another payment agreement:</w:t>
      </w:r>
    </w:p>
    <w:p w:rsidR="00385DD5" w:rsidRDefault="00385DD5" w:rsidP="00385DD5">
      <w:pPr>
        <w:spacing w:after="0" w:line="240" w:lineRule="auto"/>
        <w:ind w:left="1440" w:right="1440"/>
        <w:rPr>
          <w:szCs w:val="24"/>
        </w:rPr>
      </w:pPr>
      <w:r w:rsidRPr="009F2EA1">
        <w:rPr>
          <w:szCs w:val="24"/>
        </w:rPr>
        <w:t xml:space="preserve">Absent a change in income, the commission shall not establish or order a public utility to establish a second or subsequent payment </w:t>
      </w:r>
      <w:r w:rsidR="00504401">
        <w:rPr>
          <w:szCs w:val="24"/>
        </w:rPr>
        <w:t>arrangemen</w:t>
      </w:r>
      <w:r w:rsidRPr="009F2EA1">
        <w:rPr>
          <w:szCs w:val="24"/>
        </w:rPr>
        <w:t xml:space="preserve">t if a customer has defaulted on a previous payment </w:t>
      </w:r>
      <w:r w:rsidR="00504401">
        <w:rPr>
          <w:szCs w:val="24"/>
        </w:rPr>
        <w:t>arrangement</w:t>
      </w:r>
      <w:r w:rsidRPr="009F2EA1">
        <w:rPr>
          <w:szCs w:val="24"/>
        </w:rPr>
        <w:t>. . . . .</w:t>
      </w:r>
      <w:r w:rsidRPr="009F2EA1">
        <w:rPr>
          <w:rStyle w:val="FootnoteReference"/>
          <w:szCs w:val="24"/>
        </w:rPr>
        <w:footnoteReference w:id="14"/>
      </w:r>
    </w:p>
    <w:p w:rsidR="00B11261" w:rsidRDefault="00B11261" w:rsidP="00B11261">
      <w:pPr>
        <w:spacing w:before="0" w:after="0" w:line="240" w:lineRule="auto"/>
        <w:ind w:left="1440" w:right="1440"/>
        <w:rPr>
          <w:szCs w:val="24"/>
        </w:rPr>
      </w:pPr>
    </w:p>
    <w:p w:rsidR="00385DD5" w:rsidRDefault="00385DD5" w:rsidP="00385DD5">
      <w:pPr>
        <w:spacing w:after="0"/>
      </w:pPr>
      <w:r w:rsidRPr="009F2EA1">
        <w:rPr>
          <w:szCs w:val="24"/>
        </w:rPr>
        <w:t xml:space="preserve">The Complainant did not prove that </w:t>
      </w:r>
      <w:r w:rsidR="004E6ABF" w:rsidRPr="009F2EA1">
        <w:rPr>
          <w:szCs w:val="24"/>
        </w:rPr>
        <w:t>she</w:t>
      </w:r>
      <w:r w:rsidRPr="009F2EA1">
        <w:rPr>
          <w:szCs w:val="24"/>
        </w:rPr>
        <w:t xml:space="preserve"> </w:t>
      </w:r>
      <w:r w:rsidR="002E4842">
        <w:rPr>
          <w:szCs w:val="24"/>
        </w:rPr>
        <w:t>experienced</w:t>
      </w:r>
      <w:r w:rsidRPr="009F2EA1">
        <w:rPr>
          <w:szCs w:val="24"/>
        </w:rPr>
        <w:t xml:space="preserve"> any change in income or other circumstances that would permit the award of an additional payment agreement.</w:t>
      </w:r>
      <w:r w:rsidR="0051596B" w:rsidRPr="009F2EA1">
        <w:rPr>
          <w:szCs w:val="24"/>
        </w:rPr>
        <w:t xml:space="preserve">  Although the Complainant’s household income remains at Level Two, her </w:t>
      </w:r>
      <w:r w:rsidR="00504401">
        <w:rPr>
          <w:szCs w:val="24"/>
        </w:rPr>
        <w:t xml:space="preserve">household </w:t>
      </w:r>
      <w:r w:rsidR="0051596B" w:rsidRPr="009F2EA1">
        <w:rPr>
          <w:szCs w:val="24"/>
        </w:rPr>
        <w:t>gross monthly income is higher than it was in 2011.</w:t>
      </w:r>
      <w:r w:rsidRPr="009F2EA1">
        <w:rPr>
          <w:szCs w:val="24"/>
        </w:rPr>
        <w:t xml:space="preserve"> </w:t>
      </w:r>
      <w:r w:rsidR="004E6ABF" w:rsidRPr="009F2EA1">
        <w:rPr>
          <w:szCs w:val="24"/>
        </w:rPr>
        <w:t xml:space="preserve"> Even with the addition of her mother-in-law to her household, her household income remained at the Level Two threshold.</w:t>
      </w:r>
      <w:r w:rsidRPr="009F2EA1">
        <w:rPr>
          <w:szCs w:val="24"/>
        </w:rPr>
        <w:t xml:space="preserve">  </w:t>
      </w:r>
      <w:r w:rsidRPr="009F2EA1">
        <w:t xml:space="preserve">Therefore, </w:t>
      </w:r>
      <w:r w:rsidR="004E6ABF" w:rsidRPr="009F2EA1">
        <w:t>her</w:t>
      </w:r>
      <w:r w:rsidRPr="009F2EA1">
        <w:t xml:space="preserve"> request must be denied.</w:t>
      </w:r>
    </w:p>
    <w:p w:rsidR="007044DE" w:rsidRDefault="007044DE" w:rsidP="00385DD5">
      <w:pPr>
        <w:spacing w:after="0"/>
      </w:pPr>
      <w:r>
        <w:tab/>
        <w:t>In sum, the Complainant failed to prove that she is being charge</w:t>
      </w:r>
      <w:r w:rsidR="0028065E">
        <w:t>d</w:t>
      </w:r>
      <w:r>
        <w:t xml:space="preserve"> for energy that she did not consume.  She also failed to prove that PPL is not properly crediting her payments to her account or that Direct Energy is not billing her in accordance with her generation contract.  The Complainant does not qualify for a further Commission-ordered payment arrangement because she defaulted on a previous Commission payment arrangement.</w:t>
      </w:r>
    </w:p>
    <w:p w:rsidR="007044DE" w:rsidRPr="00321BFD" w:rsidRDefault="007044DE" w:rsidP="00321BFD">
      <w:pPr>
        <w:spacing w:after="0"/>
        <w:jc w:val="center"/>
        <w:rPr>
          <w:u w:val="single"/>
        </w:rPr>
      </w:pPr>
      <w:r w:rsidRPr="00321BFD">
        <w:rPr>
          <w:u w:val="single"/>
        </w:rPr>
        <w:t>CONCLUSIONS OF LAW</w:t>
      </w:r>
    </w:p>
    <w:p w:rsidR="007044DE" w:rsidRDefault="007044DE" w:rsidP="00385DD5">
      <w:pPr>
        <w:spacing w:after="0"/>
      </w:pPr>
      <w:r>
        <w:tab/>
        <w:t>1.</w:t>
      </w:r>
      <w:r>
        <w:tab/>
        <w:t xml:space="preserve">The Commission has jurisdiction over the parties and the subject-matter of this dispute.  </w:t>
      </w:r>
      <w:proofErr w:type="gramStart"/>
      <w:r>
        <w:t>66 Pa.C.S.</w:t>
      </w:r>
      <w:proofErr w:type="gramEnd"/>
      <w:r>
        <w:t xml:space="preserve"> </w:t>
      </w:r>
      <w:proofErr w:type="gramStart"/>
      <w:r w:rsidRPr="007044DE">
        <w:t xml:space="preserve">§§ </w:t>
      </w:r>
      <w:r>
        <w:t>701; 2809.</w:t>
      </w:r>
      <w:proofErr w:type="gramEnd"/>
    </w:p>
    <w:p w:rsidR="007044DE" w:rsidRDefault="007044DE" w:rsidP="00385DD5">
      <w:pPr>
        <w:spacing w:after="0"/>
      </w:pPr>
      <w:r>
        <w:tab/>
        <w:t>2.</w:t>
      </w:r>
      <w:r>
        <w:tab/>
        <w:t xml:space="preserve">The Complainant bears the burden of proof.  </w:t>
      </w:r>
      <w:proofErr w:type="gramStart"/>
      <w:r>
        <w:t>66 Pa.C.S.</w:t>
      </w:r>
      <w:proofErr w:type="gramEnd"/>
      <w:r>
        <w:t xml:space="preserve"> § 332.</w:t>
      </w:r>
    </w:p>
    <w:p w:rsidR="007044DE" w:rsidRDefault="007044DE" w:rsidP="00385DD5">
      <w:pPr>
        <w:spacing w:after="0"/>
      </w:pPr>
      <w:r>
        <w:tab/>
        <w:t>3.</w:t>
      </w:r>
      <w:r>
        <w:tab/>
        <w:t>The Complainant failed to sustain her burden of proving that she was not properly billed for consumption.</w:t>
      </w:r>
    </w:p>
    <w:p w:rsidR="007044DE" w:rsidRDefault="007044DE" w:rsidP="001967BF">
      <w:pPr>
        <w:spacing w:before="0" w:after="0"/>
      </w:pPr>
      <w:r>
        <w:lastRenderedPageBreak/>
        <w:tab/>
        <w:t>4.</w:t>
      </w:r>
      <w:r>
        <w:tab/>
        <w:t>The Complainant failed to sustain her burden of proving that her bills were incorrectly rendered.</w:t>
      </w:r>
    </w:p>
    <w:p w:rsidR="001967BF" w:rsidRDefault="001967BF" w:rsidP="001967BF">
      <w:pPr>
        <w:spacing w:before="0" w:after="0"/>
      </w:pPr>
    </w:p>
    <w:p w:rsidR="007044DE" w:rsidRDefault="007044DE" w:rsidP="00B11261">
      <w:pPr>
        <w:spacing w:before="0" w:after="0"/>
        <w:rPr>
          <w:szCs w:val="24"/>
        </w:rPr>
      </w:pPr>
      <w:r>
        <w:tab/>
        <w:t>5.</w:t>
      </w:r>
      <w:r>
        <w:tab/>
        <w:t xml:space="preserve">The Commission cannot award </w:t>
      </w:r>
      <w:r w:rsidRPr="009F2EA1">
        <w:rPr>
          <w:szCs w:val="24"/>
        </w:rPr>
        <w:t xml:space="preserve">a second or subsequent payment </w:t>
      </w:r>
      <w:r w:rsidR="006A6EC5">
        <w:rPr>
          <w:szCs w:val="24"/>
        </w:rPr>
        <w:t>arrangement</w:t>
      </w:r>
      <w:r w:rsidRPr="009F2EA1">
        <w:rPr>
          <w:szCs w:val="24"/>
        </w:rPr>
        <w:t xml:space="preserve"> if a customer has</w:t>
      </w:r>
      <w:r>
        <w:rPr>
          <w:szCs w:val="24"/>
        </w:rPr>
        <w:t xml:space="preserve"> defaulted on a previous Commission-ordered payment arrangement, unless there has been a change in income.  </w:t>
      </w:r>
      <w:proofErr w:type="gramStart"/>
      <w:r>
        <w:rPr>
          <w:szCs w:val="24"/>
        </w:rPr>
        <w:t>66 Pa.C.S.</w:t>
      </w:r>
      <w:proofErr w:type="gramEnd"/>
      <w:r>
        <w:rPr>
          <w:szCs w:val="24"/>
        </w:rPr>
        <w:t xml:space="preserve"> § 1405.</w:t>
      </w:r>
    </w:p>
    <w:p w:rsidR="00B11261" w:rsidRDefault="00B11261" w:rsidP="00B11261">
      <w:pPr>
        <w:spacing w:before="0" w:after="0"/>
        <w:rPr>
          <w:szCs w:val="24"/>
        </w:rPr>
      </w:pPr>
    </w:p>
    <w:p w:rsidR="001D2814" w:rsidRDefault="001D2814" w:rsidP="00B11261">
      <w:pPr>
        <w:spacing w:before="0" w:after="0"/>
        <w:jc w:val="center"/>
        <w:rPr>
          <w:szCs w:val="24"/>
          <w:u w:val="single"/>
        </w:rPr>
      </w:pPr>
      <w:r w:rsidRPr="00AB4C27">
        <w:rPr>
          <w:szCs w:val="24"/>
          <w:u w:val="single"/>
        </w:rPr>
        <w:t>ORDER</w:t>
      </w:r>
    </w:p>
    <w:p w:rsidR="001967BF" w:rsidRPr="00AB4C27" w:rsidRDefault="001967BF" w:rsidP="001967BF">
      <w:pPr>
        <w:spacing w:before="0" w:after="0" w:line="240" w:lineRule="auto"/>
        <w:jc w:val="center"/>
        <w:rPr>
          <w:szCs w:val="24"/>
          <w:u w:val="single"/>
        </w:rPr>
      </w:pPr>
    </w:p>
    <w:p w:rsidR="001D2814" w:rsidRDefault="001D2814" w:rsidP="00B11261">
      <w:pPr>
        <w:spacing w:after="0"/>
        <w:ind w:firstLine="1440"/>
        <w:rPr>
          <w:szCs w:val="24"/>
        </w:rPr>
      </w:pPr>
      <w:r>
        <w:rPr>
          <w:szCs w:val="24"/>
        </w:rPr>
        <w:t>THEREFORE</w:t>
      </w:r>
      <w:r w:rsidR="00321BFD">
        <w:rPr>
          <w:szCs w:val="24"/>
        </w:rPr>
        <w:t>,</w:t>
      </w:r>
    </w:p>
    <w:p w:rsidR="001D2814" w:rsidRDefault="001D2814" w:rsidP="00B11261">
      <w:pPr>
        <w:spacing w:after="0"/>
        <w:ind w:firstLine="1440"/>
        <w:rPr>
          <w:szCs w:val="24"/>
        </w:rPr>
      </w:pPr>
      <w:r>
        <w:rPr>
          <w:szCs w:val="24"/>
        </w:rPr>
        <w:t>IT IS ORDERED:</w:t>
      </w:r>
    </w:p>
    <w:p w:rsidR="001D2814" w:rsidRDefault="001D2814" w:rsidP="00385DD5">
      <w:pPr>
        <w:spacing w:after="0"/>
        <w:rPr>
          <w:szCs w:val="24"/>
        </w:rPr>
      </w:pPr>
      <w:r>
        <w:rPr>
          <w:szCs w:val="24"/>
        </w:rPr>
        <w:tab/>
        <w:t>1.</w:t>
      </w:r>
      <w:r>
        <w:rPr>
          <w:szCs w:val="24"/>
        </w:rPr>
        <w:tab/>
        <w:t>Th</w:t>
      </w:r>
      <w:r w:rsidR="008501A6">
        <w:rPr>
          <w:szCs w:val="24"/>
        </w:rPr>
        <w:t>at th</w:t>
      </w:r>
      <w:r>
        <w:rPr>
          <w:szCs w:val="24"/>
        </w:rPr>
        <w:t xml:space="preserve">e formal complaint of Mandy </w:t>
      </w:r>
      <w:proofErr w:type="spellStart"/>
      <w:r>
        <w:rPr>
          <w:szCs w:val="24"/>
        </w:rPr>
        <w:t>Botts</w:t>
      </w:r>
      <w:proofErr w:type="spellEnd"/>
      <w:r>
        <w:rPr>
          <w:szCs w:val="24"/>
        </w:rPr>
        <w:t xml:space="preserve"> against PPL Electric Utilities Corporation at Docket C-2016-2526980 is dismissed.</w:t>
      </w:r>
    </w:p>
    <w:p w:rsidR="001D2814" w:rsidRDefault="001D2814" w:rsidP="00385DD5">
      <w:pPr>
        <w:spacing w:after="0"/>
        <w:rPr>
          <w:szCs w:val="24"/>
        </w:rPr>
      </w:pPr>
      <w:r>
        <w:rPr>
          <w:szCs w:val="24"/>
        </w:rPr>
        <w:tab/>
        <w:t>2.</w:t>
      </w:r>
      <w:r>
        <w:rPr>
          <w:szCs w:val="24"/>
        </w:rPr>
        <w:tab/>
        <w:t xml:space="preserve">That the formal complaint of Mandy </w:t>
      </w:r>
      <w:proofErr w:type="spellStart"/>
      <w:r>
        <w:rPr>
          <w:szCs w:val="24"/>
        </w:rPr>
        <w:t>Botts</w:t>
      </w:r>
      <w:proofErr w:type="spellEnd"/>
      <w:r>
        <w:rPr>
          <w:szCs w:val="24"/>
        </w:rPr>
        <w:t xml:space="preserve"> against Direct Energy Services, LLC at Docket C-2016-2526980 is dismissed.</w:t>
      </w:r>
    </w:p>
    <w:p w:rsidR="001D2814" w:rsidRDefault="001D2814" w:rsidP="00385DD5">
      <w:pPr>
        <w:spacing w:after="0"/>
      </w:pPr>
      <w:r>
        <w:rPr>
          <w:szCs w:val="24"/>
        </w:rPr>
        <w:tab/>
        <w:t>3.</w:t>
      </w:r>
      <w:r>
        <w:rPr>
          <w:szCs w:val="24"/>
        </w:rPr>
        <w:tab/>
        <w:t>That the Secretary shall mark the docket closed.</w:t>
      </w:r>
    </w:p>
    <w:p w:rsidR="00385DD5" w:rsidRDefault="00385DD5" w:rsidP="00385DD5">
      <w:pPr>
        <w:spacing w:before="0" w:after="0"/>
      </w:pPr>
    </w:p>
    <w:p w:rsidR="00B11261" w:rsidRDefault="00B11261" w:rsidP="00385DD5">
      <w:pPr>
        <w:spacing w:before="0" w:after="0"/>
      </w:pPr>
    </w:p>
    <w:p w:rsidR="00B11261" w:rsidRDefault="00B11261" w:rsidP="00385DD5">
      <w:pPr>
        <w:spacing w:before="0" w:after="0"/>
      </w:pPr>
    </w:p>
    <w:p w:rsidR="00B11261" w:rsidRPr="00B11261" w:rsidRDefault="00B11261" w:rsidP="00B11261">
      <w:pPr>
        <w:tabs>
          <w:tab w:val="clear" w:pos="1440"/>
        </w:tabs>
        <w:spacing w:before="0" w:after="0" w:line="240" w:lineRule="auto"/>
        <w:rPr>
          <w:szCs w:val="24"/>
        </w:rPr>
      </w:pPr>
      <w:r w:rsidRPr="00B11261">
        <w:rPr>
          <w:szCs w:val="24"/>
        </w:rPr>
        <w:t xml:space="preserve">Date:  </w:t>
      </w:r>
      <w:r>
        <w:rPr>
          <w:szCs w:val="24"/>
          <w:u w:val="single"/>
        </w:rPr>
        <w:t>November 1</w:t>
      </w:r>
      <w:r w:rsidR="00005569">
        <w:rPr>
          <w:szCs w:val="24"/>
          <w:u w:val="single"/>
        </w:rPr>
        <w:t>5</w:t>
      </w:r>
      <w:r>
        <w:rPr>
          <w:szCs w:val="24"/>
          <w:u w:val="single"/>
        </w:rPr>
        <w:t>, 2016</w:t>
      </w:r>
      <w:r>
        <w:rPr>
          <w:szCs w:val="24"/>
        </w:rPr>
        <w:tab/>
      </w:r>
      <w:r>
        <w:rPr>
          <w:szCs w:val="24"/>
        </w:rPr>
        <w:tab/>
      </w:r>
      <w:r>
        <w:rPr>
          <w:szCs w:val="24"/>
        </w:rPr>
        <w:tab/>
      </w:r>
      <w:r>
        <w:rPr>
          <w:szCs w:val="24"/>
        </w:rPr>
        <w:tab/>
      </w:r>
      <w:r w:rsidRPr="00B11261">
        <w:rPr>
          <w:szCs w:val="24"/>
          <w:u w:val="single"/>
        </w:rPr>
        <w:tab/>
      </w:r>
      <w:r w:rsidRPr="00B11261">
        <w:rPr>
          <w:szCs w:val="24"/>
          <w:u w:val="single"/>
        </w:rPr>
        <w:tab/>
        <w:t>/s/</w:t>
      </w:r>
      <w:r w:rsidRPr="00B11261">
        <w:rPr>
          <w:szCs w:val="24"/>
          <w:u w:val="single"/>
        </w:rPr>
        <w:tab/>
      </w:r>
      <w:r w:rsidRPr="00B11261">
        <w:rPr>
          <w:szCs w:val="24"/>
          <w:u w:val="single"/>
        </w:rPr>
        <w:tab/>
      </w:r>
      <w:r w:rsidRPr="00B11261">
        <w:rPr>
          <w:szCs w:val="24"/>
          <w:u w:val="single"/>
        </w:rPr>
        <w:tab/>
      </w:r>
      <w:r w:rsidRPr="00B11261">
        <w:rPr>
          <w:szCs w:val="24"/>
          <w:u w:val="single"/>
        </w:rPr>
        <w:tab/>
      </w:r>
    </w:p>
    <w:p w:rsidR="00B11261" w:rsidRPr="00B11261" w:rsidRDefault="00B11261" w:rsidP="00B11261">
      <w:pPr>
        <w:tabs>
          <w:tab w:val="clear" w:pos="1440"/>
        </w:tabs>
        <w:spacing w:before="0" w:after="0" w:line="240" w:lineRule="auto"/>
        <w:rPr>
          <w:szCs w:val="24"/>
        </w:rPr>
      </w:pPr>
      <w:r w:rsidRPr="00B11261">
        <w:rPr>
          <w:szCs w:val="24"/>
        </w:rPr>
        <w:tab/>
      </w:r>
      <w:r w:rsidRPr="00B11261">
        <w:rPr>
          <w:szCs w:val="24"/>
        </w:rPr>
        <w:tab/>
      </w:r>
      <w:r w:rsidRPr="00B11261">
        <w:rPr>
          <w:szCs w:val="24"/>
        </w:rPr>
        <w:tab/>
      </w:r>
      <w:r w:rsidRPr="00B11261">
        <w:rPr>
          <w:szCs w:val="24"/>
        </w:rPr>
        <w:tab/>
      </w:r>
      <w:r w:rsidRPr="00B11261">
        <w:rPr>
          <w:szCs w:val="24"/>
        </w:rPr>
        <w:tab/>
      </w:r>
      <w:r w:rsidRPr="00B11261">
        <w:rPr>
          <w:szCs w:val="24"/>
        </w:rPr>
        <w:tab/>
      </w:r>
      <w:r w:rsidRPr="00B11261">
        <w:rPr>
          <w:szCs w:val="24"/>
        </w:rPr>
        <w:tab/>
        <w:t>Mary D. Long</w:t>
      </w:r>
    </w:p>
    <w:p w:rsidR="00B11261" w:rsidRPr="00B11261" w:rsidRDefault="00B11261" w:rsidP="00B11261">
      <w:pPr>
        <w:tabs>
          <w:tab w:val="clear" w:pos="1440"/>
        </w:tabs>
        <w:spacing w:before="0" w:after="0" w:line="240" w:lineRule="auto"/>
        <w:rPr>
          <w:szCs w:val="24"/>
        </w:rPr>
      </w:pPr>
      <w:r w:rsidRPr="00B11261">
        <w:rPr>
          <w:szCs w:val="24"/>
        </w:rPr>
        <w:tab/>
      </w:r>
      <w:r w:rsidRPr="00B11261">
        <w:rPr>
          <w:szCs w:val="24"/>
        </w:rPr>
        <w:tab/>
      </w:r>
      <w:r w:rsidRPr="00B11261">
        <w:rPr>
          <w:szCs w:val="24"/>
        </w:rPr>
        <w:tab/>
      </w:r>
      <w:r w:rsidRPr="00B11261">
        <w:rPr>
          <w:szCs w:val="24"/>
        </w:rPr>
        <w:tab/>
      </w:r>
      <w:r w:rsidRPr="00B11261">
        <w:rPr>
          <w:szCs w:val="24"/>
        </w:rPr>
        <w:tab/>
      </w:r>
      <w:r w:rsidRPr="00B11261">
        <w:rPr>
          <w:szCs w:val="24"/>
        </w:rPr>
        <w:tab/>
      </w:r>
      <w:r w:rsidRPr="00B11261">
        <w:rPr>
          <w:szCs w:val="24"/>
        </w:rPr>
        <w:tab/>
        <w:t>Administrative Law Judge</w:t>
      </w:r>
    </w:p>
    <w:p w:rsidR="00B11261" w:rsidRPr="00B11261" w:rsidRDefault="00B11261" w:rsidP="00B11261">
      <w:pPr>
        <w:tabs>
          <w:tab w:val="clear" w:pos="1440"/>
        </w:tabs>
        <w:spacing w:before="0" w:after="0" w:line="240" w:lineRule="auto"/>
        <w:rPr>
          <w:szCs w:val="24"/>
        </w:rPr>
      </w:pPr>
    </w:p>
    <w:p w:rsidR="00B11261" w:rsidRDefault="00B11261" w:rsidP="00385DD5">
      <w:pPr>
        <w:spacing w:before="0" w:after="0"/>
      </w:pPr>
    </w:p>
    <w:p w:rsidR="00385DD5" w:rsidRDefault="00385DD5" w:rsidP="00385DD5"/>
    <w:sectPr w:rsidR="00385DD5" w:rsidSect="00416E6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CB6" w:rsidRDefault="008C1CB6" w:rsidP="00416E60">
      <w:pPr>
        <w:spacing w:before="0" w:after="0" w:line="240" w:lineRule="auto"/>
      </w:pPr>
      <w:r>
        <w:separator/>
      </w:r>
    </w:p>
  </w:endnote>
  <w:endnote w:type="continuationSeparator" w:id="0">
    <w:p w:rsidR="008C1CB6" w:rsidRDefault="008C1CB6" w:rsidP="00416E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217305"/>
      <w:docPartObj>
        <w:docPartGallery w:val="Page Numbers (Bottom of Page)"/>
        <w:docPartUnique/>
      </w:docPartObj>
    </w:sdtPr>
    <w:sdtEndPr>
      <w:rPr>
        <w:noProof/>
        <w:sz w:val="20"/>
      </w:rPr>
    </w:sdtEndPr>
    <w:sdtContent>
      <w:p w:rsidR="00416E60" w:rsidRPr="00FC4FBE" w:rsidRDefault="00416E60">
        <w:pPr>
          <w:pStyle w:val="Footer"/>
          <w:jc w:val="center"/>
          <w:rPr>
            <w:sz w:val="20"/>
          </w:rPr>
        </w:pPr>
        <w:r w:rsidRPr="00FC4FBE">
          <w:rPr>
            <w:sz w:val="20"/>
          </w:rPr>
          <w:fldChar w:fldCharType="begin"/>
        </w:r>
        <w:r w:rsidRPr="00FC4FBE">
          <w:rPr>
            <w:sz w:val="20"/>
          </w:rPr>
          <w:instrText xml:space="preserve"> PAGE   \* MERGEFORMAT </w:instrText>
        </w:r>
        <w:r w:rsidRPr="00FC4FBE">
          <w:rPr>
            <w:sz w:val="20"/>
          </w:rPr>
          <w:fldChar w:fldCharType="separate"/>
        </w:r>
        <w:r w:rsidR="0005197E">
          <w:rPr>
            <w:noProof/>
            <w:sz w:val="20"/>
          </w:rPr>
          <w:t>6</w:t>
        </w:r>
        <w:r w:rsidRPr="00FC4FBE">
          <w:rPr>
            <w:noProof/>
            <w:sz w:val="20"/>
          </w:rPr>
          <w:fldChar w:fldCharType="end"/>
        </w:r>
      </w:p>
    </w:sdtContent>
  </w:sdt>
  <w:p w:rsidR="00416E60" w:rsidRDefault="00416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CB6" w:rsidRDefault="008C1CB6" w:rsidP="00416E60">
      <w:pPr>
        <w:spacing w:before="0" w:after="0" w:line="240" w:lineRule="auto"/>
      </w:pPr>
      <w:r>
        <w:separator/>
      </w:r>
    </w:p>
  </w:footnote>
  <w:footnote w:type="continuationSeparator" w:id="0">
    <w:p w:rsidR="008C1CB6" w:rsidRDefault="008C1CB6" w:rsidP="00416E60">
      <w:pPr>
        <w:spacing w:before="0" w:after="0" w:line="240" w:lineRule="auto"/>
      </w:pPr>
      <w:r>
        <w:continuationSeparator/>
      </w:r>
    </w:p>
  </w:footnote>
  <w:footnote w:id="1">
    <w:p w:rsidR="00385DD5" w:rsidRDefault="00385DD5" w:rsidP="00B11261">
      <w:pPr>
        <w:pStyle w:val="FootnoteText"/>
      </w:pPr>
      <w:r>
        <w:rPr>
          <w:rStyle w:val="FootnoteReference"/>
        </w:rPr>
        <w:footnoteRef/>
      </w:r>
      <w:r>
        <w:t xml:space="preserve"> </w:t>
      </w:r>
      <w:r>
        <w:tab/>
      </w:r>
      <w:proofErr w:type="gramStart"/>
      <w:r>
        <w:t>66 Pa.C.S.</w:t>
      </w:r>
      <w:proofErr w:type="gramEnd"/>
      <w:r>
        <w:t xml:space="preserve"> § 332(a).</w:t>
      </w:r>
    </w:p>
    <w:p w:rsidR="00165692" w:rsidRDefault="00165692" w:rsidP="00B11261">
      <w:pPr>
        <w:pStyle w:val="FootnoteText"/>
      </w:pPr>
    </w:p>
  </w:footnote>
  <w:footnote w:id="2">
    <w:p w:rsidR="00385DD5" w:rsidRDefault="00385DD5" w:rsidP="00B11261">
      <w:pPr>
        <w:pStyle w:val="FootnoteText"/>
      </w:pPr>
      <w:r>
        <w:rPr>
          <w:rStyle w:val="FootnoteReference"/>
        </w:rPr>
        <w:footnoteRef/>
      </w:r>
      <w:r>
        <w:t xml:space="preserve"> </w:t>
      </w:r>
      <w:r>
        <w:tab/>
      </w:r>
      <w:proofErr w:type="gramStart"/>
      <w:r w:rsidRPr="004C1D25">
        <w:rPr>
          <w:i/>
        </w:rPr>
        <w:t>Se-Ling Hosiery, Inc. v. Margulies</w:t>
      </w:r>
      <w:r>
        <w:t xml:space="preserve">, 70 A.2d 854 (Pa. 1950); </w:t>
      </w:r>
      <w:r w:rsidRPr="004C1D25">
        <w:rPr>
          <w:i/>
        </w:rPr>
        <w:t xml:space="preserve">Feinstein v. Philadelphia Suburban Water Company, </w:t>
      </w:r>
      <w:r w:rsidRPr="0005197E">
        <w:t>50 Pa. PUC 300 (1976).</w:t>
      </w:r>
      <w:proofErr w:type="gramEnd"/>
    </w:p>
    <w:p w:rsidR="00165692" w:rsidRDefault="00165692" w:rsidP="00B11261">
      <w:pPr>
        <w:pStyle w:val="FootnoteText"/>
      </w:pPr>
    </w:p>
  </w:footnote>
  <w:footnote w:id="3">
    <w:p w:rsidR="00385DD5" w:rsidRDefault="00385DD5" w:rsidP="00B11261">
      <w:pPr>
        <w:pStyle w:val="FootnoteText"/>
      </w:pPr>
      <w:r>
        <w:rPr>
          <w:rStyle w:val="FootnoteReference"/>
        </w:rPr>
        <w:footnoteRef/>
      </w:r>
      <w:r>
        <w:t xml:space="preserve"> </w:t>
      </w:r>
      <w:r>
        <w:tab/>
      </w:r>
      <w:proofErr w:type="gramStart"/>
      <w:r>
        <w:t>66 Pa.C.S.</w:t>
      </w:r>
      <w:proofErr w:type="gramEnd"/>
      <w:r>
        <w:t xml:space="preserve"> § 701.</w:t>
      </w:r>
      <w:bookmarkStart w:id="0" w:name="_GoBack"/>
      <w:bookmarkEnd w:id="0"/>
    </w:p>
    <w:p w:rsidR="00165692" w:rsidRDefault="00165692" w:rsidP="00B11261">
      <w:pPr>
        <w:pStyle w:val="FootnoteText"/>
      </w:pPr>
    </w:p>
  </w:footnote>
  <w:footnote w:id="4">
    <w:p w:rsidR="00385DD5" w:rsidRDefault="00385DD5" w:rsidP="00B11261">
      <w:pPr>
        <w:pStyle w:val="FootnoteText"/>
      </w:pPr>
      <w:r>
        <w:rPr>
          <w:rStyle w:val="FootnoteReference"/>
        </w:rPr>
        <w:footnoteRef/>
      </w:r>
      <w:r>
        <w:t xml:space="preserve"> </w:t>
      </w:r>
      <w:r>
        <w:tab/>
      </w:r>
      <w:proofErr w:type="gramStart"/>
      <w:r>
        <w:t>54 Pa. PUC 98 (1980) (</w:t>
      </w:r>
      <w:r w:rsidRPr="00515E96">
        <w:rPr>
          <w:i/>
        </w:rPr>
        <w:t>Waldron</w:t>
      </w:r>
      <w:r>
        <w:t>).</w:t>
      </w:r>
      <w:proofErr w:type="gramEnd"/>
    </w:p>
    <w:p w:rsidR="00165692" w:rsidRDefault="00165692" w:rsidP="00B11261">
      <w:pPr>
        <w:pStyle w:val="FootnoteText"/>
      </w:pPr>
    </w:p>
  </w:footnote>
  <w:footnote w:id="5">
    <w:p w:rsidR="00385DD5" w:rsidRDefault="00385DD5" w:rsidP="00B11261">
      <w:pPr>
        <w:pStyle w:val="FootnoteText"/>
      </w:pPr>
      <w:r>
        <w:rPr>
          <w:rStyle w:val="FootnoteReference"/>
        </w:rPr>
        <w:footnoteRef/>
      </w:r>
      <w:r>
        <w:t xml:space="preserve"> </w:t>
      </w:r>
      <w:r>
        <w:tab/>
      </w:r>
      <w:proofErr w:type="gramStart"/>
      <w:r>
        <w:t>768 A.2d 1217 (</w:t>
      </w:r>
      <w:proofErr w:type="spellStart"/>
      <w:r>
        <w:t>Pa.Cmwlth</w:t>
      </w:r>
      <w:proofErr w:type="spellEnd"/>
      <w:r>
        <w:t>. 2001) (</w:t>
      </w:r>
      <w:proofErr w:type="spellStart"/>
      <w:r>
        <w:rPr>
          <w:i/>
        </w:rPr>
        <w:t>Milkie</w:t>
      </w:r>
      <w:proofErr w:type="spellEnd"/>
      <w:r>
        <w:t>).</w:t>
      </w:r>
      <w:proofErr w:type="gramEnd"/>
      <w:r>
        <w:t xml:space="preserve">  </w:t>
      </w:r>
    </w:p>
  </w:footnote>
  <w:footnote w:id="6">
    <w:p w:rsidR="00385DD5" w:rsidRDefault="00385DD5" w:rsidP="00B11261">
      <w:pPr>
        <w:pStyle w:val="FootnoteText"/>
      </w:pPr>
      <w:r>
        <w:rPr>
          <w:rStyle w:val="FootnoteReference"/>
        </w:rPr>
        <w:footnoteRef/>
      </w:r>
      <w:r>
        <w:t xml:space="preserve"> </w:t>
      </w:r>
      <w:r>
        <w:tab/>
      </w:r>
      <w:r>
        <w:rPr>
          <w:i/>
        </w:rPr>
        <w:t>Bennett v. Peoples Natural Gas Co.</w:t>
      </w:r>
      <w:r>
        <w:t xml:space="preserve">, Docket No. C-2009-2122979 (Order entered October 13, 2010); </w:t>
      </w:r>
      <w:r>
        <w:rPr>
          <w:i/>
        </w:rPr>
        <w:t>Thomas v. PECO Energy Co.,</w:t>
      </w:r>
      <w:r>
        <w:t xml:space="preserve"> Docket No. C-2010-2187197 (Order entered November 15, 2011</w:t>
      </w:r>
      <w:proofErr w:type="gramStart"/>
      <w:r>
        <w:t>) .</w:t>
      </w:r>
      <w:proofErr w:type="gramEnd"/>
      <w:r>
        <w:t xml:space="preserve"> </w:t>
      </w:r>
    </w:p>
    <w:p w:rsidR="00165692" w:rsidRDefault="00165692" w:rsidP="00B11261">
      <w:pPr>
        <w:pStyle w:val="FootnoteText"/>
      </w:pPr>
    </w:p>
  </w:footnote>
  <w:footnote w:id="7">
    <w:p w:rsidR="00385DD5" w:rsidRPr="00DC6F5D" w:rsidRDefault="00385DD5" w:rsidP="00B11261">
      <w:pPr>
        <w:pStyle w:val="FootnoteText"/>
      </w:pPr>
      <w:r>
        <w:rPr>
          <w:rStyle w:val="FootnoteReference"/>
        </w:rPr>
        <w:footnoteRef/>
      </w:r>
      <w:r>
        <w:t xml:space="preserve"> </w:t>
      </w:r>
      <w:r>
        <w:tab/>
      </w:r>
      <w:r w:rsidR="00DC6F5D">
        <w:rPr>
          <w:i/>
        </w:rPr>
        <w:t xml:space="preserve">Bennett, </w:t>
      </w:r>
      <w:r w:rsidR="00DC6F5D" w:rsidRPr="00DC6F5D">
        <w:t>at p.</w:t>
      </w:r>
      <w:r w:rsidRPr="00DC6F5D">
        <w:t xml:space="preserve"> 7.</w:t>
      </w:r>
    </w:p>
  </w:footnote>
  <w:footnote w:id="8">
    <w:p w:rsidR="00385DD5" w:rsidRDefault="00385DD5" w:rsidP="00B11261">
      <w:pPr>
        <w:pStyle w:val="FootnoteText"/>
      </w:pPr>
      <w:r>
        <w:rPr>
          <w:rStyle w:val="FootnoteReference"/>
        </w:rPr>
        <w:footnoteRef/>
      </w:r>
      <w:r>
        <w:t xml:space="preserve"> </w:t>
      </w:r>
      <w:r>
        <w:tab/>
      </w:r>
      <w:r w:rsidRPr="003C009E">
        <w:rPr>
          <w:i/>
        </w:rPr>
        <w:t xml:space="preserve">E.g., </w:t>
      </w:r>
      <w:proofErr w:type="spellStart"/>
      <w:r w:rsidRPr="003C009E">
        <w:rPr>
          <w:i/>
        </w:rPr>
        <w:t>Scaccia</w:t>
      </w:r>
      <w:proofErr w:type="spellEnd"/>
      <w:r w:rsidRPr="003C009E">
        <w:rPr>
          <w:i/>
        </w:rPr>
        <w:t xml:space="preserve"> v. West Penn Power Co.</w:t>
      </w:r>
      <w:r w:rsidRPr="003C009E">
        <w:t>, 55 PUC 637 (1982)</w:t>
      </w:r>
      <w:r>
        <w:t xml:space="preserve"> </w:t>
      </w:r>
      <w:r w:rsidRPr="003C009E">
        <w:t>(holding that a public utility is entitled to payment for services provided to customers).</w:t>
      </w:r>
    </w:p>
    <w:p w:rsidR="00B11261" w:rsidRDefault="00B11261" w:rsidP="00B11261">
      <w:pPr>
        <w:pStyle w:val="FootnoteText"/>
      </w:pPr>
    </w:p>
  </w:footnote>
  <w:footnote w:id="9">
    <w:p w:rsidR="00385DD5" w:rsidRDefault="00385DD5" w:rsidP="00B11261">
      <w:pPr>
        <w:pStyle w:val="FootnoteText"/>
      </w:pPr>
      <w:r w:rsidRPr="00FA2394">
        <w:rPr>
          <w:rStyle w:val="FootnoteReference"/>
        </w:rPr>
        <w:footnoteRef/>
      </w:r>
      <w:r w:rsidRPr="00FA2394">
        <w:t xml:space="preserve"> </w:t>
      </w:r>
      <w:r w:rsidRPr="00FA2394">
        <w:tab/>
      </w:r>
      <w:proofErr w:type="gramStart"/>
      <w:r w:rsidRPr="00FA2394">
        <w:t>66 Pa</w:t>
      </w:r>
      <w:r>
        <w:t>.</w:t>
      </w:r>
      <w:r w:rsidRPr="00FA2394">
        <w:t>C.S.</w:t>
      </w:r>
      <w:proofErr w:type="gramEnd"/>
      <w:r w:rsidRPr="00FA2394">
        <w:t xml:space="preserve"> §</w:t>
      </w:r>
      <w:r>
        <w:t xml:space="preserve"> 1405</w:t>
      </w:r>
      <w:r w:rsidRPr="00FA2394">
        <w:t>.</w:t>
      </w:r>
    </w:p>
    <w:p w:rsidR="00B11261" w:rsidRPr="00FA2394" w:rsidRDefault="00B11261" w:rsidP="00B11261">
      <w:pPr>
        <w:pStyle w:val="FootnoteText"/>
      </w:pPr>
    </w:p>
  </w:footnote>
  <w:footnote w:id="10">
    <w:p w:rsidR="00385DD5" w:rsidRDefault="00385DD5" w:rsidP="00B11261">
      <w:pPr>
        <w:pStyle w:val="FootnoteText"/>
      </w:pPr>
      <w:r>
        <w:rPr>
          <w:rStyle w:val="FootnoteReference"/>
        </w:rPr>
        <w:footnoteRef/>
      </w:r>
      <w:r>
        <w:t xml:space="preserve">  </w:t>
      </w:r>
      <w:r>
        <w:tab/>
      </w:r>
      <w:proofErr w:type="gramStart"/>
      <w:r>
        <w:rPr>
          <w:i/>
        </w:rPr>
        <w:t>Buchanan v. Pike County Light and Power Company</w:t>
      </w:r>
      <w:r>
        <w:t>, PUC Docket No.</w:t>
      </w:r>
      <w:proofErr w:type="gramEnd"/>
      <w:r>
        <w:t xml:space="preserve"> F-2009-2137873 (Final Order entered December 12, 2011); </w:t>
      </w:r>
      <w:r>
        <w:rPr>
          <w:i/>
        </w:rPr>
        <w:t>Creekmur v. PECO Energy Co.,</w:t>
      </w:r>
      <w:r>
        <w:t xml:space="preserve"> PUC Docket No. C-2008-2079322 (Final Order entered February 4, 2010); </w:t>
      </w:r>
      <w:r>
        <w:rPr>
          <w:i/>
        </w:rPr>
        <w:t>Crawford v. National Fuel Gas Distribution Corp</w:t>
      </w:r>
      <w:r>
        <w:t>., PUC Docket No. C-20066348 (Final Order entered December 6, 2007).</w:t>
      </w:r>
    </w:p>
    <w:p w:rsidR="00B11261" w:rsidRPr="00800102" w:rsidRDefault="00B11261" w:rsidP="00B11261">
      <w:pPr>
        <w:pStyle w:val="FootnoteText"/>
      </w:pPr>
    </w:p>
  </w:footnote>
  <w:footnote w:id="11">
    <w:p w:rsidR="00385DD5" w:rsidRDefault="00385DD5" w:rsidP="00B11261">
      <w:pPr>
        <w:pStyle w:val="FootnoteText"/>
      </w:pPr>
      <w:r w:rsidRPr="00FA2394">
        <w:rPr>
          <w:rStyle w:val="FootnoteReference"/>
        </w:rPr>
        <w:footnoteRef/>
      </w:r>
      <w:r w:rsidRPr="00FA2394">
        <w:t xml:space="preserve"> </w:t>
      </w:r>
      <w:r w:rsidRPr="00FA2394">
        <w:tab/>
      </w:r>
      <w:proofErr w:type="gramStart"/>
      <w:r w:rsidRPr="00FA2394">
        <w:t>66 Pa.C.S.</w:t>
      </w:r>
      <w:proofErr w:type="gramEnd"/>
      <w:r w:rsidRPr="00FA2394">
        <w:t xml:space="preserve"> </w:t>
      </w:r>
      <w:proofErr w:type="gramStart"/>
      <w:r w:rsidRPr="00FA2394">
        <w:t>§</w:t>
      </w:r>
      <w:r>
        <w:t xml:space="preserve"> </w:t>
      </w:r>
      <w:r w:rsidRPr="00FA2394">
        <w:t>1405(d).</w:t>
      </w:r>
      <w:proofErr w:type="gramEnd"/>
    </w:p>
    <w:p w:rsidR="00B11261" w:rsidRPr="00FA2394" w:rsidRDefault="00B11261" w:rsidP="00B11261">
      <w:pPr>
        <w:pStyle w:val="FootnoteText"/>
      </w:pPr>
    </w:p>
  </w:footnote>
  <w:footnote w:id="12">
    <w:p w:rsidR="001E7230" w:rsidRDefault="001E7230" w:rsidP="00B11261">
      <w:pPr>
        <w:pStyle w:val="FootnoteText"/>
      </w:pPr>
      <w:r>
        <w:rPr>
          <w:rStyle w:val="FootnoteReference"/>
        </w:rPr>
        <w:footnoteRef/>
      </w:r>
      <w:r>
        <w:t xml:space="preserve">  </w:t>
      </w:r>
      <w:r>
        <w:tab/>
        <w:t xml:space="preserve">BCS </w:t>
      </w:r>
      <w:r w:rsidR="00B11261">
        <w:t xml:space="preserve">Case </w:t>
      </w:r>
      <w:r>
        <w:t>No. 286394.</w:t>
      </w:r>
    </w:p>
    <w:p w:rsidR="00B11261" w:rsidRDefault="00B11261" w:rsidP="00B11261">
      <w:pPr>
        <w:pStyle w:val="FootnoteText"/>
      </w:pPr>
    </w:p>
  </w:footnote>
  <w:footnote w:id="13">
    <w:p w:rsidR="00076099" w:rsidRDefault="00076099" w:rsidP="00B11261">
      <w:pPr>
        <w:pStyle w:val="FootnoteText"/>
      </w:pPr>
      <w:r>
        <w:rPr>
          <w:rStyle w:val="FootnoteReference"/>
        </w:rPr>
        <w:footnoteRef/>
      </w:r>
      <w:r>
        <w:t xml:space="preserve">  </w:t>
      </w:r>
      <w:r>
        <w:tab/>
        <w:t xml:space="preserve">See </w:t>
      </w:r>
      <w:proofErr w:type="gramStart"/>
      <w:r>
        <w:t>66 Pa.C.S</w:t>
      </w:r>
      <w:proofErr w:type="gramEnd"/>
      <w:r>
        <w:t>. § 1405(b</w:t>
      </w:r>
      <w:proofErr w:type="gramStart"/>
      <w:r>
        <w:t>)(</w:t>
      </w:r>
      <w:proofErr w:type="gramEnd"/>
      <w:r>
        <w:t>2).</w:t>
      </w:r>
    </w:p>
  </w:footnote>
  <w:footnote w:id="14">
    <w:p w:rsidR="00385DD5" w:rsidRPr="0028065E" w:rsidRDefault="00385DD5" w:rsidP="00B11261">
      <w:pPr>
        <w:pStyle w:val="FootnoteText"/>
      </w:pPr>
      <w:r>
        <w:rPr>
          <w:rStyle w:val="FootnoteReference"/>
        </w:rPr>
        <w:footnoteRef/>
      </w:r>
      <w:r>
        <w:t xml:space="preserve">  </w:t>
      </w:r>
      <w:r>
        <w:tab/>
      </w:r>
      <w:proofErr w:type="gramStart"/>
      <w:r w:rsidR="0028065E" w:rsidRPr="0028065E">
        <w:t>66 Pa.C.S.</w:t>
      </w:r>
      <w:proofErr w:type="gramEnd"/>
      <w:r w:rsidR="0028065E" w:rsidRPr="0028065E">
        <w:t xml:space="preserve"> </w:t>
      </w:r>
      <w:proofErr w:type="gramStart"/>
      <w:r w:rsidR="0028065E" w:rsidRPr="0028065E">
        <w:t>§ 1405(d).</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7A8B74"/>
    <w:lvl w:ilvl="0">
      <w:start w:val="1"/>
      <w:numFmt w:val="decimal"/>
      <w:lvlText w:val="%1."/>
      <w:lvlJc w:val="left"/>
      <w:pPr>
        <w:tabs>
          <w:tab w:val="num" w:pos="1800"/>
        </w:tabs>
        <w:ind w:left="1800" w:hanging="360"/>
      </w:pPr>
    </w:lvl>
  </w:abstractNum>
  <w:abstractNum w:abstractNumId="1">
    <w:nsid w:val="FFFFFF7D"/>
    <w:multiLevelType w:val="singleLevel"/>
    <w:tmpl w:val="4A5038BE"/>
    <w:lvl w:ilvl="0">
      <w:start w:val="1"/>
      <w:numFmt w:val="decimal"/>
      <w:lvlText w:val="%1."/>
      <w:lvlJc w:val="left"/>
      <w:pPr>
        <w:tabs>
          <w:tab w:val="num" w:pos="1440"/>
        </w:tabs>
        <w:ind w:left="1440" w:hanging="360"/>
      </w:pPr>
    </w:lvl>
  </w:abstractNum>
  <w:abstractNum w:abstractNumId="2">
    <w:nsid w:val="FFFFFF7E"/>
    <w:multiLevelType w:val="singleLevel"/>
    <w:tmpl w:val="EBE0AA22"/>
    <w:lvl w:ilvl="0">
      <w:start w:val="1"/>
      <w:numFmt w:val="decimal"/>
      <w:lvlText w:val="%1."/>
      <w:lvlJc w:val="left"/>
      <w:pPr>
        <w:tabs>
          <w:tab w:val="num" w:pos="1080"/>
        </w:tabs>
        <w:ind w:left="1080" w:hanging="360"/>
      </w:pPr>
    </w:lvl>
  </w:abstractNum>
  <w:abstractNum w:abstractNumId="3">
    <w:nsid w:val="FFFFFF7F"/>
    <w:multiLevelType w:val="singleLevel"/>
    <w:tmpl w:val="19B6CF78"/>
    <w:lvl w:ilvl="0">
      <w:start w:val="1"/>
      <w:numFmt w:val="decimal"/>
      <w:lvlText w:val="%1."/>
      <w:lvlJc w:val="left"/>
      <w:pPr>
        <w:tabs>
          <w:tab w:val="num" w:pos="720"/>
        </w:tabs>
        <w:ind w:left="720" w:hanging="360"/>
      </w:pPr>
    </w:lvl>
  </w:abstractNum>
  <w:abstractNum w:abstractNumId="4">
    <w:nsid w:val="FFFFFF80"/>
    <w:multiLevelType w:val="singleLevel"/>
    <w:tmpl w:val="CFE060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64EEA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7A71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9F8B1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9EC982A"/>
    <w:lvl w:ilvl="0">
      <w:start w:val="1"/>
      <w:numFmt w:val="decimal"/>
      <w:lvlText w:val="%1."/>
      <w:lvlJc w:val="left"/>
      <w:pPr>
        <w:tabs>
          <w:tab w:val="num" w:pos="360"/>
        </w:tabs>
        <w:ind w:left="360" w:hanging="360"/>
      </w:pPr>
    </w:lvl>
  </w:abstractNum>
  <w:abstractNum w:abstractNumId="9">
    <w:nsid w:val="FFFFFF89"/>
    <w:multiLevelType w:val="singleLevel"/>
    <w:tmpl w:val="EEA49C7E"/>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12E4DD6"/>
    <w:multiLevelType w:val="hybridMultilevel"/>
    <w:tmpl w:val="F7EA4CFE"/>
    <w:lvl w:ilvl="0" w:tplc="4502CBC4">
      <w:start w:val="1"/>
      <w:numFmt w:val="decimal"/>
      <w:pStyle w:val="ListParagraph"/>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2"/>
  </w:num>
  <w:num w:numId="2">
    <w:abstractNumId w:val="24"/>
  </w:num>
  <w:num w:numId="3">
    <w:abstractNumId w:val="30"/>
  </w:num>
  <w:num w:numId="4">
    <w:abstractNumId w:val="34"/>
  </w:num>
  <w:num w:numId="5">
    <w:abstractNumId w:val="18"/>
  </w:num>
  <w:num w:numId="6">
    <w:abstractNumId w:val="16"/>
  </w:num>
  <w:num w:numId="7">
    <w:abstractNumId w:val="14"/>
  </w:num>
  <w:num w:numId="8">
    <w:abstractNumId w:val="33"/>
  </w:num>
  <w:num w:numId="9">
    <w:abstractNumId w:val="12"/>
  </w:num>
  <w:num w:numId="10">
    <w:abstractNumId w:val="26"/>
  </w:num>
  <w:num w:numId="11">
    <w:abstractNumId w:val="29"/>
  </w:num>
  <w:num w:numId="12">
    <w:abstractNumId w:val="22"/>
  </w:num>
  <w:num w:numId="13">
    <w:abstractNumId w:val="27"/>
  </w:num>
  <w:num w:numId="14">
    <w:abstractNumId w:val="31"/>
  </w:num>
  <w:num w:numId="15">
    <w:abstractNumId w:val="10"/>
  </w:num>
  <w:num w:numId="16">
    <w:abstractNumId w:val="25"/>
  </w:num>
  <w:num w:numId="17">
    <w:abstractNumId w:val="25"/>
  </w:num>
  <w:num w:numId="18">
    <w:abstractNumId w:val="17"/>
  </w:num>
  <w:num w:numId="19">
    <w:abstractNumId w:val="23"/>
  </w:num>
  <w:num w:numId="20">
    <w:abstractNumId w:val="35"/>
  </w:num>
  <w:num w:numId="21">
    <w:abstractNumId w:val="20"/>
  </w:num>
  <w:num w:numId="22">
    <w:abstractNumId w:val="13"/>
  </w:num>
  <w:num w:numId="23">
    <w:abstractNumId w:val="21"/>
  </w:num>
  <w:num w:numId="24">
    <w:abstractNumId w:val="36"/>
  </w:num>
  <w:num w:numId="25">
    <w:abstractNumId w:val="11"/>
  </w:num>
  <w:num w:numId="26">
    <w:abstractNumId w:val="15"/>
  </w:num>
  <w:num w:numId="27">
    <w:abstractNumId w:val="28"/>
  </w:num>
  <w:num w:numId="28">
    <w:abstractNumId w:val="1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73"/>
    <w:rsid w:val="00004C37"/>
    <w:rsid w:val="00005230"/>
    <w:rsid w:val="00005569"/>
    <w:rsid w:val="000263A4"/>
    <w:rsid w:val="00032F41"/>
    <w:rsid w:val="0005197E"/>
    <w:rsid w:val="000628B5"/>
    <w:rsid w:val="00076099"/>
    <w:rsid w:val="00084945"/>
    <w:rsid w:val="000A147D"/>
    <w:rsid w:val="000B088E"/>
    <w:rsid w:val="000C1BF1"/>
    <w:rsid w:val="000E3EDE"/>
    <w:rsid w:val="000F40C8"/>
    <w:rsid w:val="001117FD"/>
    <w:rsid w:val="001439AF"/>
    <w:rsid w:val="00165692"/>
    <w:rsid w:val="001967BF"/>
    <w:rsid w:val="001A21B6"/>
    <w:rsid w:val="001B1CBA"/>
    <w:rsid w:val="001C7744"/>
    <w:rsid w:val="001D2814"/>
    <w:rsid w:val="001D2AF7"/>
    <w:rsid w:val="001E7230"/>
    <w:rsid w:val="001E734C"/>
    <w:rsid w:val="00207743"/>
    <w:rsid w:val="00212DCD"/>
    <w:rsid w:val="00213167"/>
    <w:rsid w:val="00227A26"/>
    <w:rsid w:val="0024553D"/>
    <w:rsid w:val="00246B88"/>
    <w:rsid w:val="002512F9"/>
    <w:rsid w:val="0027382D"/>
    <w:rsid w:val="0028065E"/>
    <w:rsid w:val="002E4842"/>
    <w:rsid w:val="003145FA"/>
    <w:rsid w:val="00321BFD"/>
    <w:rsid w:val="00363EED"/>
    <w:rsid w:val="00367A41"/>
    <w:rsid w:val="00385DD5"/>
    <w:rsid w:val="003860AB"/>
    <w:rsid w:val="00393C92"/>
    <w:rsid w:val="003A0AB0"/>
    <w:rsid w:val="003A3E09"/>
    <w:rsid w:val="003D345A"/>
    <w:rsid w:val="003F1A31"/>
    <w:rsid w:val="0040433B"/>
    <w:rsid w:val="00404393"/>
    <w:rsid w:val="00416E60"/>
    <w:rsid w:val="00444193"/>
    <w:rsid w:val="0046491C"/>
    <w:rsid w:val="00471F73"/>
    <w:rsid w:val="004957BB"/>
    <w:rsid w:val="004C1D25"/>
    <w:rsid w:val="004D523C"/>
    <w:rsid w:val="004E6ABF"/>
    <w:rsid w:val="00504401"/>
    <w:rsid w:val="0051596B"/>
    <w:rsid w:val="00525442"/>
    <w:rsid w:val="005458A4"/>
    <w:rsid w:val="00575840"/>
    <w:rsid w:val="005A1C17"/>
    <w:rsid w:val="005A2ABA"/>
    <w:rsid w:val="005C657F"/>
    <w:rsid w:val="005D180A"/>
    <w:rsid w:val="005E7B69"/>
    <w:rsid w:val="005F5B6B"/>
    <w:rsid w:val="00615384"/>
    <w:rsid w:val="0061775F"/>
    <w:rsid w:val="0062797C"/>
    <w:rsid w:val="00640EC0"/>
    <w:rsid w:val="006571FB"/>
    <w:rsid w:val="00663970"/>
    <w:rsid w:val="006733A7"/>
    <w:rsid w:val="00696C0D"/>
    <w:rsid w:val="006A6EC5"/>
    <w:rsid w:val="006C768C"/>
    <w:rsid w:val="006D7D96"/>
    <w:rsid w:val="006E5DBE"/>
    <w:rsid w:val="006F0329"/>
    <w:rsid w:val="00700807"/>
    <w:rsid w:val="007044DE"/>
    <w:rsid w:val="00712E58"/>
    <w:rsid w:val="00715D3F"/>
    <w:rsid w:val="00792796"/>
    <w:rsid w:val="00796B64"/>
    <w:rsid w:val="007A00CD"/>
    <w:rsid w:val="007B034C"/>
    <w:rsid w:val="007C611A"/>
    <w:rsid w:val="007E6779"/>
    <w:rsid w:val="00820B4C"/>
    <w:rsid w:val="0083239D"/>
    <w:rsid w:val="008501A6"/>
    <w:rsid w:val="008529D2"/>
    <w:rsid w:val="008712A6"/>
    <w:rsid w:val="00872194"/>
    <w:rsid w:val="008C1CB6"/>
    <w:rsid w:val="008E79EB"/>
    <w:rsid w:val="0090065F"/>
    <w:rsid w:val="00916025"/>
    <w:rsid w:val="00917DCA"/>
    <w:rsid w:val="00945603"/>
    <w:rsid w:val="00976850"/>
    <w:rsid w:val="009E454B"/>
    <w:rsid w:val="009F2EA1"/>
    <w:rsid w:val="00A46B2C"/>
    <w:rsid w:val="00A47096"/>
    <w:rsid w:val="00AA2EC5"/>
    <w:rsid w:val="00AB4C27"/>
    <w:rsid w:val="00AB4C73"/>
    <w:rsid w:val="00AE3C26"/>
    <w:rsid w:val="00AE6F47"/>
    <w:rsid w:val="00B0040D"/>
    <w:rsid w:val="00B01557"/>
    <w:rsid w:val="00B06A81"/>
    <w:rsid w:val="00B11261"/>
    <w:rsid w:val="00B33C35"/>
    <w:rsid w:val="00B81296"/>
    <w:rsid w:val="00B8663E"/>
    <w:rsid w:val="00B91E47"/>
    <w:rsid w:val="00BA2E00"/>
    <w:rsid w:val="00BC603D"/>
    <w:rsid w:val="00BC6B21"/>
    <w:rsid w:val="00C04248"/>
    <w:rsid w:val="00C141DF"/>
    <w:rsid w:val="00C15F3F"/>
    <w:rsid w:val="00C64CF5"/>
    <w:rsid w:val="00C67727"/>
    <w:rsid w:val="00C87E57"/>
    <w:rsid w:val="00CB4ACF"/>
    <w:rsid w:val="00CE6C73"/>
    <w:rsid w:val="00D05A6D"/>
    <w:rsid w:val="00D10E77"/>
    <w:rsid w:val="00D15BE7"/>
    <w:rsid w:val="00D24CB8"/>
    <w:rsid w:val="00D8550F"/>
    <w:rsid w:val="00D93AC6"/>
    <w:rsid w:val="00D941C5"/>
    <w:rsid w:val="00DB659E"/>
    <w:rsid w:val="00DC6F5D"/>
    <w:rsid w:val="00DD3E26"/>
    <w:rsid w:val="00DD5C37"/>
    <w:rsid w:val="00DE688C"/>
    <w:rsid w:val="00DF79B1"/>
    <w:rsid w:val="00E226BC"/>
    <w:rsid w:val="00E41BA0"/>
    <w:rsid w:val="00E41C19"/>
    <w:rsid w:val="00E4239A"/>
    <w:rsid w:val="00E53601"/>
    <w:rsid w:val="00E677FC"/>
    <w:rsid w:val="00E910D4"/>
    <w:rsid w:val="00E930AC"/>
    <w:rsid w:val="00EC1CBA"/>
    <w:rsid w:val="00EE7801"/>
    <w:rsid w:val="00EF704F"/>
    <w:rsid w:val="00F05B13"/>
    <w:rsid w:val="00F16554"/>
    <w:rsid w:val="00F544E1"/>
    <w:rsid w:val="00F73535"/>
    <w:rsid w:val="00F80C11"/>
    <w:rsid w:val="00F8154E"/>
    <w:rsid w:val="00FC4FB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E688C"/>
    <w:pPr>
      <w:numPr>
        <w:numId w:val="28"/>
      </w:numPr>
      <w:ind w:left="0" w:firstLine="720"/>
    </w:pPr>
  </w:style>
  <w:style w:type="paragraph" w:styleId="FootnoteText">
    <w:name w:val="footnote text"/>
    <w:aliases w:val="Car"/>
    <w:link w:val="FootnoteTextChar"/>
    <w:autoRedefine/>
    <w:uiPriority w:val="99"/>
    <w:unhideWhenUsed/>
    <w:qFormat/>
    <w:rsid w:val="00B11261"/>
    <w:pPr>
      <w:spacing w:after="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B11261"/>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416E60"/>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416E60"/>
    <w:rPr>
      <w:rFonts w:ascii="Times New Roman" w:hAnsi="Times New Roman" w:cs="Times New Roman"/>
      <w:sz w:val="24"/>
      <w:szCs w:val="20"/>
    </w:rPr>
  </w:style>
  <w:style w:type="paragraph" w:styleId="Footer">
    <w:name w:val="footer"/>
    <w:basedOn w:val="Normal"/>
    <w:link w:val="FooterChar"/>
    <w:uiPriority w:val="99"/>
    <w:unhideWhenUsed/>
    <w:rsid w:val="00416E60"/>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416E60"/>
    <w:rPr>
      <w:rFonts w:ascii="Times New Roman" w:hAnsi="Times New Roman" w:cs="Times New Roman"/>
      <w:sz w:val="24"/>
      <w:szCs w:val="20"/>
    </w:rPr>
  </w:style>
  <w:style w:type="character" w:styleId="FootnoteReference">
    <w:name w:val="footnote reference"/>
    <w:basedOn w:val="DefaultParagraphFont"/>
    <w:uiPriority w:val="99"/>
    <w:unhideWhenUsed/>
    <w:rsid w:val="00385DD5"/>
    <w:rPr>
      <w:vertAlign w:val="superscript"/>
    </w:rPr>
  </w:style>
  <w:style w:type="paragraph" w:styleId="BalloonText">
    <w:name w:val="Balloon Text"/>
    <w:basedOn w:val="Normal"/>
    <w:link w:val="BalloonTextChar"/>
    <w:uiPriority w:val="99"/>
    <w:semiHidden/>
    <w:unhideWhenUsed/>
    <w:rsid w:val="007A00C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0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E688C"/>
    <w:pPr>
      <w:numPr>
        <w:numId w:val="28"/>
      </w:numPr>
      <w:ind w:left="0" w:firstLine="720"/>
    </w:pPr>
  </w:style>
  <w:style w:type="paragraph" w:styleId="FootnoteText">
    <w:name w:val="footnote text"/>
    <w:aliases w:val="Car"/>
    <w:link w:val="FootnoteTextChar"/>
    <w:autoRedefine/>
    <w:uiPriority w:val="99"/>
    <w:unhideWhenUsed/>
    <w:qFormat/>
    <w:rsid w:val="00B11261"/>
    <w:pPr>
      <w:spacing w:after="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B11261"/>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416E60"/>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416E60"/>
    <w:rPr>
      <w:rFonts w:ascii="Times New Roman" w:hAnsi="Times New Roman" w:cs="Times New Roman"/>
      <w:sz w:val="24"/>
      <w:szCs w:val="20"/>
    </w:rPr>
  </w:style>
  <w:style w:type="paragraph" w:styleId="Footer">
    <w:name w:val="footer"/>
    <w:basedOn w:val="Normal"/>
    <w:link w:val="FooterChar"/>
    <w:uiPriority w:val="99"/>
    <w:unhideWhenUsed/>
    <w:rsid w:val="00416E60"/>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416E60"/>
    <w:rPr>
      <w:rFonts w:ascii="Times New Roman" w:hAnsi="Times New Roman" w:cs="Times New Roman"/>
      <w:sz w:val="24"/>
      <w:szCs w:val="20"/>
    </w:rPr>
  </w:style>
  <w:style w:type="character" w:styleId="FootnoteReference">
    <w:name w:val="footnote reference"/>
    <w:basedOn w:val="DefaultParagraphFont"/>
    <w:uiPriority w:val="99"/>
    <w:unhideWhenUsed/>
    <w:rsid w:val="00385DD5"/>
    <w:rPr>
      <w:vertAlign w:val="superscript"/>
    </w:rPr>
  </w:style>
  <w:style w:type="paragraph" w:styleId="BalloonText">
    <w:name w:val="Balloon Text"/>
    <w:basedOn w:val="Normal"/>
    <w:link w:val="BalloonTextChar"/>
    <w:uiPriority w:val="99"/>
    <w:semiHidden/>
    <w:unhideWhenUsed/>
    <w:rsid w:val="007A00C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0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7C5B4-C32A-470E-9B1B-50DB4CDA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Pallas, Dan</cp:lastModifiedBy>
  <cp:revision>12</cp:revision>
  <cp:lastPrinted>2016-12-08T19:33:00Z</cp:lastPrinted>
  <dcterms:created xsi:type="dcterms:W3CDTF">2016-11-14T14:07:00Z</dcterms:created>
  <dcterms:modified xsi:type="dcterms:W3CDTF">2016-12-08T19:34:00Z</dcterms:modified>
</cp:coreProperties>
</file>