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BD5BDF" w:rsidP="00BD5BDF">
      <w:pPr>
        <w:jc w:val="center"/>
        <w:rPr>
          <w:sz w:val="24"/>
        </w:rPr>
      </w:pPr>
      <w:r>
        <w:rPr>
          <w:sz w:val="24"/>
        </w:rPr>
        <w:t>December 13, 2016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A-2012-2294010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Utility Code: 1714419</w:t>
      </w:r>
    </w:p>
    <w:p w:rsidR="003C1BEF" w:rsidRPr="003C1BEF" w:rsidRDefault="003C1BEF" w:rsidP="00770897">
      <w:pPr>
        <w:rPr>
          <w:sz w:val="24"/>
        </w:rPr>
      </w:pPr>
      <w:r w:rsidRPr="003C1BEF">
        <w:rPr>
          <w:sz w:val="24"/>
        </w:rPr>
        <w:t>BRIAN RUSHE</w:t>
      </w:r>
    </w:p>
    <w:p w:rsidR="00420608" w:rsidRPr="003C1BEF" w:rsidRDefault="003C1BEF" w:rsidP="00770897">
      <w:pPr>
        <w:rPr>
          <w:sz w:val="24"/>
        </w:rPr>
      </w:pPr>
      <w:r w:rsidRPr="003C1BEF">
        <w:rPr>
          <w:sz w:val="24"/>
        </w:rPr>
        <w:t>EXCO RESOURCES (PA) LLC</w:t>
      </w:r>
    </w:p>
    <w:p w:rsidR="003A0658" w:rsidRPr="003C1BEF" w:rsidRDefault="003C1BEF" w:rsidP="00770897">
      <w:pPr>
        <w:rPr>
          <w:sz w:val="24"/>
        </w:rPr>
      </w:pPr>
      <w:r w:rsidRPr="003C1BEF">
        <w:rPr>
          <w:sz w:val="24"/>
        </w:rPr>
        <w:t>260 EXECUTIVE DRIVE STE 100</w:t>
      </w:r>
    </w:p>
    <w:p w:rsidR="003A0658" w:rsidRPr="003C1BEF" w:rsidRDefault="003C1BEF" w:rsidP="00770897">
      <w:pPr>
        <w:rPr>
          <w:rFonts w:ascii="Arial" w:hAnsi="Arial"/>
          <w:sz w:val="24"/>
        </w:rPr>
      </w:pPr>
      <w:r w:rsidRPr="003C1BEF">
        <w:rPr>
          <w:sz w:val="24"/>
        </w:rPr>
        <w:t>CRANBERRY TOWNSHIP PA 16066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proofErr w:type="spellStart"/>
      <w:r w:rsidRPr="003C1BEF">
        <w:rPr>
          <w:sz w:val="24"/>
          <w:szCs w:val="24"/>
        </w:rPr>
        <w:t>Rushe</w:t>
      </w:r>
      <w:proofErr w:type="spellEnd"/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C53327" w:rsidRPr="008F12EE" w:rsidRDefault="003C1BEF" w:rsidP="006C5A9F">
      <w:pPr>
        <w:ind w:firstLine="1440"/>
        <w:rPr>
          <w:sz w:val="24"/>
          <w:szCs w:val="24"/>
        </w:rPr>
      </w:pPr>
      <w:r w:rsidRPr="008F12EE">
        <w:rPr>
          <w:sz w:val="24"/>
          <w:szCs w:val="24"/>
        </w:rPr>
        <w:t>This letter serves to acknowledge your notification to the Commission of the sale of EXCO Resources (PA) LLC</w:t>
      </w:r>
      <w:r w:rsidR="003E55FC">
        <w:rPr>
          <w:sz w:val="24"/>
          <w:szCs w:val="24"/>
        </w:rPr>
        <w:t>’s</w:t>
      </w:r>
      <w:r w:rsidR="004A38F8">
        <w:rPr>
          <w:sz w:val="24"/>
          <w:szCs w:val="24"/>
        </w:rPr>
        <w:t xml:space="preserve"> (EXCO)</w:t>
      </w:r>
      <w:r w:rsidRPr="008F12EE">
        <w:rPr>
          <w:sz w:val="24"/>
          <w:szCs w:val="24"/>
        </w:rPr>
        <w:t xml:space="preserve"> sale of conventional assets (including the pipeline assets associated with Docket No. </w:t>
      </w:r>
      <w:proofErr w:type="gramStart"/>
      <w:r w:rsidRPr="008F12EE">
        <w:rPr>
          <w:sz w:val="24"/>
          <w:szCs w:val="24"/>
        </w:rPr>
        <w:t>A-2012-2294010) to Alliance Petroleum Corporation</w:t>
      </w:r>
      <w:r w:rsidR="008F12EE" w:rsidRPr="008F12EE">
        <w:rPr>
          <w:sz w:val="24"/>
          <w:szCs w:val="24"/>
        </w:rPr>
        <w:t xml:space="preserve"> on July 1, 2016</w:t>
      </w:r>
      <w:r w:rsidRPr="008F12EE">
        <w:rPr>
          <w:sz w:val="24"/>
          <w:szCs w:val="24"/>
        </w:rPr>
        <w:t>.</w:t>
      </w:r>
      <w:proofErr w:type="gramEnd"/>
      <w:r w:rsidR="008F12EE">
        <w:rPr>
          <w:sz w:val="24"/>
          <w:szCs w:val="24"/>
        </w:rPr>
        <w:t xml:space="preserve">  As you state that EXCO no longer owns the pipeline assets associated with Docket No. A-2012-2294010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>, the Commission will remove EXCO</w:t>
      </w:r>
      <w:r w:rsidR="004A38F8">
        <w:rPr>
          <w:sz w:val="24"/>
          <w:szCs w:val="24"/>
        </w:rPr>
        <w:t xml:space="preserve"> from its Registry.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C53327" w:rsidRDefault="003E55FC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</w:t>
      </w:r>
      <w:r w:rsidR="004A38F8">
        <w:rPr>
          <w:sz w:val="24"/>
          <w:szCs w:val="24"/>
        </w:rPr>
        <w:t xml:space="preserve">EXCO </w:t>
      </w:r>
      <w:r>
        <w:rPr>
          <w:sz w:val="24"/>
          <w:szCs w:val="24"/>
        </w:rPr>
        <w:t xml:space="preserve">that if it </w:t>
      </w:r>
      <w:r w:rsidR="004A38F8">
        <w:rPr>
          <w:sz w:val="24"/>
          <w:szCs w:val="24"/>
        </w:rPr>
        <w:t>were to acquire any jurisdictional assets in the future, it must file an Initial Registration Form with the Commission in order to comply with the mandates of Act 127.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BD5BDF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E166F9" wp14:editId="61380C50">
            <wp:simplePos x="0" y="0"/>
            <wp:positionH relativeFrom="column">
              <wp:posOffset>2729230</wp:posOffset>
            </wp:positionH>
            <wp:positionV relativeFrom="paragraph">
              <wp:posOffset>-2540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3E55FC" w:rsidRDefault="003E55FC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3E55FC" w:rsidRDefault="003E55F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Bureau of Administration, Assessments</w:t>
      </w:r>
    </w:p>
    <w:p w:rsidR="003E55FC" w:rsidRPr="00093DF4" w:rsidRDefault="003E55FC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3E55FC" w:rsidRPr="00093DF4" w:rsidRDefault="003E55FC" w:rsidP="00093DF4">
      <w:pPr>
        <w:rPr>
          <w:sz w:val="32"/>
          <w:szCs w:val="24"/>
        </w:rPr>
      </w:pPr>
    </w:p>
    <w:sectPr w:rsidR="003E55FC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EC" w:rsidRDefault="009234EC">
      <w:r>
        <w:separator/>
      </w:r>
    </w:p>
  </w:endnote>
  <w:endnote w:type="continuationSeparator" w:id="0">
    <w:p w:rsidR="009234EC" w:rsidRDefault="009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5BD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EC" w:rsidRDefault="009234EC">
      <w:r>
        <w:separator/>
      </w:r>
    </w:p>
  </w:footnote>
  <w:footnote w:type="continuationSeparator" w:id="0">
    <w:p w:rsidR="009234EC" w:rsidRDefault="0092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E41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3E55FC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34EC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5BDF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CCB7-4131-4BE8-80B7-B2CF98E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7</cp:revision>
  <cp:lastPrinted>2016-11-22T17:43:00Z</cp:lastPrinted>
  <dcterms:created xsi:type="dcterms:W3CDTF">2016-11-18T20:15:00Z</dcterms:created>
  <dcterms:modified xsi:type="dcterms:W3CDTF">2016-12-13T18:31:00Z</dcterms:modified>
</cp:coreProperties>
</file>