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1B570A" w:rsidRPr="00C756B2" w:rsidTr="00935F65">
        <w:tc>
          <w:tcPr>
            <w:tcW w:w="2448" w:type="dxa"/>
          </w:tcPr>
          <w:p w:rsidR="001B570A" w:rsidRPr="00C756B2" w:rsidRDefault="001B570A" w:rsidP="00C756B2">
            <w:pPr>
              <w:keepNext/>
              <w:spacing w:before="240" w:after="60" w:line="360" w:lineRule="auto"/>
              <w:textAlignment w:val="baseline"/>
              <w:outlineLvl w:val="2"/>
              <w:rPr>
                <w:b/>
                <w:bCs/>
                <w:sz w:val="26"/>
                <w:szCs w:val="26"/>
              </w:rPr>
            </w:pPr>
          </w:p>
        </w:tc>
        <w:tc>
          <w:tcPr>
            <w:tcW w:w="5130" w:type="dxa"/>
          </w:tcPr>
          <w:p w:rsidR="001B570A" w:rsidRPr="00C756B2" w:rsidRDefault="001B570A" w:rsidP="00E73EF9">
            <w:pPr>
              <w:jc w:val="center"/>
              <w:textAlignment w:val="baseline"/>
              <w:rPr>
                <w:b/>
                <w:sz w:val="26"/>
                <w:szCs w:val="26"/>
              </w:rPr>
            </w:pPr>
            <w:r w:rsidRPr="00C756B2">
              <w:rPr>
                <w:b/>
                <w:sz w:val="26"/>
                <w:szCs w:val="26"/>
              </w:rPr>
              <w:t>PENNSYLVANIA</w:t>
            </w:r>
          </w:p>
          <w:p w:rsidR="001B570A" w:rsidRPr="00C756B2" w:rsidRDefault="001B570A" w:rsidP="00E73EF9">
            <w:pPr>
              <w:jc w:val="center"/>
              <w:textAlignment w:val="baseline"/>
              <w:rPr>
                <w:b/>
                <w:sz w:val="26"/>
                <w:szCs w:val="26"/>
              </w:rPr>
            </w:pPr>
            <w:r w:rsidRPr="00C756B2">
              <w:rPr>
                <w:b/>
                <w:sz w:val="26"/>
                <w:szCs w:val="26"/>
              </w:rPr>
              <w:t>PUBLIC UTILITY COMMISSION</w:t>
            </w:r>
          </w:p>
          <w:p w:rsidR="001B570A" w:rsidRPr="00C756B2" w:rsidRDefault="001B570A" w:rsidP="00E73EF9">
            <w:pPr>
              <w:jc w:val="center"/>
              <w:textAlignment w:val="baseline"/>
              <w:rPr>
                <w:b/>
                <w:sz w:val="26"/>
                <w:szCs w:val="26"/>
              </w:rPr>
            </w:pPr>
            <w:r w:rsidRPr="00C756B2">
              <w:rPr>
                <w:b/>
                <w:sz w:val="26"/>
                <w:szCs w:val="26"/>
              </w:rPr>
              <w:t>Harrisburg, PA  17105-3265</w:t>
            </w:r>
          </w:p>
        </w:tc>
        <w:tc>
          <w:tcPr>
            <w:tcW w:w="2700" w:type="dxa"/>
          </w:tcPr>
          <w:p w:rsidR="001B570A" w:rsidRPr="00C756B2" w:rsidRDefault="001B570A" w:rsidP="00C756B2">
            <w:pPr>
              <w:spacing w:line="360" w:lineRule="auto"/>
              <w:textAlignment w:val="baseline"/>
              <w:rPr>
                <w:sz w:val="26"/>
                <w:szCs w:val="26"/>
              </w:rPr>
            </w:pPr>
          </w:p>
        </w:tc>
      </w:tr>
    </w:tbl>
    <w:p w:rsidR="001B570A" w:rsidRPr="00C756B2" w:rsidRDefault="001B570A" w:rsidP="008F4812">
      <w:pPr>
        <w:textAlignment w:val="baseline"/>
        <w:rPr>
          <w:sz w:val="26"/>
          <w:szCs w:val="26"/>
        </w:rPr>
      </w:pPr>
    </w:p>
    <w:tbl>
      <w:tblPr>
        <w:tblW w:w="0" w:type="auto"/>
        <w:tblLayout w:type="fixed"/>
        <w:tblLook w:val="0000" w:firstRow="0" w:lastRow="0" w:firstColumn="0" w:lastColumn="0" w:noHBand="0" w:noVBand="0"/>
      </w:tblPr>
      <w:tblGrid>
        <w:gridCol w:w="5148"/>
        <w:gridCol w:w="5148"/>
      </w:tblGrid>
      <w:tr w:rsidR="001B570A" w:rsidRPr="00C756B2" w:rsidTr="00935F65">
        <w:tc>
          <w:tcPr>
            <w:tcW w:w="5148" w:type="dxa"/>
          </w:tcPr>
          <w:p w:rsidR="001B570A" w:rsidRPr="00C756B2" w:rsidRDefault="001B570A" w:rsidP="008F4812">
            <w:pPr>
              <w:textAlignment w:val="baseline"/>
              <w:rPr>
                <w:sz w:val="26"/>
                <w:szCs w:val="26"/>
              </w:rPr>
            </w:pPr>
          </w:p>
        </w:tc>
        <w:tc>
          <w:tcPr>
            <w:tcW w:w="5148" w:type="dxa"/>
          </w:tcPr>
          <w:p w:rsidR="001B570A" w:rsidRPr="00C756B2" w:rsidRDefault="001B570A" w:rsidP="00EA55CA">
            <w:pPr>
              <w:ind w:left="-468" w:firstLine="612"/>
              <w:textAlignment w:val="baseline"/>
              <w:rPr>
                <w:sz w:val="26"/>
                <w:szCs w:val="26"/>
              </w:rPr>
            </w:pPr>
            <w:r w:rsidRPr="008F4812">
              <w:rPr>
                <w:sz w:val="26"/>
                <w:szCs w:val="26"/>
              </w:rPr>
              <w:t xml:space="preserve">Public Meeting held </w:t>
            </w:r>
            <w:r w:rsidR="00B16EC4">
              <w:rPr>
                <w:sz w:val="26"/>
                <w:szCs w:val="26"/>
              </w:rPr>
              <w:t xml:space="preserve">December </w:t>
            </w:r>
            <w:r w:rsidR="00EA55CA">
              <w:rPr>
                <w:sz w:val="26"/>
                <w:szCs w:val="26"/>
              </w:rPr>
              <w:t>22</w:t>
            </w:r>
            <w:r w:rsidR="00B16EC4">
              <w:rPr>
                <w:sz w:val="26"/>
                <w:szCs w:val="26"/>
              </w:rPr>
              <w:t>, 2016</w:t>
            </w:r>
          </w:p>
        </w:tc>
      </w:tr>
      <w:tr w:rsidR="001B570A" w:rsidRPr="00C756B2" w:rsidTr="00935F65">
        <w:tc>
          <w:tcPr>
            <w:tcW w:w="5148" w:type="dxa"/>
          </w:tcPr>
          <w:p w:rsidR="001B570A" w:rsidRPr="00C756B2" w:rsidRDefault="001B570A" w:rsidP="008F4812">
            <w:pPr>
              <w:textAlignment w:val="baseline"/>
              <w:rPr>
                <w:sz w:val="26"/>
                <w:szCs w:val="26"/>
              </w:rPr>
            </w:pPr>
            <w:r w:rsidRPr="00C756B2">
              <w:rPr>
                <w:sz w:val="26"/>
                <w:szCs w:val="26"/>
              </w:rPr>
              <w:t>Commissioners Present:</w:t>
            </w:r>
          </w:p>
        </w:tc>
        <w:tc>
          <w:tcPr>
            <w:tcW w:w="5148" w:type="dxa"/>
          </w:tcPr>
          <w:p w:rsidR="001B570A" w:rsidRPr="00C756B2" w:rsidRDefault="001B570A" w:rsidP="008F4812">
            <w:pPr>
              <w:textAlignment w:val="baseline"/>
              <w:rPr>
                <w:sz w:val="26"/>
                <w:szCs w:val="26"/>
              </w:rPr>
            </w:pPr>
          </w:p>
        </w:tc>
      </w:tr>
    </w:tbl>
    <w:p w:rsidR="001B570A" w:rsidRPr="00C756B2" w:rsidRDefault="001B570A" w:rsidP="008F4812">
      <w:pPr>
        <w:textAlignment w:val="baseline"/>
        <w:rPr>
          <w:sz w:val="26"/>
          <w:szCs w:val="26"/>
        </w:rPr>
      </w:pPr>
    </w:p>
    <w:tbl>
      <w:tblPr>
        <w:tblW w:w="10296" w:type="dxa"/>
        <w:tblLayout w:type="fixed"/>
        <w:tblLook w:val="0000" w:firstRow="0" w:lastRow="0" w:firstColumn="0" w:lastColumn="0" w:noHBand="0" w:noVBand="0"/>
      </w:tblPr>
      <w:tblGrid>
        <w:gridCol w:w="5958"/>
        <w:gridCol w:w="3420"/>
        <w:gridCol w:w="450"/>
        <w:gridCol w:w="468"/>
      </w:tblGrid>
      <w:tr w:rsidR="001B570A" w:rsidRPr="00C756B2" w:rsidTr="00935F65">
        <w:tc>
          <w:tcPr>
            <w:tcW w:w="9378" w:type="dxa"/>
            <w:gridSpan w:val="2"/>
          </w:tcPr>
          <w:p w:rsidR="001B570A" w:rsidRPr="00C756B2" w:rsidRDefault="00B16EC4" w:rsidP="00B16EC4">
            <w:pPr>
              <w:overflowPunct/>
              <w:ind w:left="720"/>
              <w:rPr>
                <w:sz w:val="26"/>
                <w:szCs w:val="26"/>
              </w:rPr>
            </w:pPr>
            <w:r>
              <w:rPr>
                <w:sz w:val="26"/>
                <w:szCs w:val="26"/>
              </w:rPr>
              <w:t>Gladys M. Brown</w:t>
            </w:r>
            <w:r w:rsidR="001B570A" w:rsidRPr="00C756B2">
              <w:rPr>
                <w:sz w:val="26"/>
                <w:szCs w:val="26"/>
              </w:rPr>
              <w:t>, Chairman</w:t>
            </w:r>
          </w:p>
        </w:tc>
        <w:tc>
          <w:tcPr>
            <w:tcW w:w="918" w:type="dxa"/>
            <w:gridSpan w:val="2"/>
          </w:tcPr>
          <w:p w:rsidR="001B570A" w:rsidRPr="00C756B2" w:rsidRDefault="001B570A" w:rsidP="008F4812">
            <w:pPr>
              <w:textAlignment w:val="baseline"/>
              <w:rPr>
                <w:sz w:val="26"/>
                <w:szCs w:val="26"/>
              </w:rPr>
            </w:pPr>
          </w:p>
        </w:tc>
      </w:tr>
      <w:tr w:rsidR="001B570A" w:rsidRPr="00C756B2" w:rsidTr="00935F65">
        <w:tc>
          <w:tcPr>
            <w:tcW w:w="9378" w:type="dxa"/>
            <w:gridSpan w:val="2"/>
          </w:tcPr>
          <w:p w:rsidR="003253C7" w:rsidRDefault="003253C7" w:rsidP="003253C7">
            <w:pPr>
              <w:overflowPunct/>
              <w:ind w:left="720"/>
              <w:rPr>
                <w:sz w:val="26"/>
                <w:szCs w:val="26"/>
              </w:rPr>
            </w:pPr>
            <w:r>
              <w:rPr>
                <w:sz w:val="26"/>
                <w:szCs w:val="26"/>
              </w:rPr>
              <w:t>Andrew G. Place</w:t>
            </w:r>
            <w:r w:rsidRPr="00C756B2">
              <w:rPr>
                <w:sz w:val="26"/>
                <w:szCs w:val="26"/>
              </w:rPr>
              <w:t xml:space="preserve">, Vice Chairman </w:t>
            </w:r>
          </w:p>
          <w:p w:rsidR="001B570A" w:rsidRPr="00C756B2" w:rsidRDefault="001B570A" w:rsidP="003253C7">
            <w:pPr>
              <w:overflowPunct/>
              <w:ind w:left="720"/>
              <w:rPr>
                <w:sz w:val="26"/>
                <w:szCs w:val="26"/>
              </w:rPr>
            </w:pPr>
            <w:r w:rsidRPr="00C756B2">
              <w:rPr>
                <w:sz w:val="26"/>
                <w:szCs w:val="26"/>
              </w:rPr>
              <w:t>John F. Coleman, Jr.</w:t>
            </w:r>
          </w:p>
        </w:tc>
        <w:tc>
          <w:tcPr>
            <w:tcW w:w="918" w:type="dxa"/>
            <w:gridSpan w:val="2"/>
          </w:tcPr>
          <w:p w:rsidR="001B570A" w:rsidRPr="00C756B2" w:rsidRDefault="001B570A" w:rsidP="008F4812">
            <w:pPr>
              <w:textAlignment w:val="baseline"/>
              <w:rPr>
                <w:sz w:val="26"/>
                <w:szCs w:val="26"/>
              </w:rPr>
            </w:pPr>
          </w:p>
        </w:tc>
      </w:tr>
      <w:tr w:rsidR="001B570A" w:rsidRPr="00C756B2" w:rsidTr="00935F65">
        <w:tc>
          <w:tcPr>
            <w:tcW w:w="9378" w:type="dxa"/>
            <w:gridSpan w:val="2"/>
          </w:tcPr>
          <w:p w:rsidR="001B570A" w:rsidRPr="00C756B2" w:rsidRDefault="003253C7" w:rsidP="003253C7">
            <w:pPr>
              <w:overflowPunct/>
              <w:ind w:left="720"/>
              <w:rPr>
                <w:sz w:val="26"/>
                <w:szCs w:val="26"/>
              </w:rPr>
            </w:pPr>
            <w:r>
              <w:rPr>
                <w:sz w:val="26"/>
                <w:szCs w:val="26"/>
              </w:rPr>
              <w:t>Robert F Powelson</w:t>
            </w:r>
          </w:p>
        </w:tc>
        <w:tc>
          <w:tcPr>
            <w:tcW w:w="918" w:type="dxa"/>
            <w:gridSpan w:val="2"/>
          </w:tcPr>
          <w:p w:rsidR="001B570A" w:rsidRPr="00C756B2" w:rsidRDefault="001B570A" w:rsidP="008F4812">
            <w:pPr>
              <w:textAlignment w:val="baseline"/>
              <w:rPr>
                <w:sz w:val="26"/>
                <w:szCs w:val="26"/>
              </w:rPr>
            </w:pPr>
          </w:p>
        </w:tc>
      </w:tr>
      <w:tr w:rsidR="001B570A" w:rsidRPr="00C756B2" w:rsidTr="00935F65">
        <w:tc>
          <w:tcPr>
            <w:tcW w:w="9378" w:type="dxa"/>
            <w:gridSpan w:val="2"/>
          </w:tcPr>
          <w:p w:rsidR="001B570A" w:rsidRPr="00C756B2" w:rsidRDefault="003253C7" w:rsidP="003253C7">
            <w:pPr>
              <w:overflowPunct/>
              <w:ind w:left="720"/>
              <w:rPr>
                <w:sz w:val="26"/>
                <w:szCs w:val="26"/>
              </w:rPr>
            </w:pPr>
            <w:r>
              <w:rPr>
                <w:sz w:val="26"/>
                <w:szCs w:val="26"/>
              </w:rPr>
              <w:t>David W. Sweet</w:t>
            </w:r>
          </w:p>
        </w:tc>
        <w:tc>
          <w:tcPr>
            <w:tcW w:w="918" w:type="dxa"/>
            <w:gridSpan w:val="2"/>
          </w:tcPr>
          <w:p w:rsidR="001B570A" w:rsidRPr="00C756B2" w:rsidRDefault="001B570A" w:rsidP="008F4812">
            <w:pPr>
              <w:textAlignment w:val="baseline"/>
              <w:rPr>
                <w:sz w:val="26"/>
                <w:szCs w:val="26"/>
              </w:rPr>
            </w:pPr>
          </w:p>
        </w:tc>
      </w:tr>
      <w:tr w:rsidR="001B570A" w:rsidRPr="00C756B2" w:rsidTr="00C93117">
        <w:trPr>
          <w:gridAfter w:val="1"/>
          <w:wAfter w:w="468" w:type="dxa"/>
        </w:trPr>
        <w:tc>
          <w:tcPr>
            <w:tcW w:w="5958" w:type="dxa"/>
          </w:tcPr>
          <w:p w:rsidR="001B570A" w:rsidRPr="00C756B2" w:rsidRDefault="001B570A" w:rsidP="008F4812">
            <w:pPr>
              <w:ind w:left="720"/>
              <w:textAlignment w:val="baseline"/>
              <w:rPr>
                <w:sz w:val="26"/>
                <w:szCs w:val="26"/>
              </w:rPr>
            </w:pPr>
          </w:p>
        </w:tc>
        <w:tc>
          <w:tcPr>
            <w:tcW w:w="3870" w:type="dxa"/>
            <w:gridSpan w:val="2"/>
          </w:tcPr>
          <w:p w:rsidR="001B570A" w:rsidRPr="00C756B2" w:rsidRDefault="001B570A" w:rsidP="008F4812">
            <w:pPr>
              <w:textAlignment w:val="baseline"/>
              <w:rPr>
                <w:sz w:val="26"/>
                <w:szCs w:val="26"/>
              </w:rPr>
            </w:pPr>
          </w:p>
        </w:tc>
      </w:tr>
      <w:tr w:rsidR="001B570A" w:rsidRPr="00C756B2" w:rsidTr="00C93117">
        <w:trPr>
          <w:gridAfter w:val="1"/>
          <w:wAfter w:w="468" w:type="dxa"/>
        </w:trPr>
        <w:tc>
          <w:tcPr>
            <w:tcW w:w="5958" w:type="dxa"/>
          </w:tcPr>
          <w:p w:rsidR="001B570A" w:rsidRPr="00C756B2" w:rsidRDefault="001B570A" w:rsidP="008F4812">
            <w:pPr>
              <w:textAlignment w:val="baseline"/>
              <w:rPr>
                <w:sz w:val="26"/>
                <w:szCs w:val="26"/>
              </w:rPr>
            </w:pPr>
          </w:p>
        </w:tc>
        <w:tc>
          <w:tcPr>
            <w:tcW w:w="3870" w:type="dxa"/>
            <w:gridSpan w:val="2"/>
          </w:tcPr>
          <w:p w:rsidR="001B570A" w:rsidRPr="00C756B2" w:rsidRDefault="001B570A" w:rsidP="00935F65">
            <w:pPr>
              <w:jc w:val="right"/>
              <w:textAlignment w:val="baseline"/>
              <w:rPr>
                <w:sz w:val="26"/>
                <w:szCs w:val="26"/>
              </w:rPr>
            </w:pPr>
          </w:p>
        </w:tc>
      </w:tr>
      <w:tr w:rsidR="001B570A" w:rsidRPr="00C756B2" w:rsidTr="00C93117">
        <w:trPr>
          <w:gridAfter w:val="1"/>
          <w:wAfter w:w="468" w:type="dxa"/>
        </w:trPr>
        <w:tc>
          <w:tcPr>
            <w:tcW w:w="5958" w:type="dxa"/>
          </w:tcPr>
          <w:p w:rsidR="001B570A" w:rsidRPr="00C756B2" w:rsidRDefault="00935F65" w:rsidP="00935F65">
            <w:pPr>
              <w:textAlignment w:val="baseline"/>
              <w:rPr>
                <w:sz w:val="26"/>
                <w:szCs w:val="26"/>
              </w:rPr>
            </w:pPr>
            <w:r w:rsidRPr="00C756B2">
              <w:rPr>
                <w:sz w:val="26"/>
                <w:szCs w:val="26"/>
              </w:rPr>
              <w:t>Petition of PPL Electric Utilities Corporation</w:t>
            </w:r>
            <w:r>
              <w:rPr>
                <w:sz w:val="26"/>
                <w:szCs w:val="26"/>
              </w:rPr>
              <w:t xml:space="preserve"> </w:t>
            </w:r>
            <w:r w:rsidRPr="00C756B2">
              <w:rPr>
                <w:sz w:val="26"/>
                <w:szCs w:val="26"/>
              </w:rPr>
              <w:t xml:space="preserve">for </w:t>
            </w:r>
            <w:r>
              <w:rPr>
                <w:sz w:val="26"/>
                <w:szCs w:val="26"/>
              </w:rPr>
              <w:t xml:space="preserve">Permanent </w:t>
            </w:r>
            <w:r w:rsidRPr="00C756B2">
              <w:rPr>
                <w:sz w:val="26"/>
                <w:szCs w:val="26"/>
              </w:rPr>
              <w:t>Waiver of 52 Pa. Code § 56.97(a) to Allow Customers to Establish Payment Agreements Online or Through an Automated Interactive Voice Response System</w:t>
            </w:r>
          </w:p>
        </w:tc>
        <w:tc>
          <w:tcPr>
            <w:tcW w:w="3870" w:type="dxa"/>
            <w:gridSpan w:val="2"/>
          </w:tcPr>
          <w:p w:rsidR="001B570A" w:rsidRPr="00C756B2" w:rsidRDefault="00C93117" w:rsidP="00C93117">
            <w:pPr>
              <w:textAlignment w:val="baseline"/>
              <w:rPr>
                <w:sz w:val="26"/>
                <w:szCs w:val="26"/>
              </w:rPr>
            </w:pPr>
            <w:r>
              <w:rPr>
                <w:sz w:val="26"/>
                <w:szCs w:val="26"/>
              </w:rPr>
              <w:t xml:space="preserve">          </w:t>
            </w:r>
            <w:r w:rsidR="003253C7">
              <w:rPr>
                <w:sz w:val="26"/>
                <w:szCs w:val="26"/>
              </w:rPr>
              <w:t>P-2016-2560140</w:t>
            </w:r>
          </w:p>
        </w:tc>
      </w:tr>
    </w:tbl>
    <w:p w:rsidR="008F4812" w:rsidRDefault="008F4812" w:rsidP="008F4812">
      <w:pPr>
        <w:textAlignment w:val="baseline"/>
        <w:rPr>
          <w:sz w:val="26"/>
          <w:szCs w:val="26"/>
        </w:rPr>
      </w:pPr>
    </w:p>
    <w:p w:rsidR="002417C1" w:rsidRPr="00C756B2" w:rsidRDefault="002417C1" w:rsidP="008F4812">
      <w:pPr>
        <w:textAlignment w:val="baseline"/>
        <w:rPr>
          <w:sz w:val="26"/>
          <w:szCs w:val="26"/>
        </w:rPr>
      </w:pPr>
    </w:p>
    <w:p w:rsidR="001B570A" w:rsidRDefault="001B570A" w:rsidP="00C756B2">
      <w:pPr>
        <w:spacing w:line="360" w:lineRule="auto"/>
        <w:jc w:val="center"/>
        <w:textAlignment w:val="baseline"/>
        <w:rPr>
          <w:b/>
          <w:sz w:val="26"/>
          <w:szCs w:val="26"/>
        </w:rPr>
      </w:pPr>
      <w:r w:rsidRPr="00C756B2">
        <w:rPr>
          <w:b/>
          <w:sz w:val="26"/>
          <w:szCs w:val="26"/>
        </w:rPr>
        <w:t>ORDER</w:t>
      </w:r>
    </w:p>
    <w:p w:rsidR="002417C1" w:rsidRPr="00C756B2" w:rsidRDefault="002417C1" w:rsidP="002417C1">
      <w:pPr>
        <w:textAlignment w:val="baseline"/>
        <w:rPr>
          <w:b/>
          <w:sz w:val="26"/>
          <w:szCs w:val="26"/>
        </w:rPr>
      </w:pPr>
    </w:p>
    <w:p w:rsidR="001B570A" w:rsidRPr="00C756B2" w:rsidRDefault="001B570A" w:rsidP="00C756B2">
      <w:pPr>
        <w:widowControl w:val="0"/>
        <w:tabs>
          <w:tab w:val="left" w:pos="204"/>
        </w:tabs>
        <w:overflowPunct/>
        <w:spacing w:line="360" w:lineRule="auto"/>
        <w:rPr>
          <w:b/>
          <w:sz w:val="26"/>
          <w:szCs w:val="26"/>
        </w:rPr>
      </w:pPr>
      <w:r w:rsidRPr="00C756B2">
        <w:rPr>
          <w:b/>
          <w:sz w:val="26"/>
          <w:szCs w:val="26"/>
        </w:rPr>
        <w:t>BY THE COMMISSION:</w:t>
      </w:r>
    </w:p>
    <w:p w:rsidR="00383277" w:rsidRPr="00C756B2" w:rsidRDefault="00935F65" w:rsidP="00935F65">
      <w:pPr>
        <w:spacing w:line="360" w:lineRule="auto"/>
        <w:textAlignment w:val="baseline"/>
        <w:rPr>
          <w:sz w:val="26"/>
          <w:szCs w:val="26"/>
        </w:rPr>
      </w:pPr>
      <w:r>
        <w:rPr>
          <w:sz w:val="26"/>
          <w:szCs w:val="26"/>
        </w:rPr>
        <w:tab/>
        <w:t xml:space="preserve">On August 5, 2016, </w:t>
      </w:r>
      <w:r w:rsidR="005225F0" w:rsidRPr="00C756B2">
        <w:rPr>
          <w:sz w:val="26"/>
          <w:szCs w:val="26"/>
        </w:rPr>
        <w:t>PPL Electric Utilities Corporation (</w:t>
      </w:r>
      <w:r w:rsidR="00F1591D">
        <w:rPr>
          <w:sz w:val="26"/>
          <w:szCs w:val="26"/>
        </w:rPr>
        <w:t>PPL</w:t>
      </w:r>
      <w:r w:rsidR="005225F0" w:rsidRPr="00C756B2">
        <w:rPr>
          <w:sz w:val="26"/>
          <w:szCs w:val="26"/>
        </w:rPr>
        <w:t>)</w:t>
      </w:r>
      <w:r w:rsidR="007C12C4" w:rsidRPr="00C756B2">
        <w:rPr>
          <w:sz w:val="26"/>
          <w:szCs w:val="26"/>
        </w:rPr>
        <w:t xml:space="preserve"> filed </w:t>
      </w:r>
      <w:r w:rsidR="005225F0" w:rsidRPr="00C756B2">
        <w:rPr>
          <w:sz w:val="26"/>
          <w:szCs w:val="26"/>
        </w:rPr>
        <w:t xml:space="preserve">a Petition for </w:t>
      </w:r>
      <w:r w:rsidR="00F27A3D" w:rsidRPr="00C756B2">
        <w:rPr>
          <w:sz w:val="26"/>
          <w:szCs w:val="26"/>
        </w:rPr>
        <w:t xml:space="preserve">Permanent </w:t>
      </w:r>
      <w:r w:rsidR="005225F0" w:rsidRPr="00C756B2">
        <w:rPr>
          <w:sz w:val="26"/>
          <w:szCs w:val="26"/>
        </w:rPr>
        <w:t>Waiver of 52 Pa. Code § 56.97(a)</w:t>
      </w:r>
      <w:r w:rsidR="0030060A">
        <w:rPr>
          <w:sz w:val="26"/>
          <w:szCs w:val="26"/>
        </w:rPr>
        <w:t xml:space="preserve"> (Petition)</w:t>
      </w:r>
      <w:r w:rsidR="007C12C4" w:rsidRPr="00C756B2">
        <w:rPr>
          <w:sz w:val="26"/>
          <w:szCs w:val="26"/>
        </w:rPr>
        <w:t>.</w:t>
      </w:r>
      <w:r w:rsidR="001B570A" w:rsidRPr="00C756B2">
        <w:rPr>
          <w:sz w:val="26"/>
          <w:szCs w:val="26"/>
        </w:rPr>
        <w:t xml:space="preserve">  </w:t>
      </w:r>
      <w:r w:rsidR="00F27A3D" w:rsidRPr="00C756B2">
        <w:rPr>
          <w:sz w:val="26"/>
          <w:szCs w:val="26"/>
        </w:rPr>
        <w:t xml:space="preserve">After agreement with the Office </w:t>
      </w:r>
      <w:r w:rsidR="00F1591D">
        <w:rPr>
          <w:sz w:val="26"/>
          <w:szCs w:val="26"/>
        </w:rPr>
        <w:t xml:space="preserve">of Consumer Advocate (OCA), PPL </w:t>
      </w:r>
      <w:r w:rsidR="00F27A3D" w:rsidRPr="00C756B2">
        <w:rPr>
          <w:sz w:val="26"/>
          <w:szCs w:val="26"/>
        </w:rPr>
        <w:t xml:space="preserve">amended its request on </w:t>
      </w:r>
      <w:r>
        <w:rPr>
          <w:sz w:val="26"/>
          <w:szCs w:val="26"/>
        </w:rPr>
        <w:t xml:space="preserve">October 11, 2016, to change it to a request for </w:t>
      </w:r>
      <w:r w:rsidR="00F27A3D" w:rsidRPr="00C756B2">
        <w:rPr>
          <w:sz w:val="26"/>
          <w:szCs w:val="26"/>
        </w:rPr>
        <w:t xml:space="preserve">a temporary waiver </w:t>
      </w:r>
      <w:r>
        <w:rPr>
          <w:sz w:val="26"/>
          <w:szCs w:val="26"/>
        </w:rPr>
        <w:t>subject to certain conditions</w:t>
      </w:r>
      <w:r w:rsidR="00F27A3D" w:rsidRPr="00C756B2">
        <w:rPr>
          <w:sz w:val="26"/>
          <w:szCs w:val="26"/>
        </w:rPr>
        <w:t xml:space="preserve">.  </w:t>
      </w:r>
      <w:r w:rsidR="00F1591D">
        <w:rPr>
          <w:sz w:val="26"/>
          <w:szCs w:val="26"/>
        </w:rPr>
        <w:t xml:space="preserve">PPL </w:t>
      </w:r>
      <w:r w:rsidR="004C17BC" w:rsidRPr="00C756B2">
        <w:rPr>
          <w:sz w:val="26"/>
          <w:szCs w:val="26"/>
        </w:rPr>
        <w:t xml:space="preserve">requests </w:t>
      </w:r>
      <w:r w:rsidR="00554608">
        <w:rPr>
          <w:sz w:val="26"/>
          <w:szCs w:val="26"/>
        </w:rPr>
        <w:t xml:space="preserve">that </w:t>
      </w:r>
      <w:r w:rsidR="004C17BC" w:rsidRPr="00C756B2">
        <w:rPr>
          <w:sz w:val="26"/>
          <w:szCs w:val="26"/>
        </w:rPr>
        <w:t xml:space="preserve">this </w:t>
      </w:r>
      <w:r w:rsidR="00554608">
        <w:rPr>
          <w:sz w:val="26"/>
          <w:szCs w:val="26"/>
        </w:rPr>
        <w:t xml:space="preserve">further waiver </w:t>
      </w:r>
      <w:r w:rsidR="00911EEA" w:rsidRPr="00C756B2">
        <w:rPr>
          <w:sz w:val="26"/>
          <w:szCs w:val="26"/>
        </w:rPr>
        <w:t xml:space="preserve">be granted </w:t>
      </w:r>
      <w:r w:rsidR="00E22E0C">
        <w:rPr>
          <w:sz w:val="26"/>
          <w:szCs w:val="26"/>
        </w:rPr>
        <w:t xml:space="preserve">so </w:t>
      </w:r>
      <w:r>
        <w:rPr>
          <w:sz w:val="26"/>
          <w:szCs w:val="26"/>
        </w:rPr>
        <w:t xml:space="preserve">that </w:t>
      </w:r>
      <w:r w:rsidR="00E22E0C">
        <w:rPr>
          <w:sz w:val="26"/>
          <w:szCs w:val="26"/>
        </w:rPr>
        <w:t xml:space="preserve">it may </w:t>
      </w:r>
      <w:r w:rsidR="00F27A3D" w:rsidRPr="00C756B2">
        <w:rPr>
          <w:sz w:val="26"/>
          <w:szCs w:val="26"/>
        </w:rPr>
        <w:t xml:space="preserve">continue offering </w:t>
      </w:r>
      <w:r>
        <w:rPr>
          <w:sz w:val="26"/>
          <w:szCs w:val="26"/>
        </w:rPr>
        <w:t xml:space="preserve">residential </w:t>
      </w:r>
      <w:r w:rsidR="00F27A3D" w:rsidRPr="00C756B2">
        <w:rPr>
          <w:sz w:val="26"/>
          <w:szCs w:val="26"/>
        </w:rPr>
        <w:t xml:space="preserve">customers the opportunity to establish payment agreements through its </w:t>
      </w:r>
      <w:r w:rsidR="0030060A">
        <w:rPr>
          <w:sz w:val="26"/>
          <w:szCs w:val="26"/>
        </w:rPr>
        <w:t>w</w:t>
      </w:r>
      <w:r w:rsidR="009764E6">
        <w:rPr>
          <w:sz w:val="26"/>
          <w:szCs w:val="26"/>
        </w:rPr>
        <w:t>ebsite</w:t>
      </w:r>
      <w:r w:rsidR="00F27A3D" w:rsidRPr="00C756B2">
        <w:rPr>
          <w:sz w:val="26"/>
          <w:szCs w:val="26"/>
        </w:rPr>
        <w:t xml:space="preserve"> and interactive voice capabilities (IVR).</w:t>
      </w:r>
      <w:r w:rsidR="00975B33" w:rsidRPr="00C756B2">
        <w:rPr>
          <w:sz w:val="26"/>
          <w:szCs w:val="26"/>
        </w:rPr>
        <w:t xml:space="preserve">  For the reasons set forth below, we approve the </w:t>
      </w:r>
      <w:r w:rsidR="00EC3DA1">
        <w:rPr>
          <w:sz w:val="26"/>
          <w:szCs w:val="26"/>
        </w:rPr>
        <w:t xml:space="preserve">amended </w:t>
      </w:r>
      <w:r w:rsidR="00D55580">
        <w:rPr>
          <w:sz w:val="26"/>
          <w:szCs w:val="26"/>
        </w:rPr>
        <w:t xml:space="preserve">request for a </w:t>
      </w:r>
      <w:r w:rsidR="004B4494">
        <w:rPr>
          <w:sz w:val="26"/>
          <w:szCs w:val="26"/>
        </w:rPr>
        <w:t xml:space="preserve">temporary partial </w:t>
      </w:r>
      <w:r w:rsidR="00D55580">
        <w:rPr>
          <w:sz w:val="26"/>
          <w:szCs w:val="26"/>
        </w:rPr>
        <w:t>waiver, consistent with this Order</w:t>
      </w:r>
      <w:r w:rsidR="00975B33" w:rsidRPr="00C756B2">
        <w:rPr>
          <w:sz w:val="26"/>
          <w:szCs w:val="26"/>
        </w:rPr>
        <w:t xml:space="preserve">.  </w:t>
      </w:r>
    </w:p>
    <w:p w:rsidR="00911EEA" w:rsidRDefault="00911EEA" w:rsidP="00C756B2">
      <w:pPr>
        <w:spacing w:line="360" w:lineRule="auto"/>
        <w:textAlignment w:val="baseline"/>
        <w:rPr>
          <w:sz w:val="26"/>
          <w:szCs w:val="26"/>
        </w:rPr>
      </w:pPr>
    </w:p>
    <w:p w:rsidR="00B6619C" w:rsidRPr="00C756B2" w:rsidRDefault="00704073" w:rsidP="00704073">
      <w:pPr>
        <w:keepNext/>
        <w:spacing w:line="360" w:lineRule="auto"/>
        <w:textAlignment w:val="baseline"/>
        <w:rPr>
          <w:b/>
          <w:sz w:val="26"/>
          <w:szCs w:val="26"/>
        </w:rPr>
      </w:pPr>
      <w:r>
        <w:rPr>
          <w:b/>
          <w:sz w:val="26"/>
          <w:szCs w:val="26"/>
        </w:rPr>
        <w:t>History</w:t>
      </w:r>
    </w:p>
    <w:p w:rsidR="00F107DD" w:rsidRPr="00C756B2" w:rsidRDefault="00911EEA" w:rsidP="00704073">
      <w:pPr>
        <w:spacing w:line="360" w:lineRule="auto"/>
        <w:textAlignment w:val="baseline"/>
        <w:rPr>
          <w:i/>
          <w:sz w:val="26"/>
          <w:szCs w:val="26"/>
        </w:rPr>
      </w:pPr>
      <w:r w:rsidRPr="00C756B2">
        <w:rPr>
          <w:sz w:val="26"/>
          <w:szCs w:val="26"/>
        </w:rPr>
        <w:tab/>
      </w:r>
      <w:r w:rsidR="00F1591D">
        <w:rPr>
          <w:sz w:val="26"/>
          <w:szCs w:val="26"/>
        </w:rPr>
        <w:t xml:space="preserve">PPL </w:t>
      </w:r>
      <w:r w:rsidR="00CE4268" w:rsidRPr="00C756B2">
        <w:rPr>
          <w:sz w:val="26"/>
          <w:szCs w:val="26"/>
        </w:rPr>
        <w:t xml:space="preserve">provides electric distribution, transmission, and last resort services to approximately 1.4 million customers in Pennsylvania.  </w:t>
      </w:r>
      <w:r w:rsidR="00704073">
        <w:rPr>
          <w:sz w:val="26"/>
          <w:szCs w:val="26"/>
        </w:rPr>
        <w:t xml:space="preserve">Petition, p. 2.  PPL was granted its </w:t>
      </w:r>
      <w:r w:rsidR="00704073">
        <w:rPr>
          <w:sz w:val="26"/>
          <w:szCs w:val="26"/>
        </w:rPr>
        <w:lastRenderedPageBreak/>
        <w:t xml:space="preserve">initial temporary waiver of Section </w:t>
      </w:r>
      <w:r w:rsidR="00704073" w:rsidRPr="00C756B2">
        <w:rPr>
          <w:sz w:val="26"/>
          <w:szCs w:val="26"/>
        </w:rPr>
        <w:t>56.97(a)</w:t>
      </w:r>
      <w:r w:rsidR="00704073">
        <w:rPr>
          <w:sz w:val="26"/>
          <w:szCs w:val="26"/>
        </w:rPr>
        <w:t xml:space="preserve"> in 2010.  </w:t>
      </w:r>
      <w:r w:rsidR="008D4B54" w:rsidRPr="00C756B2">
        <w:rPr>
          <w:i/>
          <w:sz w:val="26"/>
          <w:szCs w:val="26"/>
        </w:rPr>
        <w:t>Petition of PPL Electric Utilities Corp</w:t>
      </w:r>
      <w:r w:rsidR="00704073">
        <w:rPr>
          <w:i/>
          <w:sz w:val="26"/>
          <w:szCs w:val="26"/>
        </w:rPr>
        <w:t>.</w:t>
      </w:r>
      <w:r w:rsidR="008D4B54" w:rsidRPr="00C756B2">
        <w:rPr>
          <w:i/>
          <w:sz w:val="26"/>
          <w:szCs w:val="26"/>
        </w:rPr>
        <w:t xml:space="preserve"> for a Declaratory Order Regard</w:t>
      </w:r>
      <w:r w:rsidR="00E22E0C">
        <w:rPr>
          <w:i/>
          <w:sz w:val="26"/>
          <w:szCs w:val="26"/>
        </w:rPr>
        <w:t>ing a P</w:t>
      </w:r>
      <w:r w:rsidR="008D4B54" w:rsidRPr="00C756B2">
        <w:rPr>
          <w:i/>
          <w:sz w:val="26"/>
          <w:szCs w:val="26"/>
        </w:rPr>
        <w:t xml:space="preserve">ilot to Expand </w:t>
      </w:r>
      <w:r w:rsidR="009764E6">
        <w:rPr>
          <w:i/>
          <w:sz w:val="26"/>
          <w:szCs w:val="26"/>
        </w:rPr>
        <w:t>Website</w:t>
      </w:r>
      <w:r w:rsidR="008D4B54" w:rsidRPr="00C756B2">
        <w:rPr>
          <w:i/>
          <w:sz w:val="26"/>
          <w:szCs w:val="26"/>
        </w:rPr>
        <w:t xml:space="preserve"> and Interactive Voice Response Capabilities to Allow Customers the Option of Setting Up Payment Agreements, or in the Alternative, a Two-Year Waiver of 52 Pa. Code §</w:t>
      </w:r>
      <w:r w:rsidR="00704073">
        <w:rPr>
          <w:i/>
          <w:sz w:val="26"/>
          <w:szCs w:val="26"/>
        </w:rPr>
        <w:t> </w:t>
      </w:r>
      <w:r w:rsidR="008D4B54" w:rsidRPr="00C756B2">
        <w:rPr>
          <w:i/>
          <w:sz w:val="26"/>
          <w:szCs w:val="26"/>
        </w:rPr>
        <w:t>56.97(a)</w:t>
      </w:r>
      <w:r w:rsidR="008D4B54" w:rsidRPr="00C756B2">
        <w:rPr>
          <w:sz w:val="26"/>
          <w:szCs w:val="26"/>
        </w:rPr>
        <w:t xml:space="preserve">, Docket No. </w:t>
      </w:r>
      <w:proofErr w:type="gramStart"/>
      <w:r w:rsidR="008D4B54" w:rsidRPr="00C756B2">
        <w:rPr>
          <w:sz w:val="26"/>
          <w:szCs w:val="26"/>
        </w:rPr>
        <w:t>P-2010-2168786</w:t>
      </w:r>
      <w:r w:rsidR="00704073">
        <w:rPr>
          <w:sz w:val="26"/>
          <w:szCs w:val="26"/>
        </w:rPr>
        <w:t xml:space="preserve"> (</w:t>
      </w:r>
      <w:r w:rsidR="008D4B54" w:rsidRPr="00C756B2">
        <w:rPr>
          <w:sz w:val="26"/>
          <w:szCs w:val="26"/>
        </w:rPr>
        <w:t>Sept</w:t>
      </w:r>
      <w:r w:rsidR="00AE4D74">
        <w:rPr>
          <w:sz w:val="26"/>
          <w:szCs w:val="26"/>
        </w:rPr>
        <w:t>ember</w:t>
      </w:r>
      <w:r w:rsidR="008D4B54" w:rsidRPr="00C756B2">
        <w:rPr>
          <w:sz w:val="26"/>
          <w:szCs w:val="26"/>
        </w:rPr>
        <w:t xml:space="preserve"> 24, 2010</w:t>
      </w:r>
      <w:r w:rsidR="00704073">
        <w:rPr>
          <w:sz w:val="26"/>
          <w:szCs w:val="26"/>
        </w:rPr>
        <w:t>)</w:t>
      </w:r>
      <w:r w:rsidR="00605A7C">
        <w:rPr>
          <w:sz w:val="26"/>
          <w:szCs w:val="26"/>
        </w:rPr>
        <w:t xml:space="preserve"> (</w:t>
      </w:r>
      <w:r w:rsidR="00605A7C" w:rsidRPr="00605A7C">
        <w:rPr>
          <w:i/>
          <w:sz w:val="26"/>
          <w:szCs w:val="26"/>
        </w:rPr>
        <w:t xml:space="preserve">2010 </w:t>
      </w:r>
      <w:r w:rsidR="00584C15">
        <w:rPr>
          <w:i/>
          <w:sz w:val="26"/>
          <w:szCs w:val="26"/>
        </w:rPr>
        <w:t xml:space="preserve">Waiver </w:t>
      </w:r>
      <w:r w:rsidR="00605A7C" w:rsidRPr="00605A7C">
        <w:rPr>
          <w:i/>
          <w:sz w:val="26"/>
          <w:szCs w:val="26"/>
        </w:rPr>
        <w:t>Order</w:t>
      </w:r>
      <w:r w:rsidR="00605A7C">
        <w:rPr>
          <w:sz w:val="26"/>
          <w:szCs w:val="26"/>
        </w:rPr>
        <w:t>)</w:t>
      </w:r>
      <w:r w:rsidR="008D4B54" w:rsidRPr="00C756B2">
        <w:rPr>
          <w:sz w:val="26"/>
          <w:szCs w:val="26"/>
        </w:rPr>
        <w:t>.</w:t>
      </w:r>
      <w:proofErr w:type="gramEnd"/>
      <w:r w:rsidR="008D4B54" w:rsidRPr="00C756B2">
        <w:rPr>
          <w:sz w:val="26"/>
          <w:szCs w:val="26"/>
        </w:rPr>
        <w:t xml:space="preserve"> </w:t>
      </w:r>
      <w:r w:rsidR="00704073">
        <w:rPr>
          <w:sz w:val="26"/>
          <w:szCs w:val="26"/>
        </w:rPr>
        <w:t xml:space="preserve"> The </w:t>
      </w:r>
      <w:r w:rsidR="008D4B54" w:rsidRPr="00C756B2">
        <w:rPr>
          <w:sz w:val="26"/>
          <w:szCs w:val="26"/>
        </w:rPr>
        <w:t xml:space="preserve">two-year exemption allowed </w:t>
      </w:r>
      <w:r w:rsidR="00F1591D">
        <w:rPr>
          <w:sz w:val="26"/>
          <w:szCs w:val="26"/>
        </w:rPr>
        <w:t xml:space="preserve">PPL </w:t>
      </w:r>
      <w:r w:rsidR="008D4B54" w:rsidRPr="00C756B2">
        <w:rPr>
          <w:sz w:val="26"/>
          <w:szCs w:val="26"/>
        </w:rPr>
        <w:t xml:space="preserve">to implement a pilot program to expand its </w:t>
      </w:r>
      <w:r w:rsidR="009C02C9">
        <w:rPr>
          <w:sz w:val="26"/>
          <w:szCs w:val="26"/>
        </w:rPr>
        <w:t>w</w:t>
      </w:r>
      <w:r w:rsidR="009764E6">
        <w:rPr>
          <w:sz w:val="26"/>
          <w:szCs w:val="26"/>
        </w:rPr>
        <w:t>ebsite</w:t>
      </w:r>
      <w:r w:rsidR="008D4B54" w:rsidRPr="00C756B2">
        <w:rPr>
          <w:sz w:val="26"/>
          <w:szCs w:val="26"/>
        </w:rPr>
        <w:t xml:space="preserve"> and IVR to enable customers to set up payment agreements to avoid termination.  </w:t>
      </w:r>
    </w:p>
    <w:p w:rsidR="008D4B54" w:rsidRPr="00C756B2" w:rsidRDefault="008D4B54" w:rsidP="00C756B2">
      <w:pPr>
        <w:spacing w:line="360" w:lineRule="auto"/>
        <w:ind w:firstLine="720"/>
        <w:textAlignment w:val="baseline"/>
        <w:rPr>
          <w:i/>
          <w:sz w:val="26"/>
          <w:szCs w:val="26"/>
        </w:rPr>
      </w:pPr>
    </w:p>
    <w:p w:rsidR="003253C7" w:rsidRDefault="008D4B54" w:rsidP="00C756B2">
      <w:pPr>
        <w:spacing w:line="360" w:lineRule="auto"/>
        <w:ind w:firstLine="720"/>
        <w:textAlignment w:val="baseline"/>
        <w:rPr>
          <w:sz w:val="26"/>
          <w:szCs w:val="26"/>
        </w:rPr>
      </w:pPr>
      <w:r w:rsidRPr="00C756B2">
        <w:rPr>
          <w:sz w:val="26"/>
          <w:szCs w:val="26"/>
        </w:rPr>
        <w:t xml:space="preserve">On September 28, 2012, </w:t>
      </w:r>
      <w:r w:rsidR="00F1591D">
        <w:rPr>
          <w:sz w:val="26"/>
          <w:szCs w:val="26"/>
        </w:rPr>
        <w:t xml:space="preserve">PPL </w:t>
      </w:r>
      <w:r w:rsidRPr="00C756B2">
        <w:rPr>
          <w:sz w:val="26"/>
          <w:szCs w:val="26"/>
        </w:rPr>
        <w:t xml:space="preserve">requested permanent waiver of </w:t>
      </w:r>
      <w:r w:rsidR="00CC6176">
        <w:rPr>
          <w:sz w:val="26"/>
          <w:szCs w:val="26"/>
        </w:rPr>
        <w:t>S</w:t>
      </w:r>
      <w:r w:rsidRPr="00C756B2">
        <w:rPr>
          <w:sz w:val="26"/>
          <w:szCs w:val="26"/>
        </w:rPr>
        <w:t>ection 56.97(a) to enable it to continue th</w:t>
      </w:r>
      <w:r w:rsidR="003253C7">
        <w:rPr>
          <w:sz w:val="26"/>
          <w:szCs w:val="26"/>
        </w:rPr>
        <w:t>e</w:t>
      </w:r>
      <w:r w:rsidRPr="00C756B2">
        <w:rPr>
          <w:sz w:val="26"/>
          <w:szCs w:val="26"/>
        </w:rPr>
        <w:t xml:space="preserve"> program.  OCA </w:t>
      </w:r>
      <w:r w:rsidR="00D55580">
        <w:rPr>
          <w:sz w:val="26"/>
          <w:szCs w:val="26"/>
        </w:rPr>
        <w:t>raised several objections</w:t>
      </w:r>
      <w:r w:rsidRPr="00C756B2">
        <w:rPr>
          <w:i/>
          <w:sz w:val="26"/>
          <w:szCs w:val="26"/>
        </w:rPr>
        <w:t>.</w:t>
      </w:r>
      <w:r w:rsidR="00AE4D74">
        <w:rPr>
          <w:sz w:val="26"/>
          <w:szCs w:val="26"/>
        </w:rPr>
        <w:t xml:space="preserve"> </w:t>
      </w:r>
      <w:r w:rsidRPr="00C756B2">
        <w:rPr>
          <w:i/>
          <w:sz w:val="26"/>
          <w:szCs w:val="26"/>
        </w:rPr>
        <w:t xml:space="preserve"> </w:t>
      </w:r>
      <w:r w:rsidR="003035A0">
        <w:rPr>
          <w:sz w:val="26"/>
          <w:szCs w:val="26"/>
        </w:rPr>
        <w:t xml:space="preserve">Thereafter, predicated on an agreement with OCA, </w:t>
      </w:r>
      <w:r w:rsidR="00F1591D">
        <w:rPr>
          <w:sz w:val="26"/>
          <w:szCs w:val="26"/>
        </w:rPr>
        <w:t xml:space="preserve">PPL </w:t>
      </w:r>
      <w:r w:rsidR="003035A0">
        <w:rPr>
          <w:sz w:val="26"/>
          <w:szCs w:val="26"/>
        </w:rPr>
        <w:t xml:space="preserve">amended </w:t>
      </w:r>
      <w:r w:rsidR="00E22E0C">
        <w:rPr>
          <w:sz w:val="26"/>
          <w:szCs w:val="26"/>
        </w:rPr>
        <w:t>its request fr</w:t>
      </w:r>
      <w:r w:rsidR="003035A0">
        <w:rPr>
          <w:sz w:val="26"/>
          <w:szCs w:val="26"/>
        </w:rPr>
        <w:t>om</w:t>
      </w:r>
      <w:r w:rsidR="00CE7C87" w:rsidRPr="00C756B2">
        <w:rPr>
          <w:sz w:val="26"/>
          <w:szCs w:val="26"/>
        </w:rPr>
        <w:t xml:space="preserve"> a permanent waiver to a four-year </w:t>
      </w:r>
      <w:r w:rsidR="003253C7">
        <w:rPr>
          <w:sz w:val="26"/>
          <w:szCs w:val="26"/>
        </w:rPr>
        <w:t xml:space="preserve">temporary </w:t>
      </w:r>
      <w:r w:rsidR="00CE7C87" w:rsidRPr="00C756B2">
        <w:rPr>
          <w:sz w:val="26"/>
          <w:szCs w:val="26"/>
        </w:rPr>
        <w:t xml:space="preserve">waiver </w:t>
      </w:r>
      <w:r w:rsidR="003253C7">
        <w:rPr>
          <w:sz w:val="26"/>
          <w:szCs w:val="26"/>
        </w:rPr>
        <w:t xml:space="preserve">and </w:t>
      </w:r>
      <w:r w:rsidR="00CE7C87" w:rsidRPr="00C756B2">
        <w:rPr>
          <w:sz w:val="26"/>
          <w:szCs w:val="26"/>
        </w:rPr>
        <w:t xml:space="preserve">agreed to the following conditions:  </w:t>
      </w:r>
    </w:p>
    <w:p w:rsidR="003035A0" w:rsidRDefault="003035A0" w:rsidP="00C756B2">
      <w:pPr>
        <w:spacing w:line="360" w:lineRule="auto"/>
        <w:ind w:firstLine="720"/>
        <w:textAlignment w:val="baseline"/>
        <w:rPr>
          <w:sz w:val="26"/>
          <w:szCs w:val="26"/>
        </w:rPr>
      </w:pPr>
    </w:p>
    <w:p w:rsidR="003253C7" w:rsidRDefault="00F1591D" w:rsidP="003253C7">
      <w:pPr>
        <w:pStyle w:val="ListParagraph"/>
        <w:numPr>
          <w:ilvl w:val="0"/>
          <w:numId w:val="3"/>
        </w:numPr>
        <w:spacing w:line="360" w:lineRule="auto"/>
        <w:ind w:left="720"/>
        <w:textAlignment w:val="baseline"/>
        <w:rPr>
          <w:sz w:val="26"/>
          <w:szCs w:val="26"/>
        </w:rPr>
      </w:pPr>
      <w:r w:rsidRPr="003253C7">
        <w:rPr>
          <w:sz w:val="26"/>
          <w:szCs w:val="26"/>
        </w:rPr>
        <w:t xml:space="preserve">PPL </w:t>
      </w:r>
      <w:r w:rsidR="00CE7C87" w:rsidRPr="003253C7">
        <w:rPr>
          <w:sz w:val="26"/>
          <w:szCs w:val="26"/>
        </w:rPr>
        <w:t>w</w:t>
      </w:r>
      <w:r w:rsidR="003253C7" w:rsidRPr="003253C7">
        <w:rPr>
          <w:sz w:val="26"/>
          <w:szCs w:val="26"/>
        </w:rPr>
        <w:t>ould</w:t>
      </w:r>
      <w:r w:rsidR="00CE7C87" w:rsidRPr="003253C7">
        <w:rPr>
          <w:sz w:val="26"/>
          <w:szCs w:val="26"/>
        </w:rPr>
        <w:t xml:space="preserve"> inform the Commission’s Bureau of Consumer Services (BCS), OCA, and other interested parties at least 30 days in advance of making any substantive changes to the </w:t>
      </w:r>
      <w:r w:rsidR="00331EB7" w:rsidRPr="003253C7">
        <w:rPr>
          <w:sz w:val="26"/>
          <w:szCs w:val="26"/>
        </w:rPr>
        <w:t>w</w:t>
      </w:r>
      <w:r w:rsidR="009764E6" w:rsidRPr="003253C7">
        <w:rPr>
          <w:sz w:val="26"/>
          <w:szCs w:val="26"/>
        </w:rPr>
        <w:t>ebsite</w:t>
      </w:r>
      <w:r w:rsidR="00CE7C87" w:rsidRPr="003253C7">
        <w:rPr>
          <w:sz w:val="26"/>
          <w:szCs w:val="26"/>
        </w:rPr>
        <w:t xml:space="preserve"> or IVR systems regarding establishing payment agreements; </w:t>
      </w:r>
    </w:p>
    <w:p w:rsidR="003253C7" w:rsidRDefault="00F1591D" w:rsidP="003253C7">
      <w:pPr>
        <w:pStyle w:val="ListParagraph"/>
        <w:numPr>
          <w:ilvl w:val="0"/>
          <w:numId w:val="3"/>
        </w:numPr>
        <w:spacing w:line="360" w:lineRule="auto"/>
        <w:ind w:left="720"/>
        <w:textAlignment w:val="baseline"/>
        <w:rPr>
          <w:sz w:val="26"/>
          <w:szCs w:val="26"/>
        </w:rPr>
      </w:pPr>
      <w:r w:rsidRPr="003253C7">
        <w:rPr>
          <w:sz w:val="26"/>
          <w:szCs w:val="26"/>
        </w:rPr>
        <w:t xml:space="preserve">PPL </w:t>
      </w:r>
      <w:r w:rsidR="00CE7C87" w:rsidRPr="003253C7">
        <w:rPr>
          <w:sz w:val="26"/>
          <w:szCs w:val="26"/>
        </w:rPr>
        <w:t>w</w:t>
      </w:r>
      <w:r w:rsidR="003253C7">
        <w:rPr>
          <w:sz w:val="26"/>
          <w:szCs w:val="26"/>
        </w:rPr>
        <w:t>ould</w:t>
      </w:r>
      <w:r w:rsidR="00CE7C87" w:rsidRPr="003253C7">
        <w:rPr>
          <w:sz w:val="26"/>
          <w:szCs w:val="26"/>
        </w:rPr>
        <w:t xml:space="preserve"> submit an annual statistical report</w:t>
      </w:r>
      <w:r w:rsidR="002A0BA5">
        <w:rPr>
          <w:rStyle w:val="FootnoteReference"/>
          <w:sz w:val="26"/>
          <w:szCs w:val="26"/>
        </w:rPr>
        <w:footnoteReference w:id="1"/>
      </w:r>
      <w:r w:rsidR="00CE7C87" w:rsidRPr="003253C7">
        <w:rPr>
          <w:sz w:val="26"/>
          <w:szCs w:val="26"/>
        </w:rPr>
        <w:t xml:space="preserve"> to BCS and OCA by February 15</w:t>
      </w:r>
      <w:r w:rsidR="003035A0" w:rsidRPr="003035A0">
        <w:rPr>
          <w:sz w:val="26"/>
          <w:szCs w:val="26"/>
          <w:vertAlign w:val="superscript"/>
        </w:rPr>
        <w:t>th</w:t>
      </w:r>
      <w:r w:rsidR="003035A0">
        <w:rPr>
          <w:sz w:val="26"/>
          <w:szCs w:val="26"/>
        </w:rPr>
        <w:t xml:space="preserve"> </w:t>
      </w:r>
      <w:r w:rsidR="00CE7C87" w:rsidRPr="003253C7">
        <w:rPr>
          <w:sz w:val="26"/>
          <w:szCs w:val="26"/>
        </w:rPr>
        <w:t xml:space="preserve">of every year; </w:t>
      </w:r>
    </w:p>
    <w:p w:rsidR="003253C7" w:rsidRDefault="00F1591D" w:rsidP="003253C7">
      <w:pPr>
        <w:pStyle w:val="ListParagraph"/>
        <w:numPr>
          <w:ilvl w:val="0"/>
          <w:numId w:val="3"/>
        </w:numPr>
        <w:spacing w:line="360" w:lineRule="auto"/>
        <w:ind w:left="720"/>
        <w:textAlignment w:val="baseline"/>
        <w:rPr>
          <w:sz w:val="26"/>
          <w:szCs w:val="26"/>
        </w:rPr>
      </w:pPr>
      <w:r w:rsidRPr="003253C7">
        <w:rPr>
          <w:sz w:val="26"/>
          <w:szCs w:val="26"/>
        </w:rPr>
        <w:t xml:space="preserve">PPL </w:t>
      </w:r>
      <w:r w:rsidR="00CE7C87" w:rsidRPr="003253C7">
        <w:rPr>
          <w:sz w:val="26"/>
          <w:szCs w:val="26"/>
        </w:rPr>
        <w:t>w</w:t>
      </w:r>
      <w:r w:rsidR="003253C7">
        <w:rPr>
          <w:sz w:val="26"/>
          <w:szCs w:val="26"/>
        </w:rPr>
        <w:t xml:space="preserve">ould </w:t>
      </w:r>
      <w:r w:rsidR="00CE7C87" w:rsidRPr="003253C7">
        <w:rPr>
          <w:sz w:val="26"/>
          <w:szCs w:val="26"/>
        </w:rPr>
        <w:t xml:space="preserve">submit a comprehensive report to the Commission and OCA 60 days prior to the expiration of the four-year waiver for the </w:t>
      </w:r>
      <w:r w:rsidR="00331EB7" w:rsidRPr="003253C7">
        <w:rPr>
          <w:sz w:val="26"/>
          <w:szCs w:val="26"/>
        </w:rPr>
        <w:t>w</w:t>
      </w:r>
      <w:r w:rsidR="009764E6" w:rsidRPr="003253C7">
        <w:rPr>
          <w:sz w:val="26"/>
          <w:szCs w:val="26"/>
        </w:rPr>
        <w:t>ebsite</w:t>
      </w:r>
      <w:r w:rsidR="00CE7C87" w:rsidRPr="003253C7">
        <w:rPr>
          <w:sz w:val="26"/>
          <w:szCs w:val="26"/>
        </w:rPr>
        <w:t xml:space="preserve"> and IVR systems; and </w:t>
      </w:r>
    </w:p>
    <w:p w:rsidR="003253C7" w:rsidRPr="003253C7" w:rsidRDefault="00F1591D" w:rsidP="003253C7">
      <w:pPr>
        <w:pStyle w:val="ListParagraph"/>
        <w:numPr>
          <w:ilvl w:val="0"/>
          <w:numId w:val="3"/>
        </w:numPr>
        <w:spacing w:line="360" w:lineRule="auto"/>
        <w:ind w:left="720"/>
        <w:textAlignment w:val="baseline"/>
        <w:rPr>
          <w:sz w:val="26"/>
          <w:szCs w:val="26"/>
        </w:rPr>
      </w:pPr>
      <w:r w:rsidRPr="003253C7">
        <w:rPr>
          <w:sz w:val="26"/>
          <w:szCs w:val="26"/>
        </w:rPr>
        <w:t xml:space="preserve">PPL </w:t>
      </w:r>
      <w:r w:rsidR="003253C7">
        <w:rPr>
          <w:sz w:val="26"/>
          <w:szCs w:val="26"/>
        </w:rPr>
        <w:t xml:space="preserve">could </w:t>
      </w:r>
      <w:r w:rsidR="00CE7C87" w:rsidRPr="003253C7">
        <w:rPr>
          <w:sz w:val="26"/>
          <w:szCs w:val="26"/>
        </w:rPr>
        <w:t xml:space="preserve">request a permanent waiver for the </w:t>
      </w:r>
      <w:r w:rsidR="00331EB7" w:rsidRPr="003253C7">
        <w:rPr>
          <w:sz w:val="26"/>
          <w:szCs w:val="26"/>
        </w:rPr>
        <w:t>w</w:t>
      </w:r>
      <w:r w:rsidR="009764E6" w:rsidRPr="003253C7">
        <w:rPr>
          <w:sz w:val="26"/>
          <w:szCs w:val="26"/>
        </w:rPr>
        <w:t>ebsite</w:t>
      </w:r>
      <w:r w:rsidR="00CE7C87" w:rsidRPr="003253C7">
        <w:rPr>
          <w:sz w:val="26"/>
          <w:szCs w:val="26"/>
        </w:rPr>
        <w:t xml:space="preserve"> and IVR systems at the end of the four-year period.  </w:t>
      </w:r>
    </w:p>
    <w:p w:rsidR="00875B85" w:rsidRDefault="00875B85">
      <w:pPr>
        <w:overflowPunct/>
        <w:autoSpaceDE/>
        <w:autoSpaceDN/>
        <w:adjustRightInd/>
        <w:spacing w:after="200" w:line="276" w:lineRule="auto"/>
        <w:rPr>
          <w:sz w:val="26"/>
          <w:szCs w:val="26"/>
        </w:rPr>
      </w:pPr>
    </w:p>
    <w:p w:rsidR="00D55580" w:rsidRPr="00091C6C" w:rsidRDefault="00704073" w:rsidP="00D71ACF">
      <w:pPr>
        <w:spacing w:line="360" w:lineRule="auto"/>
        <w:ind w:firstLine="720"/>
        <w:rPr>
          <w:sz w:val="26"/>
          <w:szCs w:val="26"/>
        </w:rPr>
      </w:pPr>
      <w:r>
        <w:rPr>
          <w:sz w:val="26"/>
          <w:szCs w:val="26"/>
        </w:rPr>
        <w:t>PPL was granted an extension of its initial temporary waiver</w:t>
      </w:r>
      <w:r w:rsidR="00CA41DD">
        <w:rPr>
          <w:sz w:val="26"/>
          <w:szCs w:val="26"/>
        </w:rPr>
        <w:t>, predicated on these conditions,</w:t>
      </w:r>
      <w:r>
        <w:rPr>
          <w:sz w:val="26"/>
          <w:szCs w:val="26"/>
        </w:rPr>
        <w:t xml:space="preserve"> by order entered on January 24, 2013 at Docket No. </w:t>
      </w:r>
      <w:proofErr w:type="gramStart"/>
      <w:r>
        <w:rPr>
          <w:sz w:val="26"/>
          <w:szCs w:val="26"/>
        </w:rPr>
        <w:t>P-2012-2327036.</w:t>
      </w:r>
      <w:proofErr w:type="gramEnd"/>
      <w:r>
        <w:rPr>
          <w:sz w:val="26"/>
          <w:szCs w:val="26"/>
        </w:rPr>
        <w:t xml:space="preserve">  That </w:t>
      </w:r>
      <w:r w:rsidR="003035A0">
        <w:rPr>
          <w:sz w:val="26"/>
          <w:szCs w:val="26"/>
        </w:rPr>
        <w:lastRenderedPageBreak/>
        <w:t xml:space="preserve">temporary </w:t>
      </w:r>
      <w:r>
        <w:rPr>
          <w:sz w:val="26"/>
          <w:szCs w:val="26"/>
        </w:rPr>
        <w:t xml:space="preserve">waiver expires on December 31, 2016.  </w:t>
      </w:r>
      <w:r w:rsidR="00605A7C" w:rsidRPr="00CA41DD">
        <w:rPr>
          <w:i/>
          <w:sz w:val="26"/>
          <w:szCs w:val="26"/>
        </w:rPr>
        <w:t>Petition of PPL Electric Utilities Corporation</w:t>
      </w:r>
      <w:r w:rsidR="00CA41DD" w:rsidRPr="00CA41DD">
        <w:rPr>
          <w:i/>
          <w:sz w:val="26"/>
          <w:szCs w:val="26"/>
        </w:rPr>
        <w:t xml:space="preserve"> </w:t>
      </w:r>
      <w:r w:rsidR="00605A7C" w:rsidRPr="00CA41DD">
        <w:rPr>
          <w:i/>
          <w:sz w:val="26"/>
          <w:szCs w:val="26"/>
        </w:rPr>
        <w:t>for Waiver of 52 Pa. Code § 56.97(a) to Allow Customers to Establish Payment Agreements Online or Through an Automated Interactive Voice Response System</w:t>
      </w:r>
      <w:r w:rsidR="00605A7C">
        <w:rPr>
          <w:sz w:val="26"/>
          <w:szCs w:val="26"/>
        </w:rPr>
        <w:t xml:space="preserve">, Docket No. </w:t>
      </w:r>
      <w:proofErr w:type="gramStart"/>
      <w:r w:rsidR="00605A7C" w:rsidRPr="00C756B2">
        <w:rPr>
          <w:sz w:val="26"/>
          <w:szCs w:val="26"/>
        </w:rPr>
        <w:t>P-2012-2327036</w:t>
      </w:r>
      <w:r w:rsidR="00605A7C">
        <w:rPr>
          <w:sz w:val="26"/>
          <w:szCs w:val="26"/>
        </w:rPr>
        <w:t xml:space="preserve"> </w:t>
      </w:r>
      <w:r w:rsidR="00D71ACF">
        <w:rPr>
          <w:sz w:val="26"/>
          <w:szCs w:val="26"/>
        </w:rPr>
        <w:t xml:space="preserve">(January 24, 2013) </w:t>
      </w:r>
      <w:r w:rsidR="00605A7C">
        <w:rPr>
          <w:sz w:val="26"/>
          <w:szCs w:val="26"/>
        </w:rPr>
        <w:t>(</w:t>
      </w:r>
      <w:r w:rsidR="00605A7C" w:rsidRPr="00605A7C">
        <w:rPr>
          <w:i/>
          <w:sz w:val="26"/>
          <w:szCs w:val="26"/>
        </w:rPr>
        <w:t xml:space="preserve">2013 </w:t>
      </w:r>
      <w:r w:rsidR="00584C15">
        <w:rPr>
          <w:i/>
          <w:sz w:val="26"/>
          <w:szCs w:val="26"/>
        </w:rPr>
        <w:t xml:space="preserve">Waiver </w:t>
      </w:r>
      <w:r w:rsidR="00605A7C" w:rsidRPr="00605A7C">
        <w:rPr>
          <w:i/>
          <w:sz w:val="26"/>
          <w:szCs w:val="26"/>
        </w:rPr>
        <w:t>Order</w:t>
      </w:r>
      <w:r w:rsidR="00605A7C">
        <w:rPr>
          <w:sz w:val="26"/>
          <w:szCs w:val="26"/>
        </w:rPr>
        <w:t>).</w:t>
      </w:r>
      <w:proofErr w:type="gramEnd"/>
      <w:r w:rsidR="00D55580">
        <w:rPr>
          <w:sz w:val="26"/>
          <w:szCs w:val="26"/>
        </w:rPr>
        <w:t xml:space="preserve">  </w:t>
      </w:r>
      <w:r w:rsidR="00D55580" w:rsidRPr="00091C6C">
        <w:rPr>
          <w:sz w:val="26"/>
          <w:szCs w:val="26"/>
        </w:rPr>
        <w:t xml:space="preserve">The </w:t>
      </w:r>
      <w:r w:rsidR="00D55580" w:rsidRPr="00091C6C">
        <w:rPr>
          <w:i/>
          <w:sz w:val="26"/>
          <w:szCs w:val="26"/>
        </w:rPr>
        <w:t>201</w:t>
      </w:r>
      <w:r w:rsidR="00D55580">
        <w:rPr>
          <w:i/>
          <w:sz w:val="26"/>
          <w:szCs w:val="26"/>
        </w:rPr>
        <w:t>3</w:t>
      </w:r>
      <w:r w:rsidR="00D71ACF">
        <w:rPr>
          <w:i/>
          <w:sz w:val="26"/>
          <w:szCs w:val="26"/>
        </w:rPr>
        <w:t> </w:t>
      </w:r>
      <w:r w:rsidR="00D55580" w:rsidRPr="00091C6C">
        <w:rPr>
          <w:i/>
          <w:sz w:val="26"/>
          <w:szCs w:val="26"/>
        </w:rPr>
        <w:t>Waiver Order</w:t>
      </w:r>
      <w:r w:rsidR="00D55580" w:rsidRPr="00091C6C">
        <w:rPr>
          <w:sz w:val="26"/>
          <w:szCs w:val="26"/>
        </w:rPr>
        <w:t xml:space="preserve"> directed </w:t>
      </w:r>
      <w:r w:rsidR="00D55580">
        <w:rPr>
          <w:sz w:val="26"/>
          <w:szCs w:val="26"/>
        </w:rPr>
        <w:t xml:space="preserve">PPL </w:t>
      </w:r>
      <w:r w:rsidR="00D55580" w:rsidRPr="00091C6C">
        <w:rPr>
          <w:sz w:val="26"/>
          <w:szCs w:val="26"/>
        </w:rPr>
        <w:t>to submit a comprehensive report to the Commission and OCA 60 days prior to the expiration of the four-year waiver for the website and</w:t>
      </w:r>
      <w:r w:rsidR="00D55580">
        <w:rPr>
          <w:sz w:val="26"/>
          <w:szCs w:val="26"/>
        </w:rPr>
        <w:t xml:space="preserve"> </w:t>
      </w:r>
      <w:r w:rsidR="00D55580" w:rsidRPr="00091C6C">
        <w:rPr>
          <w:sz w:val="26"/>
          <w:szCs w:val="26"/>
        </w:rPr>
        <w:t xml:space="preserve">IVR systems. </w:t>
      </w:r>
      <w:r w:rsidR="00D55580">
        <w:rPr>
          <w:sz w:val="26"/>
          <w:szCs w:val="26"/>
        </w:rPr>
        <w:t xml:space="preserve"> </w:t>
      </w:r>
      <w:r w:rsidR="00D55580" w:rsidRPr="00091C6C">
        <w:rPr>
          <w:i/>
          <w:iCs/>
          <w:sz w:val="26"/>
          <w:szCs w:val="26"/>
        </w:rPr>
        <w:t>201</w:t>
      </w:r>
      <w:r w:rsidR="00D55580">
        <w:rPr>
          <w:i/>
          <w:iCs/>
          <w:sz w:val="26"/>
          <w:szCs w:val="26"/>
        </w:rPr>
        <w:t>3 </w:t>
      </w:r>
      <w:r w:rsidR="00D55580" w:rsidRPr="00091C6C">
        <w:rPr>
          <w:i/>
          <w:iCs/>
          <w:sz w:val="26"/>
          <w:szCs w:val="26"/>
        </w:rPr>
        <w:t>Waiver Order</w:t>
      </w:r>
      <w:r w:rsidR="00D55580">
        <w:rPr>
          <w:sz w:val="26"/>
          <w:szCs w:val="26"/>
        </w:rPr>
        <w:t xml:space="preserve"> at </w:t>
      </w:r>
      <w:r w:rsidR="00D55580" w:rsidRPr="00091C6C">
        <w:rPr>
          <w:sz w:val="26"/>
          <w:szCs w:val="26"/>
        </w:rPr>
        <w:t xml:space="preserve">15-16. </w:t>
      </w:r>
      <w:r w:rsidR="00D55580">
        <w:rPr>
          <w:sz w:val="26"/>
          <w:szCs w:val="26"/>
        </w:rPr>
        <w:t xml:space="preserve"> PPL </w:t>
      </w:r>
      <w:r w:rsidR="004B4494">
        <w:rPr>
          <w:sz w:val="26"/>
          <w:szCs w:val="26"/>
        </w:rPr>
        <w:t xml:space="preserve">filed </w:t>
      </w:r>
      <w:r w:rsidR="00D55580">
        <w:rPr>
          <w:sz w:val="26"/>
          <w:szCs w:val="26"/>
        </w:rPr>
        <w:t xml:space="preserve">the </w:t>
      </w:r>
      <w:r w:rsidR="00D55580" w:rsidRPr="00091C6C">
        <w:rPr>
          <w:sz w:val="26"/>
          <w:szCs w:val="26"/>
        </w:rPr>
        <w:t xml:space="preserve">comprehensive report </w:t>
      </w:r>
      <w:r w:rsidR="00D55580">
        <w:rPr>
          <w:sz w:val="26"/>
          <w:szCs w:val="26"/>
        </w:rPr>
        <w:t xml:space="preserve">for four-year </w:t>
      </w:r>
      <w:r w:rsidR="004B4494">
        <w:rPr>
          <w:sz w:val="26"/>
          <w:szCs w:val="26"/>
        </w:rPr>
        <w:t xml:space="preserve">temporary partial </w:t>
      </w:r>
      <w:r w:rsidR="00D55580">
        <w:rPr>
          <w:sz w:val="26"/>
          <w:szCs w:val="26"/>
        </w:rPr>
        <w:t xml:space="preserve">waiver on </w:t>
      </w:r>
      <w:r w:rsidR="003F6F06">
        <w:rPr>
          <w:sz w:val="26"/>
          <w:szCs w:val="26"/>
        </w:rPr>
        <w:t>December 8, 2016</w:t>
      </w:r>
      <w:r w:rsidR="00AA3CFC">
        <w:rPr>
          <w:sz w:val="26"/>
          <w:szCs w:val="26"/>
        </w:rPr>
        <w:t>.</w:t>
      </w:r>
      <w:r w:rsidR="00D55580">
        <w:rPr>
          <w:rStyle w:val="FootnoteReference"/>
          <w:sz w:val="26"/>
          <w:szCs w:val="26"/>
        </w:rPr>
        <w:footnoteReference w:id="2"/>
      </w:r>
    </w:p>
    <w:p w:rsidR="00D55580" w:rsidRPr="00C756B2" w:rsidRDefault="00D55580" w:rsidP="00D55580">
      <w:pPr>
        <w:spacing w:line="360" w:lineRule="auto"/>
        <w:textAlignment w:val="baseline"/>
        <w:rPr>
          <w:sz w:val="26"/>
          <w:szCs w:val="26"/>
        </w:rPr>
      </w:pPr>
    </w:p>
    <w:p w:rsidR="003035A0" w:rsidRDefault="00CA41DD" w:rsidP="00CA41DD">
      <w:pPr>
        <w:spacing w:line="360" w:lineRule="auto"/>
        <w:ind w:firstLine="720"/>
        <w:textAlignment w:val="baseline"/>
        <w:rPr>
          <w:sz w:val="26"/>
          <w:szCs w:val="26"/>
        </w:rPr>
      </w:pPr>
      <w:r>
        <w:rPr>
          <w:sz w:val="26"/>
          <w:szCs w:val="26"/>
        </w:rPr>
        <w:t xml:space="preserve">In this proceeding, </w:t>
      </w:r>
      <w:r w:rsidR="00704073">
        <w:rPr>
          <w:sz w:val="26"/>
          <w:szCs w:val="26"/>
        </w:rPr>
        <w:t xml:space="preserve">PPL </w:t>
      </w:r>
      <w:r>
        <w:rPr>
          <w:sz w:val="26"/>
          <w:szCs w:val="26"/>
        </w:rPr>
        <w:t xml:space="preserve">initially sought a permanent waiver exempting it </w:t>
      </w:r>
      <w:r w:rsidR="00704073" w:rsidRPr="00C756B2">
        <w:rPr>
          <w:sz w:val="26"/>
          <w:szCs w:val="26"/>
        </w:rPr>
        <w:t>from the notification requirements at 52 Pa. Code §</w:t>
      </w:r>
      <w:r w:rsidR="003035A0">
        <w:rPr>
          <w:sz w:val="26"/>
          <w:szCs w:val="26"/>
        </w:rPr>
        <w:t> </w:t>
      </w:r>
      <w:r w:rsidR="00704073" w:rsidRPr="00C756B2">
        <w:rPr>
          <w:sz w:val="26"/>
          <w:szCs w:val="26"/>
        </w:rPr>
        <w:t xml:space="preserve">56.97(a).  </w:t>
      </w:r>
      <w:proofErr w:type="gramStart"/>
      <w:r w:rsidR="00704073">
        <w:rPr>
          <w:sz w:val="26"/>
          <w:szCs w:val="26"/>
        </w:rPr>
        <w:t>Petition</w:t>
      </w:r>
      <w:r w:rsidR="00704073" w:rsidRPr="00C756B2">
        <w:rPr>
          <w:sz w:val="26"/>
          <w:szCs w:val="26"/>
        </w:rPr>
        <w:t xml:space="preserve"> at</w:t>
      </w:r>
      <w:r w:rsidR="00704073">
        <w:rPr>
          <w:sz w:val="26"/>
          <w:szCs w:val="26"/>
        </w:rPr>
        <w:t> </w:t>
      </w:r>
      <w:r w:rsidR="00704073" w:rsidRPr="00C756B2">
        <w:rPr>
          <w:sz w:val="26"/>
          <w:szCs w:val="26"/>
        </w:rPr>
        <w:t>4.</w:t>
      </w:r>
      <w:proofErr w:type="gramEnd"/>
      <w:r w:rsidR="00704073" w:rsidRPr="00C756B2">
        <w:rPr>
          <w:sz w:val="26"/>
          <w:szCs w:val="26"/>
        </w:rPr>
        <w:t xml:space="preserve">  </w:t>
      </w:r>
      <w:r w:rsidR="00D55580">
        <w:rPr>
          <w:sz w:val="26"/>
          <w:szCs w:val="26"/>
        </w:rPr>
        <w:t xml:space="preserve">OCA again raised several objections.  </w:t>
      </w:r>
      <w:r w:rsidR="003035A0">
        <w:rPr>
          <w:sz w:val="26"/>
          <w:szCs w:val="26"/>
        </w:rPr>
        <w:t xml:space="preserve">Predicated </w:t>
      </w:r>
      <w:r>
        <w:rPr>
          <w:sz w:val="26"/>
          <w:szCs w:val="26"/>
        </w:rPr>
        <w:t>on an</w:t>
      </w:r>
      <w:r w:rsidR="003035A0">
        <w:rPr>
          <w:sz w:val="26"/>
          <w:szCs w:val="26"/>
        </w:rPr>
        <w:t xml:space="preserve"> agreement with OCA, PPL has amended its request from</w:t>
      </w:r>
      <w:r w:rsidR="003035A0" w:rsidRPr="00C756B2">
        <w:rPr>
          <w:sz w:val="26"/>
          <w:szCs w:val="26"/>
        </w:rPr>
        <w:t xml:space="preserve"> a permanent waiver to a </w:t>
      </w:r>
      <w:r w:rsidR="003035A0">
        <w:rPr>
          <w:sz w:val="26"/>
          <w:szCs w:val="26"/>
        </w:rPr>
        <w:t>six</w:t>
      </w:r>
      <w:r w:rsidR="003035A0" w:rsidRPr="00C756B2">
        <w:rPr>
          <w:sz w:val="26"/>
          <w:szCs w:val="26"/>
        </w:rPr>
        <w:t xml:space="preserve">-year </w:t>
      </w:r>
      <w:r w:rsidR="003035A0">
        <w:rPr>
          <w:sz w:val="26"/>
          <w:szCs w:val="26"/>
        </w:rPr>
        <w:t xml:space="preserve">temporary </w:t>
      </w:r>
      <w:r w:rsidR="003035A0" w:rsidRPr="00C756B2">
        <w:rPr>
          <w:sz w:val="26"/>
          <w:szCs w:val="26"/>
        </w:rPr>
        <w:t>waiver</w:t>
      </w:r>
      <w:r w:rsidR="003035A0">
        <w:rPr>
          <w:sz w:val="26"/>
          <w:szCs w:val="26"/>
        </w:rPr>
        <w:t>, commencing December 31, 2016, and ending December 31, 20</w:t>
      </w:r>
      <w:r w:rsidR="00EC3DA1">
        <w:rPr>
          <w:sz w:val="26"/>
          <w:szCs w:val="26"/>
        </w:rPr>
        <w:t>22</w:t>
      </w:r>
      <w:r w:rsidR="003035A0">
        <w:rPr>
          <w:sz w:val="26"/>
          <w:szCs w:val="26"/>
        </w:rPr>
        <w:t xml:space="preserve">.  PPL has further agreed to </w:t>
      </w:r>
      <w:r w:rsidR="003035A0" w:rsidRPr="00C756B2">
        <w:rPr>
          <w:sz w:val="26"/>
          <w:szCs w:val="26"/>
        </w:rPr>
        <w:t>the following conditions</w:t>
      </w:r>
      <w:r w:rsidR="004B4494">
        <w:rPr>
          <w:sz w:val="26"/>
          <w:szCs w:val="26"/>
        </w:rPr>
        <w:t xml:space="preserve"> as a condition of a further temporary partial waiver</w:t>
      </w:r>
      <w:r w:rsidR="003035A0" w:rsidRPr="00C756B2">
        <w:rPr>
          <w:sz w:val="26"/>
          <w:szCs w:val="26"/>
        </w:rPr>
        <w:t xml:space="preserve">:  </w:t>
      </w:r>
    </w:p>
    <w:p w:rsidR="003035A0" w:rsidRDefault="003035A0" w:rsidP="006C2B77">
      <w:pPr>
        <w:ind w:firstLine="720"/>
        <w:textAlignment w:val="baseline"/>
        <w:rPr>
          <w:sz w:val="26"/>
          <w:szCs w:val="26"/>
        </w:rPr>
      </w:pPr>
    </w:p>
    <w:p w:rsidR="003035A0" w:rsidRDefault="003035A0" w:rsidP="003035A0">
      <w:pPr>
        <w:pStyle w:val="ListParagraph"/>
        <w:numPr>
          <w:ilvl w:val="0"/>
          <w:numId w:val="3"/>
        </w:numPr>
        <w:spacing w:line="360" w:lineRule="auto"/>
        <w:ind w:left="720"/>
        <w:textAlignment w:val="baseline"/>
        <w:rPr>
          <w:sz w:val="26"/>
          <w:szCs w:val="26"/>
        </w:rPr>
      </w:pPr>
      <w:r w:rsidRPr="003253C7">
        <w:rPr>
          <w:sz w:val="26"/>
          <w:szCs w:val="26"/>
        </w:rPr>
        <w:t xml:space="preserve">PPL would inform BCS, OCA, and other interested parties at least 30 days in advance of making any substantive changes to the website or IVR systems regarding establishing payment agreements; </w:t>
      </w:r>
    </w:p>
    <w:p w:rsidR="003035A0" w:rsidRDefault="003035A0" w:rsidP="003035A0">
      <w:pPr>
        <w:pStyle w:val="ListParagraph"/>
        <w:numPr>
          <w:ilvl w:val="0"/>
          <w:numId w:val="3"/>
        </w:numPr>
        <w:spacing w:line="360" w:lineRule="auto"/>
        <w:ind w:left="720"/>
        <w:textAlignment w:val="baseline"/>
        <w:rPr>
          <w:sz w:val="26"/>
          <w:szCs w:val="26"/>
        </w:rPr>
      </w:pPr>
      <w:r w:rsidRPr="003253C7">
        <w:rPr>
          <w:sz w:val="26"/>
          <w:szCs w:val="26"/>
        </w:rPr>
        <w:t>PPL w</w:t>
      </w:r>
      <w:r>
        <w:rPr>
          <w:sz w:val="26"/>
          <w:szCs w:val="26"/>
        </w:rPr>
        <w:t>ould</w:t>
      </w:r>
      <w:r w:rsidRPr="003253C7">
        <w:rPr>
          <w:sz w:val="26"/>
          <w:szCs w:val="26"/>
        </w:rPr>
        <w:t xml:space="preserve"> submit an annual statistical report to BCS and OCA by February 15</w:t>
      </w:r>
      <w:r w:rsidRPr="003035A0">
        <w:rPr>
          <w:sz w:val="26"/>
          <w:szCs w:val="26"/>
          <w:vertAlign w:val="superscript"/>
        </w:rPr>
        <w:t>th</w:t>
      </w:r>
      <w:r>
        <w:rPr>
          <w:sz w:val="26"/>
          <w:szCs w:val="26"/>
        </w:rPr>
        <w:t xml:space="preserve"> </w:t>
      </w:r>
      <w:r w:rsidRPr="003253C7">
        <w:rPr>
          <w:sz w:val="26"/>
          <w:szCs w:val="26"/>
        </w:rPr>
        <w:t xml:space="preserve">of every year; </w:t>
      </w:r>
    </w:p>
    <w:p w:rsidR="003F6AC6" w:rsidRDefault="003035A0" w:rsidP="003035A0">
      <w:pPr>
        <w:pStyle w:val="ListParagraph"/>
        <w:numPr>
          <w:ilvl w:val="0"/>
          <w:numId w:val="3"/>
        </w:numPr>
        <w:spacing w:line="360" w:lineRule="auto"/>
        <w:ind w:left="720"/>
        <w:textAlignment w:val="baseline"/>
        <w:rPr>
          <w:sz w:val="26"/>
          <w:szCs w:val="26"/>
        </w:rPr>
      </w:pPr>
      <w:r w:rsidRPr="003253C7">
        <w:rPr>
          <w:sz w:val="26"/>
          <w:szCs w:val="26"/>
        </w:rPr>
        <w:t>PPL w</w:t>
      </w:r>
      <w:r>
        <w:rPr>
          <w:sz w:val="26"/>
          <w:szCs w:val="26"/>
        </w:rPr>
        <w:t xml:space="preserve">ould </w:t>
      </w:r>
      <w:r w:rsidRPr="003253C7">
        <w:rPr>
          <w:sz w:val="26"/>
          <w:szCs w:val="26"/>
        </w:rPr>
        <w:t xml:space="preserve">submit a comprehensive report to the Commission and OCA 60 days prior to the expiration of the </w:t>
      </w:r>
      <w:r w:rsidR="00605A7C">
        <w:rPr>
          <w:sz w:val="26"/>
          <w:szCs w:val="26"/>
        </w:rPr>
        <w:t>six</w:t>
      </w:r>
      <w:r w:rsidRPr="003253C7">
        <w:rPr>
          <w:sz w:val="26"/>
          <w:szCs w:val="26"/>
        </w:rPr>
        <w:t xml:space="preserve">-year waiver for the website and IVR systems; and </w:t>
      </w:r>
    </w:p>
    <w:p w:rsidR="003F6AC6" w:rsidRDefault="003035A0" w:rsidP="003F6AC6">
      <w:pPr>
        <w:pStyle w:val="ListParagraph"/>
        <w:numPr>
          <w:ilvl w:val="0"/>
          <w:numId w:val="3"/>
        </w:numPr>
        <w:spacing w:line="360" w:lineRule="auto"/>
        <w:ind w:left="720"/>
        <w:textAlignment w:val="baseline"/>
        <w:rPr>
          <w:sz w:val="26"/>
          <w:szCs w:val="26"/>
        </w:rPr>
      </w:pPr>
      <w:r w:rsidRPr="003F6AC6">
        <w:rPr>
          <w:sz w:val="26"/>
          <w:szCs w:val="26"/>
        </w:rPr>
        <w:lastRenderedPageBreak/>
        <w:t xml:space="preserve">PPL could request a permanent waiver for the website and IVR systems at the end of the </w:t>
      </w:r>
      <w:r w:rsidR="00605A7C" w:rsidRPr="003F6AC6">
        <w:rPr>
          <w:sz w:val="26"/>
          <w:szCs w:val="26"/>
        </w:rPr>
        <w:t>six</w:t>
      </w:r>
      <w:r w:rsidRPr="003F6AC6">
        <w:rPr>
          <w:sz w:val="26"/>
          <w:szCs w:val="26"/>
        </w:rPr>
        <w:t xml:space="preserve">-year period.  </w:t>
      </w:r>
    </w:p>
    <w:p w:rsidR="003F6AC6" w:rsidRDefault="003F6AC6" w:rsidP="00875B85">
      <w:pPr>
        <w:pStyle w:val="ListParagraph"/>
        <w:ind w:left="1440" w:hanging="720"/>
        <w:textAlignment w:val="baseline"/>
        <w:rPr>
          <w:sz w:val="26"/>
          <w:szCs w:val="26"/>
        </w:rPr>
      </w:pPr>
    </w:p>
    <w:p w:rsidR="003253C7" w:rsidRPr="003F6AC6" w:rsidRDefault="003035A0" w:rsidP="003F6AC6">
      <w:pPr>
        <w:pStyle w:val="ListParagraph"/>
        <w:ind w:hanging="720"/>
        <w:textAlignment w:val="baseline"/>
        <w:rPr>
          <w:sz w:val="26"/>
          <w:szCs w:val="26"/>
        </w:rPr>
      </w:pPr>
      <w:r w:rsidRPr="003F6AC6">
        <w:rPr>
          <w:sz w:val="26"/>
          <w:szCs w:val="26"/>
        </w:rPr>
        <w:t xml:space="preserve">PPL Letter at 2-3.  </w:t>
      </w:r>
    </w:p>
    <w:p w:rsidR="00CA41DD" w:rsidRDefault="00CA41DD" w:rsidP="003035A0">
      <w:pPr>
        <w:spacing w:line="360" w:lineRule="auto"/>
        <w:textAlignment w:val="baseline"/>
        <w:rPr>
          <w:sz w:val="26"/>
          <w:szCs w:val="26"/>
        </w:rPr>
      </w:pPr>
    </w:p>
    <w:p w:rsidR="00CC58F3" w:rsidRPr="00C756B2" w:rsidRDefault="00CC58F3" w:rsidP="002A0BA5">
      <w:pPr>
        <w:keepNext/>
        <w:spacing w:line="360" w:lineRule="auto"/>
        <w:textAlignment w:val="baseline"/>
        <w:rPr>
          <w:b/>
          <w:sz w:val="26"/>
          <w:szCs w:val="26"/>
        </w:rPr>
      </w:pPr>
      <w:r w:rsidRPr="00C756B2">
        <w:rPr>
          <w:b/>
          <w:sz w:val="26"/>
          <w:szCs w:val="26"/>
        </w:rPr>
        <w:t>Discussion</w:t>
      </w:r>
    </w:p>
    <w:p w:rsidR="00C756B2" w:rsidRDefault="00605A7C" w:rsidP="00C756B2">
      <w:pPr>
        <w:spacing w:line="360" w:lineRule="auto"/>
        <w:ind w:firstLine="720"/>
        <w:textAlignment w:val="baseline"/>
        <w:rPr>
          <w:sz w:val="26"/>
          <w:szCs w:val="26"/>
        </w:rPr>
      </w:pPr>
      <w:r>
        <w:rPr>
          <w:sz w:val="26"/>
          <w:szCs w:val="26"/>
        </w:rPr>
        <w:t>S</w:t>
      </w:r>
      <w:r w:rsidR="003F0B96" w:rsidRPr="00C756B2">
        <w:rPr>
          <w:sz w:val="26"/>
          <w:szCs w:val="26"/>
        </w:rPr>
        <w:t xml:space="preserve">ection </w:t>
      </w:r>
      <w:r w:rsidR="005209AC" w:rsidRPr="00C756B2">
        <w:rPr>
          <w:sz w:val="26"/>
          <w:szCs w:val="26"/>
        </w:rPr>
        <w:t>56.97(a)</w:t>
      </w:r>
      <w:r w:rsidR="001841EE" w:rsidRPr="00C756B2">
        <w:rPr>
          <w:sz w:val="26"/>
          <w:szCs w:val="26"/>
        </w:rPr>
        <w:t xml:space="preserve"> standard</w:t>
      </w:r>
      <w:r w:rsidR="003F0B96" w:rsidRPr="00C756B2">
        <w:rPr>
          <w:sz w:val="26"/>
          <w:szCs w:val="26"/>
        </w:rPr>
        <w:t xml:space="preserve"> requires </w:t>
      </w:r>
      <w:r w:rsidR="00D103AF" w:rsidRPr="00C756B2">
        <w:rPr>
          <w:sz w:val="26"/>
          <w:szCs w:val="26"/>
        </w:rPr>
        <w:t>fixed residential utilities service providers</w:t>
      </w:r>
      <w:r w:rsidR="00C756B2" w:rsidRPr="00C756B2">
        <w:rPr>
          <w:sz w:val="26"/>
          <w:szCs w:val="26"/>
        </w:rPr>
        <w:t xml:space="preserve"> who are contacted by a customer or occupant</w:t>
      </w:r>
      <w:r w:rsidR="00D103AF" w:rsidRPr="00C756B2">
        <w:rPr>
          <w:sz w:val="26"/>
          <w:szCs w:val="26"/>
        </w:rPr>
        <w:t>, after an initial ter</w:t>
      </w:r>
      <w:r w:rsidR="00C756B2" w:rsidRPr="00C756B2">
        <w:rPr>
          <w:sz w:val="26"/>
          <w:szCs w:val="26"/>
        </w:rPr>
        <w:t xml:space="preserve">mination of service notice and before actual termination, to fully explain: </w:t>
      </w:r>
    </w:p>
    <w:p w:rsidR="00C756B2" w:rsidRPr="00C756B2" w:rsidRDefault="00C756B2" w:rsidP="00745731">
      <w:pPr>
        <w:ind w:firstLine="720"/>
        <w:textAlignment w:val="baseline"/>
        <w:rPr>
          <w:sz w:val="26"/>
          <w:szCs w:val="26"/>
        </w:rPr>
      </w:pPr>
    </w:p>
    <w:p w:rsidR="00C756B2" w:rsidRPr="00C756B2" w:rsidRDefault="00C756B2" w:rsidP="00C756B2">
      <w:pPr>
        <w:ind w:left="720" w:right="1440"/>
        <w:textAlignment w:val="baseline"/>
        <w:rPr>
          <w:sz w:val="26"/>
          <w:szCs w:val="26"/>
        </w:rPr>
      </w:pPr>
      <w:r w:rsidRPr="00C756B2">
        <w:rPr>
          <w:sz w:val="26"/>
          <w:szCs w:val="26"/>
        </w:rPr>
        <w:t>(1) The reasons for the proposed termination.</w:t>
      </w:r>
    </w:p>
    <w:p w:rsidR="00C756B2" w:rsidRPr="00C756B2" w:rsidRDefault="00C756B2" w:rsidP="00C756B2">
      <w:pPr>
        <w:ind w:left="720" w:right="1440"/>
        <w:textAlignment w:val="baseline"/>
        <w:rPr>
          <w:sz w:val="26"/>
          <w:szCs w:val="26"/>
        </w:rPr>
      </w:pPr>
      <w:r w:rsidRPr="00C756B2">
        <w:rPr>
          <w:sz w:val="26"/>
          <w:szCs w:val="26"/>
        </w:rPr>
        <w:t>(2) All available methods for avoiding a termination, including the following:</w:t>
      </w:r>
    </w:p>
    <w:p w:rsidR="00C756B2" w:rsidRPr="00C756B2" w:rsidRDefault="00C756B2" w:rsidP="00C756B2">
      <w:pPr>
        <w:ind w:left="1440" w:right="1440"/>
        <w:textAlignment w:val="baseline"/>
        <w:rPr>
          <w:sz w:val="26"/>
          <w:szCs w:val="26"/>
        </w:rPr>
      </w:pPr>
      <w:r w:rsidRPr="00C756B2">
        <w:rPr>
          <w:sz w:val="26"/>
          <w:szCs w:val="26"/>
        </w:rPr>
        <w:t>(</w:t>
      </w:r>
      <w:proofErr w:type="spellStart"/>
      <w:r w:rsidRPr="00C756B2">
        <w:rPr>
          <w:sz w:val="26"/>
          <w:szCs w:val="26"/>
        </w:rPr>
        <w:t>i</w:t>
      </w:r>
      <w:proofErr w:type="spellEnd"/>
      <w:r w:rsidRPr="00C756B2">
        <w:rPr>
          <w:sz w:val="26"/>
          <w:szCs w:val="26"/>
        </w:rPr>
        <w:t>) Tendering payment in full or otherwise eliminating the ground for termination.</w:t>
      </w:r>
    </w:p>
    <w:p w:rsidR="00C756B2" w:rsidRPr="00C756B2" w:rsidRDefault="00C756B2" w:rsidP="00C756B2">
      <w:pPr>
        <w:ind w:left="720" w:right="1440"/>
        <w:textAlignment w:val="baseline"/>
        <w:rPr>
          <w:sz w:val="26"/>
          <w:szCs w:val="26"/>
        </w:rPr>
      </w:pPr>
      <w:r w:rsidRPr="00C756B2">
        <w:rPr>
          <w:sz w:val="26"/>
          <w:szCs w:val="26"/>
        </w:rPr>
        <w:tab/>
        <w:t>(ii) Entering a settlement or payment agreement.</w:t>
      </w:r>
    </w:p>
    <w:p w:rsidR="00C756B2" w:rsidRPr="00C756B2" w:rsidRDefault="00C756B2" w:rsidP="00C756B2">
      <w:pPr>
        <w:ind w:left="1440" w:right="1440"/>
        <w:textAlignment w:val="baseline"/>
        <w:rPr>
          <w:sz w:val="26"/>
          <w:szCs w:val="26"/>
        </w:rPr>
      </w:pPr>
      <w:r w:rsidRPr="00C756B2">
        <w:rPr>
          <w:sz w:val="26"/>
          <w:szCs w:val="26"/>
        </w:rPr>
        <w:t>(iii) Paying what is past-due on the most recent previous company negotiated or Commission payment agreement.</w:t>
      </w:r>
    </w:p>
    <w:p w:rsidR="00C756B2" w:rsidRPr="00C756B2" w:rsidRDefault="00C756B2" w:rsidP="00C756B2">
      <w:pPr>
        <w:ind w:left="1440" w:right="1440"/>
        <w:textAlignment w:val="baseline"/>
        <w:rPr>
          <w:sz w:val="26"/>
          <w:szCs w:val="26"/>
        </w:rPr>
      </w:pPr>
      <w:proofErr w:type="gramStart"/>
      <w:r w:rsidRPr="00C756B2">
        <w:rPr>
          <w:sz w:val="26"/>
          <w:szCs w:val="26"/>
        </w:rPr>
        <w:t>(iv) Enrolling</w:t>
      </w:r>
      <w:proofErr w:type="gramEnd"/>
      <w:r w:rsidRPr="00C756B2">
        <w:rPr>
          <w:sz w:val="26"/>
          <w:szCs w:val="26"/>
        </w:rPr>
        <w:t xml:space="preserve"> the public utility’s customer assistance program or its equivalent, if the public utility has these programs and the customers eligible for the program.</w:t>
      </w:r>
    </w:p>
    <w:p w:rsidR="00C756B2" w:rsidRDefault="00C756B2" w:rsidP="00C756B2">
      <w:pPr>
        <w:ind w:left="720" w:right="1440"/>
        <w:textAlignment w:val="baseline"/>
        <w:rPr>
          <w:sz w:val="26"/>
          <w:szCs w:val="26"/>
        </w:rPr>
      </w:pPr>
      <w:r w:rsidRPr="00C756B2">
        <w:rPr>
          <w:sz w:val="26"/>
          <w:szCs w:val="26"/>
        </w:rPr>
        <w:t>(3) The medical emerge</w:t>
      </w:r>
      <w:r w:rsidR="009C02C9">
        <w:rPr>
          <w:sz w:val="26"/>
          <w:szCs w:val="26"/>
        </w:rPr>
        <w:t>ncy</w:t>
      </w:r>
      <w:r w:rsidRPr="00C756B2">
        <w:rPr>
          <w:sz w:val="26"/>
          <w:szCs w:val="26"/>
        </w:rPr>
        <w:t xml:space="preserve"> procedures.</w:t>
      </w:r>
    </w:p>
    <w:p w:rsidR="009764E6" w:rsidRDefault="009764E6" w:rsidP="003F6AC6">
      <w:pPr>
        <w:textAlignment w:val="baseline"/>
        <w:rPr>
          <w:sz w:val="26"/>
          <w:szCs w:val="26"/>
        </w:rPr>
      </w:pPr>
    </w:p>
    <w:p w:rsidR="00605A7C" w:rsidRDefault="009764E6" w:rsidP="00C756B2">
      <w:pPr>
        <w:spacing w:line="360" w:lineRule="auto"/>
        <w:textAlignment w:val="baseline"/>
        <w:rPr>
          <w:sz w:val="26"/>
          <w:szCs w:val="26"/>
        </w:rPr>
      </w:pPr>
      <w:proofErr w:type="gramStart"/>
      <w:r>
        <w:rPr>
          <w:sz w:val="26"/>
          <w:szCs w:val="26"/>
        </w:rPr>
        <w:t>52 Pa. Code § 56.97(a).</w:t>
      </w:r>
      <w:proofErr w:type="gramEnd"/>
      <w:r>
        <w:rPr>
          <w:sz w:val="26"/>
          <w:szCs w:val="26"/>
        </w:rPr>
        <w:t xml:space="preserve">  </w:t>
      </w:r>
    </w:p>
    <w:p w:rsidR="00605A7C" w:rsidRDefault="00605A7C" w:rsidP="00C756B2">
      <w:pPr>
        <w:spacing w:line="360" w:lineRule="auto"/>
        <w:textAlignment w:val="baseline"/>
        <w:rPr>
          <w:sz w:val="26"/>
          <w:szCs w:val="26"/>
        </w:rPr>
      </w:pPr>
    </w:p>
    <w:p w:rsidR="003F0B96" w:rsidRPr="00C756B2" w:rsidRDefault="00F0287D" w:rsidP="00605A7C">
      <w:pPr>
        <w:spacing w:line="360" w:lineRule="auto"/>
        <w:ind w:firstLine="720"/>
        <w:textAlignment w:val="baseline"/>
        <w:rPr>
          <w:sz w:val="26"/>
          <w:szCs w:val="26"/>
        </w:rPr>
      </w:pPr>
      <w:r>
        <w:rPr>
          <w:sz w:val="26"/>
          <w:szCs w:val="26"/>
        </w:rPr>
        <w:t>In o</w:t>
      </w:r>
      <w:r w:rsidR="00605A7C">
        <w:rPr>
          <w:sz w:val="26"/>
          <w:szCs w:val="26"/>
        </w:rPr>
        <w:t xml:space="preserve">ur </w:t>
      </w:r>
      <w:r w:rsidR="00CA41DD" w:rsidRPr="00CA41DD">
        <w:rPr>
          <w:i/>
          <w:sz w:val="26"/>
          <w:szCs w:val="26"/>
        </w:rPr>
        <w:t xml:space="preserve">2010 </w:t>
      </w:r>
      <w:r w:rsidR="00584C15">
        <w:rPr>
          <w:i/>
          <w:sz w:val="26"/>
          <w:szCs w:val="26"/>
        </w:rPr>
        <w:t xml:space="preserve">Waiver </w:t>
      </w:r>
      <w:r w:rsidR="00CA41DD" w:rsidRPr="00CA41DD">
        <w:rPr>
          <w:i/>
          <w:sz w:val="26"/>
          <w:szCs w:val="26"/>
        </w:rPr>
        <w:t>Order</w:t>
      </w:r>
      <w:r w:rsidR="00CA41DD">
        <w:rPr>
          <w:sz w:val="26"/>
          <w:szCs w:val="26"/>
        </w:rPr>
        <w:t xml:space="preserve"> and our </w:t>
      </w:r>
      <w:r w:rsidR="00CA41DD" w:rsidRPr="00CA41DD">
        <w:rPr>
          <w:i/>
          <w:sz w:val="26"/>
          <w:szCs w:val="26"/>
        </w:rPr>
        <w:t xml:space="preserve">2013 </w:t>
      </w:r>
      <w:r w:rsidR="00584C15">
        <w:rPr>
          <w:i/>
          <w:sz w:val="26"/>
          <w:szCs w:val="26"/>
        </w:rPr>
        <w:t xml:space="preserve">Waiver </w:t>
      </w:r>
      <w:r w:rsidR="00CA41DD" w:rsidRPr="00CA41DD">
        <w:rPr>
          <w:i/>
          <w:sz w:val="26"/>
          <w:szCs w:val="26"/>
        </w:rPr>
        <w:t>Order</w:t>
      </w:r>
      <w:r w:rsidR="00CA41DD">
        <w:rPr>
          <w:sz w:val="26"/>
          <w:szCs w:val="26"/>
        </w:rPr>
        <w:t xml:space="preserve"> </w:t>
      </w:r>
      <w:r w:rsidR="00605A7C">
        <w:rPr>
          <w:sz w:val="26"/>
          <w:szCs w:val="26"/>
        </w:rPr>
        <w:t xml:space="preserve">addressing </w:t>
      </w:r>
      <w:r>
        <w:rPr>
          <w:sz w:val="26"/>
          <w:szCs w:val="26"/>
        </w:rPr>
        <w:t xml:space="preserve">PPL’s </w:t>
      </w:r>
      <w:r w:rsidR="00605A7C">
        <w:rPr>
          <w:sz w:val="26"/>
          <w:szCs w:val="26"/>
        </w:rPr>
        <w:t>prior waiver requests</w:t>
      </w:r>
      <w:r>
        <w:rPr>
          <w:sz w:val="26"/>
          <w:szCs w:val="26"/>
        </w:rPr>
        <w:t>, we</w:t>
      </w:r>
      <w:r w:rsidR="00605A7C">
        <w:rPr>
          <w:sz w:val="26"/>
          <w:szCs w:val="26"/>
        </w:rPr>
        <w:t xml:space="preserve"> concluded that </w:t>
      </w:r>
      <w:r w:rsidR="00F1591D">
        <w:rPr>
          <w:sz w:val="26"/>
          <w:szCs w:val="26"/>
        </w:rPr>
        <w:t xml:space="preserve">PPL </w:t>
      </w:r>
      <w:r w:rsidR="001841EE" w:rsidRPr="00C756B2">
        <w:rPr>
          <w:sz w:val="26"/>
          <w:szCs w:val="26"/>
        </w:rPr>
        <w:t xml:space="preserve">has shown that </w:t>
      </w:r>
      <w:r w:rsidR="00E22E0C">
        <w:rPr>
          <w:sz w:val="26"/>
          <w:szCs w:val="26"/>
        </w:rPr>
        <w:t xml:space="preserve">its </w:t>
      </w:r>
      <w:r w:rsidR="00331EB7">
        <w:rPr>
          <w:sz w:val="26"/>
          <w:szCs w:val="26"/>
        </w:rPr>
        <w:t>w</w:t>
      </w:r>
      <w:r w:rsidR="009764E6">
        <w:rPr>
          <w:sz w:val="26"/>
          <w:szCs w:val="26"/>
        </w:rPr>
        <w:t>ebsite</w:t>
      </w:r>
      <w:r w:rsidR="00E22E0C">
        <w:rPr>
          <w:sz w:val="26"/>
          <w:szCs w:val="26"/>
        </w:rPr>
        <w:t xml:space="preserve"> and IVR systems</w:t>
      </w:r>
      <w:r w:rsidR="00C756B2">
        <w:rPr>
          <w:sz w:val="26"/>
          <w:szCs w:val="26"/>
        </w:rPr>
        <w:t xml:space="preserve"> </w:t>
      </w:r>
      <w:r w:rsidR="00E22E0C">
        <w:rPr>
          <w:sz w:val="26"/>
          <w:szCs w:val="26"/>
        </w:rPr>
        <w:t>permit</w:t>
      </w:r>
      <w:r w:rsidR="00C756B2">
        <w:rPr>
          <w:sz w:val="26"/>
          <w:szCs w:val="26"/>
        </w:rPr>
        <w:t xml:space="preserve"> an enhanced level of customer service</w:t>
      </w:r>
      <w:r w:rsidR="001841EE" w:rsidRPr="00C756B2">
        <w:rPr>
          <w:sz w:val="26"/>
          <w:szCs w:val="26"/>
        </w:rPr>
        <w:t xml:space="preserve">, and </w:t>
      </w:r>
      <w:r w:rsidR="00C756B2">
        <w:rPr>
          <w:sz w:val="26"/>
          <w:szCs w:val="26"/>
        </w:rPr>
        <w:t>therefore</w:t>
      </w:r>
      <w:r w:rsidR="001841EE" w:rsidRPr="00C756B2">
        <w:rPr>
          <w:sz w:val="26"/>
          <w:szCs w:val="26"/>
        </w:rPr>
        <w:t xml:space="preserve"> warrant</w:t>
      </w:r>
      <w:r w:rsidR="00605A7C">
        <w:rPr>
          <w:sz w:val="26"/>
          <w:szCs w:val="26"/>
        </w:rPr>
        <w:t>ed</w:t>
      </w:r>
      <w:r w:rsidR="001841EE" w:rsidRPr="00C756B2">
        <w:rPr>
          <w:sz w:val="26"/>
          <w:szCs w:val="26"/>
        </w:rPr>
        <w:t xml:space="preserve"> temporary exemption from </w:t>
      </w:r>
      <w:r w:rsidR="00605A7C">
        <w:rPr>
          <w:sz w:val="26"/>
          <w:szCs w:val="26"/>
        </w:rPr>
        <w:t>Section 56.97(a)</w:t>
      </w:r>
      <w:r w:rsidR="001841EE" w:rsidRPr="00C756B2">
        <w:rPr>
          <w:sz w:val="26"/>
          <w:szCs w:val="26"/>
        </w:rPr>
        <w:t>.</w:t>
      </w:r>
      <w:r w:rsidR="005267FC" w:rsidRPr="00C756B2">
        <w:rPr>
          <w:sz w:val="26"/>
          <w:szCs w:val="26"/>
        </w:rPr>
        <w:t xml:space="preserve">  </w:t>
      </w:r>
      <w:r w:rsidR="00CA41DD">
        <w:rPr>
          <w:sz w:val="26"/>
          <w:szCs w:val="26"/>
        </w:rPr>
        <w:t xml:space="preserve">There is no evidence of record </w:t>
      </w:r>
      <w:r>
        <w:rPr>
          <w:sz w:val="26"/>
          <w:szCs w:val="26"/>
        </w:rPr>
        <w:t xml:space="preserve">in this proceeding </w:t>
      </w:r>
      <w:r w:rsidR="00CA41DD">
        <w:rPr>
          <w:sz w:val="26"/>
          <w:szCs w:val="26"/>
        </w:rPr>
        <w:t xml:space="preserve">to indicate that this condition has changed relative to the pending request.  </w:t>
      </w:r>
    </w:p>
    <w:p w:rsidR="00A76663" w:rsidRPr="00C756B2" w:rsidRDefault="00A76663" w:rsidP="00C756B2">
      <w:pPr>
        <w:spacing w:line="360" w:lineRule="auto"/>
        <w:textAlignment w:val="baseline"/>
        <w:rPr>
          <w:b/>
          <w:sz w:val="26"/>
          <w:szCs w:val="26"/>
        </w:rPr>
      </w:pPr>
    </w:p>
    <w:p w:rsidR="008818E9" w:rsidRPr="00EC4619" w:rsidRDefault="008818E9" w:rsidP="008818E9">
      <w:pPr>
        <w:spacing w:line="360" w:lineRule="auto"/>
        <w:ind w:firstLine="720"/>
        <w:rPr>
          <w:sz w:val="26"/>
          <w:szCs w:val="26"/>
        </w:rPr>
      </w:pPr>
      <w:r>
        <w:rPr>
          <w:sz w:val="26"/>
          <w:szCs w:val="26"/>
        </w:rPr>
        <w:t>PPL reports that, f</w:t>
      </w:r>
      <w:r w:rsidRPr="00EC4619">
        <w:rPr>
          <w:sz w:val="26"/>
          <w:szCs w:val="26"/>
        </w:rPr>
        <w:t>rom January 1, 2013</w:t>
      </w:r>
      <w:r>
        <w:rPr>
          <w:sz w:val="26"/>
          <w:szCs w:val="26"/>
        </w:rPr>
        <w:t>,</w:t>
      </w:r>
      <w:r w:rsidRPr="00EC4619">
        <w:rPr>
          <w:sz w:val="26"/>
          <w:szCs w:val="26"/>
        </w:rPr>
        <w:t xml:space="preserve"> through June 30, 2016, there were a total of 1,767,462 payment agreements established or payment transactions made using the Website and IVR systems.  Of this total, 466,039 transactions (26%) were payment </w:t>
      </w:r>
      <w:r w:rsidRPr="00EC4619">
        <w:rPr>
          <w:sz w:val="26"/>
          <w:szCs w:val="26"/>
        </w:rPr>
        <w:lastRenderedPageBreak/>
        <w:t xml:space="preserve">agreements set up through the </w:t>
      </w:r>
      <w:r w:rsidR="00343FAF">
        <w:rPr>
          <w:sz w:val="26"/>
          <w:szCs w:val="26"/>
        </w:rPr>
        <w:t>w</w:t>
      </w:r>
      <w:r w:rsidRPr="00EC4619">
        <w:rPr>
          <w:sz w:val="26"/>
          <w:szCs w:val="26"/>
        </w:rPr>
        <w:t xml:space="preserve">ebsite or IVR systems.  The number of transactions made using the </w:t>
      </w:r>
      <w:r w:rsidR="00343FAF">
        <w:rPr>
          <w:sz w:val="26"/>
          <w:szCs w:val="26"/>
        </w:rPr>
        <w:t>w</w:t>
      </w:r>
      <w:r w:rsidRPr="00EC4619">
        <w:rPr>
          <w:sz w:val="26"/>
          <w:szCs w:val="26"/>
        </w:rPr>
        <w:t>ebsite and IVR systems to establish payment agreements were 90,529</w:t>
      </w:r>
      <w:r w:rsidR="00343FAF">
        <w:rPr>
          <w:sz w:val="26"/>
          <w:szCs w:val="26"/>
        </w:rPr>
        <w:t> </w:t>
      </w:r>
      <w:r w:rsidRPr="00EC4619">
        <w:rPr>
          <w:sz w:val="26"/>
          <w:szCs w:val="26"/>
        </w:rPr>
        <w:t xml:space="preserve">(19.4%) and 375,510 (80.6%), respectively.  </w:t>
      </w:r>
    </w:p>
    <w:p w:rsidR="008818E9" w:rsidRPr="00EC4619" w:rsidRDefault="008818E9" w:rsidP="008818E9">
      <w:pPr>
        <w:spacing w:line="360" w:lineRule="auto"/>
        <w:rPr>
          <w:b/>
          <w:bCs/>
          <w:sz w:val="26"/>
          <w:szCs w:val="26"/>
        </w:rPr>
      </w:pPr>
    </w:p>
    <w:tbl>
      <w:tblPr>
        <w:tblStyle w:val="TableGrid"/>
        <w:tblW w:w="0" w:type="auto"/>
        <w:tblLook w:val="04A0" w:firstRow="1" w:lastRow="0" w:firstColumn="1" w:lastColumn="0" w:noHBand="0" w:noVBand="1"/>
      </w:tblPr>
      <w:tblGrid>
        <w:gridCol w:w="3258"/>
        <w:gridCol w:w="2070"/>
        <w:gridCol w:w="1854"/>
        <w:gridCol w:w="2394"/>
      </w:tblGrid>
      <w:tr w:rsidR="008818E9" w:rsidRPr="00EC4619" w:rsidTr="00B8719C">
        <w:tc>
          <w:tcPr>
            <w:tcW w:w="3258" w:type="dxa"/>
          </w:tcPr>
          <w:p w:rsidR="008818E9" w:rsidRPr="00EC4619" w:rsidRDefault="008818E9" w:rsidP="00B8719C">
            <w:pPr>
              <w:jc w:val="center"/>
              <w:rPr>
                <w:b/>
                <w:bCs/>
                <w:sz w:val="26"/>
                <w:szCs w:val="26"/>
              </w:rPr>
            </w:pPr>
            <w:r w:rsidRPr="00EC4619">
              <w:rPr>
                <w:b/>
                <w:bCs/>
                <w:sz w:val="26"/>
                <w:szCs w:val="26"/>
              </w:rPr>
              <w:t>Transaction</w:t>
            </w:r>
          </w:p>
        </w:tc>
        <w:tc>
          <w:tcPr>
            <w:tcW w:w="2070" w:type="dxa"/>
          </w:tcPr>
          <w:p w:rsidR="008818E9" w:rsidRPr="00EC4619" w:rsidRDefault="008818E9" w:rsidP="00B8719C">
            <w:pPr>
              <w:jc w:val="center"/>
              <w:rPr>
                <w:b/>
                <w:bCs/>
                <w:sz w:val="26"/>
                <w:szCs w:val="26"/>
              </w:rPr>
            </w:pPr>
            <w:r w:rsidRPr="00EC4619">
              <w:rPr>
                <w:b/>
                <w:bCs/>
                <w:sz w:val="26"/>
                <w:szCs w:val="26"/>
              </w:rPr>
              <w:t>Website</w:t>
            </w:r>
          </w:p>
        </w:tc>
        <w:tc>
          <w:tcPr>
            <w:tcW w:w="1854" w:type="dxa"/>
          </w:tcPr>
          <w:p w:rsidR="008818E9" w:rsidRPr="00EC4619" w:rsidRDefault="008818E9" w:rsidP="00B8719C">
            <w:pPr>
              <w:jc w:val="center"/>
              <w:rPr>
                <w:b/>
                <w:bCs/>
                <w:sz w:val="26"/>
                <w:szCs w:val="26"/>
              </w:rPr>
            </w:pPr>
            <w:r>
              <w:rPr>
                <w:b/>
                <w:bCs/>
                <w:sz w:val="26"/>
                <w:szCs w:val="26"/>
              </w:rPr>
              <w:t>IVR</w:t>
            </w:r>
          </w:p>
        </w:tc>
        <w:tc>
          <w:tcPr>
            <w:tcW w:w="2394" w:type="dxa"/>
          </w:tcPr>
          <w:p w:rsidR="008818E9" w:rsidRPr="00EC4619" w:rsidRDefault="008818E9" w:rsidP="00B8719C">
            <w:pPr>
              <w:jc w:val="center"/>
              <w:rPr>
                <w:b/>
                <w:bCs/>
                <w:sz w:val="26"/>
                <w:szCs w:val="26"/>
              </w:rPr>
            </w:pPr>
            <w:r w:rsidRPr="00EC4619">
              <w:rPr>
                <w:b/>
                <w:bCs/>
                <w:sz w:val="26"/>
                <w:szCs w:val="26"/>
              </w:rPr>
              <w:t>Total</w:t>
            </w:r>
          </w:p>
        </w:tc>
      </w:tr>
      <w:tr w:rsidR="008818E9" w:rsidRPr="00EC4619" w:rsidTr="00B8719C">
        <w:trPr>
          <w:trHeight w:val="242"/>
        </w:trPr>
        <w:tc>
          <w:tcPr>
            <w:tcW w:w="3258" w:type="dxa"/>
          </w:tcPr>
          <w:p w:rsidR="008818E9" w:rsidRPr="00EC4619" w:rsidRDefault="008818E9" w:rsidP="00160617">
            <w:pPr>
              <w:rPr>
                <w:b/>
                <w:bCs/>
                <w:sz w:val="26"/>
                <w:szCs w:val="26"/>
              </w:rPr>
            </w:pPr>
            <w:r w:rsidRPr="00EC4619">
              <w:rPr>
                <w:b/>
                <w:bCs/>
                <w:sz w:val="26"/>
                <w:szCs w:val="26"/>
              </w:rPr>
              <w:t>Payments</w:t>
            </w:r>
          </w:p>
        </w:tc>
        <w:tc>
          <w:tcPr>
            <w:tcW w:w="2070" w:type="dxa"/>
          </w:tcPr>
          <w:p w:rsidR="008818E9" w:rsidRPr="00EC4619" w:rsidRDefault="008818E9" w:rsidP="00B8719C">
            <w:pPr>
              <w:jc w:val="center"/>
              <w:rPr>
                <w:b/>
                <w:bCs/>
                <w:sz w:val="26"/>
                <w:szCs w:val="26"/>
              </w:rPr>
            </w:pPr>
            <w:r w:rsidRPr="00EC4619">
              <w:rPr>
                <w:sz w:val="26"/>
                <w:szCs w:val="26"/>
              </w:rPr>
              <w:t>851,571</w:t>
            </w:r>
          </w:p>
        </w:tc>
        <w:tc>
          <w:tcPr>
            <w:tcW w:w="1854" w:type="dxa"/>
          </w:tcPr>
          <w:p w:rsidR="008818E9" w:rsidRPr="00EC4619" w:rsidRDefault="008818E9" w:rsidP="00B8719C">
            <w:pPr>
              <w:jc w:val="center"/>
              <w:rPr>
                <w:b/>
                <w:bCs/>
                <w:sz w:val="26"/>
                <w:szCs w:val="26"/>
              </w:rPr>
            </w:pPr>
            <w:r w:rsidRPr="00EC4619">
              <w:rPr>
                <w:sz w:val="26"/>
                <w:szCs w:val="26"/>
              </w:rPr>
              <w:t>449,852</w:t>
            </w:r>
          </w:p>
        </w:tc>
        <w:tc>
          <w:tcPr>
            <w:tcW w:w="2394" w:type="dxa"/>
          </w:tcPr>
          <w:p w:rsidR="008818E9" w:rsidRPr="00EC4619" w:rsidRDefault="008818E9" w:rsidP="00B8719C">
            <w:pPr>
              <w:jc w:val="center"/>
              <w:rPr>
                <w:b/>
                <w:bCs/>
                <w:sz w:val="26"/>
                <w:szCs w:val="26"/>
              </w:rPr>
            </w:pPr>
            <w:r w:rsidRPr="00EC4619">
              <w:rPr>
                <w:sz w:val="26"/>
                <w:szCs w:val="26"/>
              </w:rPr>
              <w:t>1.301,423</w:t>
            </w:r>
          </w:p>
        </w:tc>
      </w:tr>
      <w:tr w:rsidR="008818E9" w:rsidRPr="00EC4619" w:rsidTr="00B8719C">
        <w:tc>
          <w:tcPr>
            <w:tcW w:w="3258" w:type="dxa"/>
          </w:tcPr>
          <w:p w:rsidR="008818E9" w:rsidRPr="00EC4619" w:rsidRDefault="008818E9" w:rsidP="00160617">
            <w:pPr>
              <w:rPr>
                <w:b/>
                <w:bCs/>
                <w:sz w:val="26"/>
                <w:szCs w:val="26"/>
              </w:rPr>
            </w:pPr>
            <w:r w:rsidRPr="00EC4619">
              <w:rPr>
                <w:b/>
                <w:bCs/>
                <w:sz w:val="26"/>
                <w:szCs w:val="26"/>
              </w:rPr>
              <w:t>Payment Agreements</w:t>
            </w:r>
          </w:p>
        </w:tc>
        <w:tc>
          <w:tcPr>
            <w:tcW w:w="2070" w:type="dxa"/>
          </w:tcPr>
          <w:p w:rsidR="008818E9" w:rsidRPr="00EC4619" w:rsidRDefault="008818E9" w:rsidP="00B8719C">
            <w:pPr>
              <w:jc w:val="center"/>
              <w:rPr>
                <w:b/>
                <w:bCs/>
                <w:sz w:val="26"/>
                <w:szCs w:val="26"/>
              </w:rPr>
            </w:pPr>
            <w:r w:rsidRPr="00EC4619">
              <w:rPr>
                <w:sz w:val="26"/>
                <w:szCs w:val="26"/>
              </w:rPr>
              <w:t>90,529</w:t>
            </w:r>
          </w:p>
        </w:tc>
        <w:tc>
          <w:tcPr>
            <w:tcW w:w="1854" w:type="dxa"/>
          </w:tcPr>
          <w:p w:rsidR="008818E9" w:rsidRPr="00EC4619" w:rsidRDefault="008818E9" w:rsidP="00B8719C">
            <w:pPr>
              <w:jc w:val="center"/>
              <w:rPr>
                <w:b/>
                <w:bCs/>
                <w:sz w:val="26"/>
                <w:szCs w:val="26"/>
              </w:rPr>
            </w:pPr>
            <w:r w:rsidRPr="00EC4619">
              <w:rPr>
                <w:sz w:val="26"/>
                <w:szCs w:val="26"/>
              </w:rPr>
              <w:t>375,510</w:t>
            </w:r>
          </w:p>
        </w:tc>
        <w:tc>
          <w:tcPr>
            <w:tcW w:w="2394" w:type="dxa"/>
          </w:tcPr>
          <w:p w:rsidR="008818E9" w:rsidRPr="00EC4619" w:rsidRDefault="008818E9" w:rsidP="00B8719C">
            <w:pPr>
              <w:jc w:val="center"/>
              <w:rPr>
                <w:b/>
                <w:bCs/>
                <w:sz w:val="26"/>
                <w:szCs w:val="26"/>
              </w:rPr>
            </w:pPr>
            <w:r w:rsidRPr="00EC4619">
              <w:rPr>
                <w:sz w:val="26"/>
                <w:szCs w:val="26"/>
              </w:rPr>
              <w:t>466,039</w:t>
            </w:r>
          </w:p>
        </w:tc>
      </w:tr>
      <w:tr w:rsidR="008818E9" w:rsidRPr="00EC4619" w:rsidTr="00B8719C">
        <w:tc>
          <w:tcPr>
            <w:tcW w:w="3258" w:type="dxa"/>
          </w:tcPr>
          <w:p w:rsidR="008818E9" w:rsidRPr="00EC4619" w:rsidRDefault="008818E9" w:rsidP="006A53C4">
            <w:pPr>
              <w:jc w:val="right"/>
              <w:rPr>
                <w:b/>
                <w:bCs/>
                <w:sz w:val="26"/>
                <w:szCs w:val="26"/>
              </w:rPr>
            </w:pPr>
            <w:r w:rsidRPr="00EC4619">
              <w:rPr>
                <w:b/>
                <w:bCs/>
                <w:sz w:val="26"/>
                <w:szCs w:val="26"/>
              </w:rPr>
              <w:t>Totals</w:t>
            </w:r>
          </w:p>
        </w:tc>
        <w:tc>
          <w:tcPr>
            <w:tcW w:w="2070" w:type="dxa"/>
          </w:tcPr>
          <w:p w:rsidR="008818E9" w:rsidRPr="00EC4619" w:rsidRDefault="008818E9" w:rsidP="003F6AC6">
            <w:pPr>
              <w:jc w:val="center"/>
              <w:rPr>
                <w:b/>
                <w:bCs/>
                <w:sz w:val="26"/>
                <w:szCs w:val="26"/>
              </w:rPr>
            </w:pPr>
            <w:r w:rsidRPr="00EC4619">
              <w:rPr>
                <w:b/>
                <w:bCs/>
                <w:sz w:val="26"/>
                <w:szCs w:val="26"/>
              </w:rPr>
              <w:t>942,100</w:t>
            </w:r>
          </w:p>
        </w:tc>
        <w:tc>
          <w:tcPr>
            <w:tcW w:w="1854" w:type="dxa"/>
          </w:tcPr>
          <w:p w:rsidR="008818E9" w:rsidRPr="00EC4619" w:rsidRDefault="008818E9" w:rsidP="003F6AC6">
            <w:pPr>
              <w:jc w:val="center"/>
              <w:rPr>
                <w:b/>
                <w:bCs/>
                <w:sz w:val="26"/>
                <w:szCs w:val="26"/>
              </w:rPr>
            </w:pPr>
            <w:r w:rsidRPr="00EC4619">
              <w:rPr>
                <w:b/>
                <w:bCs/>
                <w:sz w:val="26"/>
                <w:szCs w:val="26"/>
              </w:rPr>
              <w:t>825,362</w:t>
            </w:r>
          </w:p>
        </w:tc>
        <w:tc>
          <w:tcPr>
            <w:tcW w:w="2394" w:type="dxa"/>
          </w:tcPr>
          <w:p w:rsidR="008818E9" w:rsidRPr="00EC4619" w:rsidRDefault="008818E9" w:rsidP="003F6AC6">
            <w:pPr>
              <w:jc w:val="center"/>
              <w:rPr>
                <w:b/>
                <w:bCs/>
                <w:sz w:val="26"/>
                <w:szCs w:val="26"/>
              </w:rPr>
            </w:pPr>
            <w:r w:rsidRPr="00EC4619">
              <w:rPr>
                <w:b/>
                <w:bCs/>
                <w:sz w:val="26"/>
                <w:szCs w:val="26"/>
              </w:rPr>
              <w:t>1,767,462</w:t>
            </w:r>
          </w:p>
        </w:tc>
      </w:tr>
    </w:tbl>
    <w:p w:rsidR="008818E9" w:rsidRPr="00EC4619" w:rsidRDefault="008818E9" w:rsidP="008818E9">
      <w:pPr>
        <w:rPr>
          <w:b/>
          <w:bCs/>
          <w:sz w:val="26"/>
          <w:szCs w:val="26"/>
        </w:rPr>
      </w:pPr>
    </w:p>
    <w:p w:rsidR="008818E9" w:rsidRPr="00EC4619" w:rsidRDefault="008818E9" w:rsidP="008818E9">
      <w:pPr>
        <w:rPr>
          <w:sz w:val="26"/>
          <w:szCs w:val="26"/>
        </w:rPr>
      </w:pPr>
      <w:r w:rsidRPr="00EC4619">
        <w:rPr>
          <w:bCs/>
          <w:sz w:val="26"/>
          <w:szCs w:val="26"/>
        </w:rPr>
        <w:t>Petition at 11-12.</w:t>
      </w:r>
    </w:p>
    <w:p w:rsidR="008818E9" w:rsidRDefault="008818E9" w:rsidP="00C756B2">
      <w:pPr>
        <w:spacing w:line="360" w:lineRule="auto"/>
        <w:textAlignment w:val="baseline"/>
        <w:rPr>
          <w:sz w:val="26"/>
          <w:szCs w:val="26"/>
        </w:rPr>
      </w:pPr>
    </w:p>
    <w:p w:rsidR="002A0BA5" w:rsidRDefault="003F0B96" w:rsidP="00C756B2">
      <w:pPr>
        <w:spacing w:line="360" w:lineRule="auto"/>
        <w:textAlignment w:val="baseline"/>
        <w:rPr>
          <w:sz w:val="26"/>
          <w:szCs w:val="26"/>
        </w:rPr>
      </w:pPr>
      <w:r w:rsidRPr="00C756B2">
        <w:rPr>
          <w:sz w:val="26"/>
          <w:szCs w:val="26"/>
        </w:rPr>
        <w:tab/>
      </w:r>
      <w:r w:rsidR="00F1591D">
        <w:rPr>
          <w:sz w:val="26"/>
          <w:szCs w:val="26"/>
        </w:rPr>
        <w:t xml:space="preserve">PPL </w:t>
      </w:r>
      <w:r w:rsidR="00343FAF">
        <w:rPr>
          <w:sz w:val="26"/>
          <w:szCs w:val="26"/>
        </w:rPr>
        <w:t>avers</w:t>
      </w:r>
      <w:r w:rsidR="003F063B">
        <w:rPr>
          <w:sz w:val="26"/>
          <w:szCs w:val="26"/>
        </w:rPr>
        <w:t xml:space="preserve"> that the </w:t>
      </w:r>
      <w:r w:rsidR="009C02C9">
        <w:rPr>
          <w:sz w:val="26"/>
          <w:szCs w:val="26"/>
        </w:rPr>
        <w:t>w</w:t>
      </w:r>
      <w:r w:rsidR="009764E6">
        <w:rPr>
          <w:sz w:val="26"/>
          <w:szCs w:val="26"/>
        </w:rPr>
        <w:t>ebsite</w:t>
      </w:r>
      <w:r w:rsidR="003F063B">
        <w:rPr>
          <w:sz w:val="26"/>
          <w:szCs w:val="26"/>
        </w:rPr>
        <w:t xml:space="preserve"> and IVR </w:t>
      </w:r>
      <w:r w:rsidR="00EA4CC9">
        <w:rPr>
          <w:sz w:val="26"/>
          <w:szCs w:val="26"/>
        </w:rPr>
        <w:t xml:space="preserve">systems </w:t>
      </w:r>
      <w:r w:rsidR="003F063B">
        <w:rPr>
          <w:sz w:val="26"/>
          <w:szCs w:val="26"/>
        </w:rPr>
        <w:t xml:space="preserve">have been successful.  </w:t>
      </w:r>
      <w:proofErr w:type="gramStart"/>
      <w:r w:rsidR="003F063B">
        <w:rPr>
          <w:sz w:val="26"/>
          <w:szCs w:val="26"/>
        </w:rPr>
        <w:t>Petition</w:t>
      </w:r>
      <w:r w:rsidR="00CD4C0B">
        <w:rPr>
          <w:sz w:val="26"/>
          <w:szCs w:val="26"/>
        </w:rPr>
        <w:t xml:space="preserve"> at </w:t>
      </w:r>
      <w:r w:rsidR="003F063B">
        <w:rPr>
          <w:sz w:val="26"/>
          <w:szCs w:val="26"/>
        </w:rPr>
        <w:t>12.</w:t>
      </w:r>
      <w:proofErr w:type="gramEnd"/>
      <w:r w:rsidR="003F063B">
        <w:rPr>
          <w:sz w:val="26"/>
          <w:szCs w:val="26"/>
        </w:rPr>
        <w:t xml:space="preserve">  </w:t>
      </w:r>
      <w:r w:rsidR="00CD4C0B">
        <w:rPr>
          <w:sz w:val="26"/>
          <w:szCs w:val="26"/>
        </w:rPr>
        <w:t xml:space="preserve">Further, </w:t>
      </w:r>
      <w:r w:rsidR="00F1591D">
        <w:rPr>
          <w:sz w:val="26"/>
          <w:szCs w:val="26"/>
        </w:rPr>
        <w:t xml:space="preserve">PPL </w:t>
      </w:r>
      <w:r w:rsidR="003F063B">
        <w:rPr>
          <w:sz w:val="26"/>
          <w:szCs w:val="26"/>
        </w:rPr>
        <w:t xml:space="preserve">explains that </w:t>
      </w:r>
      <w:r w:rsidR="00CD4C0B">
        <w:rPr>
          <w:sz w:val="26"/>
          <w:szCs w:val="26"/>
        </w:rPr>
        <w:t>it does not expect to incur any additional costs to continue the payment arran</w:t>
      </w:r>
      <w:r w:rsidR="00584C15">
        <w:rPr>
          <w:sz w:val="26"/>
          <w:szCs w:val="26"/>
        </w:rPr>
        <w:t xml:space="preserve">gement options through its website and IVR systems.  </w:t>
      </w:r>
      <w:proofErr w:type="gramStart"/>
      <w:r w:rsidR="00584C15">
        <w:rPr>
          <w:sz w:val="26"/>
          <w:szCs w:val="26"/>
        </w:rPr>
        <w:t>Petition at 14.</w:t>
      </w:r>
      <w:proofErr w:type="gramEnd"/>
      <w:r w:rsidR="00584C15">
        <w:rPr>
          <w:sz w:val="26"/>
          <w:szCs w:val="26"/>
        </w:rPr>
        <w:t xml:space="preserve">  </w:t>
      </w:r>
    </w:p>
    <w:p w:rsidR="002A0BA5" w:rsidRDefault="002A0BA5" w:rsidP="00C756B2">
      <w:pPr>
        <w:spacing w:line="360" w:lineRule="auto"/>
        <w:textAlignment w:val="baseline"/>
        <w:rPr>
          <w:sz w:val="26"/>
          <w:szCs w:val="26"/>
        </w:rPr>
      </w:pPr>
    </w:p>
    <w:p w:rsidR="008818E9" w:rsidRDefault="00013BD1" w:rsidP="00013BD1">
      <w:pPr>
        <w:spacing w:line="360" w:lineRule="auto"/>
        <w:ind w:firstLine="720"/>
        <w:textAlignment w:val="baseline"/>
        <w:rPr>
          <w:sz w:val="26"/>
          <w:szCs w:val="26"/>
        </w:rPr>
      </w:pPr>
      <w:r w:rsidRPr="00681B07">
        <w:rPr>
          <w:sz w:val="26"/>
          <w:szCs w:val="26"/>
        </w:rPr>
        <w:t xml:space="preserve">In granting the original two-year waiver of section 56.97(a), </w:t>
      </w:r>
      <w:r w:rsidR="008818E9">
        <w:rPr>
          <w:sz w:val="26"/>
          <w:szCs w:val="26"/>
        </w:rPr>
        <w:t xml:space="preserve">we </w:t>
      </w:r>
      <w:r w:rsidRPr="00681B07">
        <w:rPr>
          <w:sz w:val="26"/>
          <w:szCs w:val="26"/>
        </w:rPr>
        <w:t xml:space="preserve">found that </w:t>
      </w:r>
      <w:r w:rsidR="00F1591D">
        <w:rPr>
          <w:sz w:val="26"/>
          <w:szCs w:val="26"/>
        </w:rPr>
        <w:t xml:space="preserve">PPL </w:t>
      </w:r>
      <w:r w:rsidR="00EA4CC9">
        <w:rPr>
          <w:sz w:val="26"/>
          <w:szCs w:val="26"/>
        </w:rPr>
        <w:t xml:space="preserve">had </w:t>
      </w:r>
      <w:r w:rsidR="00AF57F7" w:rsidRPr="00681B07">
        <w:rPr>
          <w:sz w:val="26"/>
          <w:szCs w:val="26"/>
        </w:rPr>
        <w:t>made a strong showing of the merits of its pilot and that im</w:t>
      </w:r>
      <w:r w:rsidR="00E22E0C">
        <w:rPr>
          <w:sz w:val="26"/>
          <w:szCs w:val="26"/>
        </w:rPr>
        <w:t>plementation of the program would</w:t>
      </w:r>
      <w:r w:rsidR="00AF57F7" w:rsidRPr="00681B07">
        <w:rPr>
          <w:sz w:val="26"/>
          <w:szCs w:val="26"/>
        </w:rPr>
        <w:t xml:space="preserve"> be in the public interest.  We described this </w:t>
      </w:r>
      <w:r w:rsidR="00EA4CC9">
        <w:rPr>
          <w:sz w:val="26"/>
          <w:szCs w:val="26"/>
        </w:rPr>
        <w:t xml:space="preserve">program </w:t>
      </w:r>
      <w:r w:rsidR="00AF57F7" w:rsidRPr="00681B07">
        <w:rPr>
          <w:sz w:val="26"/>
          <w:szCs w:val="26"/>
        </w:rPr>
        <w:t>as an innovative and creative solution to improve customer service.</w:t>
      </w:r>
      <w:r w:rsidR="00E22E0C">
        <w:rPr>
          <w:sz w:val="26"/>
          <w:szCs w:val="26"/>
        </w:rPr>
        <w:t xml:space="preserve"> </w:t>
      </w:r>
      <w:r w:rsidR="003F715A" w:rsidRPr="00681B07">
        <w:rPr>
          <w:sz w:val="26"/>
          <w:szCs w:val="26"/>
        </w:rPr>
        <w:t xml:space="preserve"> </w:t>
      </w:r>
      <w:r w:rsidR="00AF57F7" w:rsidRPr="00681B07">
        <w:rPr>
          <w:sz w:val="26"/>
          <w:szCs w:val="26"/>
        </w:rPr>
        <w:t xml:space="preserve"> </w:t>
      </w:r>
      <w:r w:rsidR="00681B07" w:rsidRPr="00681B07">
        <w:rPr>
          <w:sz w:val="26"/>
          <w:szCs w:val="26"/>
        </w:rPr>
        <w:t>We also noted that customers w</w:t>
      </w:r>
      <w:r w:rsidR="00AE4D74">
        <w:rPr>
          <w:sz w:val="26"/>
          <w:szCs w:val="26"/>
        </w:rPr>
        <w:t>ould</w:t>
      </w:r>
      <w:r w:rsidR="00681B07" w:rsidRPr="00681B07">
        <w:rPr>
          <w:sz w:val="26"/>
          <w:szCs w:val="26"/>
        </w:rPr>
        <w:t xml:space="preserve"> still be able to speak to a customer service representative, so personal contact w</w:t>
      </w:r>
      <w:r w:rsidR="00AE4D74">
        <w:rPr>
          <w:sz w:val="26"/>
          <w:szCs w:val="26"/>
        </w:rPr>
        <w:t>ould</w:t>
      </w:r>
      <w:r w:rsidR="00681B07" w:rsidRPr="00681B07">
        <w:rPr>
          <w:sz w:val="26"/>
          <w:szCs w:val="26"/>
        </w:rPr>
        <w:t xml:space="preserve"> not be completely r</w:t>
      </w:r>
      <w:r w:rsidR="00E22E0C">
        <w:rPr>
          <w:sz w:val="26"/>
          <w:szCs w:val="26"/>
        </w:rPr>
        <w:t>eplaced by an automated system.</w:t>
      </w:r>
      <w:r w:rsidR="00681B07" w:rsidRPr="00681B07">
        <w:rPr>
          <w:sz w:val="26"/>
          <w:szCs w:val="26"/>
        </w:rPr>
        <w:t xml:space="preserve">  </w:t>
      </w:r>
      <w:proofErr w:type="gramStart"/>
      <w:r w:rsidR="008818E9" w:rsidRPr="007D1C52">
        <w:rPr>
          <w:i/>
          <w:sz w:val="26"/>
          <w:szCs w:val="26"/>
        </w:rPr>
        <w:t xml:space="preserve">2010 </w:t>
      </w:r>
      <w:r w:rsidR="008818E9">
        <w:rPr>
          <w:i/>
          <w:sz w:val="26"/>
          <w:szCs w:val="26"/>
        </w:rPr>
        <w:t xml:space="preserve">Waiver </w:t>
      </w:r>
      <w:r w:rsidR="008818E9" w:rsidRPr="007D1C52">
        <w:rPr>
          <w:i/>
          <w:sz w:val="26"/>
          <w:szCs w:val="26"/>
        </w:rPr>
        <w:t>Order</w:t>
      </w:r>
      <w:r w:rsidR="008818E9">
        <w:rPr>
          <w:sz w:val="26"/>
          <w:szCs w:val="26"/>
        </w:rPr>
        <w:t xml:space="preserve"> at</w:t>
      </w:r>
      <w:r w:rsidR="008818E9" w:rsidRPr="00681B07">
        <w:rPr>
          <w:sz w:val="26"/>
          <w:szCs w:val="26"/>
        </w:rPr>
        <w:t xml:space="preserve"> 12.</w:t>
      </w:r>
      <w:proofErr w:type="gramEnd"/>
      <w:r w:rsidR="008818E9" w:rsidRPr="00681B07">
        <w:rPr>
          <w:sz w:val="26"/>
          <w:szCs w:val="26"/>
        </w:rPr>
        <w:t xml:space="preserve">  </w:t>
      </w:r>
    </w:p>
    <w:p w:rsidR="008818E9" w:rsidRDefault="008818E9" w:rsidP="00013BD1">
      <w:pPr>
        <w:spacing w:line="360" w:lineRule="auto"/>
        <w:ind w:firstLine="720"/>
        <w:textAlignment w:val="baseline"/>
        <w:rPr>
          <w:sz w:val="26"/>
          <w:szCs w:val="26"/>
        </w:rPr>
      </w:pPr>
    </w:p>
    <w:p w:rsidR="001230BA" w:rsidRDefault="008818E9" w:rsidP="00C756B2">
      <w:pPr>
        <w:spacing w:line="360" w:lineRule="auto"/>
        <w:ind w:firstLine="720"/>
        <w:textAlignment w:val="baseline"/>
        <w:rPr>
          <w:sz w:val="26"/>
          <w:szCs w:val="26"/>
        </w:rPr>
      </w:pPr>
      <w:r>
        <w:rPr>
          <w:sz w:val="26"/>
          <w:szCs w:val="26"/>
        </w:rPr>
        <w:t>B</w:t>
      </w:r>
      <w:r w:rsidR="003F715A" w:rsidRPr="00681B07">
        <w:rPr>
          <w:sz w:val="26"/>
          <w:szCs w:val="26"/>
        </w:rPr>
        <w:t xml:space="preserve">ased on </w:t>
      </w:r>
      <w:r w:rsidR="00F1591D">
        <w:rPr>
          <w:sz w:val="26"/>
          <w:szCs w:val="26"/>
        </w:rPr>
        <w:t>PPL</w:t>
      </w:r>
      <w:r w:rsidR="003F715A" w:rsidRPr="00681B07">
        <w:rPr>
          <w:sz w:val="26"/>
          <w:szCs w:val="26"/>
        </w:rPr>
        <w:t xml:space="preserve">’s demonstrated </w:t>
      </w:r>
      <w:r w:rsidR="00681B07" w:rsidRPr="00681B07">
        <w:rPr>
          <w:sz w:val="26"/>
          <w:szCs w:val="26"/>
        </w:rPr>
        <w:t>success with this</w:t>
      </w:r>
      <w:r w:rsidR="003F715A" w:rsidRPr="00681B07">
        <w:rPr>
          <w:sz w:val="26"/>
          <w:szCs w:val="26"/>
        </w:rPr>
        <w:t xml:space="preserve"> program </w:t>
      </w:r>
      <w:r w:rsidR="00AF57F7" w:rsidRPr="00681B07">
        <w:rPr>
          <w:sz w:val="26"/>
          <w:szCs w:val="26"/>
        </w:rPr>
        <w:t xml:space="preserve">over the </w:t>
      </w:r>
      <w:r>
        <w:rPr>
          <w:sz w:val="26"/>
          <w:szCs w:val="26"/>
        </w:rPr>
        <w:t xml:space="preserve">initial </w:t>
      </w:r>
      <w:r w:rsidR="00AF57F7" w:rsidRPr="00681B07">
        <w:rPr>
          <w:sz w:val="26"/>
          <w:szCs w:val="26"/>
        </w:rPr>
        <w:t xml:space="preserve">two years </w:t>
      </w:r>
      <w:r w:rsidR="003F715A" w:rsidRPr="00681B07">
        <w:rPr>
          <w:sz w:val="26"/>
          <w:szCs w:val="26"/>
        </w:rPr>
        <w:t xml:space="preserve">in both customer use and satisfaction, we </w:t>
      </w:r>
      <w:r w:rsidR="00EA4CC9">
        <w:rPr>
          <w:sz w:val="26"/>
          <w:szCs w:val="26"/>
        </w:rPr>
        <w:t xml:space="preserve">subsequently concluded </w:t>
      </w:r>
      <w:r w:rsidR="003F715A" w:rsidRPr="00681B07">
        <w:rPr>
          <w:sz w:val="26"/>
          <w:szCs w:val="26"/>
        </w:rPr>
        <w:t xml:space="preserve">that </w:t>
      </w:r>
      <w:r w:rsidR="00F1591D">
        <w:rPr>
          <w:sz w:val="26"/>
          <w:szCs w:val="26"/>
        </w:rPr>
        <w:t xml:space="preserve">PPL </w:t>
      </w:r>
      <w:r w:rsidR="003F715A" w:rsidRPr="00681B07">
        <w:rPr>
          <w:sz w:val="26"/>
          <w:szCs w:val="26"/>
        </w:rPr>
        <w:t>ha</w:t>
      </w:r>
      <w:r>
        <w:rPr>
          <w:sz w:val="26"/>
          <w:szCs w:val="26"/>
        </w:rPr>
        <w:t>d</w:t>
      </w:r>
      <w:r w:rsidR="003F715A" w:rsidRPr="00681B07">
        <w:rPr>
          <w:sz w:val="26"/>
          <w:szCs w:val="26"/>
        </w:rPr>
        <w:t xml:space="preserve"> shown that customer assistance has been enhanced and </w:t>
      </w:r>
      <w:r>
        <w:rPr>
          <w:sz w:val="26"/>
          <w:szCs w:val="26"/>
        </w:rPr>
        <w:t xml:space="preserve">that </w:t>
      </w:r>
      <w:r w:rsidR="003F715A" w:rsidRPr="00681B07">
        <w:rPr>
          <w:sz w:val="26"/>
          <w:szCs w:val="26"/>
        </w:rPr>
        <w:t xml:space="preserve">further </w:t>
      </w:r>
      <w:r w:rsidR="00EA4CC9">
        <w:rPr>
          <w:sz w:val="26"/>
          <w:szCs w:val="26"/>
        </w:rPr>
        <w:t xml:space="preserve">temporary partial </w:t>
      </w:r>
      <w:r w:rsidR="00681B07" w:rsidRPr="00681B07">
        <w:rPr>
          <w:sz w:val="26"/>
          <w:szCs w:val="26"/>
        </w:rPr>
        <w:t>waiver of</w:t>
      </w:r>
      <w:r w:rsidR="003F715A" w:rsidRPr="00681B07">
        <w:rPr>
          <w:sz w:val="26"/>
          <w:szCs w:val="26"/>
        </w:rPr>
        <w:t xml:space="preserve"> </w:t>
      </w:r>
      <w:r w:rsidR="00B8719C">
        <w:rPr>
          <w:sz w:val="26"/>
          <w:szCs w:val="26"/>
        </w:rPr>
        <w:t>S</w:t>
      </w:r>
      <w:r w:rsidR="003F715A" w:rsidRPr="00681B07">
        <w:rPr>
          <w:sz w:val="26"/>
          <w:szCs w:val="26"/>
        </w:rPr>
        <w:t xml:space="preserve">ection 56.97(a) </w:t>
      </w:r>
      <w:r>
        <w:rPr>
          <w:sz w:val="26"/>
          <w:szCs w:val="26"/>
        </w:rPr>
        <w:t>was</w:t>
      </w:r>
      <w:r w:rsidR="003F715A" w:rsidRPr="00681B07">
        <w:rPr>
          <w:sz w:val="26"/>
          <w:szCs w:val="26"/>
        </w:rPr>
        <w:t xml:space="preserve"> warranted.  </w:t>
      </w:r>
      <w:r>
        <w:rPr>
          <w:sz w:val="26"/>
          <w:szCs w:val="26"/>
        </w:rPr>
        <w:t xml:space="preserve">We concluded that </w:t>
      </w:r>
      <w:r w:rsidR="00681B07" w:rsidRPr="00681B07">
        <w:rPr>
          <w:sz w:val="26"/>
          <w:szCs w:val="26"/>
        </w:rPr>
        <w:t xml:space="preserve">the four-year waiver and conditions agreed to by </w:t>
      </w:r>
      <w:r w:rsidR="00F1591D">
        <w:rPr>
          <w:sz w:val="26"/>
          <w:szCs w:val="26"/>
        </w:rPr>
        <w:t xml:space="preserve">PPL </w:t>
      </w:r>
      <w:r w:rsidR="00681B07" w:rsidRPr="00681B07">
        <w:rPr>
          <w:sz w:val="26"/>
          <w:szCs w:val="26"/>
        </w:rPr>
        <w:t>and OCA w</w:t>
      </w:r>
      <w:r w:rsidR="003A2678">
        <w:rPr>
          <w:sz w:val="26"/>
          <w:szCs w:val="26"/>
        </w:rPr>
        <w:t xml:space="preserve">ould </w:t>
      </w:r>
      <w:r w:rsidR="00681B07" w:rsidRPr="00681B07">
        <w:rPr>
          <w:sz w:val="26"/>
          <w:szCs w:val="26"/>
        </w:rPr>
        <w:t xml:space="preserve">allow </w:t>
      </w:r>
      <w:r w:rsidR="00F1591D">
        <w:rPr>
          <w:sz w:val="26"/>
          <w:szCs w:val="26"/>
        </w:rPr>
        <w:t xml:space="preserve">PPL </w:t>
      </w:r>
      <w:r w:rsidR="00681B07" w:rsidRPr="00681B07">
        <w:rPr>
          <w:sz w:val="26"/>
          <w:szCs w:val="26"/>
        </w:rPr>
        <w:t xml:space="preserve">to continue to enhance customer assistance while ensuring oversight over the program so that customers </w:t>
      </w:r>
      <w:r w:rsidR="00EA4CC9">
        <w:rPr>
          <w:sz w:val="26"/>
          <w:szCs w:val="26"/>
        </w:rPr>
        <w:t xml:space="preserve">would not be </w:t>
      </w:r>
      <w:r w:rsidR="00681B07" w:rsidRPr="00681B07">
        <w:rPr>
          <w:sz w:val="26"/>
          <w:szCs w:val="26"/>
        </w:rPr>
        <w:t xml:space="preserve">negatively affected.  </w:t>
      </w:r>
      <w:r w:rsidR="003A2678">
        <w:rPr>
          <w:sz w:val="26"/>
          <w:szCs w:val="26"/>
        </w:rPr>
        <w:t xml:space="preserve">We granted </w:t>
      </w:r>
      <w:r w:rsidR="00F1591D">
        <w:rPr>
          <w:sz w:val="26"/>
          <w:szCs w:val="26"/>
        </w:rPr>
        <w:t>PPL</w:t>
      </w:r>
      <w:r w:rsidR="003A2678">
        <w:rPr>
          <w:sz w:val="26"/>
          <w:szCs w:val="26"/>
        </w:rPr>
        <w:t xml:space="preserve">’s petition </w:t>
      </w:r>
      <w:r w:rsidR="00AF27E2" w:rsidRPr="00C756B2">
        <w:rPr>
          <w:sz w:val="26"/>
          <w:szCs w:val="26"/>
        </w:rPr>
        <w:t xml:space="preserve">for a </w:t>
      </w:r>
      <w:r w:rsidR="00EA4CC9">
        <w:rPr>
          <w:sz w:val="26"/>
          <w:szCs w:val="26"/>
        </w:rPr>
        <w:t xml:space="preserve">further </w:t>
      </w:r>
      <w:r w:rsidR="00AF27E2" w:rsidRPr="00C756B2">
        <w:rPr>
          <w:sz w:val="26"/>
          <w:szCs w:val="26"/>
        </w:rPr>
        <w:t>tempora</w:t>
      </w:r>
      <w:r w:rsidR="00B14DA3" w:rsidRPr="00C756B2">
        <w:rPr>
          <w:sz w:val="26"/>
          <w:szCs w:val="26"/>
        </w:rPr>
        <w:t xml:space="preserve">ry </w:t>
      </w:r>
      <w:r w:rsidR="00EA4CC9">
        <w:rPr>
          <w:sz w:val="26"/>
          <w:szCs w:val="26"/>
        </w:rPr>
        <w:t xml:space="preserve">partial </w:t>
      </w:r>
      <w:r w:rsidR="00B14DA3" w:rsidRPr="00C756B2">
        <w:rPr>
          <w:sz w:val="26"/>
          <w:szCs w:val="26"/>
        </w:rPr>
        <w:t xml:space="preserve">exemption for </w:t>
      </w:r>
    </w:p>
    <w:p w:rsidR="003A2678" w:rsidRDefault="00B14DA3" w:rsidP="001230BA">
      <w:pPr>
        <w:spacing w:line="360" w:lineRule="auto"/>
        <w:textAlignment w:val="baseline"/>
        <w:rPr>
          <w:sz w:val="26"/>
          <w:szCs w:val="26"/>
        </w:rPr>
      </w:pPr>
      <w:r w:rsidRPr="00C756B2">
        <w:rPr>
          <w:sz w:val="26"/>
          <w:szCs w:val="26"/>
        </w:rPr>
        <w:lastRenderedPageBreak/>
        <w:t>52</w:t>
      </w:r>
      <w:r w:rsidR="00FA46AD">
        <w:rPr>
          <w:sz w:val="26"/>
          <w:szCs w:val="26"/>
        </w:rPr>
        <w:t> </w:t>
      </w:r>
      <w:r w:rsidRPr="00C756B2">
        <w:rPr>
          <w:sz w:val="26"/>
          <w:szCs w:val="26"/>
        </w:rPr>
        <w:t>Pa.</w:t>
      </w:r>
      <w:r w:rsidR="00FA46AD">
        <w:rPr>
          <w:sz w:val="26"/>
          <w:szCs w:val="26"/>
        </w:rPr>
        <w:t> </w:t>
      </w:r>
      <w:r w:rsidRPr="00C756B2">
        <w:rPr>
          <w:sz w:val="26"/>
          <w:szCs w:val="26"/>
        </w:rPr>
        <w:t xml:space="preserve">Code § </w:t>
      </w:r>
      <w:r w:rsidR="003F715A">
        <w:rPr>
          <w:sz w:val="26"/>
          <w:szCs w:val="26"/>
        </w:rPr>
        <w:t>56.97(a)</w:t>
      </w:r>
      <w:r w:rsidR="00AF57F7">
        <w:rPr>
          <w:sz w:val="26"/>
          <w:szCs w:val="26"/>
        </w:rPr>
        <w:t xml:space="preserve"> consistent with </w:t>
      </w:r>
      <w:r w:rsidR="00681B07">
        <w:rPr>
          <w:sz w:val="26"/>
          <w:szCs w:val="26"/>
        </w:rPr>
        <w:t>the</w:t>
      </w:r>
      <w:r w:rsidR="00AF57F7">
        <w:rPr>
          <w:sz w:val="26"/>
          <w:szCs w:val="26"/>
        </w:rPr>
        <w:t xml:space="preserve"> agreement reached with the OCA</w:t>
      </w:r>
      <w:r w:rsidRPr="00C756B2">
        <w:rPr>
          <w:sz w:val="26"/>
          <w:szCs w:val="26"/>
        </w:rPr>
        <w:t xml:space="preserve"> so that </w:t>
      </w:r>
      <w:r w:rsidR="00EA4CC9">
        <w:rPr>
          <w:sz w:val="26"/>
          <w:szCs w:val="26"/>
        </w:rPr>
        <w:t xml:space="preserve">PPL </w:t>
      </w:r>
      <w:r w:rsidR="003A2678">
        <w:rPr>
          <w:sz w:val="26"/>
          <w:szCs w:val="26"/>
        </w:rPr>
        <w:t xml:space="preserve">could </w:t>
      </w:r>
      <w:r w:rsidR="003F715A">
        <w:rPr>
          <w:sz w:val="26"/>
          <w:szCs w:val="26"/>
        </w:rPr>
        <w:t xml:space="preserve">continue its </w:t>
      </w:r>
      <w:r w:rsidR="003A2678">
        <w:rPr>
          <w:sz w:val="26"/>
          <w:szCs w:val="26"/>
        </w:rPr>
        <w:t>w</w:t>
      </w:r>
      <w:r w:rsidR="009764E6">
        <w:rPr>
          <w:sz w:val="26"/>
          <w:szCs w:val="26"/>
        </w:rPr>
        <w:t>ebsite</w:t>
      </w:r>
      <w:r w:rsidR="003F715A">
        <w:rPr>
          <w:sz w:val="26"/>
          <w:szCs w:val="26"/>
        </w:rPr>
        <w:t xml:space="preserve"> and IVR </w:t>
      </w:r>
      <w:r w:rsidR="00EA4CC9">
        <w:rPr>
          <w:sz w:val="26"/>
          <w:szCs w:val="26"/>
        </w:rPr>
        <w:t xml:space="preserve">systems </w:t>
      </w:r>
      <w:r w:rsidR="003F715A">
        <w:rPr>
          <w:sz w:val="26"/>
          <w:szCs w:val="26"/>
        </w:rPr>
        <w:t>and further enhance customer assistance</w:t>
      </w:r>
      <w:r w:rsidR="003A2678">
        <w:rPr>
          <w:sz w:val="26"/>
          <w:szCs w:val="26"/>
        </w:rPr>
        <w:t xml:space="preserve">.  </w:t>
      </w:r>
      <w:r w:rsidR="00ED3F5D" w:rsidRPr="00ED3F5D">
        <w:rPr>
          <w:i/>
          <w:sz w:val="26"/>
          <w:szCs w:val="26"/>
        </w:rPr>
        <w:t>2013</w:t>
      </w:r>
      <w:r w:rsidR="00EA4CC9">
        <w:rPr>
          <w:i/>
          <w:sz w:val="26"/>
          <w:szCs w:val="26"/>
        </w:rPr>
        <w:t> </w:t>
      </w:r>
      <w:r w:rsidR="00ED3F5D" w:rsidRPr="00ED3F5D">
        <w:rPr>
          <w:i/>
          <w:sz w:val="26"/>
          <w:szCs w:val="26"/>
        </w:rPr>
        <w:t>Waiver Order</w:t>
      </w:r>
      <w:r w:rsidR="00ED3F5D">
        <w:rPr>
          <w:sz w:val="26"/>
          <w:szCs w:val="26"/>
        </w:rPr>
        <w:t xml:space="preserve"> at </w:t>
      </w:r>
      <w:r w:rsidR="00B8719C">
        <w:rPr>
          <w:sz w:val="26"/>
          <w:szCs w:val="26"/>
        </w:rPr>
        <w:t>5-6</w:t>
      </w:r>
      <w:r w:rsidR="00ED3F5D">
        <w:rPr>
          <w:sz w:val="26"/>
          <w:szCs w:val="26"/>
        </w:rPr>
        <w:t>.</w:t>
      </w:r>
    </w:p>
    <w:p w:rsidR="003A2678" w:rsidRDefault="003A2678" w:rsidP="00C756B2">
      <w:pPr>
        <w:spacing w:line="360" w:lineRule="auto"/>
        <w:ind w:firstLine="720"/>
        <w:textAlignment w:val="baseline"/>
        <w:rPr>
          <w:sz w:val="26"/>
          <w:szCs w:val="26"/>
        </w:rPr>
      </w:pPr>
    </w:p>
    <w:p w:rsidR="003F6F06" w:rsidRDefault="00EA4CC9" w:rsidP="00C756B2">
      <w:pPr>
        <w:spacing w:line="360" w:lineRule="auto"/>
        <w:ind w:firstLine="720"/>
        <w:textAlignment w:val="baseline"/>
        <w:rPr>
          <w:sz w:val="26"/>
          <w:szCs w:val="26"/>
        </w:rPr>
      </w:pPr>
      <w:r>
        <w:rPr>
          <w:sz w:val="26"/>
          <w:szCs w:val="26"/>
        </w:rPr>
        <w:t>Relative to this proceeding, w</w:t>
      </w:r>
      <w:r w:rsidR="003A2678">
        <w:rPr>
          <w:sz w:val="26"/>
          <w:szCs w:val="26"/>
        </w:rPr>
        <w:t>e find that the past four years have continued to demonstrate the benefits of PPL’s use of its website and IVR system</w:t>
      </w:r>
      <w:r w:rsidR="00343FAF">
        <w:rPr>
          <w:sz w:val="26"/>
          <w:szCs w:val="26"/>
        </w:rPr>
        <w:t>s</w:t>
      </w:r>
      <w:r w:rsidR="003A2678">
        <w:rPr>
          <w:sz w:val="26"/>
          <w:szCs w:val="26"/>
        </w:rPr>
        <w:t xml:space="preserve"> and conclude that a further temporary </w:t>
      </w:r>
      <w:r>
        <w:rPr>
          <w:sz w:val="26"/>
          <w:szCs w:val="26"/>
        </w:rPr>
        <w:t xml:space="preserve">partial </w:t>
      </w:r>
      <w:r w:rsidR="003A2678">
        <w:rPr>
          <w:sz w:val="26"/>
          <w:szCs w:val="26"/>
        </w:rPr>
        <w:t>waiver is warranted consistent with th</w:t>
      </w:r>
      <w:r>
        <w:rPr>
          <w:sz w:val="26"/>
          <w:szCs w:val="26"/>
        </w:rPr>
        <w:t>is Order</w:t>
      </w:r>
      <w:r w:rsidR="003A2678">
        <w:rPr>
          <w:sz w:val="26"/>
          <w:szCs w:val="26"/>
        </w:rPr>
        <w:t xml:space="preserve">.  </w:t>
      </w:r>
      <w:r w:rsidR="002D16FF">
        <w:rPr>
          <w:sz w:val="26"/>
          <w:szCs w:val="26"/>
        </w:rPr>
        <w:t xml:space="preserve">We note that this temporary waiver is also only a partial waiver of </w:t>
      </w:r>
      <w:r w:rsidR="002D16FF" w:rsidRPr="003A2678">
        <w:rPr>
          <w:sz w:val="26"/>
          <w:szCs w:val="26"/>
        </w:rPr>
        <w:t>Section</w:t>
      </w:r>
      <w:r w:rsidR="002D16FF">
        <w:rPr>
          <w:sz w:val="26"/>
          <w:szCs w:val="26"/>
        </w:rPr>
        <w:t> </w:t>
      </w:r>
      <w:r w:rsidR="002D16FF" w:rsidRPr="003A2678">
        <w:rPr>
          <w:sz w:val="26"/>
          <w:szCs w:val="26"/>
        </w:rPr>
        <w:t>56.97(a)</w:t>
      </w:r>
      <w:r w:rsidR="002D16FF">
        <w:rPr>
          <w:sz w:val="26"/>
          <w:szCs w:val="26"/>
        </w:rPr>
        <w:t xml:space="preserve"> in that it only applies to the voluntary and optional use of the website and IVR systems.  Customers are not required to use the website and/or IVR systems.</w:t>
      </w:r>
    </w:p>
    <w:p w:rsidR="003F6F06" w:rsidRDefault="003F6F06" w:rsidP="00C756B2">
      <w:pPr>
        <w:spacing w:line="360" w:lineRule="auto"/>
        <w:ind w:firstLine="720"/>
        <w:textAlignment w:val="baseline"/>
        <w:rPr>
          <w:sz w:val="26"/>
          <w:szCs w:val="26"/>
        </w:rPr>
      </w:pPr>
    </w:p>
    <w:p w:rsidR="003F6F06" w:rsidRPr="002D16FF" w:rsidRDefault="003F6F06" w:rsidP="00EA55CA">
      <w:pPr>
        <w:keepNext/>
        <w:spacing w:line="360" w:lineRule="auto"/>
        <w:textAlignment w:val="baseline"/>
        <w:rPr>
          <w:b/>
          <w:sz w:val="26"/>
          <w:szCs w:val="26"/>
        </w:rPr>
      </w:pPr>
      <w:r w:rsidRPr="002D16FF">
        <w:rPr>
          <w:b/>
          <w:sz w:val="26"/>
          <w:szCs w:val="26"/>
        </w:rPr>
        <w:t xml:space="preserve">Special Conditions </w:t>
      </w:r>
      <w:proofErr w:type="gramStart"/>
      <w:r w:rsidRPr="002D16FF">
        <w:rPr>
          <w:b/>
          <w:sz w:val="26"/>
          <w:szCs w:val="26"/>
        </w:rPr>
        <w:t>Under</w:t>
      </w:r>
      <w:proofErr w:type="gramEnd"/>
      <w:r w:rsidRPr="002D16FF">
        <w:rPr>
          <w:b/>
          <w:sz w:val="26"/>
          <w:szCs w:val="26"/>
        </w:rPr>
        <w:t xml:space="preserve"> Which This Temporary Partial Waiver Is Grante</w:t>
      </w:r>
      <w:r w:rsidR="00874618">
        <w:rPr>
          <w:b/>
          <w:sz w:val="26"/>
          <w:szCs w:val="26"/>
        </w:rPr>
        <w:t>d</w:t>
      </w:r>
    </w:p>
    <w:p w:rsidR="003F6F06" w:rsidRDefault="003F6F06" w:rsidP="00C756B2">
      <w:pPr>
        <w:spacing w:line="360" w:lineRule="auto"/>
        <w:ind w:firstLine="720"/>
        <w:textAlignment w:val="baseline"/>
        <w:rPr>
          <w:sz w:val="26"/>
          <w:szCs w:val="26"/>
        </w:rPr>
      </w:pPr>
      <w:r>
        <w:rPr>
          <w:sz w:val="26"/>
          <w:szCs w:val="26"/>
        </w:rPr>
        <w:t>Based on the Settlement with OCA at this docket, PPL has agreed to special conditions</w:t>
      </w:r>
      <w:r w:rsidR="00EA55CA">
        <w:rPr>
          <w:sz w:val="26"/>
          <w:szCs w:val="26"/>
        </w:rPr>
        <w:t xml:space="preserve"> relative to an extension of the temporary partial waiver</w:t>
      </w:r>
      <w:r w:rsidR="00D06D0B">
        <w:rPr>
          <w:sz w:val="26"/>
          <w:szCs w:val="26"/>
        </w:rPr>
        <w:t xml:space="preserve">.  We shall discuss </w:t>
      </w:r>
      <w:r w:rsidR="00371877">
        <w:rPr>
          <w:sz w:val="26"/>
          <w:szCs w:val="26"/>
        </w:rPr>
        <w:t xml:space="preserve">and clarify </w:t>
      </w:r>
      <w:r w:rsidR="00D06D0B">
        <w:rPr>
          <w:sz w:val="26"/>
          <w:szCs w:val="26"/>
        </w:rPr>
        <w:t>each in turn</w:t>
      </w:r>
      <w:r w:rsidR="00371877">
        <w:rPr>
          <w:sz w:val="26"/>
          <w:szCs w:val="26"/>
        </w:rPr>
        <w:t>.</w:t>
      </w:r>
      <w:r w:rsidR="00AC456C">
        <w:rPr>
          <w:sz w:val="26"/>
          <w:szCs w:val="26"/>
        </w:rPr>
        <w:t xml:space="preserve"> </w:t>
      </w:r>
    </w:p>
    <w:p w:rsidR="003F6F06" w:rsidRDefault="003F6F06" w:rsidP="001230BA">
      <w:pPr>
        <w:ind w:firstLine="720"/>
        <w:textAlignment w:val="baseline"/>
        <w:rPr>
          <w:sz w:val="26"/>
          <w:szCs w:val="26"/>
        </w:rPr>
      </w:pPr>
    </w:p>
    <w:p w:rsidR="00AC456C" w:rsidRDefault="00AC456C" w:rsidP="00AC456C">
      <w:pPr>
        <w:pStyle w:val="ListParagraph"/>
        <w:keepNext/>
        <w:spacing w:line="360" w:lineRule="auto"/>
        <w:ind w:left="0"/>
        <w:textAlignment w:val="baseline"/>
        <w:rPr>
          <w:sz w:val="26"/>
          <w:szCs w:val="26"/>
        </w:rPr>
      </w:pPr>
      <w:r>
        <w:rPr>
          <w:b/>
          <w:sz w:val="26"/>
          <w:szCs w:val="26"/>
        </w:rPr>
        <w:tab/>
      </w:r>
      <w:r w:rsidRPr="00EA55CA">
        <w:rPr>
          <w:b/>
          <w:sz w:val="26"/>
          <w:szCs w:val="26"/>
        </w:rPr>
        <w:t xml:space="preserve">Substantive </w:t>
      </w:r>
      <w:r>
        <w:rPr>
          <w:b/>
          <w:sz w:val="26"/>
          <w:szCs w:val="26"/>
        </w:rPr>
        <w:t>C</w:t>
      </w:r>
      <w:r w:rsidRPr="00EA55CA">
        <w:rPr>
          <w:b/>
          <w:sz w:val="26"/>
          <w:szCs w:val="26"/>
        </w:rPr>
        <w:t>hanges</w:t>
      </w:r>
      <w:r>
        <w:rPr>
          <w:sz w:val="26"/>
          <w:szCs w:val="26"/>
        </w:rPr>
        <w:t xml:space="preserve"> </w:t>
      </w:r>
    </w:p>
    <w:p w:rsidR="00AC456C" w:rsidRDefault="00AC456C" w:rsidP="00AC456C">
      <w:pPr>
        <w:tabs>
          <w:tab w:val="left" w:pos="1440"/>
        </w:tabs>
        <w:spacing w:line="360" w:lineRule="auto"/>
        <w:ind w:firstLine="720"/>
        <w:textAlignment w:val="baseline"/>
        <w:rPr>
          <w:sz w:val="26"/>
          <w:szCs w:val="26"/>
        </w:rPr>
      </w:pPr>
      <w:r>
        <w:rPr>
          <w:sz w:val="26"/>
          <w:szCs w:val="26"/>
        </w:rPr>
        <w:t xml:space="preserve">PPL has committed to informing BCS, OCA and “other interested parties” at least 30 days before </w:t>
      </w:r>
      <w:r w:rsidRPr="00D06D0B">
        <w:rPr>
          <w:sz w:val="26"/>
          <w:szCs w:val="26"/>
        </w:rPr>
        <w:t>making any substantive changes to the website or IVR systems regarding establishing payment agreements</w:t>
      </w:r>
      <w:r>
        <w:rPr>
          <w:sz w:val="26"/>
          <w:szCs w:val="26"/>
        </w:rPr>
        <w:t xml:space="preserve">.  </w:t>
      </w:r>
    </w:p>
    <w:p w:rsidR="00AC456C" w:rsidRDefault="00AC456C" w:rsidP="00AC456C">
      <w:pPr>
        <w:tabs>
          <w:tab w:val="left" w:pos="1440"/>
        </w:tabs>
        <w:spacing w:line="360" w:lineRule="auto"/>
        <w:ind w:firstLine="720"/>
        <w:textAlignment w:val="baseline"/>
        <w:rPr>
          <w:sz w:val="26"/>
          <w:szCs w:val="26"/>
        </w:rPr>
      </w:pPr>
    </w:p>
    <w:p w:rsidR="003F6F06" w:rsidRPr="00AC456C" w:rsidRDefault="00AC456C" w:rsidP="00AC456C">
      <w:pPr>
        <w:tabs>
          <w:tab w:val="left" w:pos="1440"/>
        </w:tabs>
        <w:spacing w:line="360" w:lineRule="auto"/>
        <w:ind w:firstLine="720"/>
        <w:textAlignment w:val="baseline"/>
        <w:rPr>
          <w:sz w:val="26"/>
          <w:szCs w:val="26"/>
        </w:rPr>
      </w:pPr>
      <w:r>
        <w:rPr>
          <w:sz w:val="26"/>
          <w:szCs w:val="26"/>
        </w:rPr>
        <w:t xml:space="preserve">We shall refine this obligation by requiring that PPL shall provide notice to its customers that </w:t>
      </w:r>
      <w:r w:rsidR="00371877">
        <w:rPr>
          <w:sz w:val="26"/>
          <w:szCs w:val="26"/>
        </w:rPr>
        <w:t xml:space="preserve">may </w:t>
      </w:r>
      <w:r>
        <w:rPr>
          <w:sz w:val="26"/>
          <w:szCs w:val="26"/>
        </w:rPr>
        <w:t xml:space="preserve">be affected by any such changes.  These customers are part of the universe of “other interested parties.”  </w:t>
      </w:r>
      <w:r w:rsidR="00371877">
        <w:rPr>
          <w:sz w:val="26"/>
          <w:szCs w:val="26"/>
        </w:rPr>
        <w:t>Further, t</w:t>
      </w:r>
      <w:r>
        <w:rPr>
          <w:sz w:val="26"/>
          <w:szCs w:val="26"/>
        </w:rPr>
        <w:t xml:space="preserve">o the extent that proposed “substantive changes” may constitute a change in the temporary partial waiver granted herein, PPL may also be required to petition for approval of a proposed change.  </w:t>
      </w:r>
    </w:p>
    <w:p w:rsidR="00AC456C" w:rsidRDefault="00AC456C" w:rsidP="00AC456C">
      <w:pPr>
        <w:tabs>
          <w:tab w:val="left" w:pos="1440"/>
        </w:tabs>
        <w:spacing w:line="360" w:lineRule="auto"/>
        <w:ind w:firstLine="720"/>
        <w:textAlignment w:val="baseline"/>
        <w:rPr>
          <w:sz w:val="26"/>
          <w:szCs w:val="26"/>
        </w:rPr>
      </w:pPr>
    </w:p>
    <w:p w:rsidR="00AC456C" w:rsidRDefault="00AC456C" w:rsidP="00AC456C">
      <w:pPr>
        <w:pStyle w:val="ListParagraph"/>
        <w:keepNext/>
        <w:spacing w:line="360" w:lineRule="auto"/>
        <w:ind w:left="0" w:firstLine="720"/>
        <w:textAlignment w:val="baseline"/>
        <w:rPr>
          <w:b/>
          <w:sz w:val="26"/>
          <w:szCs w:val="26"/>
        </w:rPr>
      </w:pPr>
      <w:r w:rsidRPr="00181421">
        <w:rPr>
          <w:b/>
          <w:sz w:val="26"/>
          <w:szCs w:val="26"/>
        </w:rPr>
        <w:lastRenderedPageBreak/>
        <w:t xml:space="preserve">Annual Statistical Reports </w:t>
      </w:r>
      <w:r w:rsidRPr="00EB7538">
        <w:rPr>
          <w:b/>
          <w:sz w:val="26"/>
          <w:szCs w:val="26"/>
        </w:rPr>
        <w:t xml:space="preserve">and </w:t>
      </w:r>
      <w:r w:rsidRPr="00181421">
        <w:rPr>
          <w:b/>
          <w:sz w:val="26"/>
          <w:szCs w:val="26"/>
        </w:rPr>
        <w:t>Comprehensive Repo</w:t>
      </w:r>
      <w:r>
        <w:rPr>
          <w:b/>
          <w:sz w:val="26"/>
          <w:szCs w:val="26"/>
        </w:rPr>
        <w:t>r</w:t>
      </w:r>
      <w:r w:rsidRPr="00181421">
        <w:rPr>
          <w:b/>
          <w:sz w:val="26"/>
          <w:szCs w:val="26"/>
        </w:rPr>
        <w:t>t</w:t>
      </w:r>
    </w:p>
    <w:p w:rsidR="003F6F06" w:rsidRPr="00AC456C" w:rsidRDefault="003F6F06" w:rsidP="00AC456C">
      <w:pPr>
        <w:tabs>
          <w:tab w:val="left" w:pos="1440"/>
        </w:tabs>
        <w:spacing w:line="360" w:lineRule="auto"/>
        <w:ind w:firstLine="720"/>
        <w:textAlignment w:val="baseline"/>
        <w:rPr>
          <w:sz w:val="26"/>
          <w:szCs w:val="26"/>
        </w:rPr>
      </w:pPr>
      <w:r w:rsidRPr="00AC456C">
        <w:rPr>
          <w:sz w:val="26"/>
          <w:szCs w:val="26"/>
        </w:rPr>
        <w:t xml:space="preserve">PPL </w:t>
      </w:r>
      <w:r w:rsidR="00AC456C">
        <w:rPr>
          <w:sz w:val="26"/>
          <w:szCs w:val="26"/>
        </w:rPr>
        <w:t xml:space="preserve">has committed to </w:t>
      </w:r>
      <w:r w:rsidRPr="00AC456C">
        <w:rPr>
          <w:sz w:val="26"/>
          <w:szCs w:val="26"/>
        </w:rPr>
        <w:t>submi</w:t>
      </w:r>
      <w:r w:rsidR="00AC456C">
        <w:rPr>
          <w:sz w:val="26"/>
          <w:szCs w:val="26"/>
        </w:rPr>
        <w:t>t</w:t>
      </w:r>
      <w:r w:rsidRPr="00AC456C">
        <w:rPr>
          <w:sz w:val="26"/>
          <w:szCs w:val="26"/>
        </w:rPr>
        <w:t>t</w:t>
      </w:r>
      <w:r w:rsidR="00AC456C">
        <w:rPr>
          <w:sz w:val="26"/>
          <w:szCs w:val="26"/>
        </w:rPr>
        <w:t>ing</w:t>
      </w:r>
      <w:r w:rsidRPr="00AC456C">
        <w:rPr>
          <w:sz w:val="26"/>
          <w:szCs w:val="26"/>
        </w:rPr>
        <w:t xml:space="preserve"> an annual statistical report to BCS and OCA by February 15</w:t>
      </w:r>
      <w:r w:rsidRPr="00AC456C">
        <w:rPr>
          <w:sz w:val="26"/>
          <w:szCs w:val="26"/>
          <w:vertAlign w:val="superscript"/>
        </w:rPr>
        <w:t>th</w:t>
      </w:r>
      <w:r w:rsidRPr="00AC456C">
        <w:rPr>
          <w:sz w:val="26"/>
          <w:szCs w:val="26"/>
        </w:rPr>
        <w:t xml:space="preserve"> of every year</w:t>
      </w:r>
      <w:r w:rsidR="00AC456C">
        <w:rPr>
          <w:sz w:val="26"/>
          <w:szCs w:val="26"/>
        </w:rPr>
        <w:t xml:space="preserve"> and to submitting </w:t>
      </w:r>
      <w:r w:rsidRPr="00AC456C">
        <w:rPr>
          <w:sz w:val="26"/>
          <w:szCs w:val="26"/>
        </w:rPr>
        <w:t>a comprehensive report to the Commission and OCA 60 days prior to the expiration of the six-year waiver for the website and IVR systems</w:t>
      </w:r>
      <w:r w:rsidR="00AC456C">
        <w:rPr>
          <w:sz w:val="26"/>
          <w:szCs w:val="26"/>
        </w:rPr>
        <w:t xml:space="preserve">.  </w:t>
      </w:r>
    </w:p>
    <w:p w:rsidR="00AC456C" w:rsidRDefault="00AC456C" w:rsidP="00AC456C">
      <w:pPr>
        <w:tabs>
          <w:tab w:val="left" w:pos="1440"/>
        </w:tabs>
        <w:spacing w:line="360" w:lineRule="auto"/>
        <w:ind w:firstLine="720"/>
        <w:textAlignment w:val="baseline"/>
        <w:rPr>
          <w:sz w:val="26"/>
          <w:szCs w:val="26"/>
        </w:rPr>
      </w:pPr>
    </w:p>
    <w:p w:rsidR="00AC456C" w:rsidRPr="00D06D0B" w:rsidRDefault="00AC456C" w:rsidP="00AC456C">
      <w:pPr>
        <w:pStyle w:val="ListParagraph"/>
        <w:spacing w:line="360" w:lineRule="auto"/>
        <w:ind w:left="0" w:firstLine="720"/>
        <w:textAlignment w:val="baseline"/>
        <w:rPr>
          <w:sz w:val="26"/>
          <w:szCs w:val="26"/>
        </w:rPr>
      </w:pPr>
      <w:r>
        <w:rPr>
          <w:sz w:val="26"/>
          <w:szCs w:val="26"/>
        </w:rPr>
        <w:t xml:space="preserve">We shall refine this obligation by requiring that PPL shall file and serve these reports on the active parties of record.  The copies of the reports that are provided to BCS need to be in Word®-compatible format. </w:t>
      </w:r>
      <w:r w:rsidRPr="00D06D0B">
        <w:rPr>
          <w:sz w:val="26"/>
          <w:szCs w:val="26"/>
        </w:rPr>
        <w:t xml:space="preserve"> </w:t>
      </w:r>
      <w:r>
        <w:rPr>
          <w:sz w:val="26"/>
          <w:szCs w:val="26"/>
        </w:rPr>
        <w:t>In addition to the information required in the reports pursuant to the prior 2013 Waiver Order, the reports should be quantified and specific as to the number, nature, and resolution of the complaints filed with PPL and the complaints filed with the Commission and/or BCS.  The reports should indicate the monthly distribution of website and IVR systems usage.  PPL is directed to work with BCS to ensure that the reports contain relevant and requisite information.</w:t>
      </w:r>
    </w:p>
    <w:p w:rsidR="00AC456C" w:rsidRPr="00D06D0B" w:rsidRDefault="00AC456C" w:rsidP="00AC456C">
      <w:pPr>
        <w:spacing w:line="360" w:lineRule="auto"/>
        <w:textAlignment w:val="baseline"/>
        <w:rPr>
          <w:sz w:val="26"/>
          <w:szCs w:val="26"/>
        </w:rPr>
      </w:pPr>
    </w:p>
    <w:p w:rsidR="00AC456C" w:rsidRDefault="00AC456C" w:rsidP="00AC456C">
      <w:pPr>
        <w:pStyle w:val="ListParagraph"/>
        <w:keepNext/>
        <w:spacing w:line="360" w:lineRule="auto"/>
        <w:ind w:left="0"/>
        <w:textAlignment w:val="baseline"/>
        <w:rPr>
          <w:b/>
          <w:sz w:val="26"/>
          <w:szCs w:val="26"/>
        </w:rPr>
      </w:pPr>
      <w:r>
        <w:rPr>
          <w:b/>
          <w:sz w:val="26"/>
          <w:szCs w:val="26"/>
        </w:rPr>
        <w:tab/>
      </w:r>
      <w:r w:rsidRPr="002D16FF">
        <w:rPr>
          <w:b/>
          <w:sz w:val="26"/>
          <w:szCs w:val="26"/>
        </w:rPr>
        <w:t>Future Waiver</w:t>
      </w:r>
      <w:r>
        <w:rPr>
          <w:b/>
          <w:sz w:val="26"/>
          <w:szCs w:val="26"/>
        </w:rPr>
        <w:t>s</w:t>
      </w:r>
    </w:p>
    <w:p w:rsidR="003F6F06" w:rsidRPr="00AC456C" w:rsidRDefault="003F6F06" w:rsidP="00AC456C">
      <w:pPr>
        <w:tabs>
          <w:tab w:val="left" w:pos="1440"/>
        </w:tabs>
        <w:spacing w:line="360" w:lineRule="auto"/>
        <w:ind w:firstLine="720"/>
        <w:textAlignment w:val="baseline"/>
        <w:rPr>
          <w:sz w:val="26"/>
          <w:szCs w:val="26"/>
        </w:rPr>
      </w:pPr>
      <w:r w:rsidRPr="00AC456C">
        <w:rPr>
          <w:sz w:val="26"/>
          <w:szCs w:val="26"/>
        </w:rPr>
        <w:t xml:space="preserve">PPL </w:t>
      </w:r>
      <w:r w:rsidR="00AC456C">
        <w:rPr>
          <w:sz w:val="26"/>
          <w:szCs w:val="26"/>
        </w:rPr>
        <w:t xml:space="preserve">has indicated that it would like </w:t>
      </w:r>
      <w:r w:rsidR="00371877">
        <w:rPr>
          <w:sz w:val="26"/>
          <w:szCs w:val="26"/>
        </w:rPr>
        <w:t xml:space="preserve">to be able to request </w:t>
      </w:r>
      <w:r w:rsidRPr="00AC456C">
        <w:rPr>
          <w:sz w:val="26"/>
          <w:szCs w:val="26"/>
        </w:rPr>
        <w:t>a permanent waiver for the website and IVR systems at the end of th</w:t>
      </w:r>
      <w:r w:rsidR="00371877">
        <w:rPr>
          <w:sz w:val="26"/>
          <w:szCs w:val="26"/>
        </w:rPr>
        <w:t>is</w:t>
      </w:r>
      <w:r w:rsidRPr="00AC456C">
        <w:rPr>
          <w:sz w:val="26"/>
          <w:szCs w:val="26"/>
        </w:rPr>
        <w:t xml:space="preserve"> six-year </w:t>
      </w:r>
      <w:r w:rsidR="00371877">
        <w:rPr>
          <w:sz w:val="26"/>
          <w:szCs w:val="26"/>
        </w:rPr>
        <w:t xml:space="preserve">waiver </w:t>
      </w:r>
      <w:r w:rsidRPr="00AC456C">
        <w:rPr>
          <w:sz w:val="26"/>
          <w:szCs w:val="26"/>
        </w:rPr>
        <w:t xml:space="preserve">period.  </w:t>
      </w:r>
    </w:p>
    <w:p w:rsidR="00875B85" w:rsidRDefault="00875B85">
      <w:pPr>
        <w:overflowPunct/>
        <w:autoSpaceDE/>
        <w:autoSpaceDN/>
        <w:adjustRightInd/>
        <w:spacing w:after="200" w:line="276" w:lineRule="auto"/>
        <w:rPr>
          <w:sz w:val="26"/>
          <w:szCs w:val="26"/>
        </w:rPr>
      </w:pPr>
    </w:p>
    <w:p w:rsidR="00D06D0B" w:rsidRPr="002D16FF" w:rsidRDefault="002D16FF" w:rsidP="00EB7538">
      <w:pPr>
        <w:pStyle w:val="ListParagraph"/>
        <w:spacing w:line="360" w:lineRule="auto"/>
        <w:ind w:left="0" w:firstLine="720"/>
        <w:textAlignment w:val="baseline"/>
        <w:rPr>
          <w:sz w:val="26"/>
          <w:szCs w:val="26"/>
        </w:rPr>
      </w:pPr>
      <w:r>
        <w:rPr>
          <w:sz w:val="26"/>
          <w:szCs w:val="26"/>
        </w:rPr>
        <w:t xml:space="preserve">While we are providing that </w:t>
      </w:r>
      <w:r w:rsidRPr="003A2678">
        <w:rPr>
          <w:sz w:val="26"/>
          <w:szCs w:val="26"/>
        </w:rPr>
        <w:t xml:space="preserve">PPL may request a permanent </w:t>
      </w:r>
      <w:r>
        <w:rPr>
          <w:sz w:val="26"/>
          <w:szCs w:val="26"/>
        </w:rPr>
        <w:t xml:space="preserve">partial </w:t>
      </w:r>
      <w:r w:rsidRPr="003A2678">
        <w:rPr>
          <w:sz w:val="26"/>
          <w:szCs w:val="26"/>
        </w:rPr>
        <w:t xml:space="preserve">waiver of </w:t>
      </w:r>
      <w:r>
        <w:rPr>
          <w:sz w:val="26"/>
          <w:szCs w:val="26"/>
        </w:rPr>
        <w:t>Section </w:t>
      </w:r>
      <w:r w:rsidRPr="003A2678">
        <w:rPr>
          <w:sz w:val="26"/>
          <w:szCs w:val="26"/>
        </w:rPr>
        <w:t xml:space="preserve">56.97(a) for the website and IVR systems before the expiration of the </w:t>
      </w:r>
      <w:r>
        <w:rPr>
          <w:sz w:val="26"/>
          <w:szCs w:val="26"/>
        </w:rPr>
        <w:t xml:space="preserve">temporary partial </w:t>
      </w:r>
      <w:r w:rsidRPr="003A2678">
        <w:rPr>
          <w:sz w:val="26"/>
          <w:szCs w:val="26"/>
        </w:rPr>
        <w:t>waiver granted by this Order</w:t>
      </w:r>
      <w:r>
        <w:rPr>
          <w:sz w:val="26"/>
          <w:szCs w:val="26"/>
        </w:rPr>
        <w:t xml:space="preserve">, we note that it is not customary </w:t>
      </w:r>
      <w:r w:rsidR="00371877">
        <w:rPr>
          <w:sz w:val="26"/>
          <w:szCs w:val="26"/>
        </w:rPr>
        <w:t xml:space="preserve">for us </w:t>
      </w:r>
      <w:r>
        <w:rPr>
          <w:sz w:val="26"/>
          <w:szCs w:val="26"/>
        </w:rPr>
        <w:t>to grant permanent waivers of our regulations.</w:t>
      </w:r>
      <w:r w:rsidRPr="003A2678">
        <w:rPr>
          <w:sz w:val="26"/>
          <w:szCs w:val="26"/>
        </w:rPr>
        <w:t xml:space="preserve">  </w:t>
      </w:r>
      <w:r>
        <w:rPr>
          <w:sz w:val="26"/>
          <w:szCs w:val="26"/>
        </w:rPr>
        <w:t xml:space="preserve">Should PPL chose to request a permanent partial waiver, PPL is directed </w:t>
      </w:r>
      <w:r w:rsidR="00371877">
        <w:rPr>
          <w:sz w:val="26"/>
          <w:szCs w:val="26"/>
        </w:rPr>
        <w:t xml:space="preserve">make any such </w:t>
      </w:r>
      <w:r>
        <w:rPr>
          <w:sz w:val="26"/>
          <w:szCs w:val="26"/>
        </w:rPr>
        <w:t xml:space="preserve">request in the alternative with a request for a further temporary </w:t>
      </w:r>
      <w:r w:rsidR="00371877">
        <w:rPr>
          <w:sz w:val="26"/>
          <w:szCs w:val="26"/>
        </w:rPr>
        <w:t xml:space="preserve">partial waiver </w:t>
      </w:r>
      <w:r>
        <w:rPr>
          <w:sz w:val="26"/>
          <w:szCs w:val="26"/>
        </w:rPr>
        <w:t>subject to any consensus reached with stakeholders</w:t>
      </w:r>
      <w:r w:rsidR="00371877">
        <w:rPr>
          <w:sz w:val="26"/>
          <w:szCs w:val="26"/>
        </w:rPr>
        <w:t xml:space="preserve"> prior to filing</w:t>
      </w:r>
      <w:r>
        <w:rPr>
          <w:sz w:val="26"/>
          <w:szCs w:val="26"/>
        </w:rPr>
        <w:t xml:space="preserve">.  </w:t>
      </w:r>
      <w:r w:rsidR="00371877">
        <w:rPr>
          <w:sz w:val="26"/>
          <w:szCs w:val="26"/>
        </w:rPr>
        <w:t>Any request for further waiver must be filed at least 60 days before the expiration of the temporary partial waiver granted herein.</w:t>
      </w:r>
    </w:p>
    <w:p w:rsidR="003A2678" w:rsidRDefault="003A2678" w:rsidP="00C756B2">
      <w:pPr>
        <w:spacing w:line="360" w:lineRule="auto"/>
        <w:ind w:firstLine="720"/>
        <w:textAlignment w:val="baseline"/>
        <w:rPr>
          <w:sz w:val="26"/>
          <w:szCs w:val="26"/>
        </w:rPr>
      </w:pPr>
    </w:p>
    <w:p w:rsidR="00ED3F5D" w:rsidRPr="00ED3F5D" w:rsidRDefault="00ED3F5D" w:rsidP="00371877">
      <w:pPr>
        <w:keepNext/>
        <w:spacing w:line="360" w:lineRule="auto"/>
        <w:textAlignment w:val="baseline"/>
        <w:rPr>
          <w:b/>
          <w:sz w:val="26"/>
          <w:szCs w:val="26"/>
        </w:rPr>
      </w:pPr>
      <w:r>
        <w:rPr>
          <w:b/>
          <w:sz w:val="26"/>
          <w:szCs w:val="26"/>
        </w:rPr>
        <w:lastRenderedPageBreak/>
        <w:t>Conclusion</w:t>
      </w:r>
    </w:p>
    <w:p w:rsidR="00A446E6" w:rsidRPr="008200E5" w:rsidRDefault="00ED3F5D" w:rsidP="00C756B2">
      <w:pPr>
        <w:spacing w:line="360" w:lineRule="auto"/>
        <w:ind w:firstLine="720"/>
        <w:textAlignment w:val="baseline"/>
        <w:rPr>
          <w:sz w:val="26"/>
          <w:szCs w:val="26"/>
        </w:rPr>
      </w:pPr>
      <w:r>
        <w:rPr>
          <w:sz w:val="26"/>
          <w:szCs w:val="26"/>
        </w:rPr>
        <w:t xml:space="preserve">We conclude that a further temporary </w:t>
      </w:r>
      <w:r w:rsidR="00EC3DA1">
        <w:rPr>
          <w:sz w:val="26"/>
          <w:szCs w:val="26"/>
        </w:rPr>
        <w:t xml:space="preserve">partial </w:t>
      </w:r>
      <w:r>
        <w:rPr>
          <w:sz w:val="26"/>
          <w:szCs w:val="26"/>
        </w:rPr>
        <w:t xml:space="preserve">waiver of </w:t>
      </w:r>
      <w:r w:rsidRPr="003A2678">
        <w:rPr>
          <w:sz w:val="26"/>
          <w:szCs w:val="26"/>
        </w:rPr>
        <w:t>Section 56.97(a)</w:t>
      </w:r>
      <w:r>
        <w:rPr>
          <w:sz w:val="26"/>
          <w:szCs w:val="26"/>
        </w:rPr>
        <w:t xml:space="preserve"> is warranted consistent </w:t>
      </w:r>
      <w:r w:rsidR="00EC3DA1">
        <w:rPr>
          <w:sz w:val="26"/>
          <w:szCs w:val="26"/>
        </w:rPr>
        <w:t>this Order</w:t>
      </w:r>
      <w:r w:rsidR="002539E3">
        <w:rPr>
          <w:sz w:val="26"/>
          <w:szCs w:val="26"/>
        </w:rPr>
        <w:t xml:space="preserve">.  Any issue which we may not have specifically delineated herein shall be deemed to have been duly considered and denied without further discussion.  </w:t>
      </w:r>
      <w:r w:rsidR="002539E3" w:rsidRPr="007633A1">
        <w:rPr>
          <w:color w:val="212121"/>
          <w:sz w:val="26"/>
          <w:szCs w:val="26"/>
        </w:rPr>
        <w:t xml:space="preserve">The Commission is not required to consider expressly or at length each contention or argument </w:t>
      </w:r>
      <w:r w:rsidR="002539E3" w:rsidRPr="008200E5">
        <w:rPr>
          <w:sz w:val="26"/>
          <w:szCs w:val="26"/>
        </w:rPr>
        <w:t xml:space="preserve">raised by the parties.  </w:t>
      </w:r>
      <w:hyperlink r:id="rId9" w:history="1">
        <w:r w:rsidR="002539E3" w:rsidRPr="008200E5">
          <w:rPr>
            <w:i/>
            <w:iCs/>
            <w:sz w:val="26"/>
            <w:szCs w:val="26"/>
          </w:rPr>
          <w:t xml:space="preserve">Consolidated Rail Corp. v. Pa. PUC, </w:t>
        </w:r>
        <w:r w:rsidR="002539E3" w:rsidRPr="00E939C6">
          <w:rPr>
            <w:sz w:val="26"/>
            <w:szCs w:val="26"/>
          </w:rPr>
          <w:t>625 A.2d 741 (Pa. Cmwlth., 1993)</w:t>
        </w:r>
      </w:hyperlink>
      <w:r w:rsidR="002539E3" w:rsidRPr="008200E5">
        <w:rPr>
          <w:sz w:val="26"/>
          <w:szCs w:val="26"/>
        </w:rPr>
        <w:t xml:space="preserve">; </w:t>
      </w:r>
      <w:r w:rsidR="002539E3" w:rsidRPr="008200E5">
        <w:rPr>
          <w:i/>
          <w:sz w:val="26"/>
          <w:szCs w:val="26"/>
        </w:rPr>
        <w:t>also</w:t>
      </w:r>
      <w:r w:rsidR="002539E3" w:rsidRPr="008200E5">
        <w:rPr>
          <w:sz w:val="26"/>
          <w:szCs w:val="26"/>
        </w:rPr>
        <w:t xml:space="preserve"> </w:t>
      </w:r>
      <w:r w:rsidR="002539E3" w:rsidRPr="008200E5">
        <w:rPr>
          <w:i/>
          <w:sz w:val="26"/>
          <w:szCs w:val="26"/>
        </w:rPr>
        <w:t>see,</w:t>
      </w:r>
      <w:r w:rsidR="002539E3" w:rsidRPr="008200E5">
        <w:rPr>
          <w:sz w:val="26"/>
          <w:szCs w:val="26"/>
        </w:rPr>
        <w:t xml:space="preserve"> </w:t>
      </w:r>
      <w:r w:rsidR="002539E3" w:rsidRPr="008200E5">
        <w:rPr>
          <w:i/>
          <w:sz w:val="26"/>
          <w:szCs w:val="26"/>
        </w:rPr>
        <w:t>generally</w:t>
      </w:r>
      <w:r w:rsidR="002539E3" w:rsidRPr="008200E5">
        <w:rPr>
          <w:sz w:val="26"/>
          <w:szCs w:val="26"/>
        </w:rPr>
        <w:t>, </w:t>
      </w:r>
      <w:hyperlink r:id="rId10" w:history="1">
        <w:r w:rsidR="002539E3" w:rsidRPr="008200E5">
          <w:rPr>
            <w:i/>
            <w:iCs/>
            <w:sz w:val="26"/>
            <w:szCs w:val="26"/>
          </w:rPr>
          <w:t xml:space="preserve">U. of PA v. Pa. PUC, </w:t>
        </w:r>
        <w:r w:rsidR="002539E3" w:rsidRPr="00E939C6">
          <w:rPr>
            <w:sz w:val="26"/>
            <w:szCs w:val="26"/>
          </w:rPr>
          <w:t>485 A.2d 1217 (Pa. Cmwlth., 1984)</w:t>
        </w:r>
      </w:hyperlink>
      <w:r w:rsidR="003A2678" w:rsidRPr="008200E5">
        <w:rPr>
          <w:sz w:val="26"/>
          <w:szCs w:val="26"/>
        </w:rPr>
        <w:t xml:space="preserve">; </w:t>
      </w:r>
      <w:r w:rsidR="00A446E6" w:rsidRPr="008200E5">
        <w:rPr>
          <w:b/>
          <w:sz w:val="26"/>
          <w:szCs w:val="26"/>
        </w:rPr>
        <w:t>THEREFORE,</w:t>
      </w:r>
    </w:p>
    <w:p w:rsidR="00A446E6" w:rsidRPr="00C756B2" w:rsidRDefault="00A446E6" w:rsidP="00C756B2">
      <w:pPr>
        <w:tabs>
          <w:tab w:val="left" w:pos="742"/>
        </w:tabs>
        <w:spacing w:line="360" w:lineRule="auto"/>
        <w:textAlignment w:val="baseline"/>
        <w:rPr>
          <w:sz w:val="26"/>
          <w:szCs w:val="26"/>
        </w:rPr>
      </w:pPr>
    </w:p>
    <w:p w:rsidR="00A446E6" w:rsidRPr="00C756B2" w:rsidRDefault="00A446E6" w:rsidP="00EA4CC9">
      <w:pPr>
        <w:keepNext/>
        <w:spacing w:line="360" w:lineRule="auto"/>
        <w:textAlignment w:val="baseline"/>
        <w:rPr>
          <w:b/>
          <w:bCs/>
          <w:sz w:val="26"/>
          <w:szCs w:val="26"/>
        </w:rPr>
      </w:pPr>
      <w:r w:rsidRPr="00C756B2">
        <w:rPr>
          <w:b/>
          <w:bCs/>
          <w:sz w:val="26"/>
          <w:szCs w:val="26"/>
        </w:rPr>
        <w:tab/>
        <w:t>IT IS ORDERED:</w:t>
      </w:r>
    </w:p>
    <w:p w:rsidR="00A446E6" w:rsidRPr="00C756B2" w:rsidRDefault="00A446E6" w:rsidP="00EA4CC9">
      <w:pPr>
        <w:keepNext/>
        <w:tabs>
          <w:tab w:val="left" w:pos="4320"/>
        </w:tabs>
        <w:spacing w:line="360" w:lineRule="auto"/>
        <w:textAlignment w:val="baseline"/>
        <w:rPr>
          <w:sz w:val="26"/>
          <w:szCs w:val="26"/>
        </w:rPr>
      </w:pPr>
    </w:p>
    <w:p w:rsidR="00A446E6" w:rsidRPr="00C756B2" w:rsidRDefault="00A446E6" w:rsidP="00BC30AA">
      <w:pPr>
        <w:tabs>
          <w:tab w:val="left" w:pos="720"/>
        </w:tabs>
        <w:spacing w:line="360" w:lineRule="auto"/>
        <w:textAlignment w:val="baseline"/>
        <w:rPr>
          <w:sz w:val="26"/>
          <w:szCs w:val="26"/>
        </w:rPr>
      </w:pPr>
      <w:r w:rsidRPr="00C756B2">
        <w:rPr>
          <w:sz w:val="26"/>
          <w:szCs w:val="26"/>
        </w:rPr>
        <w:tab/>
        <w:t>1.</w:t>
      </w:r>
      <w:r w:rsidRPr="00C756B2">
        <w:rPr>
          <w:sz w:val="26"/>
          <w:szCs w:val="26"/>
        </w:rPr>
        <w:tab/>
        <w:t xml:space="preserve">That </w:t>
      </w:r>
      <w:r w:rsidR="008F4812">
        <w:rPr>
          <w:sz w:val="26"/>
          <w:szCs w:val="26"/>
        </w:rPr>
        <w:t>PPL</w:t>
      </w:r>
      <w:r w:rsidR="00E22E0C">
        <w:rPr>
          <w:sz w:val="26"/>
          <w:szCs w:val="26"/>
        </w:rPr>
        <w:t xml:space="preserve"> Electric </w:t>
      </w:r>
      <w:r w:rsidR="00B16EC4">
        <w:rPr>
          <w:sz w:val="26"/>
          <w:szCs w:val="26"/>
        </w:rPr>
        <w:t>Utilities</w:t>
      </w:r>
      <w:r w:rsidR="00E22E0C">
        <w:rPr>
          <w:sz w:val="26"/>
          <w:szCs w:val="26"/>
        </w:rPr>
        <w:t xml:space="preserve"> Corporation</w:t>
      </w:r>
      <w:r w:rsidR="008F4812">
        <w:rPr>
          <w:sz w:val="26"/>
          <w:szCs w:val="26"/>
        </w:rPr>
        <w:t>’s</w:t>
      </w:r>
      <w:r w:rsidR="00E22E0C">
        <w:rPr>
          <w:sz w:val="26"/>
          <w:szCs w:val="26"/>
        </w:rPr>
        <w:t xml:space="preserve"> </w:t>
      </w:r>
      <w:r w:rsidR="008F4812">
        <w:rPr>
          <w:sz w:val="26"/>
          <w:szCs w:val="26"/>
        </w:rPr>
        <w:t xml:space="preserve">Petition for a waiver of 52 Pa. Code § 56.97(a) is granted </w:t>
      </w:r>
      <w:r w:rsidR="00ED06FE">
        <w:rPr>
          <w:sz w:val="26"/>
          <w:szCs w:val="26"/>
        </w:rPr>
        <w:t xml:space="preserve">effective </w:t>
      </w:r>
      <w:r w:rsidR="003A2678">
        <w:rPr>
          <w:sz w:val="26"/>
          <w:szCs w:val="26"/>
        </w:rPr>
        <w:t>December 31, 2016</w:t>
      </w:r>
      <w:r w:rsidR="0023584A">
        <w:rPr>
          <w:sz w:val="26"/>
          <w:szCs w:val="26"/>
        </w:rPr>
        <w:t xml:space="preserve">, </w:t>
      </w:r>
      <w:r w:rsidR="00ED06FE">
        <w:rPr>
          <w:sz w:val="26"/>
          <w:szCs w:val="26"/>
        </w:rPr>
        <w:t xml:space="preserve">and ending December 31, </w:t>
      </w:r>
      <w:r w:rsidR="003A2678">
        <w:rPr>
          <w:sz w:val="26"/>
          <w:szCs w:val="26"/>
        </w:rPr>
        <w:t xml:space="preserve">2022, </w:t>
      </w:r>
      <w:r w:rsidR="008F4812">
        <w:rPr>
          <w:sz w:val="26"/>
          <w:szCs w:val="26"/>
        </w:rPr>
        <w:t xml:space="preserve">for the limited purpose of continuing the </w:t>
      </w:r>
      <w:r w:rsidR="008B2464">
        <w:rPr>
          <w:sz w:val="26"/>
          <w:szCs w:val="26"/>
        </w:rPr>
        <w:t>w</w:t>
      </w:r>
      <w:r w:rsidR="009764E6">
        <w:rPr>
          <w:sz w:val="26"/>
          <w:szCs w:val="26"/>
        </w:rPr>
        <w:t>ebsite</w:t>
      </w:r>
      <w:r w:rsidR="008F4812">
        <w:rPr>
          <w:sz w:val="26"/>
          <w:szCs w:val="26"/>
        </w:rPr>
        <w:t xml:space="preserve"> and IVR systems</w:t>
      </w:r>
      <w:r w:rsidR="003A2678">
        <w:rPr>
          <w:sz w:val="26"/>
          <w:szCs w:val="26"/>
        </w:rPr>
        <w:t>, subject to the conditions articulated herein.</w:t>
      </w:r>
      <w:r w:rsidR="006B72F7">
        <w:rPr>
          <w:sz w:val="26"/>
          <w:szCs w:val="26"/>
        </w:rPr>
        <w:t xml:space="preserve">  This is a temporary partial waiver.</w:t>
      </w:r>
    </w:p>
    <w:p w:rsidR="00A446E6" w:rsidRPr="00C756B2" w:rsidRDefault="00A446E6" w:rsidP="00C756B2">
      <w:pPr>
        <w:tabs>
          <w:tab w:val="left" w:pos="742"/>
        </w:tabs>
        <w:spacing w:line="360" w:lineRule="auto"/>
        <w:textAlignment w:val="baseline"/>
        <w:rPr>
          <w:sz w:val="26"/>
          <w:szCs w:val="26"/>
        </w:rPr>
      </w:pPr>
    </w:p>
    <w:p w:rsidR="00A446E6" w:rsidRDefault="00A446E6" w:rsidP="00BC30AA">
      <w:pPr>
        <w:tabs>
          <w:tab w:val="left" w:pos="720"/>
        </w:tabs>
        <w:spacing w:line="360" w:lineRule="auto"/>
        <w:textAlignment w:val="baseline"/>
        <w:rPr>
          <w:sz w:val="26"/>
          <w:szCs w:val="26"/>
        </w:rPr>
      </w:pPr>
      <w:r w:rsidRPr="00C756B2">
        <w:rPr>
          <w:sz w:val="26"/>
          <w:szCs w:val="26"/>
        </w:rPr>
        <w:tab/>
        <w:t>2.</w:t>
      </w:r>
      <w:r w:rsidRPr="00C756B2">
        <w:rPr>
          <w:sz w:val="26"/>
          <w:szCs w:val="26"/>
        </w:rPr>
        <w:tab/>
      </w:r>
      <w:r w:rsidR="00E22E0C">
        <w:rPr>
          <w:sz w:val="26"/>
          <w:szCs w:val="26"/>
        </w:rPr>
        <w:t>That</w:t>
      </w:r>
      <w:r w:rsidR="00A3143D" w:rsidRPr="00C756B2">
        <w:rPr>
          <w:sz w:val="26"/>
          <w:szCs w:val="26"/>
        </w:rPr>
        <w:t xml:space="preserve"> </w:t>
      </w:r>
      <w:r w:rsidR="008F4812">
        <w:rPr>
          <w:sz w:val="26"/>
          <w:szCs w:val="26"/>
        </w:rPr>
        <w:t xml:space="preserve">PPL Electric </w:t>
      </w:r>
      <w:r w:rsidR="0023584A">
        <w:rPr>
          <w:sz w:val="26"/>
          <w:szCs w:val="26"/>
        </w:rPr>
        <w:t xml:space="preserve">Utilities Corporation </w:t>
      </w:r>
      <w:r w:rsidR="008F4812">
        <w:rPr>
          <w:sz w:val="26"/>
          <w:szCs w:val="26"/>
        </w:rPr>
        <w:t>will inform the Commission’s Bureau of Consumer Service</w:t>
      </w:r>
      <w:r w:rsidR="008B2464">
        <w:rPr>
          <w:sz w:val="26"/>
          <w:szCs w:val="26"/>
        </w:rPr>
        <w:t xml:space="preserve">s, the </w:t>
      </w:r>
      <w:r w:rsidR="008F4812">
        <w:rPr>
          <w:sz w:val="26"/>
          <w:szCs w:val="26"/>
        </w:rPr>
        <w:t>Office of Consumer Advocate</w:t>
      </w:r>
      <w:r w:rsidR="0023584A">
        <w:rPr>
          <w:sz w:val="26"/>
          <w:szCs w:val="26"/>
        </w:rPr>
        <w:t>,</w:t>
      </w:r>
      <w:r w:rsidR="008F4812">
        <w:rPr>
          <w:sz w:val="26"/>
          <w:szCs w:val="26"/>
        </w:rPr>
        <w:t xml:space="preserve"> and other interested parties at least thirty</w:t>
      </w:r>
      <w:r w:rsidR="0023584A">
        <w:rPr>
          <w:sz w:val="26"/>
          <w:szCs w:val="26"/>
        </w:rPr>
        <w:t> </w:t>
      </w:r>
      <w:r w:rsidR="00AE4D74">
        <w:rPr>
          <w:sz w:val="26"/>
          <w:szCs w:val="26"/>
        </w:rPr>
        <w:t>(30)</w:t>
      </w:r>
      <w:r w:rsidR="008F4812">
        <w:rPr>
          <w:sz w:val="26"/>
          <w:szCs w:val="26"/>
        </w:rPr>
        <w:t xml:space="preserve"> days in advance if it intends to make any substantive changes to the </w:t>
      </w:r>
      <w:r w:rsidR="009C02C9">
        <w:rPr>
          <w:sz w:val="26"/>
          <w:szCs w:val="26"/>
        </w:rPr>
        <w:t>w</w:t>
      </w:r>
      <w:r w:rsidR="009764E6">
        <w:rPr>
          <w:sz w:val="26"/>
          <w:szCs w:val="26"/>
        </w:rPr>
        <w:t>ebsite</w:t>
      </w:r>
      <w:r w:rsidR="008F4812">
        <w:rPr>
          <w:sz w:val="26"/>
          <w:szCs w:val="26"/>
        </w:rPr>
        <w:t xml:space="preserve"> or </w:t>
      </w:r>
      <w:r w:rsidR="0023584A" w:rsidRPr="00C756B2">
        <w:rPr>
          <w:sz w:val="26"/>
          <w:szCs w:val="26"/>
        </w:rPr>
        <w:t>interactive voice capabilities (IVR</w:t>
      </w:r>
      <w:r w:rsidR="0023584A">
        <w:rPr>
          <w:sz w:val="26"/>
          <w:szCs w:val="26"/>
        </w:rPr>
        <w:t xml:space="preserve">) </w:t>
      </w:r>
      <w:r w:rsidR="008F4812">
        <w:rPr>
          <w:sz w:val="26"/>
          <w:szCs w:val="26"/>
        </w:rPr>
        <w:t>systems regarding establishing payment agreements.</w:t>
      </w:r>
    </w:p>
    <w:p w:rsidR="008F4812" w:rsidRDefault="008F4812" w:rsidP="00C756B2">
      <w:pPr>
        <w:tabs>
          <w:tab w:val="left" w:pos="742"/>
        </w:tabs>
        <w:spacing w:line="360" w:lineRule="auto"/>
        <w:textAlignment w:val="baseline"/>
        <w:rPr>
          <w:sz w:val="26"/>
          <w:szCs w:val="26"/>
        </w:rPr>
      </w:pPr>
    </w:p>
    <w:p w:rsidR="006B72F7" w:rsidRPr="006B72F7" w:rsidRDefault="006B72F7" w:rsidP="00BC30AA">
      <w:pPr>
        <w:tabs>
          <w:tab w:val="left" w:pos="720"/>
        </w:tabs>
        <w:spacing w:line="360" w:lineRule="auto"/>
        <w:textAlignment w:val="baseline"/>
        <w:rPr>
          <w:sz w:val="26"/>
          <w:szCs w:val="26"/>
        </w:rPr>
      </w:pPr>
      <w:r w:rsidRPr="00C756B2">
        <w:rPr>
          <w:sz w:val="26"/>
          <w:szCs w:val="26"/>
        </w:rPr>
        <w:tab/>
      </w:r>
      <w:r>
        <w:rPr>
          <w:sz w:val="26"/>
          <w:szCs w:val="26"/>
        </w:rPr>
        <w:t>3</w:t>
      </w:r>
      <w:r w:rsidRPr="00C756B2">
        <w:rPr>
          <w:sz w:val="26"/>
          <w:szCs w:val="26"/>
        </w:rPr>
        <w:t>.</w:t>
      </w:r>
      <w:r w:rsidRPr="00C756B2">
        <w:rPr>
          <w:sz w:val="26"/>
          <w:szCs w:val="26"/>
        </w:rPr>
        <w:tab/>
      </w:r>
      <w:r>
        <w:rPr>
          <w:sz w:val="26"/>
          <w:szCs w:val="26"/>
        </w:rPr>
        <w:t>That</w:t>
      </w:r>
      <w:r w:rsidR="008F4812" w:rsidRPr="006B72F7">
        <w:rPr>
          <w:sz w:val="26"/>
          <w:szCs w:val="26"/>
        </w:rPr>
        <w:t xml:space="preserve"> </w:t>
      </w:r>
      <w:r w:rsidR="00F1591D" w:rsidRPr="006B72F7">
        <w:rPr>
          <w:sz w:val="26"/>
          <w:szCs w:val="26"/>
        </w:rPr>
        <w:t>PPL Electric</w:t>
      </w:r>
      <w:r w:rsidR="008F4812" w:rsidRPr="006B72F7">
        <w:rPr>
          <w:sz w:val="26"/>
          <w:szCs w:val="26"/>
        </w:rPr>
        <w:t xml:space="preserve"> </w:t>
      </w:r>
      <w:r w:rsidR="0023584A" w:rsidRPr="006B72F7">
        <w:rPr>
          <w:sz w:val="26"/>
          <w:szCs w:val="26"/>
        </w:rPr>
        <w:t xml:space="preserve">Utilities Corporation </w:t>
      </w:r>
      <w:r w:rsidR="008F4812" w:rsidRPr="006B72F7">
        <w:rPr>
          <w:sz w:val="26"/>
          <w:szCs w:val="26"/>
        </w:rPr>
        <w:t xml:space="preserve">will </w:t>
      </w:r>
      <w:r w:rsidR="00ED3F5D" w:rsidRPr="006B72F7">
        <w:rPr>
          <w:sz w:val="26"/>
          <w:szCs w:val="26"/>
        </w:rPr>
        <w:t xml:space="preserve">file and serve </w:t>
      </w:r>
      <w:r w:rsidR="008F4812" w:rsidRPr="006B72F7">
        <w:rPr>
          <w:sz w:val="26"/>
          <w:szCs w:val="26"/>
        </w:rPr>
        <w:t xml:space="preserve">an annual statistical report </w:t>
      </w:r>
      <w:r w:rsidR="00AF57F7" w:rsidRPr="006B72F7">
        <w:rPr>
          <w:sz w:val="26"/>
          <w:szCs w:val="26"/>
        </w:rPr>
        <w:t xml:space="preserve">detailing customer usage of the program </w:t>
      </w:r>
      <w:r w:rsidR="008F4812" w:rsidRPr="006B72F7">
        <w:rPr>
          <w:sz w:val="26"/>
          <w:szCs w:val="26"/>
        </w:rPr>
        <w:t>by February 15</w:t>
      </w:r>
      <w:r w:rsidR="008F4812" w:rsidRPr="006B72F7">
        <w:rPr>
          <w:sz w:val="26"/>
          <w:szCs w:val="26"/>
          <w:vertAlign w:val="superscript"/>
        </w:rPr>
        <w:t>th</w:t>
      </w:r>
      <w:r w:rsidR="008F4812" w:rsidRPr="006B72F7">
        <w:rPr>
          <w:sz w:val="26"/>
          <w:szCs w:val="26"/>
        </w:rPr>
        <w:t xml:space="preserve"> </w:t>
      </w:r>
      <w:r w:rsidR="00E22E0C" w:rsidRPr="006B72F7">
        <w:rPr>
          <w:sz w:val="26"/>
          <w:szCs w:val="26"/>
        </w:rPr>
        <w:t xml:space="preserve">of every year of the </w:t>
      </w:r>
      <w:r w:rsidRPr="006B72F7">
        <w:rPr>
          <w:sz w:val="26"/>
          <w:szCs w:val="26"/>
        </w:rPr>
        <w:t xml:space="preserve">temporary partial </w:t>
      </w:r>
      <w:r w:rsidR="00E22E0C" w:rsidRPr="006B72F7">
        <w:rPr>
          <w:sz w:val="26"/>
          <w:szCs w:val="26"/>
        </w:rPr>
        <w:t>waiver</w:t>
      </w:r>
      <w:r w:rsidR="007D1C52" w:rsidRPr="006B72F7">
        <w:rPr>
          <w:sz w:val="26"/>
          <w:szCs w:val="26"/>
        </w:rPr>
        <w:t xml:space="preserve"> beginning in 201</w:t>
      </w:r>
      <w:r w:rsidR="0023584A" w:rsidRPr="006B72F7">
        <w:rPr>
          <w:sz w:val="26"/>
          <w:szCs w:val="26"/>
        </w:rPr>
        <w:t xml:space="preserve">8 for this new </w:t>
      </w:r>
      <w:r w:rsidRPr="006B72F7">
        <w:rPr>
          <w:sz w:val="26"/>
          <w:szCs w:val="26"/>
        </w:rPr>
        <w:t xml:space="preserve">temporary partial </w:t>
      </w:r>
      <w:r w:rsidR="0023584A" w:rsidRPr="006B72F7">
        <w:rPr>
          <w:sz w:val="26"/>
          <w:szCs w:val="26"/>
        </w:rPr>
        <w:t>waiver</w:t>
      </w:r>
      <w:r w:rsidR="00E22E0C" w:rsidRPr="006B72F7">
        <w:rPr>
          <w:sz w:val="26"/>
          <w:szCs w:val="26"/>
        </w:rPr>
        <w:t>.</w:t>
      </w:r>
      <w:r w:rsidR="0023584A" w:rsidRPr="006B72F7">
        <w:rPr>
          <w:sz w:val="26"/>
          <w:szCs w:val="26"/>
        </w:rPr>
        <w:t xml:space="preserve">  </w:t>
      </w:r>
      <w:r w:rsidR="001A32BD" w:rsidRPr="006B72F7">
        <w:rPr>
          <w:sz w:val="26"/>
          <w:szCs w:val="26"/>
        </w:rPr>
        <w:t xml:space="preserve">The annual reports </w:t>
      </w:r>
      <w:r w:rsidR="00EC3DA1" w:rsidRPr="006B72F7">
        <w:rPr>
          <w:sz w:val="26"/>
          <w:szCs w:val="26"/>
        </w:rPr>
        <w:t xml:space="preserve">for the new waiver period granted by this Order </w:t>
      </w:r>
      <w:r w:rsidR="001A32BD" w:rsidRPr="006B72F7">
        <w:rPr>
          <w:sz w:val="26"/>
          <w:szCs w:val="26"/>
        </w:rPr>
        <w:t xml:space="preserve">shall be filed at this docket, served on the parties of record, and provided in Word®-compatible format to the Bureau of Consumer Services.  </w:t>
      </w:r>
    </w:p>
    <w:p w:rsidR="00875B85" w:rsidRDefault="00875B85">
      <w:pPr>
        <w:overflowPunct/>
        <w:autoSpaceDE/>
        <w:autoSpaceDN/>
        <w:adjustRightInd/>
        <w:spacing w:after="200" w:line="276" w:lineRule="auto"/>
        <w:rPr>
          <w:sz w:val="26"/>
          <w:szCs w:val="26"/>
        </w:rPr>
      </w:pPr>
    </w:p>
    <w:p w:rsidR="008F4812" w:rsidRPr="006B72F7" w:rsidRDefault="006B72F7" w:rsidP="00BC30AA">
      <w:pPr>
        <w:tabs>
          <w:tab w:val="left" w:pos="720"/>
        </w:tabs>
        <w:spacing w:line="360" w:lineRule="auto"/>
        <w:textAlignment w:val="baseline"/>
        <w:rPr>
          <w:sz w:val="26"/>
          <w:szCs w:val="26"/>
        </w:rPr>
      </w:pPr>
      <w:r w:rsidRPr="00C756B2">
        <w:rPr>
          <w:sz w:val="26"/>
          <w:szCs w:val="26"/>
        </w:rPr>
        <w:lastRenderedPageBreak/>
        <w:tab/>
      </w:r>
      <w:r>
        <w:rPr>
          <w:sz w:val="26"/>
          <w:szCs w:val="26"/>
        </w:rPr>
        <w:t>4</w:t>
      </w:r>
      <w:r w:rsidRPr="00C756B2">
        <w:rPr>
          <w:sz w:val="26"/>
          <w:szCs w:val="26"/>
        </w:rPr>
        <w:t>.</w:t>
      </w:r>
      <w:r w:rsidRPr="00C756B2">
        <w:rPr>
          <w:sz w:val="26"/>
          <w:szCs w:val="26"/>
        </w:rPr>
        <w:tab/>
      </w:r>
      <w:r>
        <w:rPr>
          <w:sz w:val="26"/>
          <w:szCs w:val="26"/>
        </w:rPr>
        <w:t>That</w:t>
      </w:r>
      <w:r w:rsidRPr="006B72F7">
        <w:rPr>
          <w:sz w:val="26"/>
          <w:szCs w:val="26"/>
        </w:rPr>
        <w:t xml:space="preserve"> </w:t>
      </w:r>
      <w:r w:rsidR="0023584A" w:rsidRPr="006B72F7">
        <w:rPr>
          <w:sz w:val="26"/>
          <w:szCs w:val="26"/>
        </w:rPr>
        <w:t xml:space="preserve">PPL Electric Utilities Corporation </w:t>
      </w:r>
      <w:r w:rsidR="00EC3DA1" w:rsidRPr="006B72F7">
        <w:rPr>
          <w:sz w:val="26"/>
          <w:szCs w:val="26"/>
        </w:rPr>
        <w:t xml:space="preserve">shall file </w:t>
      </w:r>
      <w:r w:rsidR="0023584A" w:rsidRPr="006B72F7">
        <w:rPr>
          <w:sz w:val="26"/>
          <w:szCs w:val="26"/>
        </w:rPr>
        <w:t xml:space="preserve">the annual report </w:t>
      </w:r>
      <w:r w:rsidR="00EC3DA1" w:rsidRPr="006B72F7">
        <w:rPr>
          <w:sz w:val="26"/>
          <w:szCs w:val="26"/>
        </w:rPr>
        <w:t xml:space="preserve">for the waiver year ending December 31, 2016, </w:t>
      </w:r>
      <w:r w:rsidR="0023584A" w:rsidRPr="006B72F7">
        <w:rPr>
          <w:sz w:val="26"/>
          <w:szCs w:val="26"/>
        </w:rPr>
        <w:t>by February 15, 2017.</w:t>
      </w:r>
      <w:r w:rsidR="00ED3F5D" w:rsidRPr="006B72F7">
        <w:rPr>
          <w:sz w:val="26"/>
          <w:szCs w:val="26"/>
        </w:rPr>
        <w:t xml:space="preserve">  </w:t>
      </w:r>
      <w:r w:rsidR="001A32BD" w:rsidRPr="006B72F7">
        <w:rPr>
          <w:sz w:val="26"/>
          <w:szCs w:val="26"/>
        </w:rPr>
        <w:t xml:space="preserve">That annual report shall be filed at the </w:t>
      </w:r>
      <w:r w:rsidR="001A32BD" w:rsidRPr="006B72F7">
        <w:rPr>
          <w:i/>
          <w:sz w:val="26"/>
          <w:szCs w:val="26"/>
        </w:rPr>
        <w:t>2013 Waiver Order</w:t>
      </w:r>
      <w:r w:rsidR="001A32BD" w:rsidRPr="006B72F7">
        <w:rPr>
          <w:sz w:val="26"/>
          <w:szCs w:val="26"/>
        </w:rPr>
        <w:t xml:space="preserve"> docket, served on the parties of record, and provided in Word®-compatible format to the Bureau of Consumer Services.</w:t>
      </w:r>
      <w:r w:rsidR="00D71ACF">
        <w:rPr>
          <w:sz w:val="26"/>
          <w:szCs w:val="26"/>
        </w:rPr>
        <w:t xml:space="preserve">  </w:t>
      </w:r>
    </w:p>
    <w:p w:rsidR="008F4812" w:rsidRDefault="008F4812" w:rsidP="00C756B2">
      <w:pPr>
        <w:tabs>
          <w:tab w:val="left" w:pos="742"/>
        </w:tabs>
        <w:spacing w:line="360" w:lineRule="auto"/>
        <w:textAlignment w:val="baseline"/>
        <w:rPr>
          <w:sz w:val="26"/>
          <w:szCs w:val="26"/>
        </w:rPr>
      </w:pPr>
    </w:p>
    <w:p w:rsidR="008F4812" w:rsidRDefault="008F4812" w:rsidP="00BC30AA">
      <w:pPr>
        <w:tabs>
          <w:tab w:val="left" w:pos="720"/>
        </w:tabs>
        <w:spacing w:line="360" w:lineRule="auto"/>
        <w:textAlignment w:val="baseline"/>
        <w:rPr>
          <w:sz w:val="26"/>
          <w:szCs w:val="26"/>
        </w:rPr>
      </w:pPr>
      <w:r>
        <w:rPr>
          <w:sz w:val="26"/>
          <w:szCs w:val="26"/>
        </w:rPr>
        <w:tab/>
      </w:r>
      <w:r w:rsidR="006B72F7">
        <w:rPr>
          <w:sz w:val="26"/>
          <w:szCs w:val="26"/>
        </w:rPr>
        <w:t>5</w:t>
      </w:r>
      <w:r>
        <w:rPr>
          <w:sz w:val="26"/>
          <w:szCs w:val="26"/>
        </w:rPr>
        <w:t>.</w:t>
      </w:r>
      <w:r>
        <w:rPr>
          <w:sz w:val="26"/>
          <w:szCs w:val="26"/>
        </w:rPr>
        <w:tab/>
        <w:t xml:space="preserve">That PPL Electric </w:t>
      </w:r>
      <w:r w:rsidR="0023584A">
        <w:rPr>
          <w:sz w:val="26"/>
          <w:szCs w:val="26"/>
        </w:rPr>
        <w:t xml:space="preserve">Utilities Corporation </w:t>
      </w:r>
      <w:r>
        <w:rPr>
          <w:sz w:val="26"/>
          <w:szCs w:val="26"/>
        </w:rPr>
        <w:t xml:space="preserve">will </w:t>
      </w:r>
      <w:r w:rsidR="006B72F7">
        <w:rPr>
          <w:sz w:val="26"/>
          <w:szCs w:val="26"/>
        </w:rPr>
        <w:t xml:space="preserve">file and serve </w:t>
      </w:r>
      <w:r>
        <w:rPr>
          <w:sz w:val="26"/>
          <w:szCs w:val="26"/>
        </w:rPr>
        <w:t xml:space="preserve">a comprehensive report sixty </w:t>
      </w:r>
      <w:r w:rsidR="00AE4D74">
        <w:rPr>
          <w:sz w:val="26"/>
          <w:szCs w:val="26"/>
        </w:rPr>
        <w:t xml:space="preserve">(60) </w:t>
      </w:r>
      <w:r>
        <w:rPr>
          <w:sz w:val="26"/>
          <w:szCs w:val="26"/>
        </w:rPr>
        <w:t xml:space="preserve">days prior to the expiration of the </w:t>
      </w:r>
      <w:r w:rsidR="003A2678">
        <w:rPr>
          <w:sz w:val="26"/>
          <w:szCs w:val="26"/>
        </w:rPr>
        <w:t>six-</w:t>
      </w:r>
      <w:r>
        <w:rPr>
          <w:sz w:val="26"/>
          <w:szCs w:val="26"/>
        </w:rPr>
        <w:t xml:space="preserve">year </w:t>
      </w:r>
      <w:r w:rsidR="006B72F7">
        <w:rPr>
          <w:sz w:val="26"/>
          <w:szCs w:val="26"/>
        </w:rPr>
        <w:t xml:space="preserve">temporary partial </w:t>
      </w:r>
      <w:r>
        <w:rPr>
          <w:sz w:val="26"/>
          <w:szCs w:val="26"/>
        </w:rPr>
        <w:t>waiver granted by this Order.</w:t>
      </w:r>
      <w:r w:rsidR="00AF57F7">
        <w:rPr>
          <w:sz w:val="26"/>
          <w:szCs w:val="26"/>
        </w:rPr>
        <w:t xml:space="preserve">  </w:t>
      </w:r>
      <w:r w:rsidR="00AF57F7" w:rsidRPr="00AF57F7">
        <w:rPr>
          <w:sz w:val="26"/>
          <w:szCs w:val="26"/>
        </w:rPr>
        <w:t xml:space="preserve">This report should evaluate the overall effectiveness of the program and include information </w:t>
      </w:r>
      <w:r w:rsidR="00AE4D74">
        <w:rPr>
          <w:sz w:val="26"/>
          <w:szCs w:val="26"/>
        </w:rPr>
        <w:t xml:space="preserve">such </w:t>
      </w:r>
      <w:r w:rsidR="00AF57F7" w:rsidRPr="00AF57F7">
        <w:rPr>
          <w:sz w:val="26"/>
          <w:szCs w:val="26"/>
        </w:rPr>
        <w:t>as any problems encountered with</w:t>
      </w:r>
      <w:r w:rsidR="001D69EE">
        <w:rPr>
          <w:sz w:val="26"/>
          <w:szCs w:val="26"/>
        </w:rPr>
        <w:t xml:space="preserve"> the original </w:t>
      </w:r>
      <w:r w:rsidR="00AF57F7" w:rsidRPr="00AF57F7">
        <w:rPr>
          <w:sz w:val="26"/>
          <w:szCs w:val="26"/>
        </w:rPr>
        <w:t xml:space="preserve">implementation and program availability, the frequency of and percentage of customer usage, the number of complaints stemming from use of the program, and the number of service terminations prevented from use of the program.  </w:t>
      </w:r>
      <w:r w:rsidR="009C02C9">
        <w:rPr>
          <w:sz w:val="26"/>
          <w:szCs w:val="26"/>
        </w:rPr>
        <w:t xml:space="preserve">PPL Electric </w:t>
      </w:r>
      <w:r w:rsidR="0023584A">
        <w:rPr>
          <w:sz w:val="26"/>
          <w:szCs w:val="26"/>
        </w:rPr>
        <w:t xml:space="preserve">Utilities Corporation shall </w:t>
      </w:r>
      <w:r w:rsidR="00AF57F7" w:rsidRPr="00AF57F7">
        <w:rPr>
          <w:sz w:val="26"/>
          <w:szCs w:val="26"/>
        </w:rPr>
        <w:t>also include any information and data that it believes will allow the Commission to fully evaluate the program’s effectiveness.</w:t>
      </w:r>
      <w:r w:rsidR="003A2678">
        <w:rPr>
          <w:sz w:val="26"/>
          <w:szCs w:val="26"/>
        </w:rPr>
        <w:t xml:space="preserve">  The report shall be filed at this docket, served on the parties of record, and provided in Word®-compatible format to the Bureau of Consumer Services.</w:t>
      </w:r>
    </w:p>
    <w:p w:rsidR="008F4812" w:rsidRDefault="008F4812" w:rsidP="00C756B2">
      <w:pPr>
        <w:tabs>
          <w:tab w:val="left" w:pos="742"/>
        </w:tabs>
        <w:spacing w:line="360" w:lineRule="auto"/>
        <w:textAlignment w:val="baseline"/>
        <w:rPr>
          <w:sz w:val="26"/>
          <w:szCs w:val="26"/>
        </w:rPr>
      </w:pPr>
    </w:p>
    <w:p w:rsidR="00D71ACF" w:rsidRDefault="00D71ACF" w:rsidP="00BC30AA">
      <w:pPr>
        <w:tabs>
          <w:tab w:val="left" w:pos="720"/>
        </w:tabs>
        <w:spacing w:line="360" w:lineRule="auto"/>
        <w:textAlignment w:val="baseline"/>
        <w:rPr>
          <w:sz w:val="26"/>
          <w:szCs w:val="26"/>
        </w:rPr>
      </w:pPr>
      <w:r>
        <w:rPr>
          <w:sz w:val="26"/>
          <w:szCs w:val="26"/>
        </w:rPr>
        <w:tab/>
        <w:t>6.</w:t>
      </w:r>
      <w:r>
        <w:rPr>
          <w:sz w:val="26"/>
          <w:szCs w:val="26"/>
        </w:rPr>
        <w:tab/>
        <w:t xml:space="preserve">That the reports shall be consistent with the existing prior requirements and further quantified and specific as to the number, nature, and resolution of the complaints filed with the utility and the complaints filed with the Commission and/or the Bureau of Consumer Services.  The reports should indicate the monthly distribution of website and </w:t>
      </w:r>
      <w:r w:rsidRPr="00C756B2">
        <w:rPr>
          <w:sz w:val="26"/>
          <w:szCs w:val="26"/>
        </w:rPr>
        <w:t>interactive voice capabilities (IVR</w:t>
      </w:r>
      <w:r>
        <w:rPr>
          <w:sz w:val="26"/>
          <w:szCs w:val="26"/>
        </w:rPr>
        <w:t xml:space="preserve">) systems usage.  </w:t>
      </w:r>
      <w:r w:rsidRPr="006B72F7">
        <w:rPr>
          <w:sz w:val="26"/>
          <w:szCs w:val="26"/>
        </w:rPr>
        <w:t>PPL Electric Utilities Corporation</w:t>
      </w:r>
      <w:r>
        <w:rPr>
          <w:sz w:val="26"/>
          <w:szCs w:val="26"/>
        </w:rPr>
        <w:t xml:space="preserve"> shall work with BCS to ensure that the reports contain relevant and requisite information.</w:t>
      </w:r>
    </w:p>
    <w:p w:rsidR="00D71ACF" w:rsidRDefault="00D71ACF" w:rsidP="00C756B2">
      <w:pPr>
        <w:tabs>
          <w:tab w:val="left" w:pos="742"/>
        </w:tabs>
        <w:spacing w:line="360" w:lineRule="auto"/>
        <w:textAlignment w:val="baseline"/>
        <w:rPr>
          <w:sz w:val="26"/>
          <w:szCs w:val="26"/>
        </w:rPr>
      </w:pPr>
    </w:p>
    <w:p w:rsidR="00875B85" w:rsidRDefault="008F4812" w:rsidP="00BC30AA">
      <w:pPr>
        <w:tabs>
          <w:tab w:val="left" w:pos="720"/>
        </w:tabs>
        <w:spacing w:line="360" w:lineRule="auto"/>
        <w:textAlignment w:val="baseline"/>
        <w:rPr>
          <w:sz w:val="26"/>
          <w:szCs w:val="26"/>
        </w:rPr>
      </w:pPr>
      <w:r>
        <w:rPr>
          <w:sz w:val="26"/>
          <w:szCs w:val="26"/>
        </w:rPr>
        <w:tab/>
      </w:r>
      <w:r w:rsidR="00D71ACF">
        <w:rPr>
          <w:sz w:val="26"/>
          <w:szCs w:val="26"/>
        </w:rPr>
        <w:t>7</w:t>
      </w:r>
      <w:r w:rsidRPr="003A2678">
        <w:rPr>
          <w:sz w:val="26"/>
          <w:szCs w:val="26"/>
        </w:rPr>
        <w:t>.</w:t>
      </w:r>
      <w:r w:rsidRPr="003A2678">
        <w:rPr>
          <w:sz w:val="26"/>
          <w:szCs w:val="26"/>
        </w:rPr>
        <w:tab/>
        <w:t xml:space="preserve">That </w:t>
      </w:r>
      <w:r w:rsidR="009C02C9" w:rsidRPr="003A2678">
        <w:rPr>
          <w:sz w:val="26"/>
          <w:szCs w:val="26"/>
        </w:rPr>
        <w:t xml:space="preserve">PPL Electric </w:t>
      </w:r>
      <w:r w:rsidR="0023584A" w:rsidRPr="003A2678">
        <w:rPr>
          <w:sz w:val="26"/>
          <w:szCs w:val="26"/>
        </w:rPr>
        <w:t xml:space="preserve">Utilities Corporation </w:t>
      </w:r>
      <w:r w:rsidRPr="003A2678">
        <w:rPr>
          <w:sz w:val="26"/>
          <w:szCs w:val="26"/>
        </w:rPr>
        <w:t xml:space="preserve">may request a permanent </w:t>
      </w:r>
      <w:r w:rsidR="00EC3DA1">
        <w:rPr>
          <w:sz w:val="26"/>
          <w:szCs w:val="26"/>
        </w:rPr>
        <w:t xml:space="preserve">partial </w:t>
      </w:r>
      <w:r w:rsidRPr="003A2678">
        <w:rPr>
          <w:sz w:val="26"/>
          <w:szCs w:val="26"/>
        </w:rPr>
        <w:t>waiver</w:t>
      </w:r>
      <w:r w:rsidR="00E22E0C" w:rsidRPr="003A2678">
        <w:rPr>
          <w:sz w:val="26"/>
          <w:szCs w:val="26"/>
        </w:rPr>
        <w:t xml:space="preserve"> of 52 Pa. Code </w:t>
      </w:r>
      <w:r w:rsidR="00B16EC4">
        <w:rPr>
          <w:sz w:val="26"/>
          <w:szCs w:val="26"/>
        </w:rPr>
        <w:t>§</w:t>
      </w:r>
      <w:r w:rsidR="00E22E0C" w:rsidRPr="003A2678">
        <w:rPr>
          <w:sz w:val="26"/>
          <w:szCs w:val="26"/>
        </w:rPr>
        <w:t xml:space="preserve"> 56.97(a)</w:t>
      </w:r>
      <w:r w:rsidRPr="003A2678">
        <w:rPr>
          <w:sz w:val="26"/>
          <w:szCs w:val="26"/>
        </w:rPr>
        <w:t xml:space="preserve"> for the </w:t>
      </w:r>
      <w:r w:rsidR="009C02C9" w:rsidRPr="003A2678">
        <w:rPr>
          <w:sz w:val="26"/>
          <w:szCs w:val="26"/>
        </w:rPr>
        <w:t>w</w:t>
      </w:r>
      <w:r w:rsidR="009764E6" w:rsidRPr="003A2678">
        <w:rPr>
          <w:sz w:val="26"/>
          <w:szCs w:val="26"/>
        </w:rPr>
        <w:t>ebsite</w:t>
      </w:r>
      <w:r w:rsidRPr="003A2678">
        <w:rPr>
          <w:sz w:val="26"/>
          <w:szCs w:val="26"/>
        </w:rPr>
        <w:t xml:space="preserve"> and IVR systems before the expiration of the waiver granted by this Order.</w:t>
      </w:r>
      <w:r w:rsidR="0023584A" w:rsidRPr="003A2678">
        <w:rPr>
          <w:sz w:val="26"/>
          <w:szCs w:val="26"/>
        </w:rPr>
        <w:t xml:space="preserve">  </w:t>
      </w:r>
      <w:r w:rsidR="003A2678" w:rsidRPr="003A2678">
        <w:rPr>
          <w:sz w:val="26"/>
          <w:szCs w:val="26"/>
        </w:rPr>
        <w:t xml:space="preserve">Said request should be in the alternative </w:t>
      </w:r>
      <w:r w:rsidR="000519D9">
        <w:rPr>
          <w:sz w:val="26"/>
          <w:szCs w:val="26"/>
        </w:rPr>
        <w:t xml:space="preserve">and coupled </w:t>
      </w:r>
      <w:r w:rsidR="003A2678" w:rsidRPr="003A2678">
        <w:rPr>
          <w:sz w:val="26"/>
          <w:szCs w:val="26"/>
        </w:rPr>
        <w:t>with a</w:t>
      </w:r>
      <w:r w:rsidR="003A2678">
        <w:rPr>
          <w:sz w:val="26"/>
          <w:szCs w:val="26"/>
        </w:rPr>
        <w:t xml:space="preserve"> </w:t>
      </w:r>
      <w:r w:rsidR="001A32BD">
        <w:rPr>
          <w:sz w:val="26"/>
          <w:szCs w:val="26"/>
        </w:rPr>
        <w:t xml:space="preserve">request </w:t>
      </w:r>
      <w:r w:rsidR="003A2678">
        <w:rPr>
          <w:sz w:val="26"/>
          <w:szCs w:val="26"/>
        </w:rPr>
        <w:t xml:space="preserve">for a further temporary extension subject to any consensus reached with stakeholders.  </w:t>
      </w:r>
      <w:r w:rsidR="000519D9">
        <w:rPr>
          <w:sz w:val="26"/>
          <w:szCs w:val="26"/>
        </w:rPr>
        <w:t xml:space="preserve">Said request shall be filed not later than three months prior to the </w:t>
      </w:r>
      <w:r w:rsidR="000519D9">
        <w:rPr>
          <w:sz w:val="26"/>
          <w:szCs w:val="26"/>
        </w:rPr>
        <w:lastRenderedPageBreak/>
        <w:t xml:space="preserve">expiration of the waiver granted herein.  Commission action on said request will be dependent upon the timely filing by PPL Electric Utilities Corporation of the comprehensive report due </w:t>
      </w:r>
      <w:r w:rsidR="002539E3">
        <w:rPr>
          <w:sz w:val="26"/>
          <w:szCs w:val="26"/>
        </w:rPr>
        <w:t xml:space="preserve">no later than November 1, 2022.  If Commission action on the request is delayed, the temporary partial waiver granted here in will continue on a month-to-month basis until the Commission does act on </w:t>
      </w:r>
      <w:r w:rsidR="00875B85">
        <w:rPr>
          <w:sz w:val="26"/>
          <w:szCs w:val="26"/>
        </w:rPr>
        <w:t>the request.</w:t>
      </w:r>
    </w:p>
    <w:p w:rsidR="00875B85" w:rsidRDefault="00875B85" w:rsidP="00875B85">
      <w:pPr>
        <w:tabs>
          <w:tab w:val="left" w:pos="742"/>
        </w:tabs>
        <w:spacing w:line="360" w:lineRule="auto"/>
        <w:textAlignment w:val="baseline"/>
        <w:rPr>
          <w:sz w:val="26"/>
          <w:szCs w:val="26"/>
        </w:rPr>
      </w:pPr>
    </w:p>
    <w:p w:rsidR="00875B85" w:rsidRDefault="00875B85" w:rsidP="00BC30AA">
      <w:pPr>
        <w:tabs>
          <w:tab w:val="left" w:pos="720"/>
        </w:tabs>
        <w:spacing w:line="360" w:lineRule="auto"/>
        <w:textAlignment w:val="baseline"/>
        <w:rPr>
          <w:sz w:val="26"/>
          <w:szCs w:val="26"/>
        </w:rPr>
      </w:pPr>
      <w:r>
        <w:rPr>
          <w:sz w:val="26"/>
          <w:szCs w:val="26"/>
        </w:rPr>
        <w:tab/>
      </w:r>
      <w:r w:rsidR="00D71ACF">
        <w:rPr>
          <w:sz w:val="26"/>
          <w:szCs w:val="26"/>
        </w:rPr>
        <w:t>8</w:t>
      </w:r>
      <w:r w:rsidR="00A446E6" w:rsidRPr="00C756B2">
        <w:rPr>
          <w:sz w:val="26"/>
          <w:szCs w:val="26"/>
        </w:rPr>
        <w:t>.</w:t>
      </w:r>
      <w:r w:rsidR="00A446E6" w:rsidRPr="00C756B2">
        <w:rPr>
          <w:sz w:val="26"/>
          <w:szCs w:val="26"/>
        </w:rPr>
        <w:tab/>
        <w:t xml:space="preserve">That a copy of this </w:t>
      </w:r>
      <w:r w:rsidR="00AE4D74">
        <w:rPr>
          <w:sz w:val="26"/>
          <w:szCs w:val="26"/>
        </w:rPr>
        <w:t>O</w:t>
      </w:r>
      <w:r w:rsidR="00A446E6" w:rsidRPr="00C756B2">
        <w:rPr>
          <w:sz w:val="26"/>
          <w:szCs w:val="26"/>
        </w:rPr>
        <w:t>rder be served on</w:t>
      </w:r>
      <w:r w:rsidR="003E0FAB" w:rsidRPr="00C756B2">
        <w:rPr>
          <w:sz w:val="26"/>
          <w:szCs w:val="26"/>
        </w:rPr>
        <w:t xml:space="preserve"> </w:t>
      </w:r>
      <w:r w:rsidR="009C02C9">
        <w:rPr>
          <w:sz w:val="26"/>
          <w:szCs w:val="26"/>
        </w:rPr>
        <w:t>PPL Electric</w:t>
      </w:r>
      <w:r w:rsidR="003253C7">
        <w:rPr>
          <w:sz w:val="26"/>
          <w:szCs w:val="26"/>
        </w:rPr>
        <w:t xml:space="preserve"> Utilities Corporation,</w:t>
      </w:r>
      <w:r w:rsidR="00E22E0C">
        <w:rPr>
          <w:sz w:val="26"/>
          <w:szCs w:val="26"/>
        </w:rPr>
        <w:t xml:space="preserve"> the Pennsylvania Public Utility Law </w:t>
      </w:r>
      <w:r w:rsidR="00CA3C2A">
        <w:rPr>
          <w:sz w:val="26"/>
          <w:szCs w:val="26"/>
        </w:rPr>
        <w:t>Project</w:t>
      </w:r>
      <w:r w:rsidR="00E22E0C">
        <w:rPr>
          <w:sz w:val="26"/>
          <w:szCs w:val="26"/>
        </w:rPr>
        <w:t>,</w:t>
      </w:r>
      <w:r w:rsidR="00A446E6" w:rsidRPr="00C756B2">
        <w:rPr>
          <w:sz w:val="26"/>
          <w:szCs w:val="26"/>
        </w:rPr>
        <w:t xml:space="preserve"> the Office of Small Business Advocate, </w:t>
      </w:r>
      <w:r w:rsidR="008B2464">
        <w:rPr>
          <w:sz w:val="26"/>
          <w:szCs w:val="26"/>
        </w:rPr>
        <w:t xml:space="preserve">the </w:t>
      </w:r>
      <w:r w:rsidR="00A446E6" w:rsidRPr="00C756B2">
        <w:rPr>
          <w:sz w:val="26"/>
          <w:szCs w:val="26"/>
        </w:rPr>
        <w:t xml:space="preserve">Office of Consumer Advocate, </w:t>
      </w:r>
      <w:r w:rsidR="00EC3DA1">
        <w:rPr>
          <w:sz w:val="26"/>
          <w:szCs w:val="26"/>
        </w:rPr>
        <w:t xml:space="preserve">the Energy Association of Pennsylvania, </w:t>
      </w:r>
      <w:r w:rsidR="00A446E6" w:rsidRPr="00C756B2">
        <w:rPr>
          <w:sz w:val="26"/>
          <w:szCs w:val="26"/>
        </w:rPr>
        <w:t>and the Commission’s Bureau of Investigation and Enforcement</w:t>
      </w:r>
      <w:r w:rsidR="001D69EE">
        <w:rPr>
          <w:sz w:val="26"/>
          <w:szCs w:val="26"/>
        </w:rPr>
        <w:t xml:space="preserve"> and </w:t>
      </w:r>
      <w:r w:rsidR="00EC3DA1">
        <w:rPr>
          <w:sz w:val="26"/>
          <w:szCs w:val="26"/>
        </w:rPr>
        <w:t xml:space="preserve">Bureau of </w:t>
      </w:r>
      <w:r w:rsidR="001D69EE">
        <w:rPr>
          <w:sz w:val="26"/>
          <w:szCs w:val="26"/>
        </w:rPr>
        <w:t>Consumer Services</w:t>
      </w:r>
      <w:r w:rsidR="00A446E6" w:rsidRPr="00C756B2">
        <w:rPr>
          <w:sz w:val="26"/>
          <w:szCs w:val="26"/>
        </w:rPr>
        <w:t>.</w:t>
      </w:r>
    </w:p>
    <w:p w:rsidR="00875B85" w:rsidRDefault="00875B85" w:rsidP="00875B85">
      <w:pPr>
        <w:tabs>
          <w:tab w:val="left" w:pos="742"/>
        </w:tabs>
        <w:spacing w:line="360" w:lineRule="auto"/>
        <w:textAlignment w:val="baseline"/>
        <w:rPr>
          <w:sz w:val="26"/>
          <w:szCs w:val="26"/>
        </w:rPr>
      </w:pPr>
    </w:p>
    <w:p w:rsidR="00A446E6" w:rsidRPr="00C756B2" w:rsidRDefault="00875B85" w:rsidP="00BC30AA">
      <w:pPr>
        <w:tabs>
          <w:tab w:val="left" w:pos="720"/>
        </w:tabs>
        <w:spacing w:line="360" w:lineRule="auto"/>
        <w:textAlignment w:val="baseline"/>
        <w:rPr>
          <w:sz w:val="26"/>
          <w:szCs w:val="26"/>
        </w:rPr>
      </w:pPr>
      <w:r>
        <w:rPr>
          <w:sz w:val="26"/>
          <w:szCs w:val="26"/>
        </w:rPr>
        <w:tab/>
      </w:r>
      <w:r w:rsidR="00D71ACF">
        <w:rPr>
          <w:sz w:val="26"/>
          <w:szCs w:val="26"/>
        </w:rPr>
        <w:t>9</w:t>
      </w:r>
      <w:r w:rsidR="00D71ACF" w:rsidRPr="00C756B2">
        <w:rPr>
          <w:sz w:val="26"/>
          <w:szCs w:val="26"/>
        </w:rPr>
        <w:t>.</w:t>
      </w:r>
      <w:r w:rsidR="00D71ACF" w:rsidRPr="00C756B2">
        <w:rPr>
          <w:sz w:val="26"/>
          <w:szCs w:val="26"/>
        </w:rPr>
        <w:tab/>
        <w:t xml:space="preserve">That a copy of this </w:t>
      </w:r>
      <w:r w:rsidR="00D71ACF">
        <w:rPr>
          <w:sz w:val="26"/>
          <w:szCs w:val="26"/>
        </w:rPr>
        <w:t>O</w:t>
      </w:r>
      <w:r w:rsidR="00D71ACF" w:rsidRPr="00C756B2">
        <w:rPr>
          <w:sz w:val="26"/>
          <w:szCs w:val="26"/>
        </w:rPr>
        <w:t xml:space="preserve">rder be </w:t>
      </w:r>
      <w:r w:rsidR="00D71ACF">
        <w:rPr>
          <w:sz w:val="26"/>
          <w:szCs w:val="26"/>
        </w:rPr>
        <w:t xml:space="preserve">filed at </w:t>
      </w:r>
      <w:r w:rsidR="00D71ACF" w:rsidRPr="00CA41DD">
        <w:rPr>
          <w:i/>
          <w:sz w:val="26"/>
          <w:szCs w:val="26"/>
        </w:rPr>
        <w:t>Petition of PPL Electric Utilities Corporation for Waiver of 52 Pa. Code § 56.97(a) to Allow Customers to Establish Payment Agreements Online or Through an Automated Interactive Voice Response System</w:t>
      </w:r>
      <w:r w:rsidR="00D71ACF">
        <w:rPr>
          <w:sz w:val="26"/>
          <w:szCs w:val="26"/>
        </w:rPr>
        <w:t xml:space="preserve">, Docket No. </w:t>
      </w:r>
      <w:proofErr w:type="gramStart"/>
      <w:r w:rsidR="00D71ACF" w:rsidRPr="00C756B2">
        <w:rPr>
          <w:sz w:val="26"/>
          <w:szCs w:val="26"/>
        </w:rPr>
        <w:t>P-2012-2327036</w:t>
      </w:r>
      <w:r w:rsidR="00D71ACF">
        <w:rPr>
          <w:sz w:val="26"/>
          <w:szCs w:val="26"/>
        </w:rPr>
        <w:t>.</w:t>
      </w:r>
      <w:proofErr w:type="gramEnd"/>
    </w:p>
    <w:p w:rsidR="00A446E6" w:rsidRPr="00C756B2" w:rsidRDefault="0070717F" w:rsidP="00EA55CA">
      <w:pPr>
        <w:keepNext/>
        <w:widowControl w:val="0"/>
        <w:tabs>
          <w:tab w:val="left" w:pos="5057"/>
        </w:tabs>
        <w:overflowPunct/>
        <w:ind w:left="5057"/>
        <w:rPr>
          <w:b/>
          <w:bCs/>
          <w:sz w:val="26"/>
          <w:szCs w:val="26"/>
        </w:rPr>
      </w:pPr>
      <w:r>
        <w:rPr>
          <w:noProof/>
        </w:rPr>
        <w:drawing>
          <wp:anchor distT="0" distB="0" distL="114300" distR="114300" simplePos="0" relativeHeight="251659264" behindDoc="1" locked="0" layoutInCell="1" allowOverlap="1" wp14:anchorId="64107410" wp14:editId="66416CDE">
            <wp:simplePos x="0" y="0"/>
            <wp:positionH relativeFrom="column">
              <wp:posOffset>3082290</wp:posOffset>
            </wp:positionH>
            <wp:positionV relativeFrom="paragraph">
              <wp:posOffset>137795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46E6" w:rsidRPr="00C756B2">
        <w:rPr>
          <w:b/>
          <w:bCs/>
          <w:sz w:val="26"/>
          <w:szCs w:val="26"/>
        </w:rPr>
        <w:t>BY THE COMMISSION</w:t>
      </w:r>
    </w:p>
    <w:p w:rsidR="00A446E6" w:rsidRPr="00C756B2" w:rsidRDefault="00A446E6" w:rsidP="00EA55CA">
      <w:pPr>
        <w:keepNext/>
        <w:tabs>
          <w:tab w:val="left" w:pos="5057"/>
        </w:tabs>
        <w:textAlignment w:val="baseline"/>
        <w:rPr>
          <w:bCs/>
          <w:sz w:val="26"/>
          <w:szCs w:val="26"/>
        </w:rPr>
      </w:pPr>
    </w:p>
    <w:p w:rsidR="00A446E6" w:rsidRPr="00C756B2" w:rsidRDefault="00A446E6" w:rsidP="00EA55CA">
      <w:pPr>
        <w:keepNext/>
        <w:tabs>
          <w:tab w:val="left" w:pos="5057"/>
        </w:tabs>
        <w:textAlignment w:val="baseline"/>
        <w:rPr>
          <w:b/>
          <w:bCs/>
          <w:sz w:val="26"/>
          <w:szCs w:val="26"/>
        </w:rPr>
      </w:pPr>
    </w:p>
    <w:p w:rsidR="00A446E6" w:rsidRDefault="00A446E6" w:rsidP="00EA55CA">
      <w:pPr>
        <w:keepNext/>
        <w:tabs>
          <w:tab w:val="left" w:pos="5057"/>
        </w:tabs>
        <w:textAlignment w:val="baseline"/>
        <w:rPr>
          <w:b/>
          <w:bCs/>
          <w:sz w:val="26"/>
          <w:szCs w:val="26"/>
        </w:rPr>
      </w:pPr>
    </w:p>
    <w:p w:rsidR="00EB7538" w:rsidRPr="00C756B2" w:rsidRDefault="00EB7538" w:rsidP="00EA55CA">
      <w:pPr>
        <w:keepNext/>
        <w:tabs>
          <w:tab w:val="left" w:pos="5057"/>
        </w:tabs>
        <w:textAlignment w:val="baseline"/>
        <w:rPr>
          <w:b/>
          <w:bCs/>
          <w:sz w:val="26"/>
          <w:szCs w:val="26"/>
        </w:rPr>
      </w:pPr>
    </w:p>
    <w:p w:rsidR="00A446E6" w:rsidRPr="00C756B2" w:rsidRDefault="00A446E6" w:rsidP="00EA55CA">
      <w:pPr>
        <w:keepNext/>
        <w:widowControl w:val="0"/>
        <w:tabs>
          <w:tab w:val="left" w:pos="5062"/>
        </w:tabs>
        <w:overflowPunct/>
        <w:ind w:left="5062"/>
        <w:rPr>
          <w:sz w:val="26"/>
          <w:szCs w:val="26"/>
        </w:rPr>
      </w:pPr>
      <w:r w:rsidRPr="00C756B2">
        <w:rPr>
          <w:sz w:val="26"/>
          <w:szCs w:val="26"/>
        </w:rPr>
        <w:t>Rosemary Chiavetta</w:t>
      </w:r>
    </w:p>
    <w:p w:rsidR="00A446E6" w:rsidRPr="00C756B2" w:rsidRDefault="00A446E6" w:rsidP="00EA55CA">
      <w:pPr>
        <w:keepNext/>
        <w:widowControl w:val="0"/>
        <w:tabs>
          <w:tab w:val="left" w:pos="5062"/>
        </w:tabs>
        <w:overflowPunct/>
        <w:ind w:left="5062"/>
        <w:rPr>
          <w:sz w:val="26"/>
          <w:szCs w:val="26"/>
        </w:rPr>
      </w:pPr>
      <w:r w:rsidRPr="00C756B2">
        <w:rPr>
          <w:sz w:val="26"/>
          <w:szCs w:val="26"/>
        </w:rPr>
        <w:t>Secretary</w:t>
      </w:r>
    </w:p>
    <w:p w:rsidR="00A446E6" w:rsidRDefault="00A446E6" w:rsidP="00EA55CA">
      <w:pPr>
        <w:keepNext/>
        <w:tabs>
          <w:tab w:val="left" w:pos="5062"/>
        </w:tabs>
        <w:textAlignment w:val="baseline"/>
        <w:rPr>
          <w:sz w:val="26"/>
          <w:szCs w:val="26"/>
        </w:rPr>
      </w:pPr>
    </w:p>
    <w:p w:rsidR="006B72F7" w:rsidRDefault="006B72F7" w:rsidP="00EA55CA">
      <w:pPr>
        <w:keepNext/>
        <w:tabs>
          <w:tab w:val="left" w:pos="5062"/>
        </w:tabs>
        <w:textAlignment w:val="baseline"/>
        <w:rPr>
          <w:sz w:val="26"/>
          <w:szCs w:val="26"/>
        </w:rPr>
      </w:pPr>
    </w:p>
    <w:p w:rsidR="006B72F7" w:rsidRDefault="006B72F7" w:rsidP="00EA55CA">
      <w:pPr>
        <w:keepNext/>
        <w:tabs>
          <w:tab w:val="left" w:pos="5062"/>
        </w:tabs>
        <w:textAlignment w:val="baseline"/>
        <w:rPr>
          <w:sz w:val="26"/>
          <w:szCs w:val="26"/>
        </w:rPr>
      </w:pPr>
    </w:p>
    <w:p w:rsidR="006B72F7" w:rsidRDefault="006B72F7" w:rsidP="00EA55CA">
      <w:pPr>
        <w:keepNext/>
        <w:tabs>
          <w:tab w:val="left" w:pos="5062"/>
        </w:tabs>
        <w:textAlignment w:val="baseline"/>
        <w:rPr>
          <w:sz w:val="26"/>
          <w:szCs w:val="26"/>
        </w:rPr>
      </w:pPr>
    </w:p>
    <w:p w:rsidR="00EB7538" w:rsidRDefault="00EB7538" w:rsidP="00EA55CA">
      <w:pPr>
        <w:keepNext/>
        <w:tabs>
          <w:tab w:val="left" w:pos="5062"/>
        </w:tabs>
        <w:textAlignment w:val="baseline"/>
        <w:rPr>
          <w:sz w:val="26"/>
          <w:szCs w:val="26"/>
        </w:rPr>
      </w:pPr>
    </w:p>
    <w:p w:rsidR="00EB7538" w:rsidRPr="00C756B2" w:rsidRDefault="00EB7538" w:rsidP="00EA55CA">
      <w:pPr>
        <w:keepNext/>
        <w:tabs>
          <w:tab w:val="left" w:pos="5062"/>
        </w:tabs>
        <w:textAlignment w:val="baseline"/>
        <w:rPr>
          <w:sz w:val="26"/>
          <w:szCs w:val="26"/>
        </w:rPr>
      </w:pPr>
    </w:p>
    <w:p w:rsidR="00A446E6" w:rsidRPr="00C756B2" w:rsidRDefault="00A446E6" w:rsidP="00EA55CA">
      <w:pPr>
        <w:keepNext/>
        <w:widowControl w:val="0"/>
        <w:tabs>
          <w:tab w:val="left" w:pos="204"/>
        </w:tabs>
        <w:overflowPunct/>
        <w:rPr>
          <w:sz w:val="26"/>
          <w:szCs w:val="26"/>
        </w:rPr>
      </w:pPr>
      <w:r w:rsidRPr="00C756B2">
        <w:rPr>
          <w:sz w:val="26"/>
          <w:szCs w:val="26"/>
        </w:rPr>
        <w:t>(SEAL)</w:t>
      </w:r>
    </w:p>
    <w:p w:rsidR="00A446E6" w:rsidRPr="00C756B2" w:rsidRDefault="00A446E6" w:rsidP="00EA55CA">
      <w:pPr>
        <w:keepNext/>
        <w:tabs>
          <w:tab w:val="left" w:pos="204"/>
        </w:tabs>
        <w:textAlignment w:val="baseline"/>
        <w:rPr>
          <w:sz w:val="26"/>
          <w:szCs w:val="26"/>
        </w:rPr>
      </w:pPr>
    </w:p>
    <w:p w:rsidR="00A446E6" w:rsidRPr="00C756B2" w:rsidRDefault="00A446E6" w:rsidP="00EA55CA">
      <w:pPr>
        <w:keepNext/>
        <w:widowControl w:val="0"/>
        <w:tabs>
          <w:tab w:val="left" w:pos="204"/>
        </w:tabs>
        <w:overflowPunct/>
        <w:rPr>
          <w:sz w:val="26"/>
          <w:szCs w:val="26"/>
        </w:rPr>
      </w:pPr>
      <w:r w:rsidRPr="00C756B2">
        <w:rPr>
          <w:sz w:val="26"/>
          <w:szCs w:val="26"/>
        </w:rPr>
        <w:t xml:space="preserve">ORDER ADOPTED:  </w:t>
      </w:r>
      <w:r w:rsidR="003253C7">
        <w:rPr>
          <w:sz w:val="26"/>
          <w:szCs w:val="26"/>
        </w:rPr>
        <w:t xml:space="preserve">December </w:t>
      </w:r>
      <w:r w:rsidR="00EA55CA">
        <w:rPr>
          <w:sz w:val="26"/>
          <w:szCs w:val="26"/>
        </w:rPr>
        <w:t>22</w:t>
      </w:r>
      <w:r w:rsidR="003253C7">
        <w:rPr>
          <w:sz w:val="26"/>
          <w:szCs w:val="26"/>
        </w:rPr>
        <w:t>, 201</w:t>
      </w:r>
      <w:r w:rsidR="00B16EC4">
        <w:rPr>
          <w:sz w:val="26"/>
          <w:szCs w:val="26"/>
        </w:rPr>
        <w:t>6</w:t>
      </w:r>
    </w:p>
    <w:p w:rsidR="00A446E6" w:rsidRPr="00C756B2" w:rsidRDefault="00A446E6" w:rsidP="00EA55CA">
      <w:pPr>
        <w:keepNext/>
        <w:widowControl w:val="0"/>
        <w:tabs>
          <w:tab w:val="left" w:pos="204"/>
        </w:tabs>
        <w:overflowPunct/>
        <w:rPr>
          <w:sz w:val="26"/>
          <w:szCs w:val="26"/>
        </w:rPr>
      </w:pPr>
    </w:p>
    <w:p w:rsidR="00A446E6" w:rsidRPr="00C756B2" w:rsidRDefault="00A446E6" w:rsidP="004B4494">
      <w:pPr>
        <w:widowControl w:val="0"/>
        <w:tabs>
          <w:tab w:val="left" w:pos="204"/>
        </w:tabs>
        <w:overflowPunct/>
        <w:rPr>
          <w:sz w:val="26"/>
          <w:szCs w:val="26"/>
        </w:rPr>
      </w:pPr>
      <w:r w:rsidRPr="00C756B2">
        <w:rPr>
          <w:sz w:val="26"/>
          <w:szCs w:val="26"/>
        </w:rPr>
        <w:t xml:space="preserve">ORDER ENTERED:  </w:t>
      </w:r>
      <w:r w:rsidR="0070717F">
        <w:rPr>
          <w:sz w:val="26"/>
          <w:szCs w:val="26"/>
        </w:rPr>
        <w:t>December 22, 2016</w:t>
      </w:r>
      <w:bookmarkStart w:id="0" w:name="_GoBack"/>
      <w:bookmarkEnd w:id="0"/>
    </w:p>
    <w:sectPr w:rsidR="00A446E6" w:rsidRPr="00C756B2" w:rsidSect="00935F65">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A7" w:rsidRDefault="00317FA7">
      <w:r>
        <w:separator/>
      </w:r>
    </w:p>
  </w:endnote>
  <w:endnote w:type="continuationSeparator" w:id="0">
    <w:p w:rsidR="00317FA7" w:rsidRDefault="0031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4A" w:rsidRDefault="00235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84A" w:rsidRDefault="00235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4A" w:rsidRDefault="00235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717F">
      <w:rPr>
        <w:rStyle w:val="PageNumber"/>
        <w:noProof/>
      </w:rPr>
      <w:t>10</w:t>
    </w:r>
    <w:r>
      <w:rPr>
        <w:rStyle w:val="PageNumber"/>
      </w:rPr>
      <w:fldChar w:fldCharType="end"/>
    </w:r>
  </w:p>
  <w:p w:rsidR="0023584A" w:rsidRDefault="0023584A" w:rsidP="00935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A7" w:rsidRDefault="00317FA7">
      <w:r>
        <w:separator/>
      </w:r>
    </w:p>
  </w:footnote>
  <w:footnote w:type="continuationSeparator" w:id="0">
    <w:p w:rsidR="00317FA7" w:rsidRDefault="00317FA7">
      <w:r>
        <w:continuationSeparator/>
      </w:r>
    </w:p>
  </w:footnote>
  <w:footnote w:id="1">
    <w:p w:rsidR="002A0BA5" w:rsidRDefault="002A0BA5" w:rsidP="002A0BA5">
      <w:pPr>
        <w:overflowPunct/>
        <w:rPr>
          <w:rFonts w:eastAsiaTheme="minorHAnsi"/>
          <w:sz w:val="22"/>
          <w:szCs w:val="22"/>
        </w:rPr>
      </w:pPr>
      <w:r w:rsidRPr="002A0BA5">
        <w:rPr>
          <w:rStyle w:val="FootnoteReference"/>
          <w:sz w:val="22"/>
          <w:szCs w:val="22"/>
        </w:rPr>
        <w:footnoteRef/>
      </w:r>
      <w:r w:rsidRPr="002A0BA5">
        <w:rPr>
          <w:sz w:val="22"/>
          <w:szCs w:val="22"/>
        </w:rPr>
        <w:t xml:space="preserve">  </w:t>
      </w:r>
      <w:r w:rsidRPr="002A0BA5">
        <w:rPr>
          <w:rFonts w:eastAsiaTheme="minorHAnsi"/>
          <w:sz w:val="22"/>
          <w:szCs w:val="22"/>
        </w:rPr>
        <w:t xml:space="preserve">The </w:t>
      </w:r>
      <w:r w:rsidR="00CC6176">
        <w:rPr>
          <w:rFonts w:eastAsiaTheme="minorHAnsi"/>
          <w:sz w:val="22"/>
          <w:szCs w:val="22"/>
        </w:rPr>
        <w:t>201</w:t>
      </w:r>
      <w:r w:rsidR="001204D8">
        <w:rPr>
          <w:rFonts w:eastAsiaTheme="minorHAnsi"/>
          <w:sz w:val="22"/>
          <w:szCs w:val="22"/>
        </w:rPr>
        <w:t>5</w:t>
      </w:r>
      <w:r w:rsidR="00CC6176">
        <w:rPr>
          <w:rFonts w:eastAsiaTheme="minorHAnsi"/>
          <w:sz w:val="22"/>
          <w:szCs w:val="22"/>
        </w:rPr>
        <w:t xml:space="preserve"> </w:t>
      </w:r>
      <w:r w:rsidRPr="002A0BA5">
        <w:rPr>
          <w:rFonts w:eastAsiaTheme="minorHAnsi"/>
          <w:sz w:val="22"/>
          <w:szCs w:val="22"/>
        </w:rPr>
        <w:t xml:space="preserve">report </w:t>
      </w:r>
      <w:r w:rsidR="00CC6176">
        <w:rPr>
          <w:rFonts w:eastAsiaTheme="minorHAnsi"/>
          <w:sz w:val="22"/>
          <w:szCs w:val="22"/>
        </w:rPr>
        <w:t>is</w:t>
      </w:r>
      <w:r w:rsidRPr="002A0BA5">
        <w:rPr>
          <w:rFonts w:eastAsiaTheme="minorHAnsi"/>
          <w:sz w:val="22"/>
          <w:szCs w:val="22"/>
        </w:rPr>
        <w:t xml:space="preserve"> available at</w:t>
      </w:r>
      <w:r>
        <w:rPr>
          <w:rFonts w:eastAsiaTheme="minorHAnsi"/>
          <w:sz w:val="22"/>
          <w:szCs w:val="22"/>
        </w:rPr>
        <w:t>:</w:t>
      </w:r>
      <w:r w:rsidR="00F8157A">
        <w:rPr>
          <w:rFonts w:eastAsiaTheme="minorHAnsi"/>
          <w:sz w:val="22"/>
          <w:szCs w:val="22"/>
        </w:rPr>
        <w:t xml:space="preserve"> </w:t>
      </w:r>
    </w:p>
    <w:p w:rsidR="002A0BA5" w:rsidRPr="002A0BA5" w:rsidRDefault="00317FA7" w:rsidP="002A0BA5">
      <w:pPr>
        <w:overflowPunct/>
        <w:rPr>
          <w:sz w:val="22"/>
          <w:szCs w:val="22"/>
        </w:rPr>
      </w:pPr>
      <w:hyperlink r:id="rId1" w:history="1">
        <w:r w:rsidR="00CC6176" w:rsidRPr="003A0649">
          <w:rPr>
            <w:rStyle w:val="Hyperlink"/>
            <w:rFonts w:eastAsiaTheme="minorHAnsi"/>
            <w:sz w:val="22"/>
            <w:szCs w:val="22"/>
          </w:rPr>
          <w:t>http://www.puc.state.pa.us/about_puc/consolidated_case_view.aspx?Docket=P-2012-2327036</w:t>
        </w:r>
      </w:hyperlink>
      <w:r w:rsidR="002A0BA5" w:rsidRPr="002A0BA5">
        <w:rPr>
          <w:rFonts w:eastAsiaTheme="minorHAnsi"/>
          <w:sz w:val="22"/>
          <w:szCs w:val="22"/>
        </w:rPr>
        <w:t>.</w:t>
      </w:r>
    </w:p>
  </w:footnote>
  <w:footnote w:id="2">
    <w:p w:rsidR="00D55580" w:rsidRPr="00C93117" w:rsidRDefault="00D55580" w:rsidP="00D55580">
      <w:pPr>
        <w:pStyle w:val="FootnoteText"/>
        <w:rPr>
          <w:sz w:val="22"/>
          <w:szCs w:val="22"/>
        </w:rPr>
      </w:pPr>
      <w:r w:rsidRPr="00C93117">
        <w:rPr>
          <w:rStyle w:val="FootnoteReference"/>
          <w:sz w:val="22"/>
          <w:szCs w:val="22"/>
        </w:rPr>
        <w:footnoteRef/>
      </w:r>
      <w:r w:rsidRPr="00C93117">
        <w:rPr>
          <w:sz w:val="22"/>
          <w:szCs w:val="22"/>
        </w:rPr>
        <w:t xml:space="preserve">  It may be viewed at:  </w:t>
      </w:r>
      <w:r w:rsidR="003F6F06" w:rsidRPr="00C93117">
        <w:rPr>
          <w:sz w:val="22"/>
          <w:szCs w:val="22"/>
        </w:rPr>
        <w:t>http://www.puc.state.pa.us//pcdocs/1492523.pdf</w:t>
      </w:r>
      <w:r w:rsidRPr="00C93117">
        <w:rPr>
          <w:sz w:val="22"/>
          <w:szCs w:val="22"/>
        </w:rPr>
        <w:t>.</w:t>
      </w:r>
      <w:r w:rsidR="008168E7" w:rsidRPr="00C93117">
        <w:rPr>
          <w:sz w:val="22"/>
          <w:szCs w:val="22"/>
        </w:rPr>
        <w:t xml:space="preserve">  The report covers the period from January</w:t>
      </w:r>
      <w:r w:rsidR="003F6F06" w:rsidRPr="00C93117">
        <w:rPr>
          <w:sz w:val="22"/>
          <w:szCs w:val="22"/>
        </w:rPr>
        <w:t> </w:t>
      </w:r>
      <w:r w:rsidR="008168E7" w:rsidRPr="00C93117">
        <w:rPr>
          <w:sz w:val="22"/>
          <w:szCs w:val="22"/>
        </w:rPr>
        <w:t xml:space="preserve">1, 2013, through October 16, 2016.  According to PPL, during that period, 86,831 service terminations were prevented by customer use of the website or IVR systems to establish payment arrangements.  Report at ¶ VI.  PPL received 71 informal complaints regarding use of the website or IVR systems to establish a payment arrangement, but </w:t>
      </w:r>
      <w:r w:rsidR="00476234" w:rsidRPr="00C93117">
        <w:rPr>
          <w:sz w:val="22"/>
          <w:szCs w:val="22"/>
        </w:rPr>
        <w:t>asserts that they were “largely related generally to the payment terms of the payment agreement rather than the Website or IVR systems</w:t>
      </w:r>
      <w:r w:rsidR="00F27CAD" w:rsidRPr="00C93117">
        <w:rPr>
          <w:sz w:val="22"/>
          <w:szCs w:val="22"/>
        </w:rPr>
        <w:t>.”</w:t>
      </w:r>
      <w:r w:rsidR="00476234" w:rsidRPr="00C93117">
        <w:rPr>
          <w:sz w:val="22"/>
          <w:szCs w:val="22"/>
        </w:rPr>
        <w:t xml:space="preserve">  Six of the informal comp</w:t>
      </w:r>
      <w:r w:rsidR="00F27CAD" w:rsidRPr="00C93117">
        <w:rPr>
          <w:sz w:val="22"/>
          <w:szCs w:val="22"/>
        </w:rPr>
        <w:t>l</w:t>
      </w:r>
      <w:r w:rsidR="00476234" w:rsidRPr="00C93117">
        <w:rPr>
          <w:sz w:val="22"/>
          <w:szCs w:val="22"/>
        </w:rPr>
        <w:t>aints are still pending in BCS.  Repo</w:t>
      </w:r>
      <w:r w:rsidR="00F27CAD" w:rsidRPr="00C93117">
        <w:rPr>
          <w:sz w:val="22"/>
          <w:szCs w:val="22"/>
        </w:rPr>
        <w:t>r</w:t>
      </w:r>
      <w:r w:rsidR="00476234" w:rsidRPr="00C93117">
        <w:rPr>
          <w:sz w:val="22"/>
          <w:szCs w:val="22"/>
        </w:rPr>
        <w:t xml:space="preserve">t </w:t>
      </w:r>
      <w:r w:rsidR="00F27CAD" w:rsidRPr="00C93117">
        <w:rPr>
          <w:sz w:val="22"/>
          <w:szCs w:val="22"/>
        </w:rPr>
        <w:t>at ¶</w:t>
      </w:r>
      <w:r w:rsidR="00947B9B" w:rsidRPr="00C93117">
        <w:rPr>
          <w:sz w:val="22"/>
          <w:szCs w:val="22"/>
        </w:rPr>
        <w:t xml:space="preserve"> </w:t>
      </w:r>
      <w:r w:rsidR="00F27CAD" w:rsidRPr="00C93117">
        <w:rPr>
          <w:sz w:val="22"/>
          <w:szCs w:val="22"/>
        </w:rPr>
        <w:t xml:space="preserve">V.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67E"/>
    <w:multiLevelType w:val="hybridMultilevel"/>
    <w:tmpl w:val="E4203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115694"/>
    <w:multiLevelType w:val="hybridMultilevel"/>
    <w:tmpl w:val="486CC1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6976EE"/>
    <w:multiLevelType w:val="hybridMultilevel"/>
    <w:tmpl w:val="F3C6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F318B"/>
    <w:multiLevelType w:val="hybridMultilevel"/>
    <w:tmpl w:val="B30677A0"/>
    <w:lvl w:ilvl="0" w:tplc="A45840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E062D"/>
    <w:multiLevelType w:val="hybridMultilevel"/>
    <w:tmpl w:val="147C5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EB3025"/>
    <w:multiLevelType w:val="hybridMultilevel"/>
    <w:tmpl w:val="DBA047D4"/>
    <w:lvl w:ilvl="0" w:tplc="CE2E3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0A"/>
    <w:rsid w:val="00011455"/>
    <w:rsid w:val="00013BD1"/>
    <w:rsid w:val="00046FF4"/>
    <w:rsid w:val="000519D9"/>
    <w:rsid w:val="0006369D"/>
    <w:rsid w:val="00070A0A"/>
    <w:rsid w:val="00081BD6"/>
    <w:rsid w:val="00085AB9"/>
    <w:rsid w:val="000A311E"/>
    <w:rsid w:val="000A5CC9"/>
    <w:rsid w:val="000A6F12"/>
    <w:rsid w:val="000E6CC0"/>
    <w:rsid w:val="000F1F1D"/>
    <w:rsid w:val="000F727D"/>
    <w:rsid w:val="00103B7E"/>
    <w:rsid w:val="00105285"/>
    <w:rsid w:val="001076B2"/>
    <w:rsid w:val="001204D8"/>
    <w:rsid w:val="001230BA"/>
    <w:rsid w:val="001360D3"/>
    <w:rsid w:val="00147A70"/>
    <w:rsid w:val="00153884"/>
    <w:rsid w:val="00181421"/>
    <w:rsid w:val="001841EE"/>
    <w:rsid w:val="001A32BD"/>
    <w:rsid w:val="001B570A"/>
    <w:rsid w:val="001D2FEC"/>
    <w:rsid w:val="001D50EA"/>
    <w:rsid w:val="001D69EE"/>
    <w:rsid w:val="001F1F8D"/>
    <w:rsid w:val="002003FE"/>
    <w:rsid w:val="00213932"/>
    <w:rsid w:val="0023184E"/>
    <w:rsid w:val="0023367B"/>
    <w:rsid w:val="0023584A"/>
    <w:rsid w:val="002417C1"/>
    <w:rsid w:val="00243835"/>
    <w:rsid w:val="002539E3"/>
    <w:rsid w:val="002603F7"/>
    <w:rsid w:val="00273443"/>
    <w:rsid w:val="00283707"/>
    <w:rsid w:val="00296911"/>
    <w:rsid w:val="002A058F"/>
    <w:rsid w:val="002A0BA5"/>
    <w:rsid w:val="002D16FF"/>
    <w:rsid w:val="002F087D"/>
    <w:rsid w:val="002F2EA8"/>
    <w:rsid w:val="0030060A"/>
    <w:rsid w:val="003035A0"/>
    <w:rsid w:val="00317FA7"/>
    <w:rsid w:val="003253C7"/>
    <w:rsid w:val="00331C19"/>
    <w:rsid w:val="00331EB7"/>
    <w:rsid w:val="00343FAF"/>
    <w:rsid w:val="003610B5"/>
    <w:rsid w:val="00371877"/>
    <w:rsid w:val="003719D0"/>
    <w:rsid w:val="0037554A"/>
    <w:rsid w:val="00383277"/>
    <w:rsid w:val="00386336"/>
    <w:rsid w:val="003A2678"/>
    <w:rsid w:val="003B12CC"/>
    <w:rsid w:val="003B2B39"/>
    <w:rsid w:val="003C28DA"/>
    <w:rsid w:val="003C5081"/>
    <w:rsid w:val="003E0FAB"/>
    <w:rsid w:val="003F063B"/>
    <w:rsid w:val="003F0B96"/>
    <w:rsid w:val="003F39D0"/>
    <w:rsid w:val="003F65A3"/>
    <w:rsid w:val="003F6AC6"/>
    <w:rsid w:val="003F6F06"/>
    <w:rsid w:val="003F715A"/>
    <w:rsid w:val="00415E56"/>
    <w:rsid w:val="00433176"/>
    <w:rsid w:val="00456BD8"/>
    <w:rsid w:val="00460650"/>
    <w:rsid w:val="00472DC1"/>
    <w:rsid w:val="00476234"/>
    <w:rsid w:val="00496368"/>
    <w:rsid w:val="004B4494"/>
    <w:rsid w:val="004C17BC"/>
    <w:rsid w:val="004D6330"/>
    <w:rsid w:val="004D68AF"/>
    <w:rsid w:val="004E1FCD"/>
    <w:rsid w:val="004F32B6"/>
    <w:rsid w:val="00516C33"/>
    <w:rsid w:val="005209AC"/>
    <w:rsid w:val="005225F0"/>
    <w:rsid w:val="005267FC"/>
    <w:rsid w:val="00554608"/>
    <w:rsid w:val="0055541D"/>
    <w:rsid w:val="005645C1"/>
    <w:rsid w:val="00584C15"/>
    <w:rsid w:val="005B1C0E"/>
    <w:rsid w:val="005C2C5C"/>
    <w:rsid w:val="00605A7C"/>
    <w:rsid w:val="006061DD"/>
    <w:rsid w:val="006172CB"/>
    <w:rsid w:val="00630594"/>
    <w:rsid w:val="0064758D"/>
    <w:rsid w:val="00650EEC"/>
    <w:rsid w:val="006548BC"/>
    <w:rsid w:val="00655B5F"/>
    <w:rsid w:val="00666CC2"/>
    <w:rsid w:val="00670BBB"/>
    <w:rsid w:val="00681B07"/>
    <w:rsid w:val="006953E0"/>
    <w:rsid w:val="00696B18"/>
    <w:rsid w:val="006A53C4"/>
    <w:rsid w:val="006B72F7"/>
    <w:rsid w:val="006C2B77"/>
    <w:rsid w:val="006E7800"/>
    <w:rsid w:val="006F3B61"/>
    <w:rsid w:val="00703816"/>
    <w:rsid w:val="00704073"/>
    <w:rsid w:val="0070717F"/>
    <w:rsid w:val="00710DA7"/>
    <w:rsid w:val="00736346"/>
    <w:rsid w:val="00745731"/>
    <w:rsid w:val="00747A6F"/>
    <w:rsid w:val="0078647E"/>
    <w:rsid w:val="007C12C4"/>
    <w:rsid w:val="007D1C52"/>
    <w:rsid w:val="007E67C5"/>
    <w:rsid w:val="007F4834"/>
    <w:rsid w:val="007F56E3"/>
    <w:rsid w:val="008168E7"/>
    <w:rsid w:val="008200E5"/>
    <w:rsid w:val="00826646"/>
    <w:rsid w:val="0083556A"/>
    <w:rsid w:val="0085147B"/>
    <w:rsid w:val="008617D3"/>
    <w:rsid w:val="00874618"/>
    <w:rsid w:val="00875B85"/>
    <w:rsid w:val="00877EFF"/>
    <w:rsid w:val="008818E9"/>
    <w:rsid w:val="008B2464"/>
    <w:rsid w:val="008D4B54"/>
    <w:rsid w:val="008D79BE"/>
    <w:rsid w:val="008E5741"/>
    <w:rsid w:val="008F4812"/>
    <w:rsid w:val="008F5366"/>
    <w:rsid w:val="0090731F"/>
    <w:rsid w:val="00907428"/>
    <w:rsid w:val="00911284"/>
    <w:rsid w:val="00911EEA"/>
    <w:rsid w:val="00922AAC"/>
    <w:rsid w:val="009325C3"/>
    <w:rsid w:val="00935F65"/>
    <w:rsid w:val="00947B9B"/>
    <w:rsid w:val="00975B33"/>
    <w:rsid w:val="009764E6"/>
    <w:rsid w:val="009B5DF3"/>
    <w:rsid w:val="009C02C9"/>
    <w:rsid w:val="009D01D0"/>
    <w:rsid w:val="009D3152"/>
    <w:rsid w:val="009D4902"/>
    <w:rsid w:val="009F05AC"/>
    <w:rsid w:val="009F58D2"/>
    <w:rsid w:val="00A018DD"/>
    <w:rsid w:val="00A130B8"/>
    <w:rsid w:val="00A17B73"/>
    <w:rsid w:val="00A3143D"/>
    <w:rsid w:val="00A4306E"/>
    <w:rsid w:val="00A446E6"/>
    <w:rsid w:val="00A76663"/>
    <w:rsid w:val="00AA3CFC"/>
    <w:rsid w:val="00AB6563"/>
    <w:rsid w:val="00AB6799"/>
    <w:rsid w:val="00AC3E29"/>
    <w:rsid w:val="00AC456C"/>
    <w:rsid w:val="00AD179F"/>
    <w:rsid w:val="00AE4D74"/>
    <w:rsid w:val="00AE624B"/>
    <w:rsid w:val="00AF27E2"/>
    <w:rsid w:val="00AF31E5"/>
    <w:rsid w:val="00AF57F7"/>
    <w:rsid w:val="00AF768C"/>
    <w:rsid w:val="00B057DC"/>
    <w:rsid w:val="00B14DA3"/>
    <w:rsid w:val="00B16EC4"/>
    <w:rsid w:val="00B367B7"/>
    <w:rsid w:val="00B6619C"/>
    <w:rsid w:val="00B8719C"/>
    <w:rsid w:val="00BC30AA"/>
    <w:rsid w:val="00BC5942"/>
    <w:rsid w:val="00BC73F3"/>
    <w:rsid w:val="00BC7EC5"/>
    <w:rsid w:val="00BE574E"/>
    <w:rsid w:val="00C07043"/>
    <w:rsid w:val="00C515A4"/>
    <w:rsid w:val="00C5317C"/>
    <w:rsid w:val="00C71DA6"/>
    <w:rsid w:val="00C756B2"/>
    <w:rsid w:val="00C86086"/>
    <w:rsid w:val="00C86941"/>
    <w:rsid w:val="00C93117"/>
    <w:rsid w:val="00CA3C2A"/>
    <w:rsid w:val="00CA41DD"/>
    <w:rsid w:val="00CB6507"/>
    <w:rsid w:val="00CB6F91"/>
    <w:rsid w:val="00CB79CA"/>
    <w:rsid w:val="00CC58F3"/>
    <w:rsid w:val="00CC6176"/>
    <w:rsid w:val="00CD12BD"/>
    <w:rsid w:val="00CD4C0B"/>
    <w:rsid w:val="00CE4268"/>
    <w:rsid w:val="00CE7C87"/>
    <w:rsid w:val="00D06D0B"/>
    <w:rsid w:val="00D103AF"/>
    <w:rsid w:val="00D2299F"/>
    <w:rsid w:val="00D34910"/>
    <w:rsid w:val="00D51FD1"/>
    <w:rsid w:val="00D55580"/>
    <w:rsid w:val="00D57154"/>
    <w:rsid w:val="00D71ACF"/>
    <w:rsid w:val="00DA7360"/>
    <w:rsid w:val="00DB5575"/>
    <w:rsid w:val="00DD0374"/>
    <w:rsid w:val="00DD271E"/>
    <w:rsid w:val="00E17CAF"/>
    <w:rsid w:val="00E22E0C"/>
    <w:rsid w:val="00E41423"/>
    <w:rsid w:val="00E70272"/>
    <w:rsid w:val="00E73EF9"/>
    <w:rsid w:val="00E836F3"/>
    <w:rsid w:val="00E939C6"/>
    <w:rsid w:val="00EA4CC9"/>
    <w:rsid w:val="00EA55CA"/>
    <w:rsid w:val="00EB7538"/>
    <w:rsid w:val="00EC3DA1"/>
    <w:rsid w:val="00ED06FE"/>
    <w:rsid w:val="00ED3F5D"/>
    <w:rsid w:val="00EE095C"/>
    <w:rsid w:val="00F0287D"/>
    <w:rsid w:val="00F107DD"/>
    <w:rsid w:val="00F1591D"/>
    <w:rsid w:val="00F271FB"/>
    <w:rsid w:val="00F27A3D"/>
    <w:rsid w:val="00F27CAD"/>
    <w:rsid w:val="00F43D42"/>
    <w:rsid w:val="00F60AFA"/>
    <w:rsid w:val="00F71811"/>
    <w:rsid w:val="00F8157A"/>
    <w:rsid w:val="00FA46AD"/>
    <w:rsid w:val="00FB6141"/>
    <w:rsid w:val="00FC2AE7"/>
    <w:rsid w:val="00FC77C5"/>
    <w:rsid w:val="00FF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0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1B57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570A"/>
    <w:rPr>
      <w:rFonts w:ascii="Arial" w:eastAsia="Times New Roman" w:hAnsi="Arial" w:cs="Arial"/>
      <w:b/>
      <w:bCs/>
      <w:sz w:val="26"/>
      <w:szCs w:val="26"/>
    </w:rPr>
  </w:style>
  <w:style w:type="paragraph" w:styleId="ListParagraph">
    <w:name w:val="List Paragraph"/>
    <w:basedOn w:val="Normal"/>
    <w:uiPriority w:val="34"/>
    <w:qFormat/>
    <w:rsid w:val="001B570A"/>
    <w:pPr>
      <w:ind w:left="720"/>
      <w:contextualSpacing/>
    </w:pPr>
  </w:style>
  <w:style w:type="paragraph" w:customStyle="1" w:styleId="p3">
    <w:name w:val="p3"/>
    <w:basedOn w:val="Normal"/>
    <w:rsid w:val="001B570A"/>
    <w:pPr>
      <w:widowControl w:val="0"/>
      <w:tabs>
        <w:tab w:val="left" w:pos="204"/>
      </w:tabs>
      <w:overflowPunct/>
    </w:pPr>
    <w:rPr>
      <w:szCs w:val="24"/>
    </w:rPr>
  </w:style>
  <w:style w:type="paragraph" w:customStyle="1" w:styleId="StyleCentered">
    <w:name w:val="Style Centered"/>
    <w:basedOn w:val="Normal"/>
    <w:rsid w:val="001B570A"/>
    <w:pPr>
      <w:jc w:val="center"/>
    </w:pPr>
  </w:style>
  <w:style w:type="paragraph" w:styleId="Footer">
    <w:name w:val="footer"/>
    <w:basedOn w:val="Normal"/>
    <w:link w:val="FooterChar"/>
    <w:uiPriority w:val="99"/>
    <w:semiHidden/>
    <w:unhideWhenUsed/>
    <w:rsid w:val="001B570A"/>
    <w:pPr>
      <w:tabs>
        <w:tab w:val="center" w:pos="4680"/>
        <w:tab w:val="right" w:pos="9360"/>
      </w:tabs>
    </w:pPr>
  </w:style>
  <w:style w:type="character" w:customStyle="1" w:styleId="FooterChar">
    <w:name w:val="Footer Char"/>
    <w:basedOn w:val="DefaultParagraphFont"/>
    <w:link w:val="Footer"/>
    <w:uiPriority w:val="99"/>
    <w:semiHidden/>
    <w:rsid w:val="001B570A"/>
    <w:rPr>
      <w:rFonts w:ascii="Times New Roman" w:eastAsia="Times New Roman" w:hAnsi="Times New Roman" w:cs="Times New Roman"/>
      <w:sz w:val="24"/>
      <w:szCs w:val="20"/>
    </w:rPr>
  </w:style>
  <w:style w:type="character" w:styleId="PageNumber">
    <w:name w:val="page number"/>
    <w:basedOn w:val="DefaultParagraphFont"/>
    <w:rsid w:val="001B570A"/>
  </w:style>
  <w:style w:type="paragraph" w:styleId="BalloonText">
    <w:name w:val="Balloon Text"/>
    <w:basedOn w:val="Normal"/>
    <w:link w:val="BalloonTextChar"/>
    <w:uiPriority w:val="99"/>
    <w:semiHidden/>
    <w:unhideWhenUsed/>
    <w:rsid w:val="00FC2AE7"/>
    <w:rPr>
      <w:rFonts w:ascii="Tahoma" w:hAnsi="Tahoma" w:cs="Tahoma"/>
      <w:sz w:val="16"/>
      <w:szCs w:val="16"/>
    </w:rPr>
  </w:style>
  <w:style w:type="character" w:customStyle="1" w:styleId="BalloonTextChar">
    <w:name w:val="Balloon Text Char"/>
    <w:basedOn w:val="DefaultParagraphFont"/>
    <w:link w:val="BalloonText"/>
    <w:uiPriority w:val="99"/>
    <w:semiHidden/>
    <w:rsid w:val="00FC2A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2464"/>
    <w:rPr>
      <w:sz w:val="16"/>
      <w:szCs w:val="16"/>
    </w:rPr>
  </w:style>
  <w:style w:type="paragraph" w:styleId="CommentText">
    <w:name w:val="annotation text"/>
    <w:basedOn w:val="Normal"/>
    <w:link w:val="CommentTextChar"/>
    <w:uiPriority w:val="99"/>
    <w:semiHidden/>
    <w:unhideWhenUsed/>
    <w:rsid w:val="008B2464"/>
    <w:rPr>
      <w:sz w:val="20"/>
    </w:rPr>
  </w:style>
  <w:style w:type="character" w:customStyle="1" w:styleId="CommentTextChar">
    <w:name w:val="Comment Text Char"/>
    <w:basedOn w:val="DefaultParagraphFont"/>
    <w:link w:val="CommentText"/>
    <w:uiPriority w:val="99"/>
    <w:semiHidden/>
    <w:rsid w:val="008B2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64"/>
    <w:rPr>
      <w:b/>
      <w:bCs/>
    </w:rPr>
  </w:style>
  <w:style w:type="character" w:customStyle="1" w:styleId="CommentSubjectChar">
    <w:name w:val="Comment Subject Char"/>
    <w:basedOn w:val="CommentTextChar"/>
    <w:link w:val="CommentSubject"/>
    <w:uiPriority w:val="99"/>
    <w:semiHidden/>
    <w:rsid w:val="008B246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A0BA5"/>
    <w:rPr>
      <w:sz w:val="20"/>
    </w:rPr>
  </w:style>
  <w:style w:type="character" w:customStyle="1" w:styleId="FootnoteTextChar">
    <w:name w:val="Footnote Text Char"/>
    <w:basedOn w:val="DefaultParagraphFont"/>
    <w:link w:val="FootnoteText"/>
    <w:uiPriority w:val="99"/>
    <w:semiHidden/>
    <w:rsid w:val="002A0B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0BA5"/>
    <w:rPr>
      <w:vertAlign w:val="superscript"/>
    </w:rPr>
  </w:style>
  <w:style w:type="table" w:styleId="TableGrid">
    <w:name w:val="Table Grid"/>
    <w:basedOn w:val="TableNormal"/>
    <w:uiPriority w:val="59"/>
    <w:rsid w:val="0088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8E7"/>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C61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0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1B57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570A"/>
    <w:rPr>
      <w:rFonts w:ascii="Arial" w:eastAsia="Times New Roman" w:hAnsi="Arial" w:cs="Arial"/>
      <w:b/>
      <w:bCs/>
      <w:sz w:val="26"/>
      <w:szCs w:val="26"/>
    </w:rPr>
  </w:style>
  <w:style w:type="paragraph" w:styleId="ListParagraph">
    <w:name w:val="List Paragraph"/>
    <w:basedOn w:val="Normal"/>
    <w:uiPriority w:val="34"/>
    <w:qFormat/>
    <w:rsid w:val="001B570A"/>
    <w:pPr>
      <w:ind w:left="720"/>
      <w:contextualSpacing/>
    </w:pPr>
  </w:style>
  <w:style w:type="paragraph" w:customStyle="1" w:styleId="p3">
    <w:name w:val="p3"/>
    <w:basedOn w:val="Normal"/>
    <w:rsid w:val="001B570A"/>
    <w:pPr>
      <w:widowControl w:val="0"/>
      <w:tabs>
        <w:tab w:val="left" w:pos="204"/>
      </w:tabs>
      <w:overflowPunct/>
    </w:pPr>
    <w:rPr>
      <w:szCs w:val="24"/>
    </w:rPr>
  </w:style>
  <w:style w:type="paragraph" w:customStyle="1" w:styleId="StyleCentered">
    <w:name w:val="Style Centered"/>
    <w:basedOn w:val="Normal"/>
    <w:rsid w:val="001B570A"/>
    <w:pPr>
      <w:jc w:val="center"/>
    </w:pPr>
  </w:style>
  <w:style w:type="paragraph" w:styleId="Footer">
    <w:name w:val="footer"/>
    <w:basedOn w:val="Normal"/>
    <w:link w:val="FooterChar"/>
    <w:uiPriority w:val="99"/>
    <w:semiHidden/>
    <w:unhideWhenUsed/>
    <w:rsid w:val="001B570A"/>
    <w:pPr>
      <w:tabs>
        <w:tab w:val="center" w:pos="4680"/>
        <w:tab w:val="right" w:pos="9360"/>
      </w:tabs>
    </w:pPr>
  </w:style>
  <w:style w:type="character" w:customStyle="1" w:styleId="FooterChar">
    <w:name w:val="Footer Char"/>
    <w:basedOn w:val="DefaultParagraphFont"/>
    <w:link w:val="Footer"/>
    <w:uiPriority w:val="99"/>
    <w:semiHidden/>
    <w:rsid w:val="001B570A"/>
    <w:rPr>
      <w:rFonts w:ascii="Times New Roman" w:eastAsia="Times New Roman" w:hAnsi="Times New Roman" w:cs="Times New Roman"/>
      <w:sz w:val="24"/>
      <w:szCs w:val="20"/>
    </w:rPr>
  </w:style>
  <w:style w:type="character" w:styleId="PageNumber">
    <w:name w:val="page number"/>
    <w:basedOn w:val="DefaultParagraphFont"/>
    <w:rsid w:val="001B570A"/>
  </w:style>
  <w:style w:type="paragraph" w:styleId="BalloonText">
    <w:name w:val="Balloon Text"/>
    <w:basedOn w:val="Normal"/>
    <w:link w:val="BalloonTextChar"/>
    <w:uiPriority w:val="99"/>
    <w:semiHidden/>
    <w:unhideWhenUsed/>
    <w:rsid w:val="00FC2AE7"/>
    <w:rPr>
      <w:rFonts w:ascii="Tahoma" w:hAnsi="Tahoma" w:cs="Tahoma"/>
      <w:sz w:val="16"/>
      <w:szCs w:val="16"/>
    </w:rPr>
  </w:style>
  <w:style w:type="character" w:customStyle="1" w:styleId="BalloonTextChar">
    <w:name w:val="Balloon Text Char"/>
    <w:basedOn w:val="DefaultParagraphFont"/>
    <w:link w:val="BalloonText"/>
    <w:uiPriority w:val="99"/>
    <w:semiHidden/>
    <w:rsid w:val="00FC2A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2464"/>
    <w:rPr>
      <w:sz w:val="16"/>
      <w:szCs w:val="16"/>
    </w:rPr>
  </w:style>
  <w:style w:type="paragraph" w:styleId="CommentText">
    <w:name w:val="annotation text"/>
    <w:basedOn w:val="Normal"/>
    <w:link w:val="CommentTextChar"/>
    <w:uiPriority w:val="99"/>
    <w:semiHidden/>
    <w:unhideWhenUsed/>
    <w:rsid w:val="008B2464"/>
    <w:rPr>
      <w:sz w:val="20"/>
    </w:rPr>
  </w:style>
  <w:style w:type="character" w:customStyle="1" w:styleId="CommentTextChar">
    <w:name w:val="Comment Text Char"/>
    <w:basedOn w:val="DefaultParagraphFont"/>
    <w:link w:val="CommentText"/>
    <w:uiPriority w:val="99"/>
    <w:semiHidden/>
    <w:rsid w:val="008B2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64"/>
    <w:rPr>
      <w:b/>
      <w:bCs/>
    </w:rPr>
  </w:style>
  <w:style w:type="character" w:customStyle="1" w:styleId="CommentSubjectChar">
    <w:name w:val="Comment Subject Char"/>
    <w:basedOn w:val="CommentTextChar"/>
    <w:link w:val="CommentSubject"/>
    <w:uiPriority w:val="99"/>
    <w:semiHidden/>
    <w:rsid w:val="008B246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A0BA5"/>
    <w:rPr>
      <w:sz w:val="20"/>
    </w:rPr>
  </w:style>
  <w:style w:type="character" w:customStyle="1" w:styleId="FootnoteTextChar">
    <w:name w:val="Footnote Text Char"/>
    <w:basedOn w:val="DefaultParagraphFont"/>
    <w:link w:val="FootnoteText"/>
    <w:uiPriority w:val="99"/>
    <w:semiHidden/>
    <w:rsid w:val="002A0B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0BA5"/>
    <w:rPr>
      <w:vertAlign w:val="superscript"/>
    </w:rPr>
  </w:style>
  <w:style w:type="table" w:styleId="TableGrid">
    <w:name w:val="Table Grid"/>
    <w:basedOn w:val="TableNormal"/>
    <w:uiPriority w:val="59"/>
    <w:rsid w:val="0088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8E7"/>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C6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171">
      <w:bodyDiv w:val="1"/>
      <w:marLeft w:val="0"/>
      <w:marRight w:val="0"/>
      <w:marTop w:val="0"/>
      <w:marBottom w:val="0"/>
      <w:divBdr>
        <w:top w:val="none" w:sz="0" w:space="0" w:color="auto"/>
        <w:left w:val="none" w:sz="0" w:space="0" w:color="auto"/>
        <w:bottom w:val="none" w:sz="0" w:space="0" w:color="auto"/>
        <w:right w:val="none" w:sz="0" w:space="0" w:color="auto"/>
      </w:divBdr>
      <w:divsChild>
        <w:div w:id="1755542766">
          <w:marLeft w:val="0"/>
          <w:marRight w:val="0"/>
          <w:marTop w:val="0"/>
          <w:marBottom w:val="0"/>
          <w:divBdr>
            <w:top w:val="none" w:sz="0" w:space="0" w:color="auto"/>
            <w:left w:val="single" w:sz="6" w:space="0" w:color="BBBBBB"/>
            <w:bottom w:val="single" w:sz="6" w:space="0" w:color="BBBBBB"/>
            <w:right w:val="single" w:sz="6" w:space="0" w:color="BBBBBB"/>
          </w:divBdr>
          <w:divsChild>
            <w:div w:id="713505362">
              <w:marLeft w:val="0"/>
              <w:marRight w:val="0"/>
              <w:marTop w:val="0"/>
              <w:marBottom w:val="0"/>
              <w:divBdr>
                <w:top w:val="none" w:sz="0" w:space="0" w:color="auto"/>
                <w:left w:val="none" w:sz="0" w:space="0" w:color="auto"/>
                <w:bottom w:val="none" w:sz="0" w:space="0" w:color="auto"/>
                <w:right w:val="none" w:sz="0" w:space="0" w:color="auto"/>
              </w:divBdr>
              <w:divsChild>
                <w:div w:id="1255745063">
                  <w:marLeft w:val="0"/>
                  <w:marRight w:val="0"/>
                  <w:marTop w:val="0"/>
                  <w:marBottom w:val="0"/>
                  <w:divBdr>
                    <w:top w:val="none" w:sz="0" w:space="0" w:color="auto"/>
                    <w:left w:val="none" w:sz="0" w:space="0" w:color="auto"/>
                    <w:bottom w:val="none" w:sz="0" w:space="0" w:color="auto"/>
                    <w:right w:val="none" w:sz="0" w:space="0" w:color="auto"/>
                  </w:divBdr>
                  <w:divsChild>
                    <w:div w:id="1797020236">
                      <w:marLeft w:val="0"/>
                      <w:marRight w:val="0"/>
                      <w:marTop w:val="0"/>
                      <w:marBottom w:val="0"/>
                      <w:divBdr>
                        <w:top w:val="none" w:sz="0" w:space="0" w:color="auto"/>
                        <w:left w:val="none" w:sz="0" w:space="0" w:color="auto"/>
                        <w:bottom w:val="none" w:sz="0" w:space="0" w:color="auto"/>
                        <w:right w:val="none" w:sz="0" w:space="0" w:color="auto"/>
                      </w:divBdr>
                      <w:divsChild>
                        <w:div w:id="1893082224">
                          <w:marLeft w:val="0"/>
                          <w:marRight w:val="0"/>
                          <w:marTop w:val="0"/>
                          <w:marBottom w:val="0"/>
                          <w:divBdr>
                            <w:top w:val="none" w:sz="0" w:space="0" w:color="auto"/>
                            <w:left w:val="none" w:sz="0" w:space="0" w:color="auto"/>
                            <w:bottom w:val="none" w:sz="0" w:space="0" w:color="auto"/>
                            <w:right w:val="none" w:sz="0" w:space="0" w:color="auto"/>
                          </w:divBdr>
                          <w:divsChild>
                            <w:div w:id="1509519037">
                              <w:marLeft w:val="0"/>
                              <w:marRight w:val="0"/>
                              <w:marTop w:val="0"/>
                              <w:marBottom w:val="0"/>
                              <w:divBdr>
                                <w:top w:val="none" w:sz="0" w:space="0" w:color="auto"/>
                                <w:left w:val="none" w:sz="0" w:space="0" w:color="auto"/>
                                <w:bottom w:val="none" w:sz="0" w:space="0" w:color="auto"/>
                                <w:right w:val="none" w:sz="0" w:space="0" w:color="auto"/>
                              </w:divBdr>
                              <w:divsChild>
                                <w:div w:id="317882136">
                                  <w:marLeft w:val="0"/>
                                  <w:marRight w:val="0"/>
                                  <w:marTop w:val="0"/>
                                  <w:marBottom w:val="0"/>
                                  <w:divBdr>
                                    <w:top w:val="none" w:sz="0" w:space="0" w:color="auto"/>
                                    <w:left w:val="none" w:sz="0" w:space="0" w:color="auto"/>
                                    <w:bottom w:val="none" w:sz="0" w:space="0" w:color="auto"/>
                                    <w:right w:val="none" w:sz="0" w:space="0" w:color="auto"/>
                                  </w:divBdr>
                                  <w:divsChild>
                                    <w:div w:id="59719461">
                                      <w:marLeft w:val="0"/>
                                      <w:marRight w:val="0"/>
                                      <w:marTop w:val="0"/>
                                      <w:marBottom w:val="0"/>
                                      <w:divBdr>
                                        <w:top w:val="none" w:sz="0" w:space="0" w:color="auto"/>
                                        <w:left w:val="none" w:sz="0" w:space="0" w:color="auto"/>
                                        <w:bottom w:val="none" w:sz="0" w:space="0" w:color="auto"/>
                                        <w:right w:val="none" w:sz="0" w:space="0" w:color="auto"/>
                                      </w:divBdr>
                                      <w:divsChild>
                                        <w:div w:id="1665469384">
                                          <w:marLeft w:val="1200"/>
                                          <w:marRight w:val="1200"/>
                                          <w:marTop w:val="0"/>
                                          <w:marBottom w:val="0"/>
                                          <w:divBdr>
                                            <w:top w:val="none" w:sz="0" w:space="0" w:color="auto"/>
                                            <w:left w:val="none" w:sz="0" w:space="0" w:color="auto"/>
                                            <w:bottom w:val="none" w:sz="0" w:space="0" w:color="auto"/>
                                            <w:right w:val="none" w:sz="0" w:space="0" w:color="auto"/>
                                          </w:divBdr>
                                          <w:divsChild>
                                            <w:div w:id="1398897982">
                                              <w:marLeft w:val="0"/>
                                              <w:marRight w:val="0"/>
                                              <w:marTop w:val="0"/>
                                              <w:marBottom w:val="0"/>
                                              <w:divBdr>
                                                <w:top w:val="none" w:sz="0" w:space="0" w:color="auto"/>
                                                <w:left w:val="none" w:sz="0" w:space="0" w:color="auto"/>
                                                <w:bottom w:val="none" w:sz="0" w:space="0" w:color="auto"/>
                                                <w:right w:val="none" w:sz="0" w:space="0" w:color="auto"/>
                                              </w:divBdr>
                                              <w:divsChild>
                                                <w:div w:id="741609629">
                                                  <w:marLeft w:val="0"/>
                                                  <w:marRight w:val="0"/>
                                                  <w:marTop w:val="0"/>
                                                  <w:marBottom w:val="0"/>
                                                  <w:divBdr>
                                                    <w:top w:val="none" w:sz="0" w:space="0" w:color="auto"/>
                                                    <w:left w:val="none" w:sz="0" w:space="0" w:color="auto"/>
                                                    <w:bottom w:val="none" w:sz="0" w:space="0" w:color="auto"/>
                                                    <w:right w:val="none" w:sz="0" w:space="0" w:color="auto"/>
                                                  </w:divBdr>
                                                  <w:divsChild>
                                                    <w:div w:id="1947233269">
                                                      <w:marLeft w:val="0"/>
                                                      <w:marRight w:val="0"/>
                                                      <w:marTop w:val="0"/>
                                                      <w:marBottom w:val="0"/>
                                                      <w:divBdr>
                                                        <w:top w:val="none" w:sz="0" w:space="0" w:color="auto"/>
                                                        <w:left w:val="none" w:sz="0" w:space="0" w:color="auto"/>
                                                        <w:bottom w:val="none" w:sz="0" w:space="0" w:color="auto"/>
                                                        <w:right w:val="none" w:sz="0" w:space="0" w:color="auto"/>
                                                      </w:divBdr>
                                                      <w:divsChild>
                                                        <w:div w:id="1539273702">
                                                          <w:marLeft w:val="0"/>
                                                          <w:marRight w:val="0"/>
                                                          <w:marTop w:val="0"/>
                                                          <w:marBottom w:val="0"/>
                                                          <w:divBdr>
                                                            <w:top w:val="none" w:sz="0" w:space="0" w:color="auto"/>
                                                            <w:left w:val="none" w:sz="0" w:space="0" w:color="auto"/>
                                                            <w:bottom w:val="none" w:sz="0" w:space="0" w:color="auto"/>
                                                            <w:right w:val="none" w:sz="0" w:space="0" w:color="auto"/>
                                                          </w:divBdr>
                                                          <w:divsChild>
                                                            <w:div w:id="893078818">
                                                              <w:marLeft w:val="0"/>
                                                              <w:marRight w:val="0"/>
                                                              <w:marTop w:val="0"/>
                                                              <w:marBottom w:val="0"/>
                                                              <w:divBdr>
                                                                <w:top w:val="none" w:sz="0" w:space="0" w:color="auto"/>
                                                                <w:left w:val="none" w:sz="0" w:space="0" w:color="auto"/>
                                                                <w:bottom w:val="none" w:sz="0" w:space="0" w:color="auto"/>
                                                                <w:right w:val="none" w:sz="0" w:space="0" w:color="auto"/>
                                                              </w:divBdr>
                                                              <w:divsChild>
                                                                <w:div w:id="1656181840">
                                                                  <w:marLeft w:val="0"/>
                                                                  <w:marRight w:val="0"/>
                                                                  <w:marTop w:val="0"/>
                                                                  <w:marBottom w:val="0"/>
                                                                  <w:divBdr>
                                                                    <w:top w:val="none" w:sz="0" w:space="0" w:color="auto"/>
                                                                    <w:left w:val="none" w:sz="0" w:space="0" w:color="auto"/>
                                                                    <w:bottom w:val="none" w:sz="0" w:space="0" w:color="auto"/>
                                                                    <w:right w:val="none" w:sz="0" w:space="0" w:color="auto"/>
                                                                  </w:divBdr>
                                                                </w:div>
                                                              </w:divsChild>
                                                            </w:div>
                                                            <w:div w:id="1317949692">
                                                              <w:marLeft w:val="0"/>
                                                              <w:marRight w:val="0"/>
                                                              <w:marTop w:val="0"/>
                                                              <w:marBottom w:val="0"/>
                                                              <w:divBdr>
                                                                <w:top w:val="none" w:sz="0" w:space="0" w:color="auto"/>
                                                                <w:left w:val="none" w:sz="0" w:space="0" w:color="auto"/>
                                                                <w:bottom w:val="none" w:sz="0" w:space="0" w:color="auto"/>
                                                                <w:right w:val="none" w:sz="0" w:space="0" w:color="auto"/>
                                                              </w:divBdr>
                                                              <w:divsChild>
                                                                <w:div w:id="703601825">
                                                                  <w:marLeft w:val="0"/>
                                                                  <w:marRight w:val="0"/>
                                                                  <w:marTop w:val="0"/>
                                                                  <w:marBottom w:val="0"/>
                                                                  <w:divBdr>
                                                                    <w:top w:val="none" w:sz="0" w:space="0" w:color="auto"/>
                                                                    <w:left w:val="none" w:sz="0" w:space="0" w:color="auto"/>
                                                                    <w:bottom w:val="none" w:sz="0" w:space="0" w:color="auto"/>
                                                                    <w:right w:val="none" w:sz="0" w:space="0" w:color="auto"/>
                                                                  </w:divBdr>
                                                                  <w:divsChild>
                                                                    <w:div w:id="1326200126">
                                                                      <w:marLeft w:val="0"/>
                                                                      <w:marRight w:val="0"/>
                                                                      <w:marTop w:val="0"/>
                                                                      <w:marBottom w:val="0"/>
                                                                      <w:divBdr>
                                                                        <w:top w:val="none" w:sz="0" w:space="0" w:color="auto"/>
                                                                        <w:left w:val="none" w:sz="0" w:space="0" w:color="auto"/>
                                                                        <w:bottom w:val="none" w:sz="0" w:space="0" w:color="auto"/>
                                                                        <w:right w:val="none" w:sz="0" w:space="0" w:color="auto"/>
                                                                      </w:divBdr>
                                                                      <w:divsChild>
                                                                        <w:div w:id="11046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89955">
                                                              <w:marLeft w:val="0"/>
                                                              <w:marRight w:val="0"/>
                                                              <w:marTop w:val="0"/>
                                                              <w:marBottom w:val="0"/>
                                                              <w:divBdr>
                                                                <w:top w:val="none" w:sz="0" w:space="0" w:color="auto"/>
                                                                <w:left w:val="none" w:sz="0" w:space="0" w:color="auto"/>
                                                                <w:bottom w:val="none" w:sz="0" w:space="0" w:color="auto"/>
                                                                <w:right w:val="none" w:sz="0" w:space="0" w:color="auto"/>
                                                              </w:divBdr>
                                                              <w:divsChild>
                                                                <w:div w:id="677393677">
                                                                  <w:marLeft w:val="0"/>
                                                                  <w:marRight w:val="0"/>
                                                                  <w:marTop w:val="0"/>
                                                                  <w:marBottom w:val="0"/>
                                                                  <w:divBdr>
                                                                    <w:top w:val="none" w:sz="0" w:space="0" w:color="auto"/>
                                                                    <w:left w:val="none" w:sz="0" w:space="0" w:color="auto"/>
                                                                    <w:bottom w:val="none" w:sz="0" w:space="0" w:color="auto"/>
                                                                    <w:right w:val="none" w:sz="0" w:space="0" w:color="auto"/>
                                                                  </w:divBdr>
                                                                  <w:divsChild>
                                                                    <w:div w:id="2046365074">
                                                                      <w:marLeft w:val="0"/>
                                                                      <w:marRight w:val="0"/>
                                                                      <w:marTop w:val="0"/>
                                                                      <w:marBottom w:val="0"/>
                                                                      <w:divBdr>
                                                                        <w:top w:val="none" w:sz="0" w:space="0" w:color="auto"/>
                                                                        <w:left w:val="none" w:sz="0" w:space="0" w:color="auto"/>
                                                                        <w:bottom w:val="none" w:sz="0" w:space="0" w:color="auto"/>
                                                                        <w:right w:val="none" w:sz="0" w:space="0" w:color="auto"/>
                                                                      </w:divBdr>
                                                                      <w:divsChild>
                                                                        <w:div w:id="20057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646350">
      <w:bodyDiv w:val="1"/>
      <w:marLeft w:val="0"/>
      <w:marRight w:val="0"/>
      <w:marTop w:val="0"/>
      <w:marBottom w:val="0"/>
      <w:divBdr>
        <w:top w:val="none" w:sz="0" w:space="0" w:color="auto"/>
        <w:left w:val="none" w:sz="0" w:space="0" w:color="auto"/>
        <w:bottom w:val="none" w:sz="0" w:space="0" w:color="auto"/>
        <w:right w:val="none" w:sz="0" w:space="0" w:color="auto"/>
      </w:divBdr>
    </w:div>
    <w:div w:id="131950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next.westlaw.com/Link/Document/FullText?findType=Y&amp;serNum=1984161326&amp;pubNum=0000162&amp;originatingDoc=I38b14306a99511e5b4bafa136b480ad2&amp;refType=RP&amp;originationContext=document&amp;transitionType=DocumentItem&amp;contextData=(sc.Search)" TargetMode="External"/><Relationship Id="rId4" Type="http://schemas.microsoft.com/office/2007/relationships/stylesWithEffects" Target="stylesWithEffects.xml"/><Relationship Id="rId9" Type="http://schemas.openxmlformats.org/officeDocument/2006/relationships/hyperlink" Target="https://1.next.westlaw.com/Link/Document/FullText?findType=Y&amp;serNum=1993103587&amp;pubNum=0000162&amp;originatingDoc=I38b14306a99511e5b4bafa136b480ad2&amp;refType=RP&amp;originationContext=document&amp;transitionType=DocumentItem&amp;contextData=(sc.Sear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about_puc/consolidated_case_view.aspx?Docket=P-2012-2327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75A6-E369-46B4-B8FB-96327ECF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Berenato, Brittany</dc:creator>
  <cp:lastModifiedBy>Wagner, Nathan R</cp:lastModifiedBy>
  <cp:revision>3</cp:revision>
  <cp:lastPrinted>2016-12-16T19:02:00Z</cp:lastPrinted>
  <dcterms:created xsi:type="dcterms:W3CDTF">2016-12-19T13:46:00Z</dcterms:created>
  <dcterms:modified xsi:type="dcterms:W3CDTF">2016-12-22T12:54:00Z</dcterms:modified>
</cp:coreProperties>
</file>