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oter11.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11E" w:rsidRPr="00925F30" w:rsidRDefault="005D711E">
      <w:pPr>
        <w:rPr>
          <w:b/>
        </w:rPr>
      </w:pPr>
    </w:p>
    <w:p w:rsidR="005D711E" w:rsidRDefault="005D711E">
      <w:pPr>
        <w:rPr>
          <w:b/>
        </w:rPr>
      </w:pPr>
    </w:p>
    <w:p w:rsidR="004B4861" w:rsidRDefault="004B4861">
      <w:pPr>
        <w:pStyle w:val="Heading8"/>
        <w:ind w:left="270"/>
        <w:jc w:val="center"/>
        <w:rPr>
          <w:sz w:val="32"/>
          <w:szCs w:val="32"/>
        </w:rPr>
      </w:pPr>
    </w:p>
    <w:p w:rsidR="004B4861" w:rsidRDefault="004B4861">
      <w:pPr>
        <w:pStyle w:val="Heading8"/>
        <w:ind w:left="270"/>
        <w:jc w:val="center"/>
        <w:rPr>
          <w:sz w:val="32"/>
          <w:szCs w:val="32"/>
        </w:rPr>
      </w:pPr>
    </w:p>
    <w:p w:rsidR="006D7B1B" w:rsidRDefault="006D7B1B" w:rsidP="001032C8">
      <w:pPr>
        <w:jc w:val="center"/>
        <w:rPr>
          <w:rFonts w:ascii="Arial" w:hAnsi="Arial" w:cs="Arial"/>
          <w:b/>
          <w:sz w:val="40"/>
          <w:szCs w:val="24"/>
        </w:rPr>
      </w:pPr>
    </w:p>
    <w:p w:rsidR="006D7B1B" w:rsidRDefault="006D7B1B" w:rsidP="001032C8">
      <w:pPr>
        <w:jc w:val="center"/>
        <w:rPr>
          <w:rFonts w:ascii="Arial" w:hAnsi="Arial" w:cs="Arial"/>
          <w:b/>
          <w:sz w:val="40"/>
          <w:szCs w:val="24"/>
        </w:rPr>
      </w:pPr>
    </w:p>
    <w:p w:rsidR="006D7B1B" w:rsidRDefault="006D7B1B" w:rsidP="001032C8">
      <w:pPr>
        <w:jc w:val="center"/>
        <w:rPr>
          <w:rFonts w:ascii="Arial" w:hAnsi="Arial" w:cs="Arial"/>
          <w:b/>
          <w:sz w:val="40"/>
          <w:szCs w:val="24"/>
        </w:rPr>
      </w:pPr>
    </w:p>
    <w:p w:rsidR="006D7B1B" w:rsidRDefault="006D7B1B" w:rsidP="001032C8">
      <w:pPr>
        <w:jc w:val="center"/>
        <w:rPr>
          <w:rFonts w:ascii="Arial" w:hAnsi="Arial" w:cs="Arial"/>
          <w:b/>
          <w:sz w:val="40"/>
          <w:szCs w:val="24"/>
        </w:rPr>
      </w:pPr>
    </w:p>
    <w:p w:rsidR="001032C8" w:rsidRPr="006D7B1B" w:rsidRDefault="00834DF8" w:rsidP="001032C8">
      <w:pPr>
        <w:jc w:val="center"/>
        <w:rPr>
          <w:rFonts w:ascii="Arial" w:hAnsi="Arial" w:cs="Arial"/>
          <w:b/>
          <w:sz w:val="36"/>
          <w:szCs w:val="36"/>
        </w:rPr>
      </w:pPr>
      <w:r w:rsidRPr="006D7B1B">
        <w:rPr>
          <w:rFonts w:ascii="Arial" w:hAnsi="Arial" w:cs="Arial"/>
          <w:b/>
          <w:sz w:val="36"/>
          <w:szCs w:val="36"/>
        </w:rPr>
        <w:t>PECO ENERGY COMPANY</w:t>
      </w:r>
    </w:p>
    <w:p w:rsidR="005D711E" w:rsidRPr="00BE0936" w:rsidRDefault="005D711E" w:rsidP="007B2F04">
      <w:pPr>
        <w:pStyle w:val="Heading8"/>
        <w:jc w:val="center"/>
        <w:rPr>
          <w:rFonts w:ascii="Arial" w:hAnsi="Arial" w:cs="Arial"/>
          <w:sz w:val="24"/>
          <w:szCs w:val="24"/>
        </w:rPr>
      </w:pPr>
    </w:p>
    <w:p w:rsidR="005D711E" w:rsidRPr="00BE0936" w:rsidRDefault="005D711E" w:rsidP="007B2F04">
      <w:pPr>
        <w:pStyle w:val="BodyText2"/>
        <w:rPr>
          <w:rFonts w:ascii="Arial" w:hAnsi="Arial" w:cs="Arial"/>
          <w:sz w:val="24"/>
          <w:szCs w:val="24"/>
        </w:rPr>
      </w:pPr>
    </w:p>
    <w:p w:rsidR="004B4861" w:rsidRDefault="004B4861" w:rsidP="007B2F04">
      <w:pPr>
        <w:pStyle w:val="BodyText2"/>
        <w:tabs>
          <w:tab w:val="clear" w:pos="4680"/>
        </w:tabs>
        <w:rPr>
          <w:rFonts w:ascii="Arial" w:hAnsi="Arial" w:cs="Arial"/>
          <w:sz w:val="24"/>
          <w:szCs w:val="24"/>
        </w:rPr>
      </w:pPr>
    </w:p>
    <w:p w:rsidR="00BE0936" w:rsidRDefault="00BE0936" w:rsidP="007B2F04">
      <w:pPr>
        <w:pStyle w:val="BodyText2"/>
        <w:tabs>
          <w:tab w:val="clear" w:pos="4680"/>
        </w:tabs>
        <w:rPr>
          <w:rFonts w:ascii="Arial" w:hAnsi="Arial" w:cs="Arial"/>
          <w:sz w:val="24"/>
          <w:szCs w:val="24"/>
        </w:rPr>
      </w:pPr>
    </w:p>
    <w:p w:rsidR="00BE0936" w:rsidRDefault="00BE0936" w:rsidP="007B2F04">
      <w:pPr>
        <w:pStyle w:val="BodyText2"/>
        <w:tabs>
          <w:tab w:val="clear" w:pos="4680"/>
        </w:tabs>
        <w:rPr>
          <w:rFonts w:ascii="Arial" w:hAnsi="Arial" w:cs="Arial"/>
          <w:sz w:val="24"/>
          <w:szCs w:val="24"/>
        </w:rPr>
      </w:pPr>
    </w:p>
    <w:p w:rsidR="00BE0936" w:rsidRDefault="00BE0936" w:rsidP="007B2F04">
      <w:pPr>
        <w:pStyle w:val="BodyText2"/>
        <w:tabs>
          <w:tab w:val="clear" w:pos="4680"/>
        </w:tabs>
        <w:rPr>
          <w:rFonts w:ascii="Arial" w:hAnsi="Arial" w:cs="Arial"/>
          <w:sz w:val="24"/>
          <w:szCs w:val="24"/>
        </w:rPr>
      </w:pPr>
    </w:p>
    <w:p w:rsidR="00DB0C40" w:rsidRDefault="00DB0C40" w:rsidP="00DB0C40">
      <w:pPr>
        <w:suppressAutoHyphens/>
        <w:jc w:val="center"/>
        <w:rPr>
          <w:rFonts w:ascii="Arial" w:hAnsi="Arial" w:cs="Arial"/>
          <w:b/>
          <w:sz w:val="28"/>
          <w:szCs w:val="28"/>
        </w:rPr>
      </w:pPr>
      <w:r w:rsidRPr="006D7B1B">
        <w:rPr>
          <w:rFonts w:ascii="Arial" w:hAnsi="Arial" w:cs="Arial"/>
          <w:b/>
          <w:sz w:val="28"/>
          <w:szCs w:val="28"/>
        </w:rPr>
        <w:t xml:space="preserve">A REPORT ON THE </w:t>
      </w:r>
      <w:r>
        <w:rPr>
          <w:rFonts w:ascii="Arial" w:hAnsi="Arial" w:cs="Arial"/>
          <w:b/>
          <w:sz w:val="28"/>
          <w:szCs w:val="28"/>
        </w:rPr>
        <w:t xml:space="preserve">STATEMENTS OF </w:t>
      </w:r>
    </w:p>
    <w:p w:rsidR="004B39C7" w:rsidRPr="00BE0936" w:rsidRDefault="004B39C7" w:rsidP="007B2F04">
      <w:pPr>
        <w:pStyle w:val="BodyText2"/>
        <w:tabs>
          <w:tab w:val="clear" w:pos="4680"/>
        </w:tabs>
        <w:rPr>
          <w:rFonts w:ascii="Arial" w:hAnsi="Arial" w:cs="Arial"/>
          <w:sz w:val="24"/>
          <w:szCs w:val="24"/>
        </w:rPr>
      </w:pPr>
    </w:p>
    <w:p w:rsidR="004B4861" w:rsidRPr="00BE0936" w:rsidRDefault="00DB0C40" w:rsidP="007B2F04">
      <w:pPr>
        <w:pStyle w:val="BodyText2"/>
        <w:tabs>
          <w:tab w:val="clear" w:pos="4680"/>
        </w:tabs>
        <w:rPr>
          <w:rFonts w:ascii="Arial" w:hAnsi="Arial" w:cs="Arial"/>
          <w:sz w:val="24"/>
          <w:szCs w:val="24"/>
        </w:rPr>
      </w:pPr>
      <w:r w:rsidRPr="006D7B1B">
        <w:rPr>
          <w:rFonts w:ascii="Arial" w:hAnsi="Arial" w:cs="Arial"/>
          <w:sz w:val="28"/>
          <w:szCs w:val="28"/>
        </w:rPr>
        <w:t>TRANSMISSION SERVICE CHARGE</w:t>
      </w:r>
    </w:p>
    <w:p w:rsidR="004B4861" w:rsidRPr="006D7B1B" w:rsidRDefault="004B4861" w:rsidP="007B2F04">
      <w:pPr>
        <w:pStyle w:val="BodyText2"/>
        <w:tabs>
          <w:tab w:val="clear" w:pos="4680"/>
        </w:tabs>
        <w:rPr>
          <w:rFonts w:ascii="Arial" w:hAnsi="Arial" w:cs="Arial"/>
          <w:sz w:val="28"/>
          <w:szCs w:val="28"/>
        </w:rPr>
      </w:pPr>
    </w:p>
    <w:p w:rsidR="00BF64D9" w:rsidRDefault="00DB0C40" w:rsidP="00554B9B">
      <w:pPr>
        <w:suppressAutoHyphens/>
        <w:jc w:val="center"/>
        <w:rPr>
          <w:rFonts w:ascii="Arial" w:hAnsi="Arial" w:cs="Arial"/>
          <w:b/>
          <w:sz w:val="28"/>
          <w:szCs w:val="28"/>
        </w:rPr>
      </w:pPr>
      <w:r w:rsidRPr="00DB0C40">
        <w:rPr>
          <w:rFonts w:ascii="Arial" w:hAnsi="Arial" w:cs="Arial"/>
          <w:b/>
          <w:sz w:val="28"/>
          <w:szCs w:val="28"/>
        </w:rPr>
        <w:t>OVER</w:t>
      </w:r>
      <w:proofErr w:type="gramStart"/>
      <w:r w:rsidRPr="00DB0C40">
        <w:rPr>
          <w:rFonts w:ascii="Arial" w:hAnsi="Arial" w:cs="Arial"/>
          <w:b/>
          <w:sz w:val="28"/>
          <w:szCs w:val="28"/>
        </w:rPr>
        <w:t>/(</w:t>
      </w:r>
      <w:proofErr w:type="gramEnd"/>
      <w:r w:rsidRPr="00DB0C40">
        <w:rPr>
          <w:rFonts w:ascii="Arial" w:hAnsi="Arial" w:cs="Arial"/>
          <w:b/>
          <w:sz w:val="28"/>
          <w:szCs w:val="28"/>
        </w:rPr>
        <w:t>UNDER) COLLECTIONS (SECTION 1307(e))</w:t>
      </w:r>
    </w:p>
    <w:p w:rsidR="00061843" w:rsidRPr="006D7B1B" w:rsidRDefault="00061843" w:rsidP="00554B9B">
      <w:pPr>
        <w:suppressAutoHyphens/>
        <w:jc w:val="center"/>
        <w:rPr>
          <w:rFonts w:ascii="Arial" w:hAnsi="Arial" w:cs="Arial"/>
          <w:sz w:val="28"/>
          <w:szCs w:val="28"/>
        </w:rPr>
      </w:pPr>
    </w:p>
    <w:p w:rsidR="00BC0918" w:rsidRDefault="00554B9B" w:rsidP="00554B9B">
      <w:pPr>
        <w:suppressAutoHyphens/>
        <w:jc w:val="center"/>
        <w:rPr>
          <w:rFonts w:ascii="Arial" w:hAnsi="Arial" w:cs="Arial"/>
          <w:b/>
          <w:sz w:val="28"/>
          <w:szCs w:val="28"/>
        </w:rPr>
      </w:pPr>
      <w:r w:rsidRPr="006D7B1B">
        <w:rPr>
          <w:rFonts w:ascii="Arial" w:hAnsi="Arial" w:cs="Arial"/>
          <w:b/>
          <w:sz w:val="28"/>
          <w:szCs w:val="28"/>
        </w:rPr>
        <w:t xml:space="preserve">FOR THE </w:t>
      </w:r>
      <w:r w:rsidR="00E77C51">
        <w:rPr>
          <w:rFonts w:ascii="Arial" w:hAnsi="Arial" w:cs="Arial"/>
          <w:b/>
          <w:sz w:val="28"/>
          <w:szCs w:val="28"/>
        </w:rPr>
        <w:t>FOURTEEN</w:t>
      </w:r>
      <w:r w:rsidR="00061843" w:rsidRPr="006D7B1B">
        <w:rPr>
          <w:rFonts w:ascii="Arial" w:hAnsi="Arial" w:cs="Arial"/>
          <w:b/>
          <w:sz w:val="28"/>
          <w:szCs w:val="28"/>
        </w:rPr>
        <w:t xml:space="preserve"> MONTHS ENDED </w:t>
      </w:r>
      <w:r w:rsidR="00E77C51">
        <w:rPr>
          <w:rFonts w:ascii="Arial" w:hAnsi="Arial" w:cs="Arial"/>
          <w:b/>
          <w:sz w:val="28"/>
          <w:szCs w:val="28"/>
        </w:rPr>
        <w:t>NOVEMBER</w:t>
      </w:r>
      <w:r w:rsidR="009C0A77" w:rsidRPr="006D7B1B">
        <w:rPr>
          <w:rFonts w:ascii="Arial" w:hAnsi="Arial" w:cs="Arial"/>
          <w:b/>
          <w:sz w:val="28"/>
          <w:szCs w:val="28"/>
        </w:rPr>
        <w:t xml:space="preserve"> 3</w:t>
      </w:r>
      <w:r w:rsidR="00E77C51">
        <w:rPr>
          <w:rFonts w:ascii="Arial" w:hAnsi="Arial" w:cs="Arial"/>
          <w:b/>
          <w:sz w:val="28"/>
          <w:szCs w:val="28"/>
        </w:rPr>
        <w:t>0</w:t>
      </w:r>
      <w:r w:rsidR="009C0A77" w:rsidRPr="006D7B1B">
        <w:rPr>
          <w:rFonts w:ascii="Arial" w:hAnsi="Arial" w:cs="Arial"/>
          <w:b/>
          <w:sz w:val="28"/>
          <w:szCs w:val="28"/>
        </w:rPr>
        <w:t>,</w:t>
      </w:r>
      <w:r w:rsidR="00061843" w:rsidRPr="006D7B1B">
        <w:rPr>
          <w:rFonts w:ascii="Arial" w:hAnsi="Arial" w:cs="Arial"/>
          <w:b/>
          <w:sz w:val="28"/>
          <w:szCs w:val="28"/>
        </w:rPr>
        <w:t xml:space="preserve"> 20</w:t>
      </w:r>
      <w:r w:rsidR="00834DF8" w:rsidRPr="006D7B1B">
        <w:rPr>
          <w:rFonts w:ascii="Arial" w:hAnsi="Arial" w:cs="Arial"/>
          <w:b/>
          <w:sz w:val="28"/>
          <w:szCs w:val="28"/>
        </w:rPr>
        <w:t>1</w:t>
      </w:r>
      <w:r w:rsidR="00E77C51">
        <w:rPr>
          <w:rFonts w:ascii="Arial" w:hAnsi="Arial" w:cs="Arial"/>
          <w:b/>
          <w:sz w:val="28"/>
          <w:szCs w:val="28"/>
        </w:rPr>
        <w:t xml:space="preserve">3 </w:t>
      </w:r>
    </w:p>
    <w:p w:rsidR="00BC0918" w:rsidRDefault="00BC0918" w:rsidP="00554B9B">
      <w:pPr>
        <w:suppressAutoHyphens/>
        <w:jc w:val="center"/>
        <w:rPr>
          <w:rFonts w:ascii="Arial" w:hAnsi="Arial" w:cs="Arial"/>
          <w:b/>
          <w:sz w:val="28"/>
          <w:szCs w:val="28"/>
        </w:rPr>
      </w:pPr>
    </w:p>
    <w:p w:rsidR="00061843" w:rsidRPr="006D7B1B" w:rsidRDefault="00E77C51" w:rsidP="00554B9B">
      <w:pPr>
        <w:suppressAutoHyphens/>
        <w:jc w:val="center"/>
        <w:rPr>
          <w:rFonts w:ascii="Arial" w:hAnsi="Arial" w:cs="Arial"/>
          <w:b/>
          <w:sz w:val="28"/>
          <w:szCs w:val="28"/>
        </w:rPr>
      </w:pPr>
      <w:r>
        <w:rPr>
          <w:rFonts w:ascii="Arial" w:hAnsi="Arial" w:cs="Arial"/>
          <w:b/>
          <w:sz w:val="28"/>
          <w:szCs w:val="28"/>
        </w:rPr>
        <w:t>AND FOR THE ELEVEN MONTHS ENDED</w:t>
      </w:r>
      <w:r w:rsidR="00061843" w:rsidRPr="006D7B1B">
        <w:rPr>
          <w:rFonts w:ascii="Arial" w:hAnsi="Arial" w:cs="Arial"/>
          <w:b/>
          <w:sz w:val="28"/>
          <w:szCs w:val="28"/>
        </w:rPr>
        <w:t xml:space="preserve"> </w:t>
      </w:r>
      <w:r>
        <w:rPr>
          <w:rFonts w:ascii="Arial" w:hAnsi="Arial" w:cs="Arial"/>
          <w:b/>
          <w:sz w:val="28"/>
          <w:szCs w:val="28"/>
        </w:rPr>
        <w:t>SEPTEMBER 30, 2012</w:t>
      </w:r>
    </w:p>
    <w:p w:rsidR="005D711E" w:rsidRPr="00BE0936" w:rsidRDefault="005D711E" w:rsidP="007B2F04">
      <w:pPr>
        <w:pStyle w:val="BodyText2"/>
        <w:tabs>
          <w:tab w:val="clear" w:pos="4680"/>
        </w:tabs>
        <w:outlineLvl w:val="0"/>
        <w:rPr>
          <w:rFonts w:ascii="Arial" w:hAnsi="Arial" w:cs="Arial"/>
          <w:sz w:val="24"/>
          <w:szCs w:val="24"/>
        </w:rPr>
      </w:pPr>
    </w:p>
    <w:p w:rsidR="005D711E" w:rsidRPr="00BE0936" w:rsidRDefault="005D711E" w:rsidP="007B2F04">
      <w:pPr>
        <w:pStyle w:val="BodyText2"/>
        <w:rPr>
          <w:rFonts w:ascii="Arial" w:hAnsi="Arial" w:cs="Arial"/>
          <w:sz w:val="24"/>
          <w:szCs w:val="24"/>
        </w:rPr>
      </w:pPr>
    </w:p>
    <w:p w:rsidR="005D711E" w:rsidRPr="00BE0936" w:rsidRDefault="005D711E" w:rsidP="007B2F04">
      <w:pPr>
        <w:pStyle w:val="BodyText2"/>
        <w:rPr>
          <w:rFonts w:ascii="Arial" w:hAnsi="Arial" w:cs="Arial"/>
          <w:sz w:val="24"/>
          <w:szCs w:val="24"/>
        </w:rPr>
      </w:pPr>
    </w:p>
    <w:p w:rsidR="005D711E" w:rsidRPr="00BE0936" w:rsidRDefault="005D711E" w:rsidP="007B2F04">
      <w:pPr>
        <w:tabs>
          <w:tab w:val="left" w:pos="-720"/>
        </w:tabs>
        <w:suppressAutoHyphens/>
        <w:jc w:val="center"/>
        <w:rPr>
          <w:rFonts w:ascii="Arial" w:hAnsi="Arial" w:cs="Arial"/>
          <w:b/>
          <w:szCs w:val="24"/>
        </w:rPr>
      </w:pPr>
    </w:p>
    <w:p w:rsidR="005D711E" w:rsidRPr="00BE0936" w:rsidRDefault="005D711E" w:rsidP="007B2F04">
      <w:pPr>
        <w:tabs>
          <w:tab w:val="left" w:pos="-720"/>
        </w:tabs>
        <w:suppressAutoHyphens/>
        <w:jc w:val="center"/>
        <w:rPr>
          <w:rFonts w:ascii="Arial" w:hAnsi="Arial" w:cs="Arial"/>
          <w:b/>
          <w:szCs w:val="24"/>
        </w:rPr>
      </w:pPr>
    </w:p>
    <w:p w:rsidR="004B39C7" w:rsidRPr="00BE0936" w:rsidRDefault="004B39C7" w:rsidP="007B2F04">
      <w:pPr>
        <w:tabs>
          <w:tab w:val="left" w:pos="-720"/>
        </w:tabs>
        <w:suppressAutoHyphens/>
        <w:jc w:val="center"/>
        <w:rPr>
          <w:rFonts w:ascii="Arial" w:hAnsi="Arial" w:cs="Arial"/>
          <w:b/>
          <w:szCs w:val="24"/>
        </w:rPr>
      </w:pPr>
    </w:p>
    <w:p w:rsidR="00BE0936" w:rsidRDefault="00BE0936" w:rsidP="007B2F04">
      <w:pPr>
        <w:tabs>
          <w:tab w:val="left" w:pos="-720"/>
        </w:tabs>
        <w:suppressAutoHyphens/>
        <w:jc w:val="center"/>
        <w:rPr>
          <w:rFonts w:ascii="Arial" w:hAnsi="Arial" w:cs="Arial"/>
          <w:b/>
          <w:szCs w:val="24"/>
        </w:rPr>
      </w:pPr>
    </w:p>
    <w:p w:rsidR="005D711E" w:rsidRPr="00BE0936" w:rsidRDefault="005D711E" w:rsidP="007B2F04">
      <w:pPr>
        <w:tabs>
          <w:tab w:val="center" w:pos="4680"/>
        </w:tabs>
        <w:suppressAutoHyphens/>
        <w:jc w:val="center"/>
        <w:rPr>
          <w:rFonts w:ascii="Arial" w:hAnsi="Arial" w:cs="Arial"/>
          <w:b/>
          <w:szCs w:val="24"/>
        </w:rPr>
      </w:pPr>
    </w:p>
    <w:p w:rsidR="005D711E" w:rsidRPr="00BE0936" w:rsidRDefault="005D711E" w:rsidP="007B2F04">
      <w:pPr>
        <w:tabs>
          <w:tab w:val="center" w:pos="4680"/>
        </w:tabs>
        <w:suppressAutoHyphens/>
        <w:jc w:val="center"/>
        <w:rPr>
          <w:rFonts w:ascii="Arial" w:hAnsi="Arial" w:cs="Arial"/>
          <w:b/>
          <w:szCs w:val="24"/>
        </w:rPr>
      </w:pPr>
    </w:p>
    <w:p w:rsidR="009F6861" w:rsidRPr="0043668B" w:rsidRDefault="005D711E" w:rsidP="007B2F04">
      <w:pPr>
        <w:tabs>
          <w:tab w:val="center" w:pos="4680"/>
        </w:tabs>
        <w:suppressAutoHyphens/>
        <w:jc w:val="center"/>
        <w:outlineLvl w:val="0"/>
        <w:rPr>
          <w:rFonts w:ascii="Arial" w:hAnsi="Arial" w:cs="Arial"/>
          <w:b/>
          <w:sz w:val="28"/>
          <w:szCs w:val="24"/>
        </w:rPr>
      </w:pPr>
      <w:r w:rsidRPr="0043668B">
        <w:rPr>
          <w:rFonts w:ascii="Arial" w:hAnsi="Arial" w:cs="Arial"/>
          <w:b/>
          <w:sz w:val="28"/>
          <w:szCs w:val="24"/>
        </w:rPr>
        <w:t xml:space="preserve">Prepared </w:t>
      </w:r>
      <w:r w:rsidR="00C06521" w:rsidRPr="0043668B">
        <w:rPr>
          <w:rFonts w:ascii="Arial" w:hAnsi="Arial" w:cs="Arial"/>
          <w:b/>
          <w:sz w:val="28"/>
          <w:szCs w:val="24"/>
        </w:rPr>
        <w:t xml:space="preserve">By </w:t>
      </w:r>
      <w:r w:rsidRPr="0043668B">
        <w:rPr>
          <w:rFonts w:ascii="Arial" w:hAnsi="Arial" w:cs="Arial"/>
          <w:b/>
          <w:sz w:val="28"/>
          <w:szCs w:val="24"/>
        </w:rPr>
        <w:t>The</w:t>
      </w:r>
    </w:p>
    <w:p w:rsidR="005D711E" w:rsidRPr="0043668B" w:rsidRDefault="005D711E" w:rsidP="007B2F04">
      <w:pPr>
        <w:tabs>
          <w:tab w:val="center" w:pos="4680"/>
        </w:tabs>
        <w:suppressAutoHyphens/>
        <w:jc w:val="center"/>
        <w:outlineLvl w:val="0"/>
        <w:rPr>
          <w:rFonts w:ascii="Arial" w:hAnsi="Arial" w:cs="Arial"/>
          <w:b/>
          <w:sz w:val="28"/>
          <w:szCs w:val="24"/>
        </w:rPr>
      </w:pPr>
      <w:r w:rsidRPr="0043668B">
        <w:rPr>
          <w:rFonts w:ascii="Arial" w:hAnsi="Arial" w:cs="Arial"/>
          <w:b/>
          <w:sz w:val="28"/>
          <w:szCs w:val="24"/>
        </w:rPr>
        <w:t>Pennsylvania Public Utility Commission</w:t>
      </w:r>
    </w:p>
    <w:p w:rsidR="005D711E" w:rsidRPr="0043668B" w:rsidRDefault="00C06521" w:rsidP="00C06521">
      <w:pPr>
        <w:tabs>
          <w:tab w:val="center" w:pos="4680"/>
        </w:tabs>
        <w:suppressAutoHyphens/>
        <w:rPr>
          <w:rFonts w:ascii="Arial" w:hAnsi="Arial" w:cs="Arial"/>
          <w:b/>
          <w:sz w:val="28"/>
          <w:szCs w:val="24"/>
        </w:rPr>
      </w:pPr>
      <w:r w:rsidRPr="0043668B">
        <w:rPr>
          <w:rFonts w:ascii="Arial" w:hAnsi="Arial" w:cs="Arial"/>
          <w:b/>
          <w:sz w:val="28"/>
          <w:szCs w:val="24"/>
        </w:rPr>
        <w:tab/>
      </w:r>
      <w:r w:rsidR="005D711E" w:rsidRPr="0043668B">
        <w:rPr>
          <w:rFonts w:ascii="Arial" w:hAnsi="Arial" w:cs="Arial"/>
          <w:b/>
          <w:sz w:val="28"/>
          <w:szCs w:val="24"/>
        </w:rPr>
        <w:t xml:space="preserve">Bureau </w:t>
      </w:r>
      <w:r w:rsidR="006D7B1B">
        <w:rPr>
          <w:rFonts w:ascii="Arial" w:hAnsi="Arial" w:cs="Arial"/>
          <w:b/>
          <w:sz w:val="28"/>
          <w:szCs w:val="24"/>
        </w:rPr>
        <w:t>o</w:t>
      </w:r>
      <w:r w:rsidR="005D711E" w:rsidRPr="0043668B">
        <w:rPr>
          <w:rFonts w:ascii="Arial" w:hAnsi="Arial" w:cs="Arial"/>
          <w:b/>
          <w:sz w:val="28"/>
          <w:szCs w:val="24"/>
        </w:rPr>
        <w:t>f Audits</w:t>
      </w:r>
    </w:p>
    <w:p w:rsidR="006D7B1B" w:rsidRDefault="00C06521" w:rsidP="006D7B1B">
      <w:pPr>
        <w:tabs>
          <w:tab w:val="center" w:pos="4680"/>
        </w:tabs>
        <w:suppressAutoHyphens/>
        <w:rPr>
          <w:rFonts w:ascii="Arial" w:hAnsi="Arial" w:cs="Arial"/>
          <w:b/>
          <w:sz w:val="28"/>
          <w:szCs w:val="28"/>
        </w:rPr>
      </w:pPr>
      <w:r w:rsidRPr="0043668B">
        <w:rPr>
          <w:rFonts w:ascii="Arial" w:hAnsi="Arial" w:cs="Arial"/>
          <w:b/>
          <w:sz w:val="28"/>
          <w:szCs w:val="24"/>
        </w:rPr>
        <w:tab/>
      </w:r>
      <w:r w:rsidR="006D7B1B" w:rsidRPr="00936DE2">
        <w:rPr>
          <w:rFonts w:ascii="Arial" w:hAnsi="Arial" w:cs="Arial"/>
          <w:b/>
          <w:sz w:val="28"/>
          <w:szCs w:val="28"/>
        </w:rPr>
        <w:t xml:space="preserve">Report Date:  </w:t>
      </w:r>
      <w:r w:rsidR="005E3917">
        <w:rPr>
          <w:rFonts w:ascii="Arial" w:hAnsi="Arial" w:cs="Arial"/>
          <w:b/>
          <w:sz w:val="28"/>
          <w:szCs w:val="28"/>
        </w:rPr>
        <w:t xml:space="preserve">December </w:t>
      </w:r>
      <w:r w:rsidR="001D5D06">
        <w:rPr>
          <w:rFonts w:ascii="Arial" w:hAnsi="Arial" w:cs="Arial"/>
          <w:b/>
          <w:sz w:val="28"/>
          <w:szCs w:val="28"/>
        </w:rPr>
        <w:t>1</w:t>
      </w:r>
      <w:r w:rsidR="00C90AA9">
        <w:rPr>
          <w:rFonts w:ascii="Arial" w:hAnsi="Arial" w:cs="Arial"/>
          <w:b/>
          <w:sz w:val="28"/>
          <w:szCs w:val="28"/>
        </w:rPr>
        <w:t>, 201</w:t>
      </w:r>
      <w:r w:rsidR="00007E3A">
        <w:rPr>
          <w:rFonts w:ascii="Arial" w:hAnsi="Arial" w:cs="Arial"/>
          <w:b/>
          <w:sz w:val="28"/>
          <w:szCs w:val="28"/>
        </w:rPr>
        <w:t>6</w:t>
      </w:r>
    </w:p>
    <w:p w:rsidR="006D7B1B" w:rsidRDefault="006D7B1B" w:rsidP="006D7B1B">
      <w:pPr>
        <w:tabs>
          <w:tab w:val="center" w:pos="4680"/>
        </w:tabs>
        <w:suppressAutoHyphens/>
        <w:rPr>
          <w:rFonts w:ascii="Arial" w:hAnsi="Arial" w:cs="Arial"/>
          <w:b/>
          <w:sz w:val="28"/>
          <w:szCs w:val="28"/>
        </w:rPr>
      </w:pPr>
    </w:p>
    <w:p w:rsidR="005D711E" w:rsidRPr="0043668B" w:rsidRDefault="00C06521" w:rsidP="00BB133D">
      <w:pPr>
        <w:tabs>
          <w:tab w:val="center" w:pos="4680"/>
        </w:tabs>
        <w:suppressAutoHyphens/>
        <w:rPr>
          <w:rFonts w:ascii="Arial" w:hAnsi="Arial" w:cs="Arial"/>
          <w:b/>
          <w:sz w:val="28"/>
          <w:szCs w:val="24"/>
        </w:rPr>
        <w:sectPr w:rsidR="005D711E" w:rsidRPr="0043668B" w:rsidSect="003439C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008" w:left="1440" w:header="0" w:footer="720" w:gutter="0"/>
          <w:cols w:space="720"/>
          <w:noEndnote/>
          <w:docGrid w:linePitch="326"/>
        </w:sectPr>
      </w:pPr>
      <w:r w:rsidRPr="0043668B">
        <w:rPr>
          <w:rFonts w:ascii="Arial" w:hAnsi="Arial" w:cs="Arial"/>
          <w:b/>
          <w:sz w:val="28"/>
          <w:szCs w:val="24"/>
        </w:rPr>
        <w:tab/>
        <w:t>Docket</w:t>
      </w:r>
      <w:r w:rsidR="00E807BD">
        <w:rPr>
          <w:rFonts w:ascii="Arial" w:hAnsi="Arial" w:cs="Arial"/>
          <w:b/>
          <w:sz w:val="28"/>
          <w:szCs w:val="24"/>
        </w:rPr>
        <w:t>:</w:t>
      </w:r>
      <w:r w:rsidR="006D7B1B">
        <w:rPr>
          <w:rFonts w:ascii="Arial" w:hAnsi="Arial" w:cs="Arial"/>
          <w:b/>
          <w:sz w:val="28"/>
          <w:szCs w:val="24"/>
        </w:rPr>
        <w:t xml:space="preserve"> </w:t>
      </w:r>
      <w:r w:rsidRPr="0043668B">
        <w:rPr>
          <w:rFonts w:ascii="Arial" w:hAnsi="Arial" w:cs="Arial"/>
          <w:b/>
          <w:sz w:val="28"/>
          <w:szCs w:val="24"/>
        </w:rPr>
        <w:t xml:space="preserve"> </w:t>
      </w:r>
      <w:r w:rsidR="00E807BD">
        <w:rPr>
          <w:rFonts w:ascii="Arial" w:hAnsi="Arial" w:cs="Arial"/>
          <w:b/>
          <w:sz w:val="28"/>
          <w:szCs w:val="24"/>
        </w:rPr>
        <w:t>D-</w:t>
      </w:r>
      <w:r w:rsidR="00A972DB">
        <w:rPr>
          <w:rFonts w:ascii="Arial" w:hAnsi="Arial" w:cs="Arial"/>
          <w:b/>
          <w:sz w:val="28"/>
          <w:szCs w:val="24"/>
        </w:rPr>
        <w:t>201</w:t>
      </w:r>
      <w:r w:rsidR="00AB08D6">
        <w:rPr>
          <w:rFonts w:ascii="Arial" w:hAnsi="Arial" w:cs="Arial"/>
          <w:b/>
          <w:sz w:val="28"/>
          <w:szCs w:val="24"/>
        </w:rPr>
        <w:t>5</w:t>
      </w:r>
      <w:r w:rsidR="00A972DB">
        <w:rPr>
          <w:rFonts w:ascii="Arial" w:hAnsi="Arial" w:cs="Arial"/>
          <w:b/>
          <w:sz w:val="28"/>
          <w:szCs w:val="24"/>
        </w:rPr>
        <w:t>-</w:t>
      </w:r>
      <w:r w:rsidR="00AB08D6">
        <w:rPr>
          <w:rFonts w:ascii="Arial" w:hAnsi="Arial" w:cs="Arial"/>
          <w:b/>
          <w:sz w:val="28"/>
          <w:szCs w:val="24"/>
        </w:rPr>
        <w:t>2478371</w:t>
      </w:r>
    </w:p>
    <w:p w:rsidR="005D711E" w:rsidRPr="005440A5" w:rsidRDefault="000C6A2D" w:rsidP="009F6861">
      <w:pPr>
        <w:pStyle w:val="Heading1"/>
        <w:tabs>
          <w:tab w:val="left" w:pos="180"/>
          <w:tab w:val="left" w:pos="270"/>
        </w:tabs>
        <w:rPr>
          <w:rFonts w:ascii="Arial" w:hAnsi="Arial" w:cs="Arial"/>
          <w:sz w:val="26"/>
          <w:szCs w:val="26"/>
          <w:u w:val="none"/>
        </w:rPr>
      </w:pPr>
      <w:r w:rsidRPr="005440A5">
        <w:rPr>
          <w:rFonts w:ascii="Arial" w:hAnsi="Arial" w:cs="Arial"/>
          <w:sz w:val="26"/>
          <w:szCs w:val="26"/>
          <w:u w:val="none"/>
        </w:rPr>
        <w:lastRenderedPageBreak/>
        <w:t>PECO ENERGY</w:t>
      </w:r>
      <w:r w:rsidR="002D27C7" w:rsidRPr="005440A5">
        <w:rPr>
          <w:rFonts w:ascii="Arial" w:hAnsi="Arial" w:cs="Arial"/>
          <w:sz w:val="26"/>
          <w:szCs w:val="26"/>
          <w:u w:val="none"/>
        </w:rPr>
        <w:t xml:space="preserve"> COMPANY</w:t>
      </w:r>
    </w:p>
    <w:p w:rsidR="005D711E" w:rsidRPr="005440A5" w:rsidRDefault="005D711E" w:rsidP="009F6861">
      <w:pPr>
        <w:tabs>
          <w:tab w:val="left" w:pos="180"/>
          <w:tab w:val="left" w:pos="270"/>
        </w:tabs>
        <w:suppressAutoHyphens/>
        <w:rPr>
          <w:rFonts w:ascii="Arial" w:hAnsi="Arial" w:cs="Arial"/>
          <w:sz w:val="26"/>
          <w:szCs w:val="26"/>
        </w:rPr>
      </w:pPr>
    </w:p>
    <w:p w:rsidR="005D711E" w:rsidRPr="005440A5" w:rsidRDefault="005440A5" w:rsidP="009F6861">
      <w:pPr>
        <w:jc w:val="center"/>
        <w:rPr>
          <w:rFonts w:ascii="Arial" w:hAnsi="Arial" w:cs="Arial"/>
          <w:b/>
          <w:sz w:val="26"/>
          <w:szCs w:val="26"/>
        </w:rPr>
      </w:pPr>
      <w:r>
        <w:rPr>
          <w:rFonts w:ascii="Arial" w:hAnsi="Arial" w:cs="Arial"/>
          <w:b/>
          <w:sz w:val="26"/>
          <w:szCs w:val="26"/>
        </w:rPr>
        <w:t xml:space="preserve">Table of </w:t>
      </w:r>
      <w:r w:rsidR="005D711E" w:rsidRPr="005440A5">
        <w:rPr>
          <w:rFonts w:ascii="Arial" w:hAnsi="Arial" w:cs="Arial"/>
          <w:b/>
          <w:sz w:val="26"/>
          <w:szCs w:val="26"/>
        </w:rPr>
        <w:t>Contents</w:t>
      </w:r>
    </w:p>
    <w:tbl>
      <w:tblPr>
        <w:tblW w:w="9486" w:type="dxa"/>
        <w:tblLayout w:type="fixed"/>
        <w:tblLook w:val="0000" w:firstRow="0" w:lastRow="0" w:firstColumn="0" w:lastColumn="0" w:noHBand="0" w:noVBand="0"/>
      </w:tblPr>
      <w:tblGrid>
        <w:gridCol w:w="18"/>
        <w:gridCol w:w="8190"/>
        <w:gridCol w:w="1260"/>
        <w:gridCol w:w="18"/>
      </w:tblGrid>
      <w:tr w:rsidR="005D711E" w:rsidRPr="00BE0936" w:rsidTr="007765A6">
        <w:tc>
          <w:tcPr>
            <w:tcW w:w="8208" w:type="dxa"/>
            <w:gridSpan w:val="2"/>
          </w:tcPr>
          <w:p w:rsidR="005D711E" w:rsidRPr="00BE0936" w:rsidRDefault="005D711E">
            <w:pPr>
              <w:tabs>
                <w:tab w:val="left" w:pos="-720"/>
                <w:tab w:val="left" w:pos="180"/>
                <w:tab w:val="left" w:pos="270"/>
              </w:tabs>
              <w:suppressAutoHyphens/>
              <w:rPr>
                <w:rFonts w:ascii="Arial" w:hAnsi="Arial" w:cs="Arial"/>
                <w:b/>
                <w:szCs w:val="24"/>
              </w:rPr>
            </w:pPr>
          </w:p>
        </w:tc>
        <w:tc>
          <w:tcPr>
            <w:tcW w:w="1278" w:type="dxa"/>
            <w:gridSpan w:val="2"/>
          </w:tcPr>
          <w:p w:rsidR="005D711E" w:rsidRPr="00BE0936" w:rsidRDefault="005D711E" w:rsidP="00101D15">
            <w:pPr>
              <w:pStyle w:val="EndnoteText"/>
              <w:tabs>
                <w:tab w:val="right" w:pos="562"/>
              </w:tabs>
              <w:suppressAutoHyphens/>
              <w:rPr>
                <w:rFonts w:ascii="Arial" w:hAnsi="Arial" w:cs="Arial"/>
                <w:szCs w:val="24"/>
              </w:rPr>
            </w:pPr>
          </w:p>
        </w:tc>
      </w:tr>
      <w:tr w:rsidR="00101D15" w:rsidRPr="00BE0936" w:rsidTr="007765A6">
        <w:tc>
          <w:tcPr>
            <w:tcW w:w="8208" w:type="dxa"/>
            <w:gridSpan w:val="2"/>
          </w:tcPr>
          <w:p w:rsidR="00101D15" w:rsidRPr="00BE0936" w:rsidRDefault="00101D15">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rsidR="00101D15" w:rsidRPr="005440A5" w:rsidRDefault="005440A5" w:rsidP="00DB0C40">
            <w:pPr>
              <w:pStyle w:val="EndnoteText"/>
              <w:suppressAutoHyphens/>
              <w:jc w:val="center"/>
              <w:rPr>
                <w:rFonts w:ascii="Arial" w:hAnsi="Arial" w:cs="Arial"/>
                <w:b/>
                <w:szCs w:val="24"/>
                <w:u w:val="single"/>
              </w:rPr>
            </w:pPr>
            <w:r w:rsidRPr="005440A5">
              <w:rPr>
                <w:rFonts w:ascii="Arial" w:hAnsi="Arial" w:cs="Arial"/>
                <w:b/>
                <w:szCs w:val="24"/>
                <w:u w:val="single"/>
              </w:rPr>
              <w:t>Page</w:t>
            </w:r>
          </w:p>
        </w:tc>
      </w:tr>
      <w:tr w:rsidR="009668FF" w:rsidRPr="008C3E74" w:rsidTr="007765A6">
        <w:tc>
          <w:tcPr>
            <w:tcW w:w="8208" w:type="dxa"/>
            <w:gridSpan w:val="2"/>
            <w:vAlign w:val="bottom"/>
          </w:tcPr>
          <w:p w:rsidR="009668FF" w:rsidRPr="00245DB5" w:rsidRDefault="009668FF" w:rsidP="00DB0C40">
            <w:pPr>
              <w:pStyle w:val="EndnoteText"/>
              <w:tabs>
                <w:tab w:val="left" w:pos="9180"/>
              </w:tabs>
              <w:rPr>
                <w:rFonts w:ascii="Arial" w:hAnsi="Arial" w:cs="Arial"/>
                <w:b/>
                <w:szCs w:val="24"/>
              </w:rPr>
            </w:pPr>
            <w:r w:rsidRPr="00245DB5">
              <w:rPr>
                <w:rFonts w:ascii="Arial" w:hAnsi="Arial" w:cs="Arial"/>
                <w:b/>
                <w:szCs w:val="24"/>
              </w:rPr>
              <w:t xml:space="preserve">FINANCIAL REVIEW </w:t>
            </w:r>
          </w:p>
        </w:tc>
        <w:tc>
          <w:tcPr>
            <w:tcW w:w="1278" w:type="dxa"/>
            <w:gridSpan w:val="2"/>
          </w:tcPr>
          <w:p w:rsidR="009668FF" w:rsidRPr="008C3E74" w:rsidRDefault="009668FF" w:rsidP="00DD0B3A">
            <w:pPr>
              <w:pStyle w:val="EndnoteText"/>
              <w:tabs>
                <w:tab w:val="right" w:pos="562"/>
              </w:tabs>
              <w:suppressAutoHyphens/>
              <w:rPr>
                <w:rFonts w:ascii="Arial" w:hAnsi="Arial" w:cs="Arial"/>
                <w:szCs w:val="24"/>
              </w:rPr>
            </w:pPr>
          </w:p>
        </w:tc>
      </w:tr>
      <w:tr w:rsidR="009668FF" w:rsidRPr="008C3E74" w:rsidTr="007765A6">
        <w:tc>
          <w:tcPr>
            <w:tcW w:w="8208" w:type="dxa"/>
            <w:gridSpan w:val="2"/>
            <w:vAlign w:val="bottom"/>
          </w:tcPr>
          <w:p w:rsidR="009668FF" w:rsidRPr="00245DB5" w:rsidRDefault="009668FF"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tcPr>
          <w:p w:rsidR="009668FF" w:rsidRPr="008C3E74" w:rsidRDefault="009668FF" w:rsidP="00DD0B3A">
            <w:pPr>
              <w:pStyle w:val="EndnoteText"/>
              <w:tabs>
                <w:tab w:val="right" w:pos="562"/>
              </w:tabs>
              <w:suppressAutoHyphens/>
              <w:rPr>
                <w:rFonts w:ascii="Arial" w:hAnsi="Arial" w:cs="Arial"/>
                <w:szCs w:val="24"/>
              </w:rPr>
            </w:pPr>
          </w:p>
        </w:tc>
      </w:tr>
      <w:tr w:rsidR="009668FF" w:rsidRPr="008C3E74" w:rsidTr="007765A6">
        <w:tc>
          <w:tcPr>
            <w:tcW w:w="8208" w:type="dxa"/>
            <w:gridSpan w:val="2"/>
            <w:vAlign w:val="bottom"/>
          </w:tcPr>
          <w:p w:rsidR="009668FF" w:rsidRPr="008C3E74" w:rsidRDefault="009668FF" w:rsidP="00340C22">
            <w:pPr>
              <w:pStyle w:val="EndnoteText"/>
              <w:tabs>
                <w:tab w:val="left" w:pos="360"/>
              </w:tabs>
              <w:suppressAutoHyphens/>
              <w:ind w:left="360"/>
              <w:rPr>
                <w:rFonts w:ascii="Arial" w:hAnsi="Arial" w:cs="Arial"/>
                <w:szCs w:val="24"/>
              </w:rPr>
            </w:pPr>
            <w:r w:rsidRPr="008C3E74">
              <w:rPr>
                <w:rFonts w:ascii="Arial" w:hAnsi="Arial" w:cs="Arial"/>
                <w:szCs w:val="24"/>
              </w:rPr>
              <w:t>Independent Auditor's Report</w:t>
            </w:r>
          </w:p>
        </w:tc>
        <w:tc>
          <w:tcPr>
            <w:tcW w:w="1278" w:type="dxa"/>
            <w:gridSpan w:val="2"/>
            <w:vAlign w:val="bottom"/>
          </w:tcPr>
          <w:p w:rsidR="009668FF" w:rsidRPr="008C3E74" w:rsidRDefault="009668FF" w:rsidP="00DB0C40">
            <w:pPr>
              <w:pStyle w:val="EndnoteText"/>
              <w:tabs>
                <w:tab w:val="decimal" w:pos="576"/>
              </w:tabs>
              <w:suppressAutoHyphens/>
              <w:rPr>
                <w:rFonts w:ascii="Arial" w:hAnsi="Arial" w:cs="Arial"/>
                <w:szCs w:val="24"/>
              </w:rPr>
            </w:pPr>
            <w:r w:rsidRPr="008C3E74">
              <w:rPr>
                <w:rFonts w:ascii="Arial" w:hAnsi="Arial" w:cs="Arial"/>
                <w:szCs w:val="24"/>
              </w:rPr>
              <w:t>1</w:t>
            </w:r>
          </w:p>
        </w:tc>
      </w:tr>
      <w:tr w:rsidR="009668FF" w:rsidRPr="008C3E74" w:rsidTr="007765A6">
        <w:tc>
          <w:tcPr>
            <w:tcW w:w="8208" w:type="dxa"/>
            <w:gridSpan w:val="2"/>
            <w:vAlign w:val="bottom"/>
          </w:tcPr>
          <w:p w:rsidR="009668FF" w:rsidRPr="008C3E74" w:rsidRDefault="009668FF" w:rsidP="00DB0C40">
            <w:pPr>
              <w:pStyle w:val="EndnoteText"/>
              <w:suppressAutoHyphens/>
              <w:rPr>
                <w:rFonts w:ascii="Arial" w:hAnsi="Arial" w:cs="Arial"/>
                <w:szCs w:val="24"/>
              </w:rPr>
            </w:pPr>
          </w:p>
        </w:tc>
        <w:tc>
          <w:tcPr>
            <w:tcW w:w="1278" w:type="dxa"/>
            <w:gridSpan w:val="2"/>
            <w:vAlign w:val="bottom"/>
          </w:tcPr>
          <w:p w:rsidR="009668FF" w:rsidRPr="008C3E74" w:rsidRDefault="009668FF" w:rsidP="00DB0C40">
            <w:pPr>
              <w:pStyle w:val="EndnoteText"/>
              <w:tabs>
                <w:tab w:val="decimal" w:pos="576"/>
              </w:tabs>
              <w:suppressAutoHyphens/>
              <w:rPr>
                <w:rFonts w:ascii="Arial" w:hAnsi="Arial" w:cs="Arial"/>
                <w:szCs w:val="24"/>
              </w:rPr>
            </w:pPr>
          </w:p>
        </w:tc>
      </w:tr>
      <w:tr w:rsidR="009668FF" w:rsidRPr="00DB0C40" w:rsidTr="007765A6">
        <w:trPr>
          <w:gridBefore w:val="1"/>
          <w:gridAfter w:val="1"/>
          <w:wBefore w:w="18" w:type="dxa"/>
          <w:wAfter w:w="18" w:type="dxa"/>
        </w:trPr>
        <w:tc>
          <w:tcPr>
            <w:tcW w:w="8190" w:type="dxa"/>
            <w:vAlign w:val="bottom"/>
          </w:tcPr>
          <w:p w:rsidR="009668FF" w:rsidRPr="008C3E74" w:rsidRDefault="007F5E1F" w:rsidP="00340C22">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sidRPr="008C3E74">
              <w:rPr>
                <w:rFonts w:ascii="Arial" w:hAnsi="Arial" w:cs="Arial"/>
                <w:szCs w:val="24"/>
              </w:rPr>
              <w:t xml:space="preserve">Transmission Service Charge </w:t>
            </w:r>
            <w:r>
              <w:rPr>
                <w:rFonts w:ascii="Arial" w:hAnsi="Arial" w:cs="Arial"/>
                <w:szCs w:val="24"/>
              </w:rPr>
              <w:t xml:space="preserve">(TSC)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009668FF" w:rsidRPr="008C3E74">
              <w:rPr>
                <w:rFonts w:ascii="Arial" w:hAnsi="Arial" w:cs="Arial"/>
                <w:szCs w:val="24"/>
              </w:rPr>
              <w:t xml:space="preserve">For The </w:t>
            </w:r>
            <w:r w:rsidR="006C061F">
              <w:rPr>
                <w:rFonts w:ascii="Arial" w:hAnsi="Arial" w:cs="Arial"/>
                <w:szCs w:val="24"/>
              </w:rPr>
              <w:t>Fourteen</w:t>
            </w:r>
            <w:r w:rsidR="009668FF" w:rsidRPr="008C3E74">
              <w:rPr>
                <w:rFonts w:ascii="Arial" w:hAnsi="Arial" w:cs="Arial"/>
                <w:szCs w:val="24"/>
              </w:rPr>
              <w:t xml:space="preserve"> Months Ended </w:t>
            </w:r>
            <w:r w:rsidR="006C061F">
              <w:rPr>
                <w:rFonts w:ascii="Arial" w:hAnsi="Arial" w:cs="Arial"/>
                <w:szCs w:val="24"/>
              </w:rPr>
              <w:t>November</w:t>
            </w:r>
            <w:r w:rsidR="009668FF" w:rsidRPr="008C3E74">
              <w:rPr>
                <w:rFonts w:ascii="Arial" w:hAnsi="Arial" w:cs="Arial"/>
                <w:szCs w:val="24"/>
              </w:rPr>
              <w:t xml:space="preserve"> 3</w:t>
            </w:r>
            <w:r w:rsidR="006C061F">
              <w:rPr>
                <w:rFonts w:ascii="Arial" w:hAnsi="Arial" w:cs="Arial"/>
                <w:szCs w:val="24"/>
              </w:rPr>
              <w:t>0</w:t>
            </w:r>
            <w:r w:rsidR="009668FF" w:rsidRPr="008C3E74">
              <w:rPr>
                <w:rFonts w:ascii="Arial" w:hAnsi="Arial" w:cs="Arial"/>
                <w:szCs w:val="24"/>
              </w:rPr>
              <w:t>, 201</w:t>
            </w:r>
            <w:r w:rsidR="00E04359">
              <w:rPr>
                <w:rFonts w:ascii="Arial" w:hAnsi="Arial" w:cs="Arial"/>
                <w:szCs w:val="24"/>
              </w:rPr>
              <w:t>3</w:t>
            </w:r>
          </w:p>
        </w:tc>
        <w:tc>
          <w:tcPr>
            <w:tcW w:w="1260" w:type="dxa"/>
            <w:vAlign w:val="bottom"/>
          </w:tcPr>
          <w:p w:rsidR="009668FF"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3</w:t>
            </w:r>
          </w:p>
        </w:tc>
      </w:tr>
      <w:tr w:rsidR="000B0FA7" w:rsidRPr="008C3E74" w:rsidTr="007765A6">
        <w:tc>
          <w:tcPr>
            <w:tcW w:w="8208" w:type="dxa"/>
            <w:gridSpan w:val="2"/>
            <w:vAlign w:val="bottom"/>
          </w:tcPr>
          <w:p w:rsidR="000B0FA7" w:rsidRDefault="000B0FA7"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rsidR="000B0FA7" w:rsidRPr="008C3E74" w:rsidRDefault="000B0FA7" w:rsidP="00DB0C40">
            <w:pPr>
              <w:pStyle w:val="EndnoteText"/>
              <w:tabs>
                <w:tab w:val="decimal" w:pos="576"/>
              </w:tabs>
              <w:suppressAutoHyphens/>
              <w:rPr>
                <w:rFonts w:ascii="Arial" w:hAnsi="Arial" w:cs="Arial"/>
                <w:szCs w:val="24"/>
              </w:rPr>
            </w:pPr>
          </w:p>
        </w:tc>
      </w:tr>
      <w:tr w:rsidR="00FC65A5" w:rsidRPr="008C3E74" w:rsidTr="007765A6">
        <w:tc>
          <w:tcPr>
            <w:tcW w:w="8208" w:type="dxa"/>
            <w:gridSpan w:val="2"/>
            <w:vAlign w:val="bottom"/>
          </w:tcPr>
          <w:p w:rsidR="00FC65A5" w:rsidRPr="008C3E74" w:rsidRDefault="00FC65A5" w:rsidP="007765A6">
            <w:pPr>
              <w:pStyle w:val="EndnoteText"/>
              <w:suppressAutoHyphens/>
              <w:ind w:left="360"/>
              <w:rPr>
                <w:rFonts w:ascii="Arial" w:hAnsi="Arial" w:cs="Arial"/>
                <w:szCs w:val="24"/>
              </w:rPr>
            </w:pPr>
            <w:r>
              <w:rPr>
                <w:rFonts w:ascii="Arial" w:hAnsi="Arial" w:cs="Arial"/>
                <w:szCs w:val="24"/>
              </w:rPr>
              <w:t xml:space="preserve">Condensed </w:t>
            </w:r>
            <w:r w:rsidRPr="00936DE2">
              <w:rPr>
                <w:rFonts w:ascii="Arial" w:hAnsi="Arial" w:cs="Arial"/>
                <w:szCs w:val="24"/>
              </w:rPr>
              <w:t xml:space="preserve">Statement </w:t>
            </w:r>
            <w:r>
              <w:rPr>
                <w:rFonts w:ascii="Arial" w:hAnsi="Arial" w:cs="Arial"/>
                <w:szCs w:val="24"/>
              </w:rPr>
              <w:t>O</w:t>
            </w:r>
            <w:r w:rsidRPr="00936DE2">
              <w:rPr>
                <w:rFonts w:ascii="Arial" w:hAnsi="Arial" w:cs="Arial"/>
                <w:szCs w:val="24"/>
              </w:rPr>
              <w:t xml:space="preserve">f </w:t>
            </w:r>
            <w:r>
              <w:rPr>
                <w:rFonts w:ascii="Arial" w:hAnsi="Arial" w:cs="Arial"/>
                <w:szCs w:val="24"/>
              </w:rPr>
              <w:t xml:space="preserve">TSC </w:t>
            </w:r>
            <w:r w:rsidRPr="00936DE2">
              <w:rPr>
                <w:rFonts w:ascii="Arial" w:hAnsi="Arial" w:cs="Arial"/>
                <w:szCs w:val="24"/>
              </w:rPr>
              <w:t>Over/(Under) Collections</w:t>
            </w:r>
            <w:r>
              <w:rPr>
                <w:rFonts w:ascii="Arial" w:hAnsi="Arial" w:cs="Arial"/>
                <w:szCs w:val="24"/>
              </w:rPr>
              <w:t xml:space="preserve"> (Section 1307(e))</w:t>
            </w:r>
            <w:r w:rsidRPr="00936DE2">
              <w:rPr>
                <w:rFonts w:ascii="Arial" w:hAnsi="Arial" w:cs="Arial"/>
                <w:szCs w:val="24"/>
              </w:rPr>
              <w:t xml:space="preserve"> </w:t>
            </w:r>
            <w:r w:rsidRPr="008C3E74">
              <w:rPr>
                <w:rFonts w:ascii="Arial" w:hAnsi="Arial" w:cs="Arial"/>
                <w:szCs w:val="24"/>
              </w:rPr>
              <w:t xml:space="preserve">For The </w:t>
            </w:r>
            <w:r>
              <w:rPr>
                <w:rFonts w:ascii="Arial" w:hAnsi="Arial" w:cs="Arial"/>
                <w:szCs w:val="24"/>
              </w:rPr>
              <w:t>Eleven</w:t>
            </w:r>
            <w:r w:rsidRPr="008C3E74">
              <w:rPr>
                <w:rFonts w:ascii="Arial" w:hAnsi="Arial" w:cs="Arial"/>
                <w:szCs w:val="24"/>
              </w:rPr>
              <w:t xml:space="preserve"> Months Ended </w:t>
            </w:r>
            <w:r>
              <w:rPr>
                <w:rFonts w:ascii="Arial" w:hAnsi="Arial" w:cs="Arial"/>
                <w:szCs w:val="24"/>
              </w:rPr>
              <w:t>September</w:t>
            </w:r>
            <w:r w:rsidRPr="008C3E74">
              <w:rPr>
                <w:rFonts w:ascii="Arial" w:hAnsi="Arial" w:cs="Arial"/>
                <w:szCs w:val="24"/>
              </w:rPr>
              <w:t xml:space="preserve"> 3</w:t>
            </w:r>
            <w:r>
              <w:rPr>
                <w:rFonts w:ascii="Arial" w:hAnsi="Arial" w:cs="Arial"/>
                <w:szCs w:val="24"/>
              </w:rPr>
              <w:t>0</w:t>
            </w:r>
            <w:r w:rsidRPr="008C3E74">
              <w:rPr>
                <w:rFonts w:ascii="Arial" w:hAnsi="Arial" w:cs="Arial"/>
                <w:szCs w:val="24"/>
              </w:rPr>
              <w:t>, 201</w:t>
            </w:r>
            <w:r w:rsidR="00A24794">
              <w:rPr>
                <w:rFonts w:ascii="Arial" w:hAnsi="Arial" w:cs="Arial"/>
                <w:szCs w:val="24"/>
              </w:rPr>
              <w:t>2</w:t>
            </w:r>
          </w:p>
        </w:tc>
        <w:tc>
          <w:tcPr>
            <w:tcW w:w="1278" w:type="dxa"/>
            <w:gridSpan w:val="2"/>
            <w:vAlign w:val="bottom"/>
          </w:tcPr>
          <w:p w:rsidR="00FC65A5"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4</w:t>
            </w:r>
          </w:p>
        </w:tc>
      </w:tr>
      <w:tr w:rsidR="00FC65A5" w:rsidRPr="008C3E74" w:rsidTr="007765A6">
        <w:tc>
          <w:tcPr>
            <w:tcW w:w="8208" w:type="dxa"/>
            <w:gridSpan w:val="2"/>
            <w:vAlign w:val="bottom"/>
          </w:tcPr>
          <w:p w:rsidR="00FC65A5" w:rsidRDefault="00FC65A5" w:rsidP="00DB0C40">
            <w:pPr>
              <w:pStyle w:val="EndnoteText"/>
              <w:tabs>
                <w:tab w:val="left" w:pos="-720"/>
                <w:tab w:val="left" w:pos="360"/>
                <w:tab w:val="left" w:pos="540"/>
                <w:tab w:val="left" w:pos="810"/>
                <w:tab w:val="left" w:pos="9180"/>
              </w:tabs>
              <w:suppressAutoHyphens/>
              <w:rPr>
                <w:rFonts w:ascii="Arial" w:hAnsi="Arial" w:cs="Arial"/>
                <w:szCs w:val="24"/>
              </w:rPr>
            </w:pPr>
          </w:p>
        </w:tc>
        <w:tc>
          <w:tcPr>
            <w:tcW w:w="1278" w:type="dxa"/>
            <w:gridSpan w:val="2"/>
            <w:vAlign w:val="bottom"/>
          </w:tcPr>
          <w:p w:rsidR="00FC65A5" w:rsidRPr="008C3E74" w:rsidRDefault="00FC65A5" w:rsidP="00DB0C40">
            <w:pPr>
              <w:pStyle w:val="EndnoteText"/>
              <w:tabs>
                <w:tab w:val="decimal" w:pos="576"/>
              </w:tabs>
              <w:suppressAutoHyphens/>
              <w:rPr>
                <w:rFonts w:ascii="Arial" w:hAnsi="Arial" w:cs="Arial"/>
                <w:szCs w:val="24"/>
              </w:rPr>
            </w:pPr>
          </w:p>
        </w:tc>
      </w:tr>
      <w:tr w:rsidR="00FC65A5" w:rsidRPr="008C3E74" w:rsidTr="007765A6">
        <w:tc>
          <w:tcPr>
            <w:tcW w:w="8208" w:type="dxa"/>
            <w:gridSpan w:val="2"/>
            <w:vAlign w:val="bottom"/>
          </w:tcPr>
          <w:p w:rsidR="00FC65A5" w:rsidRPr="008C3E74" w:rsidRDefault="00FC65A5" w:rsidP="007765A6">
            <w:pPr>
              <w:pStyle w:val="EndnoteText"/>
              <w:ind w:left="360"/>
              <w:rPr>
                <w:rFonts w:ascii="Arial" w:hAnsi="Arial" w:cs="Arial"/>
                <w:szCs w:val="24"/>
              </w:rPr>
            </w:pPr>
            <w:r w:rsidRPr="008C3E74">
              <w:rPr>
                <w:rFonts w:ascii="Arial" w:hAnsi="Arial" w:cs="Arial"/>
                <w:szCs w:val="24"/>
              </w:rPr>
              <w:t>Notes To The Financial Statement</w:t>
            </w:r>
            <w:r w:rsidR="002519D6">
              <w:rPr>
                <w:rFonts w:ascii="Arial" w:hAnsi="Arial" w:cs="Arial"/>
                <w:szCs w:val="24"/>
              </w:rPr>
              <w:t>s</w:t>
            </w:r>
          </w:p>
        </w:tc>
        <w:tc>
          <w:tcPr>
            <w:tcW w:w="1278" w:type="dxa"/>
            <w:gridSpan w:val="2"/>
            <w:vAlign w:val="bottom"/>
          </w:tcPr>
          <w:p w:rsidR="00FC65A5" w:rsidRPr="008C3E74" w:rsidRDefault="00926D6C" w:rsidP="00DB0C40">
            <w:pPr>
              <w:pStyle w:val="EndnoteText"/>
              <w:tabs>
                <w:tab w:val="decimal" w:pos="576"/>
              </w:tabs>
              <w:suppressAutoHyphens/>
              <w:rPr>
                <w:rFonts w:ascii="Arial" w:hAnsi="Arial" w:cs="Arial"/>
                <w:szCs w:val="24"/>
              </w:rPr>
            </w:pPr>
            <w:r>
              <w:rPr>
                <w:rFonts w:ascii="Arial" w:hAnsi="Arial" w:cs="Arial"/>
                <w:szCs w:val="24"/>
              </w:rPr>
              <w:t>5</w:t>
            </w:r>
          </w:p>
        </w:tc>
      </w:tr>
      <w:tr w:rsidR="00FC65A5" w:rsidRPr="008C3E74" w:rsidTr="007765A6">
        <w:tc>
          <w:tcPr>
            <w:tcW w:w="8208" w:type="dxa"/>
            <w:gridSpan w:val="2"/>
            <w:vAlign w:val="bottom"/>
          </w:tcPr>
          <w:p w:rsidR="00FC65A5" w:rsidRPr="009668FF" w:rsidRDefault="00FC65A5" w:rsidP="00DB0C40">
            <w:pPr>
              <w:pStyle w:val="EndnoteText"/>
              <w:tabs>
                <w:tab w:val="left" w:pos="540"/>
                <w:tab w:val="left" w:pos="810"/>
              </w:tabs>
              <w:rPr>
                <w:rFonts w:ascii="Arial" w:hAnsi="Arial" w:cs="Arial"/>
                <w:szCs w:val="24"/>
              </w:rPr>
            </w:pPr>
          </w:p>
        </w:tc>
        <w:tc>
          <w:tcPr>
            <w:tcW w:w="1278" w:type="dxa"/>
            <w:gridSpan w:val="2"/>
            <w:vAlign w:val="bottom"/>
          </w:tcPr>
          <w:p w:rsidR="00FC65A5" w:rsidRPr="008C3E74" w:rsidRDefault="00FC65A5" w:rsidP="00DB0C40">
            <w:pPr>
              <w:pStyle w:val="EndnoteText"/>
              <w:tabs>
                <w:tab w:val="decimal" w:pos="576"/>
              </w:tabs>
              <w:suppressAutoHyphens/>
              <w:rPr>
                <w:rFonts w:ascii="Arial" w:hAnsi="Arial" w:cs="Arial"/>
                <w:szCs w:val="24"/>
              </w:rPr>
            </w:pPr>
          </w:p>
        </w:tc>
      </w:tr>
      <w:tr w:rsidR="00340C22" w:rsidRPr="008C3E74" w:rsidTr="007765A6">
        <w:tc>
          <w:tcPr>
            <w:tcW w:w="8208" w:type="dxa"/>
            <w:gridSpan w:val="2"/>
            <w:vAlign w:val="bottom"/>
          </w:tcPr>
          <w:p w:rsidR="00340C22" w:rsidRPr="00340C22" w:rsidRDefault="00340C22" w:rsidP="00DB0C40">
            <w:pPr>
              <w:pStyle w:val="EndnoteText"/>
              <w:tabs>
                <w:tab w:val="left" w:pos="540"/>
                <w:tab w:val="left" w:pos="810"/>
              </w:tabs>
              <w:rPr>
                <w:rFonts w:ascii="Arial" w:hAnsi="Arial" w:cs="Arial"/>
                <w:b/>
                <w:szCs w:val="24"/>
              </w:rPr>
            </w:pPr>
            <w:r>
              <w:rPr>
                <w:rFonts w:ascii="Arial" w:hAnsi="Arial" w:cs="Arial"/>
                <w:b/>
                <w:szCs w:val="24"/>
              </w:rPr>
              <w:t>BACKGROUND AND OPERATIONAL REVIEW</w:t>
            </w:r>
          </w:p>
        </w:tc>
        <w:tc>
          <w:tcPr>
            <w:tcW w:w="1278" w:type="dxa"/>
            <w:gridSpan w:val="2"/>
            <w:vAlign w:val="bottom"/>
          </w:tcPr>
          <w:p w:rsidR="00340C22" w:rsidRPr="008C3E74" w:rsidRDefault="00340C22" w:rsidP="00DB0C40">
            <w:pPr>
              <w:pStyle w:val="EndnoteText"/>
              <w:tabs>
                <w:tab w:val="decimal" w:pos="576"/>
              </w:tabs>
              <w:suppressAutoHyphens/>
              <w:rPr>
                <w:rFonts w:ascii="Arial" w:hAnsi="Arial" w:cs="Arial"/>
                <w:szCs w:val="24"/>
              </w:rPr>
            </w:pPr>
          </w:p>
        </w:tc>
      </w:tr>
      <w:tr w:rsidR="00340C22" w:rsidRPr="008C3E74" w:rsidTr="007765A6">
        <w:tc>
          <w:tcPr>
            <w:tcW w:w="8208" w:type="dxa"/>
            <w:gridSpan w:val="2"/>
            <w:vAlign w:val="bottom"/>
          </w:tcPr>
          <w:p w:rsidR="00340C22" w:rsidRPr="009668FF" w:rsidRDefault="00340C22" w:rsidP="00DB0C40">
            <w:pPr>
              <w:pStyle w:val="EndnoteText"/>
              <w:tabs>
                <w:tab w:val="left" w:pos="540"/>
                <w:tab w:val="left" w:pos="810"/>
              </w:tabs>
              <w:rPr>
                <w:rFonts w:ascii="Arial" w:hAnsi="Arial" w:cs="Arial"/>
                <w:szCs w:val="24"/>
              </w:rPr>
            </w:pPr>
          </w:p>
        </w:tc>
        <w:tc>
          <w:tcPr>
            <w:tcW w:w="1278" w:type="dxa"/>
            <w:gridSpan w:val="2"/>
            <w:vAlign w:val="bottom"/>
          </w:tcPr>
          <w:p w:rsidR="00340C22" w:rsidRPr="008C3E74" w:rsidRDefault="00340C22" w:rsidP="00DB0C40">
            <w:pPr>
              <w:pStyle w:val="EndnoteText"/>
              <w:tabs>
                <w:tab w:val="decimal" w:pos="576"/>
              </w:tabs>
              <w:suppressAutoHyphens/>
              <w:rPr>
                <w:rFonts w:ascii="Arial" w:hAnsi="Arial" w:cs="Arial"/>
                <w:szCs w:val="24"/>
              </w:rPr>
            </w:pPr>
          </w:p>
        </w:tc>
      </w:tr>
      <w:tr w:rsidR="00340C22" w:rsidRPr="008C3E74" w:rsidTr="007765A6">
        <w:tc>
          <w:tcPr>
            <w:tcW w:w="8208" w:type="dxa"/>
            <w:gridSpan w:val="2"/>
            <w:vAlign w:val="bottom"/>
          </w:tcPr>
          <w:p w:rsidR="00340C22" w:rsidRPr="009668FF" w:rsidRDefault="00340C22" w:rsidP="007765A6">
            <w:pPr>
              <w:pStyle w:val="EndnoteText"/>
              <w:ind w:left="360"/>
              <w:rPr>
                <w:rFonts w:ascii="Arial" w:hAnsi="Arial" w:cs="Arial"/>
                <w:szCs w:val="24"/>
              </w:rPr>
            </w:pPr>
            <w:r>
              <w:rPr>
                <w:rFonts w:ascii="Arial" w:hAnsi="Arial" w:cs="Arial"/>
                <w:szCs w:val="24"/>
              </w:rPr>
              <w:t>Background</w:t>
            </w:r>
          </w:p>
        </w:tc>
        <w:tc>
          <w:tcPr>
            <w:tcW w:w="1278" w:type="dxa"/>
            <w:gridSpan w:val="2"/>
            <w:vAlign w:val="bottom"/>
          </w:tcPr>
          <w:p w:rsidR="00340C22" w:rsidRPr="008C3E74" w:rsidRDefault="00340C22" w:rsidP="00DB0C40">
            <w:pPr>
              <w:pStyle w:val="EndnoteText"/>
              <w:tabs>
                <w:tab w:val="decimal" w:pos="576"/>
              </w:tabs>
              <w:suppressAutoHyphens/>
              <w:rPr>
                <w:rFonts w:ascii="Arial" w:hAnsi="Arial" w:cs="Arial"/>
                <w:szCs w:val="24"/>
              </w:rPr>
            </w:pPr>
            <w:r>
              <w:rPr>
                <w:rFonts w:ascii="Arial" w:hAnsi="Arial" w:cs="Arial"/>
                <w:szCs w:val="24"/>
              </w:rPr>
              <w:t>6</w:t>
            </w:r>
          </w:p>
        </w:tc>
      </w:tr>
      <w:tr w:rsidR="00340C22" w:rsidRPr="008C3E74" w:rsidTr="007765A6">
        <w:tc>
          <w:tcPr>
            <w:tcW w:w="8208" w:type="dxa"/>
            <w:gridSpan w:val="2"/>
            <w:vAlign w:val="bottom"/>
          </w:tcPr>
          <w:p w:rsidR="00340C22" w:rsidRDefault="00340C22" w:rsidP="00DB0C40">
            <w:pPr>
              <w:pStyle w:val="EndnoteText"/>
              <w:tabs>
                <w:tab w:val="left" w:pos="540"/>
                <w:tab w:val="left" w:pos="810"/>
              </w:tabs>
              <w:rPr>
                <w:rFonts w:ascii="Arial" w:hAnsi="Arial" w:cs="Arial"/>
                <w:szCs w:val="24"/>
              </w:rPr>
            </w:pPr>
          </w:p>
        </w:tc>
        <w:tc>
          <w:tcPr>
            <w:tcW w:w="1278" w:type="dxa"/>
            <w:gridSpan w:val="2"/>
            <w:vAlign w:val="bottom"/>
          </w:tcPr>
          <w:p w:rsidR="00340C22" w:rsidRPr="008C3E74" w:rsidRDefault="00340C22" w:rsidP="00DB0C40">
            <w:pPr>
              <w:pStyle w:val="EndnoteText"/>
              <w:tabs>
                <w:tab w:val="decimal" w:pos="576"/>
              </w:tabs>
              <w:suppressAutoHyphens/>
              <w:rPr>
                <w:rFonts w:ascii="Arial" w:hAnsi="Arial" w:cs="Arial"/>
                <w:szCs w:val="24"/>
              </w:rPr>
            </w:pPr>
          </w:p>
        </w:tc>
      </w:tr>
      <w:tr w:rsidR="00FC65A5" w:rsidRPr="008C3E74" w:rsidTr="007765A6">
        <w:tc>
          <w:tcPr>
            <w:tcW w:w="8208" w:type="dxa"/>
            <w:gridSpan w:val="2"/>
            <w:vAlign w:val="bottom"/>
          </w:tcPr>
          <w:p w:rsidR="00FC65A5" w:rsidRPr="009668FF" w:rsidRDefault="00340C22" w:rsidP="007765A6">
            <w:pPr>
              <w:pStyle w:val="EndnoteText"/>
              <w:ind w:left="360"/>
              <w:rPr>
                <w:rFonts w:ascii="Arial" w:hAnsi="Arial" w:cs="Arial"/>
                <w:szCs w:val="24"/>
              </w:rPr>
            </w:pPr>
            <w:r>
              <w:rPr>
                <w:rFonts w:ascii="Arial" w:hAnsi="Arial" w:cs="Arial"/>
                <w:szCs w:val="24"/>
              </w:rPr>
              <w:t>Acknowledgements</w:t>
            </w:r>
          </w:p>
        </w:tc>
        <w:tc>
          <w:tcPr>
            <w:tcW w:w="1278" w:type="dxa"/>
            <w:gridSpan w:val="2"/>
            <w:vAlign w:val="bottom"/>
          </w:tcPr>
          <w:p w:rsidR="00FC65A5" w:rsidRPr="008C3E74" w:rsidRDefault="00340C22" w:rsidP="00DB0C40">
            <w:pPr>
              <w:pStyle w:val="EndnoteText"/>
              <w:tabs>
                <w:tab w:val="decimal" w:pos="576"/>
              </w:tabs>
              <w:suppressAutoHyphens/>
              <w:rPr>
                <w:rFonts w:ascii="Arial" w:hAnsi="Arial" w:cs="Arial"/>
                <w:szCs w:val="24"/>
              </w:rPr>
            </w:pPr>
            <w:r>
              <w:rPr>
                <w:rFonts w:ascii="Arial" w:hAnsi="Arial" w:cs="Arial"/>
                <w:szCs w:val="24"/>
              </w:rPr>
              <w:t>7</w:t>
            </w:r>
          </w:p>
        </w:tc>
      </w:tr>
    </w:tbl>
    <w:p w:rsidR="003662F1" w:rsidRDefault="003662F1" w:rsidP="00FB1D8B">
      <w:pPr>
        <w:tabs>
          <w:tab w:val="center" w:pos="4680"/>
        </w:tabs>
        <w:suppressAutoHyphens/>
        <w:rPr>
          <w:rFonts w:ascii="Arial" w:hAnsi="Arial" w:cs="Arial"/>
          <w:szCs w:val="24"/>
        </w:rPr>
        <w:sectPr w:rsidR="003662F1" w:rsidSect="003439CD">
          <w:headerReference w:type="even" r:id="rId15"/>
          <w:headerReference w:type="default" r:id="rId16"/>
          <w:footerReference w:type="default" r:id="rId17"/>
          <w:headerReference w:type="first" r:id="rId18"/>
          <w:endnotePr>
            <w:numFmt w:val="decimal"/>
          </w:endnotePr>
          <w:pgSz w:w="12240" w:h="15840" w:code="1"/>
          <w:pgMar w:top="1440" w:right="1440" w:bottom="1008" w:left="1440" w:header="0" w:footer="720" w:gutter="0"/>
          <w:pgNumType w:start="1"/>
          <w:cols w:space="720"/>
          <w:noEndnote/>
          <w:docGrid w:linePitch="326"/>
        </w:sectPr>
      </w:pPr>
    </w:p>
    <w:p w:rsidR="00086802" w:rsidRDefault="00086802" w:rsidP="00086802"/>
    <w:p w:rsidR="00086802" w:rsidRPr="00086802" w:rsidRDefault="00086802" w:rsidP="00086802"/>
    <w:p w:rsidR="005D711E" w:rsidRPr="00B61414" w:rsidRDefault="005D711E" w:rsidP="00E5265E">
      <w:pPr>
        <w:pStyle w:val="Heading4"/>
        <w:tabs>
          <w:tab w:val="clear" w:pos="4680"/>
        </w:tabs>
        <w:rPr>
          <w:rFonts w:ascii="Arial" w:hAnsi="Arial" w:cs="Arial"/>
          <w:sz w:val="36"/>
          <w:szCs w:val="24"/>
          <w:u w:val="none"/>
        </w:rPr>
      </w:pPr>
      <w:r w:rsidRPr="00B61414">
        <w:rPr>
          <w:rFonts w:ascii="Arial" w:hAnsi="Arial" w:cs="Arial"/>
          <w:sz w:val="36"/>
          <w:szCs w:val="24"/>
          <w:u w:val="none"/>
        </w:rPr>
        <w:t>FINANCIAL REVIEW</w:t>
      </w:r>
    </w:p>
    <w:p w:rsidR="005D711E" w:rsidRPr="00BE0936" w:rsidRDefault="005D711E">
      <w:pPr>
        <w:tabs>
          <w:tab w:val="left" w:pos="-1440"/>
          <w:tab w:val="left" w:pos="-720"/>
        </w:tabs>
        <w:suppressAutoHyphens/>
        <w:jc w:val="center"/>
        <w:rPr>
          <w:rFonts w:ascii="Arial" w:hAnsi="Arial" w:cs="Arial"/>
          <w:szCs w:val="24"/>
        </w:rPr>
      </w:pPr>
    </w:p>
    <w:p w:rsidR="005D711E" w:rsidRPr="00BE0936" w:rsidRDefault="005D711E">
      <w:pPr>
        <w:tabs>
          <w:tab w:val="left" w:pos="1440"/>
          <w:tab w:val="center" w:pos="4464"/>
        </w:tabs>
        <w:suppressAutoHyphens/>
        <w:rPr>
          <w:rFonts w:ascii="Arial" w:hAnsi="Arial" w:cs="Arial"/>
          <w:szCs w:val="24"/>
        </w:rPr>
        <w:sectPr w:rsidR="005D711E" w:rsidRPr="00BE0936" w:rsidSect="003439CD">
          <w:headerReference w:type="even" r:id="rId19"/>
          <w:headerReference w:type="default" r:id="rId20"/>
          <w:footerReference w:type="default" r:id="rId21"/>
          <w:headerReference w:type="first" r:id="rId22"/>
          <w:endnotePr>
            <w:numFmt w:val="decimal"/>
          </w:endnotePr>
          <w:pgSz w:w="12240" w:h="15840" w:code="1"/>
          <w:pgMar w:top="1440" w:right="1440" w:bottom="1008" w:left="1440" w:header="0" w:footer="720" w:gutter="0"/>
          <w:pgNumType w:start="1"/>
          <w:cols w:space="720"/>
          <w:vAlign w:val="center"/>
          <w:noEndnote/>
          <w:docGrid w:linePitch="326"/>
        </w:sectPr>
      </w:pPr>
    </w:p>
    <w:tbl>
      <w:tblPr>
        <w:tblW w:w="0" w:type="auto"/>
        <w:tblInd w:w="-702" w:type="dxa"/>
        <w:tblLayout w:type="fixed"/>
        <w:tblLook w:val="0000" w:firstRow="0" w:lastRow="0" w:firstColumn="0" w:lastColumn="0" w:noHBand="0" w:noVBand="0"/>
      </w:tblPr>
      <w:tblGrid>
        <w:gridCol w:w="1363"/>
        <w:gridCol w:w="8075"/>
        <w:gridCol w:w="1452"/>
      </w:tblGrid>
      <w:tr w:rsidR="005D711E" w:rsidRPr="00BE0936">
        <w:trPr>
          <w:trHeight w:val="990"/>
        </w:trPr>
        <w:tc>
          <w:tcPr>
            <w:tcW w:w="1363" w:type="dxa"/>
          </w:tcPr>
          <w:p w:rsidR="005D711E" w:rsidRPr="000A6589" w:rsidRDefault="00AD48B6">
            <w:pPr>
              <w:rPr>
                <w:rFonts w:ascii="Arial" w:hAnsi="Arial" w:cs="Arial"/>
                <w:szCs w:val="24"/>
              </w:rPr>
            </w:pPr>
            <w:r>
              <w:rPr>
                <w:rFonts w:ascii="Arial" w:hAnsi="Arial" w:cs="Arial"/>
                <w:noProof/>
                <w:spacing w:val="-2"/>
                <w:szCs w:val="24"/>
              </w:rPr>
              <w:lastRenderedPageBreak/>
              <w:drawing>
                <wp:inline distT="0" distB="0" distL="0" distR="0" wp14:anchorId="30653AD3" wp14:editId="368E7F41">
                  <wp:extent cx="730250" cy="73025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p>
        </w:tc>
        <w:tc>
          <w:tcPr>
            <w:tcW w:w="8075" w:type="dxa"/>
          </w:tcPr>
          <w:p w:rsidR="005D711E" w:rsidRPr="000A6589" w:rsidRDefault="005D711E">
            <w:pPr>
              <w:suppressAutoHyphens/>
              <w:spacing w:line="204" w:lineRule="auto"/>
              <w:jc w:val="center"/>
              <w:rPr>
                <w:rFonts w:ascii="Arial" w:hAnsi="Arial" w:cs="Arial"/>
                <w:color w:val="000080"/>
                <w:spacing w:val="-3"/>
                <w:szCs w:val="24"/>
              </w:rPr>
            </w:pPr>
          </w:p>
          <w:p w:rsidR="00C275B7" w:rsidRDefault="00C275B7" w:rsidP="00C275B7">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275B7" w:rsidRDefault="00C275B7" w:rsidP="00C275B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C275B7" w:rsidRDefault="00C275B7" w:rsidP="00C275B7">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rsidR="005D711E" w:rsidRPr="000A6589" w:rsidRDefault="00C275B7" w:rsidP="00C275B7">
            <w:pPr>
              <w:jc w:val="center"/>
              <w:rPr>
                <w:rFonts w:ascii="Arial" w:hAnsi="Arial" w:cs="Arial"/>
                <w:szCs w:val="24"/>
              </w:rPr>
            </w:pPr>
            <w:r>
              <w:rPr>
                <w:rFonts w:ascii="Arial" w:hAnsi="Arial"/>
                <w:color w:val="000080"/>
                <w:spacing w:val="-3"/>
                <w:sz w:val="26"/>
              </w:rPr>
              <w:t>400 NORTH STREET, HARRISBURG, PA  17120</w:t>
            </w:r>
          </w:p>
        </w:tc>
        <w:tc>
          <w:tcPr>
            <w:tcW w:w="1452" w:type="dxa"/>
          </w:tcPr>
          <w:p w:rsidR="005D711E" w:rsidRPr="000A6589" w:rsidRDefault="005D711E">
            <w:pPr>
              <w:rPr>
                <w:rFonts w:ascii="Arial" w:hAnsi="Arial" w:cs="Arial"/>
                <w:szCs w:val="24"/>
              </w:rPr>
            </w:pPr>
          </w:p>
          <w:p w:rsidR="005D711E" w:rsidRPr="000A6589" w:rsidRDefault="005D711E">
            <w:pPr>
              <w:rPr>
                <w:rFonts w:ascii="Arial" w:hAnsi="Arial" w:cs="Arial"/>
                <w:szCs w:val="24"/>
              </w:rPr>
            </w:pPr>
          </w:p>
          <w:p w:rsidR="00B61414" w:rsidRPr="000A6589" w:rsidRDefault="00B61414">
            <w:pPr>
              <w:rPr>
                <w:rFonts w:ascii="Arial" w:hAnsi="Arial" w:cs="Arial"/>
                <w:szCs w:val="24"/>
              </w:rPr>
            </w:pPr>
          </w:p>
          <w:p w:rsidR="005D711E" w:rsidRPr="00BE0936" w:rsidRDefault="005D711E">
            <w:pPr>
              <w:jc w:val="center"/>
              <w:rPr>
                <w:rFonts w:ascii="Arial" w:hAnsi="Arial" w:cs="Arial"/>
                <w:szCs w:val="24"/>
              </w:rPr>
            </w:pPr>
            <w:r w:rsidRPr="000A6589">
              <w:rPr>
                <w:rFonts w:ascii="Arial" w:hAnsi="Arial" w:cs="Arial"/>
                <w:b/>
                <w:spacing w:val="-1"/>
                <w:sz w:val="12"/>
                <w:szCs w:val="24"/>
              </w:rPr>
              <w:t>IN REPLY PLEASE REFER TO OUR FILE</w:t>
            </w:r>
          </w:p>
        </w:tc>
      </w:tr>
    </w:tbl>
    <w:p w:rsidR="00BF0E3F" w:rsidRDefault="00BF0E3F">
      <w:pPr>
        <w:pStyle w:val="Heading1"/>
        <w:tabs>
          <w:tab w:val="clear" w:pos="4680"/>
        </w:tabs>
        <w:rPr>
          <w:rFonts w:ascii="Arial" w:hAnsi="Arial" w:cs="Arial"/>
          <w:sz w:val="26"/>
          <w:szCs w:val="24"/>
        </w:rPr>
      </w:pPr>
    </w:p>
    <w:p w:rsidR="005D711E" w:rsidRPr="000272B6" w:rsidRDefault="00214215">
      <w:pPr>
        <w:pStyle w:val="Heading1"/>
        <w:tabs>
          <w:tab w:val="clear" w:pos="4680"/>
        </w:tabs>
        <w:rPr>
          <w:rFonts w:ascii="Arial" w:hAnsi="Arial" w:cs="Arial"/>
          <w:sz w:val="26"/>
          <w:szCs w:val="26"/>
          <w:u w:val="none"/>
        </w:rPr>
      </w:pPr>
      <w:r w:rsidRPr="000272B6">
        <w:rPr>
          <w:rFonts w:ascii="Arial" w:hAnsi="Arial" w:cs="Arial"/>
          <w:sz w:val="26"/>
          <w:szCs w:val="26"/>
          <w:u w:val="none"/>
        </w:rPr>
        <w:t xml:space="preserve">INDEPENDENT </w:t>
      </w:r>
      <w:r w:rsidR="005D711E" w:rsidRPr="000272B6">
        <w:rPr>
          <w:rFonts w:ascii="Arial" w:hAnsi="Arial" w:cs="Arial"/>
          <w:sz w:val="26"/>
          <w:szCs w:val="26"/>
          <w:u w:val="none"/>
        </w:rPr>
        <w:t>AUDITOR'S REPORT</w:t>
      </w:r>
    </w:p>
    <w:p w:rsidR="005D711E" w:rsidRPr="000272B6" w:rsidRDefault="005D711E" w:rsidP="00CF2F5B">
      <w:pPr>
        <w:suppressAutoHyphens/>
        <w:rPr>
          <w:rFonts w:ascii="Arial" w:hAnsi="Arial" w:cs="Arial"/>
          <w:b/>
          <w:sz w:val="26"/>
          <w:szCs w:val="26"/>
        </w:rPr>
      </w:pPr>
    </w:p>
    <w:p w:rsidR="005D711E" w:rsidRPr="000272B6" w:rsidRDefault="005D711E" w:rsidP="00CF2F5B">
      <w:pPr>
        <w:pStyle w:val="Heading1"/>
        <w:tabs>
          <w:tab w:val="clear" w:pos="4680"/>
        </w:tabs>
        <w:rPr>
          <w:rFonts w:ascii="Arial" w:hAnsi="Arial" w:cs="Arial"/>
          <w:sz w:val="26"/>
          <w:szCs w:val="26"/>
          <w:u w:val="none"/>
        </w:rPr>
      </w:pPr>
      <w:r w:rsidRPr="000272B6">
        <w:rPr>
          <w:rFonts w:ascii="Arial" w:hAnsi="Arial" w:cs="Arial"/>
          <w:sz w:val="26"/>
          <w:szCs w:val="26"/>
          <w:u w:val="none"/>
        </w:rPr>
        <w:t>To The Public Utility Commission</w:t>
      </w:r>
    </w:p>
    <w:p w:rsidR="005D711E" w:rsidRPr="001B1FF2" w:rsidRDefault="005D711E" w:rsidP="00CF2F5B">
      <w:pPr>
        <w:suppressAutoHyphens/>
        <w:rPr>
          <w:rFonts w:ascii="Arial" w:hAnsi="Arial" w:cs="Arial"/>
          <w:sz w:val="20"/>
          <w:szCs w:val="24"/>
        </w:rPr>
      </w:pPr>
    </w:p>
    <w:p w:rsidR="00CF2F5B" w:rsidRPr="001B1FF2" w:rsidRDefault="00CF2F5B" w:rsidP="00CF2F5B">
      <w:pPr>
        <w:suppressAutoHyphens/>
        <w:rPr>
          <w:rFonts w:ascii="Arial" w:hAnsi="Arial" w:cs="Arial"/>
          <w:sz w:val="20"/>
          <w:szCs w:val="24"/>
        </w:rPr>
      </w:pPr>
    </w:p>
    <w:p w:rsidR="003469AD" w:rsidRPr="004F00DD" w:rsidRDefault="003469AD" w:rsidP="003469AD">
      <w:pPr>
        <w:overflowPunct/>
        <w:autoSpaceDE/>
        <w:autoSpaceDN/>
        <w:adjustRightInd/>
        <w:textAlignment w:val="auto"/>
        <w:rPr>
          <w:rFonts w:ascii="Arial" w:hAnsi="Arial" w:cs="Arial"/>
          <w:b/>
          <w:bCs/>
          <w:szCs w:val="24"/>
        </w:rPr>
      </w:pPr>
      <w:r w:rsidRPr="004F00DD">
        <w:rPr>
          <w:rFonts w:ascii="Arial" w:hAnsi="Arial" w:cs="Arial"/>
          <w:b/>
          <w:bCs/>
          <w:szCs w:val="24"/>
        </w:rPr>
        <w:t>Report on the Financial Statements</w:t>
      </w:r>
    </w:p>
    <w:p w:rsidR="003469AD" w:rsidRPr="004F00DD" w:rsidRDefault="003469AD" w:rsidP="003469AD">
      <w:pPr>
        <w:overflowPunct/>
        <w:autoSpaceDE/>
        <w:autoSpaceDN/>
        <w:adjustRightInd/>
        <w:textAlignment w:val="auto"/>
        <w:rPr>
          <w:rFonts w:ascii="Arial" w:hAnsi="Arial" w:cs="Arial"/>
          <w:b/>
          <w:bCs/>
          <w:szCs w:val="24"/>
        </w:rPr>
      </w:pPr>
    </w:p>
    <w:p w:rsidR="003469AD" w:rsidRPr="004F00DD" w:rsidRDefault="003469AD" w:rsidP="003469AD">
      <w:pPr>
        <w:tabs>
          <w:tab w:val="left" w:pos="720"/>
        </w:tabs>
        <w:overflowPunct/>
        <w:autoSpaceDE/>
        <w:autoSpaceDN/>
        <w:adjustRightInd/>
        <w:textAlignment w:val="auto"/>
        <w:rPr>
          <w:rFonts w:ascii="Arial" w:hAnsi="Arial" w:cs="Arial"/>
          <w:szCs w:val="24"/>
        </w:rPr>
      </w:pPr>
      <w:r w:rsidRPr="004F00DD">
        <w:rPr>
          <w:rFonts w:ascii="CG Times" w:hAnsi="CG Times"/>
          <w:szCs w:val="24"/>
        </w:rPr>
        <w:tab/>
      </w:r>
      <w:r w:rsidRPr="00F16976">
        <w:rPr>
          <w:rFonts w:ascii="Arial" w:hAnsi="Arial" w:cs="Arial"/>
          <w:szCs w:val="24"/>
        </w:rPr>
        <w:t xml:space="preserve">We have audited PECO Energy Company’s Statements of </w:t>
      </w:r>
      <w:r>
        <w:rPr>
          <w:rFonts w:ascii="Arial" w:hAnsi="Arial" w:cs="Arial"/>
          <w:szCs w:val="24"/>
        </w:rPr>
        <w:t>Transmission Service C</w:t>
      </w:r>
      <w:r w:rsidRPr="00F16976">
        <w:rPr>
          <w:rFonts w:ascii="Arial" w:hAnsi="Arial" w:cs="Arial"/>
          <w:szCs w:val="24"/>
        </w:rPr>
        <w:t>harge Over</w:t>
      </w:r>
      <w:proofErr w:type="gramStart"/>
      <w:r w:rsidRPr="00F16976">
        <w:rPr>
          <w:rFonts w:ascii="Arial" w:hAnsi="Arial" w:cs="Arial"/>
          <w:szCs w:val="24"/>
        </w:rPr>
        <w:t>/</w:t>
      </w:r>
      <w:r w:rsidR="005E07F4">
        <w:rPr>
          <w:rFonts w:ascii="Arial" w:hAnsi="Arial" w:cs="Arial"/>
          <w:szCs w:val="24"/>
        </w:rPr>
        <w:t>(</w:t>
      </w:r>
      <w:proofErr w:type="gramEnd"/>
      <w:r w:rsidRPr="00F16976">
        <w:rPr>
          <w:rFonts w:ascii="Arial" w:hAnsi="Arial" w:cs="Arial"/>
          <w:szCs w:val="24"/>
        </w:rPr>
        <w:t>Under</w:t>
      </w:r>
      <w:r w:rsidR="005E07F4">
        <w:rPr>
          <w:rFonts w:ascii="Arial" w:hAnsi="Arial" w:cs="Arial"/>
          <w:szCs w:val="24"/>
        </w:rPr>
        <w:t>)</w:t>
      </w:r>
      <w:r w:rsidRPr="00F16976">
        <w:rPr>
          <w:rFonts w:ascii="Arial" w:hAnsi="Arial" w:cs="Arial"/>
          <w:szCs w:val="24"/>
        </w:rPr>
        <w:t xml:space="preserve"> Collections (Section 1307(e)</w:t>
      </w:r>
      <w:r w:rsidR="00C059D2">
        <w:rPr>
          <w:rFonts w:ascii="Arial" w:hAnsi="Arial" w:cs="Arial"/>
          <w:szCs w:val="24"/>
        </w:rPr>
        <w:t>)</w:t>
      </w:r>
      <w:r w:rsidRPr="00F16976">
        <w:rPr>
          <w:rFonts w:ascii="Arial" w:hAnsi="Arial" w:cs="Arial"/>
          <w:szCs w:val="24"/>
        </w:rPr>
        <w:t xml:space="preserve"> for the </w:t>
      </w:r>
      <w:r w:rsidR="00AC5F64">
        <w:rPr>
          <w:rFonts w:ascii="Arial" w:hAnsi="Arial" w:cs="Arial"/>
          <w:szCs w:val="24"/>
        </w:rPr>
        <w:t xml:space="preserve">fourteen </w:t>
      </w:r>
      <w:r w:rsidRPr="00F16976">
        <w:rPr>
          <w:rFonts w:ascii="Arial" w:hAnsi="Arial" w:cs="Arial"/>
          <w:szCs w:val="24"/>
        </w:rPr>
        <w:t>month</w:t>
      </w:r>
      <w:r w:rsidR="00AC5F64">
        <w:rPr>
          <w:rFonts w:ascii="Arial" w:hAnsi="Arial" w:cs="Arial"/>
          <w:szCs w:val="24"/>
        </w:rPr>
        <w:t>s</w:t>
      </w:r>
      <w:r w:rsidRPr="00F16976">
        <w:rPr>
          <w:rFonts w:ascii="Arial" w:hAnsi="Arial" w:cs="Arial"/>
          <w:szCs w:val="24"/>
        </w:rPr>
        <w:t xml:space="preserve"> ended </w:t>
      </w:r>
      <w:r w:rsidR="00AC5F64">
        <w:rPr>
          <w:rFonts w:ascii="Arial" w:hAnsi="Arial" w:cs="Arial"/>
          <w:szCs w:val="24"/>
        </w:rPr>
        <w:t xml:space="preserve">November </w:t>
      </w:r>
      <w:r w:rsidRPr="00F16976">
        <w:rPr>
          <w:rFonts w:ascii="Arial" w:hAnsi="Arial" w:cs="Arial"/>
          <w:szCs w:val="24"/>
        </w:rPr>
        <w:t>3</w:t>
      </w:r>
      <w:r>
        <w:rPr>
          <w:rFonts w:ascii="Arial" w:hAnsi="Arial" w:cs="Arial"/>
          <w:szCs w:val="24"/>
        </w:rPr>
        <w:t>0</w:t>
      </w:r>
      <w:r w:rsidRPr="00F16976">
        <w:rPr>
          <w:rFonts w:ascii="Arial" w:hAnsi="Arial" w:cs="Arial"/>
          <w:szCs w:val="24"/>
        </w:rPr>
        <w:t>, 201</w:t>
      </w:r>
      <w:r>
        <w:rPr>
          <w:rFonts w:ascii="Arial" w:hAnsi="Arial" w:cs="Arial"/>
          <w:szCs w:val="24"/>
        </w:rPr>
        <w:t>3</w:t>
      </w:r>
      <w:r w:rsidRPr="00F16976">
        <w:rPr>
          <w:rFonts w:ascii="Arial" w:hAnsi="Arial" w:cs="Arial"/>
          <w:szCs w:val="24"/>
        </w:rPr>
        <w:t xml:space="preserve"> and </w:t>
      </w:r>
      <w:r w:rsidR="00AC5F64">
        <w:rPr>
          <w:rFonts w:ascii="Arial" w:hAnsi="Arial" w:cs="Arial"/>
          <w:szCs w:val="24"/>
        </w:rPr>
        <w:t>the eleven months ended September 30, 2012</w:t>
      </w:r>
      <w:r w:rsidRPr="00F16976">
        <w:rPr>
          <w:rFonts w:ascii="Arial" w:hAnsi="Arial" w:cs="Arial"/>
          <w:szCs w:val="24"/>
        </w:rPr>
        <w:t>.</w:t>
      </w:r>
    </w:p>
    <w:p w:rsidR="003469AD" w:rsidRPr="004F00DD" w:rsidRDefault="003469AD" w:rsidP="003469AD">
      <w:pPr>
        <w:overflowPunct/>
        <w:autoSpaceDE/>
        <w:autoSpaceDN/>
        <w:adjustRightInd/>
        <w:textAlignment w:val="auto"/>
        <w:rPr>
          <w:rFonts w:ascii="Arial" w:hAnsi="Arial" w:cs="Arial"/>
          <w:i/>
          <w:szCs w:val="24"/>
        </w:rPr>
      </w:pPr>
    </w:p>
    <w:p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t>Management’s Responsibility for the Financial Statements</w:t>
      </w:r>
    </w:p>
    <w:p w:rsidR="003469AD" w:rsidRPr="004F00DD" w:rsidRDefault="003469AD" w:rsidP="003469AD">
      <w:pPr>
        <w:overflowPunct/>
        <w:autoSpaceDE/>
        <w:autoSpaceDN/>
        <w:adjustRightInd/>
        <w:textAlignment w:val="auto"/>
        <w:rPr>
          <w:rFonts w:ascii="Arial" w:hAnsi="Arial" w:cs="Arial"/>
          <w:i/>
          <w:szCs w:val="24"/>
        </w:rPr>
      </w:pPr>
    </w:p>
    <w:p w:rsidR="003469AD" w:rsidRPr="004F00DD" w:rsidRDefault="003469AD" w:rsidP="003469AD">
      <w:pPr>
        <w:overflowPunct/>
        <w:autoSpaceDE/>
        <w:autoSpaceDN/>
        <w:adjustRightInd/>
        <w:ind w:firstLine="720"/>
        <w:textAlignment w:val="auto"/>
        <w:rPr>
          <w:rFonts w:ascii="Arial" w:hAnsi="Arial" w:cs="Arial"/>
          <w:szCs w:val="24"/>
        </w:rPr>
      </w:pPr>
      <w:r w:rsidRPr="004F00DD">
        <w:rPr>
          <w:rFonts w:ascii="Arial" w:hAnsi="Arial" w:cs="Arial"/>
          <w:szCs w:val="24"/>
        </w:rPr>
        <w:t>Management is responsible for the preparation and fair presentation of these statements in accordance with accounting principles generally accepted in the United States of America; this includes the design, implementation, and maintenance of internal control relevant to the preparation and fair presentation of financial statements that are free from material misstatement, whether due to fraud or error.</w:t>
      </w:r>
    </w:p>
    <w:p w:rsidR="003469AD" w:rsidRPr="004F00DD" w:rsidRDefault="003469AD" w:rsidP="003469AD">
      <w:pPr>
        <w:overflowPunct/>
        <w:autoSpaceDE/>
        <w:autoSpaceDN/>
        <w:adjustRightInd/>
        <w:textAlignment w:val="auto"/>
        <w:rPr>
          <w:rFonts w:ascii="Arial" w:hAnsi="Arial" w:cs="Arial"/>
          <w:i/>
          <w:szCs w:val="24"/>
        </w:rPr>
      </w:pPr>
    </w:p>
    <w:p w:rsidR="003469AD" w:rsidRPr="004F00DD" w:rsidRDefault="003469AD" w:rsidP="003469AD">
      <w:pPr>
        <w:overflowPunct/>
        <w:autoSpaceDE/>
        <w:autoSpaceDN/>
        <w:adjustRightInd/>
        <w:textAlignment w:val="auto"/>
        <w:rPr>
          <w:rFonts w:ascii="Arial" w:hAnsi="Arial" w:cs="Arial"/>
          <w:b/>
          <w:bCs/>
          <w:iCs/>
          <w:szCs w:val="24"/>
        </w:rPr>
      </w:pPr>
      <w:r w:rsidRPr="004F00DD">
        <w:rPr>
          <w:rFonts w:ascii="Arial" w:hAnsi="Arial" w:cs="Arial"/>
          <w:b/>
          <w:bCs/>
          <w:iCs/>
          <w:szCs w:val="24"/>
        </w:rPr>
        <w:t>Auditor’s Responsibility</w:t>
      </w:r>
    </w:p>
    <w:p w:rsidR="003469AD" w:rsidRPr="004F00DD" w:rsidRDefault="003469AD" w:rsidP="003469AD">
      <w:pPr>
        <w:overflowPunct/>
        <w:autoSpaceDE/>
        <w:autoSpaceDN/>
        <w:adjustRightInd/>
        <w:textAlignment w:val="auto"/>
        <w:rPr>
          <w:rFonts w:ascii="Arial" w:hAnsi="Arial" w:cs="Arial"/>
          <w:szCs w:val="24"/>
        </w:rPr>
      </w:pPr>
    </w:p>
    <w:p w:rsidR="003469AD" w:rsidRDefault="003469AD" w:rsidP="003469AD">
      <w:pPr>
        <w:ind w:firstLine="720"/>
        <w:rPr>
          <w:rFonts w:ascii="Arial" w:hAnsi="Arial" w:cs="Arial"/>
          <w:szCs w:val="24"/>
        </w:rPr>
      </w:pPr>
      <w:r w:rsidRPr="00982C30">
        <w:rPr>
          <w:rFonts w:ascii="Arial" w:hAnsi="Arial" w:cs="Arial"/>
          <w:szCs w:val="24"/>
        </w:rPr>
        <w:t xml:space="preserve">Our responsibility is to express an opinion on these statements based on our audit.  We conducted our audit in accordance with auditing standards generally accepted in the United States of America.  </w:t>
      </w:r>
      <w:r w:rsidR="00721DD1">
        <w:rPr>
          <w:rFonts w:ascii="Arial" w:hAnsi="Arial" w:cs="Arial"/>
          <w:szCs w:val="24"/>
        </w:rPr>
        <w:t>These</w:t>
      </w:r>
      <w:r w:rsidR="00721DD1" w:rsidRPr="00982C30">
        <w:rPr>
          <w:rFonts w:ascii="Arial" w:hAnsi="Arial" w:cs="Arial"/>
          <w:szCs w:val="24"/>
        </w:rPr>
        <w:t xml:space="preserve"> </w:t>
      </w:r>
      <w:r w:rsidRPr="00982C30">
        <w:rPr>
          <w:rFonts w:ascii="Arial" w:hAnsi="Arial" w:cs="Arial"/>
          <w:szCs w:val="24"/>
        </w:rPr>
        <w:t>standards require that we plan and perform the audit to obtain reasonable assurance about whether these statements are free from material misstatement.  An audit involves performing procedures to obtain audit evidence about the amounts and disclosures in these statements.  The procedures selected depend on the auditor’s judgment, including the assessment of the risks of material misstatement of these statements, whether due to fraud or error.  In making those risk assessments, the auditor considers internal control relevant to the entity’s preparation and fair presentation of these statements in order to design audit procedures that are appropriate in the circumstances, but not for the purpose of expressing an opinion on the effectiveness of the entity’s internal control, and accordingly, no such opinion is expressed.  An audit also includes evaluating the appropriateness of accounting policies used and the reasonableness of significant accounting estimates made by management, as well as evaluating the overall presentation of these statements.  We believe that the audit evidence we have obtained is sufficient and appropriate to provide a basis for our audit opinion.</w:t>
      </w:r>
    </w:p>
    <w:p w:rsidR="003469AD" w:rsidRDefault="003469AD" w:rsidP="003469AD">
      <w:pPr>
        <w:ind w:firstLine="720"/>
        <w:rPr>
          <w:rFonts w:ascii="Arial" w:hAnsi="Arial" w:cs="Arial"/>
          <w:szCs w:val="24"/>
        </w:rPr>
      </w:pPr>
    </w:p>
    <w:p w:rsidR="003469AD" w:rsidRDefault="003469AD" w:rsidP="003469AD">
      <w:pPr>
        <w:ind w:firstLine="720"/>
        <w:rPr>
          <w:rFonts w:ascii="Arial" w:hAnsi="Arial" w:cs="Arial"/>
          <w:szCs w:val="24"/>
        </w:rPr>
      </w:pPr>
    </w:p>
    <w:p w:rsidR="003469AD" w:rsidRDefault="003469AD" w:rsidP="003469AD">
      <w:pPr>
        <w:ind w:firstLine="720"/>
        <w:rPr>
          <w:rFonts w:ascii="Arial" w:hAnsi="Arial" w:cs="Arial"/>
          <w:szCs w:val="24"/>
        </w:rPr>
      </w:pPr>
    </w:p>
    <w:p w:rsidR="003469AD" w:rsidRDefault="003469AD" w:rsidP="003469AD">
      <w:pPr>
        <w:ind w:firstLine="720"/>
        <w:rPr>
          <w:rFonts w:ascii="Arial" w:hAnsi="Arial" w:cs="Arial"/>
          <w:szCs w:val="24"/>
        </w:rPr>
      </w:pPr>
    </w:p>
    <w:p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iCs/>
          <w:szCs w:val="24"/>
        </w:rPr>
        <w:lastRenderedPageBreak/>
        <w:t>Opinion</w:t>
      </w:r>
    </w:p>
    <w:p w:rsidR="003469AD" w:rsidRPr="004F00DD" w:rsidRDefault="003469AD" w:rsidP="003469AD">
      <w:pPr>
        <w:overflowPunct/>
        <w:autoSpaceDE/>
        <w:autoSpaceDN/>
        <w:adjustRightInd/>
        <w:textAlignment w:val="auto"/>
        <w:rPr>
          <w:rFonts w:ascii="Arial" w:hAnsi="Arial" w:cs="Arial"/>
          <w:szCs w:val="24"/>
        </w:rPr>
      </w:pPr>
    </w:p>
    <w:p w:rsidR="003469AD" w:rsidRPr="004F00DD" w:rsidRDefault="003469AD" w:rsidP="003469AD">
      <w:pPr>
        <w:tabs>
          <w:tab w:val="left" w:pos="720"/>
        </w:tabs>
        <w:overflowPunct/>
        <w:autoSpaceDE/>
        <w:autoSpaceDN/>
        <w:adjustRightInd/>
        <w:textAlignment w:val="auto"/>
        <w:rPr>
          <w:rFonts w:ascii="Arial" w:hAnsi="Arial" w:cs="Arial"/>
          <w:szCs w:val="24"/>
        </w:rPr>
      </w:pPr>
      <w:r>
        <w:rPr>
          <w:rFonts w:ascii="Arial" w:hAnsi="Arial" w:cs="Arial"/>
          <w:szCs w:val="24"/>
        </w:rPr>
        <w:tab/>
      </w:r>
      <w:r w:rsidRPr="004F00DD">
        <w:rPr>
          <w:rFonts w:ascii="Arial" w:hAnsi="Arial" w:cs="Arial"/>
          <w:szCs w:val="24"/>
        </w:rPr>
        <w:t xml:space="preserve">In our opinion, the information set forth in the accompanying </w:t>
      </w:r>
      <w:r>
        <w:rPr>
          <w:rFonts w:ascii="Arial" w:hAnsi="Arial" w:cs="Arial"/>
          <w:szCs w:val="24"/>
        </w:rPr>
        <w:t>C</w:t>
      </w:r>
      <w:r w:rsidRPr="004F00DD">
        <w:rPr>
          <w:rFonts w:ascii="Arial" w:hAnsi="Arial" w:cs="Arial"/>
          <w:szCs w:val="24"/>
        </w:rPr>
        <w:t xml:space="preserve">ondensed Statements of </w:t>
      </w:r>
      <w:r w:rsidR="0083158E">
        <w:rPr>
          <w:rFonts w:ascii="Arial" w:hAnsi="Arial" w:cs="Arial"/>
          <w:szCs w:val="24"/>
        </w:rPr>
        <w:t>Transmission Service C</w:t>
      </w:r>
      <w:r w:rsidR="0083158E" w:rsidRPr="00F16976">
        <w:rPr>
          <w:rFonts w:ascii="Arial" w:hAnsi="Arial" w:cs="Arial"/>
          <w:szCs w:val="24"/>
        </w:rPr>
        <w:t>harge Over/</w:t>
      </w:r>
      <w:r w:rsidR="00721DD1">
        <w:rPr>
          <w:rFonts w:ascii="Arial" w:hAnsi="Arial" w:cs="Arial"/>
          <w:szCs w:val="24"/>
        </w:rPr>
        <w:t>(</w:t>
      </w:r>
      <w:r w:rsidR="0083158E" w:rsidRPr="00F16976">
        <w:rPr>
          <w:rFonts w:ascii="Arial" w:hAnsi="Arial" w:cs="Arial"/>
          <w:szCs w:val="24"/>
        </w:rPr>
        <w:t>Under</w:t>
      </w:r>
      <w:r w:rsidR="00721DD1">
        <w:rPr>
          <w:rFonts w:ascii="Arial" w:hAnsi="Arial" w:cs="Arial"/>
          <w:szCs w:val="24"/>
        </w:rPr>
        <w:t>)</w:t>
      </w:r>
      <w:r w:rsidR="0083158E" w:rsidRPr="00F16976">
        <w:rPr>
          <w:rFonts w:ascii="Arial" w:hAnsi="Arial" w:cs="Arial"/>
          <w:szCs w:val="24"/>
        </w:rPr>
        <w:t xml:space="preserve"> Collections (Section 1307(e)</w:t>
      </w:r>
      <w:r w:rsidR="00C059D2">
        <w:rPr>
          <w:rFonts w:ascii="Arial" w:hAnsi="Arial" w:cs="Arial"/>
          <w:szCs w:val="24"/>
        </w:rPr>
        <w:t>)</w:t>
      </w:r>
      <w:r w:rsidR="0083158E" w:rsidRPr="00F16976">
        <w:rPr>
          <w:rFonts w:ascii="Arial" w:hAnsi="Arial" w:cs="Arial"/>
          <w:szCs w:val="24"/>
        </w:rPr>
        <w:t xml:space="preserve"> for the </w:t>
      </w:r>
      <w:r w:rsidR="0083158E">
        <w:rPr>
          <w:rFonts w:ascii="Arial" w:hAnsi="Arial" w:cs="Arial"/>
          <w:szCs w:val="24"/>
        </w:rPr>
        <w:t xml:space="preserve">fourteen </w:t>
      </w:r>
      <w:r w:rsidR="0083158E" w:rsidRPr="00F16976">
        <w:rPr>
          <w:rFonts w:ascii="Arial" w:hAnsi="Arial" w:cs="Arial"/>
          <w:szCs w:val="24"/>
        </w:rPr>
        <w:t>month</w:t>
      </w:r>
      <w:r w:rsidR="0083158E">
        <w:rPr>
          <w:rFonts w:ascii="Arial" w:hAnsi="Arial" w:cs="Arial"/>
          <w:szCs w:val="24"/>
        </w:rPr>
        <w:t>s</w:t>
      </w:r>
      <w:r w:rsidR="0083158E" w:rsidRPr="00F16976">
        <w:rPr>
          <w:rFonts w:ascii="Arial" w:hAnsi="Arial" w:cs="Arial"/>
          <w:szCs w:val="24"/>
        </w:rPr>
        <w:t xml:space="preserve"> ended </w:t>
      </w:r>
      <w:r w:rsidR="0083158E">
        <w:rPr>
          <w:rFonts w:ascii="Arial" w:hAnsi="Arial" w:cs="Arial"/>
          <w:szCs w:val="24"/>
        </w:rPr>
        <w:t xml:space="preserve">November </w:t>
      </w:r>
      <w:r w:rsidR="0083158E" w:rsidRPr="00F16976">
        <w:rPr>
          <w:rFonts w:ascii="Arial" w:hAnsi="Arial" w:cs="Arial"/>
          <w:szCs w:val="24"/>
        </w:rPr>
        <w:t>3</w:t>
      </w:r>
      <w:r w:rsidR="0083158E">
        <w:rPr>
          <w:rFonts w:ascii="Arial" w:hAnsi="Arial" w:cs="Arial"/>
          <w:szCs w:val="24"/>
        </w:rPr>
        <w:t>0</w:t>
      </w:r>
      <w:r w:rsidR="0083158E" w:rsidRPr="00F16976">
        <w:rPr>
          <w:rFonts w:ascii="Arial" w:hAnsi="Arial" w:cs="Arial"/>
          <w:szCs w:val="24"/>
        </w:rPr>
        <w:t>, 201</w:t>
      </w:r>
      <w:r w:rsidR="0083158E">
        <w:rPr>
          <w:rFonts w:ascii="Arial" w:hAnsi="Arial" w:cs="Arial"/>
          <w:szCs w:val="24"/>
        </w:rPr>
        <w:t>3</w:t>
      </w:r>
      <w:r w:rsidR="0083158E" w:rsidRPr="00F16976">
        <w:rPr>
          <w:rFonts w:ascii="Arial" w:hAnsi="Arial" w:cs="Arial"/>
          <w:szCs w:val="24"/>
        </w:rPr>
        <w:t xml:space="preserve"> and </w:t>
      </w:r>
      <w:r w:rsidR="0083158E">
        <w:rPr>
          <w:rFonts w:ascii="Arial" w:hAnsi="Arial" w:cs="Arial"/>
          <w:szCs w:val="24"/>
        </w:rPr>
        <w:t>the eleven months ended September 30, 2012</w:t>
      </w:r>
      <w:r>
        <w:rPr>
          <w:rFonts w:ascii="Arial" w:hAnsi="Arial" w:cs="Arial"/>
          <w:szCs w:val="24"/>
        </w:rPr>
        <w:t xml:space="preserve"> </w:t>
      </w:r>
      <w:r w:rsidRPr="004F00DD">
        <w:rPr>
          <w:rFonts w:ascii="Arial" w:hAnsi="Arial" w:cs="Arial"/>
          <w:szCs w:val="24"/>
        </w:rPr>
        <w:t xml:space="preserve">of </w:t>
      </w:r>
      <w:r w:rsidRPr="00B94ACC">
        <w:rPr>
          <w:rFonts w:ascii="Arial" w:hAnsi="Arial" w:cs="Arial"/>
          <w:szCs w:val="24"/>
        </w:rPr>
        <w:t>PECO Energy</w:t>
      </w:r>
      <w:r>
        <w:rPr>
          <w:rFonts w:ascii="Arial" w:hAnsi="Arial" w:cs="Arial"/>
          <w:szCs w:val="24"/>
        </w:rPr>
        <w:t xml:space="preserve"> Company</w:t>
      </w:r>
      <w:r w:rsidRPr="004F00DD">
        <w:rPr>
          <w:rFonts w:ascii="Arial" w:hAnsi="Arial" w:cs="Arial"/>
          <w:szCs w:val="24"/>
        </w:rPr>
        <w:t xml:space="preserve"> present fairly, in all material respects, in relation to the audited financial statements from which </w:t>
      </w:r>
      <w:r>
        <w:rPr>
          <w:rFonts w:ascii="Arial" w:hAnsi="Arial" w:cs="Arial"/>
          <w:szCs w:val="24"/>
        </w:rPr>
        <w:t>they were</w:t>
      </w:r>
      <w:r w:rsidRPr="004F00DD">
        <w:rPr>
          <w:rFonts w:ascii="Arial" w:hAnsi="Arial" w:cs="Arial"/>
          <w:szCs w:val="24"/>
        </w:rPr>
        <w:t xml:space="preserve"> derived.</w:t>
      </w:r>
    </w:p>
    <w:p w:rsidR="003469AD" w:rsidRPr="004F00DD" w:rsidRDefault="003469AD" w:rsidP="003469AD">
      <w:pPr>
        <w:overflowPunct/>
        <w:autoSpaceDE/>
        <w:autoSpaceDN/>
        <w:adjustRightInd/>
        <w:textAlignment w:val="auto"/>
        <w:rPr>
          <w:rFonts w:ascii="Arial" w:hAnsi="Arial" w:cs="Arial"/>
          <w:szCs w:val="24"/>
        </w:rPr>
      </w:pPr>
    </w:p>
    <w:p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b/>
          <w:bCs/>
          <w:szCs w:val="24"/>
        </w:rPr>
        <w:t>Report on Other Legal and Regulatory Requirements</w:t>
      </w:r>
    </w:p>
    <w:p w:rsidR="003469AD" w:rsidRPr="004F00DD" w:rsidRDefault="003469AD" w:rsidP="003469AD">
      <w:pPr>
        <w:overflowPunct/>
        <w:autoSpaceDE/>
        <w:autoSpaceDN/>
        <w:adjustRightInd/>
        <w:textAlignment w:val="auto"/>
        <w:rPr>
          <w:rFonts w:ascii="Arial" w:hAnsi="Arial" w:cs="Arial"/>
          <w:szCs w:val="24"/>
        </w:rPr>
      </w:pPr>
    </w:p>
    <w:p w:rsidR="003469AD" w:rsidRPr="004F00DD" w:rsidRDefault="003469AD" w:rsidP="003469AD">
      <w:pPr>
        <w:overflowPunct/>
        <w:autoSpaceDE/>
        <w:autoSpaceDN/>
        <w:adjustRightInd/>
        <w:textAlignment w:val="auto"/>
        <w:rPr>
          <w:rFonts w:ascii="Arial" w:hAnsi="Arial" w:cs="Arial"/>
          <w:szCs w:val="24"/>
        </w:rPr>
      </w:pPr>
      <w:r w:rsidRPr="004F00DD">
        <w:rPr>
          <w:rFonts w:ascii="Arial" w:hAnsi="Arial" w:cs="Arial"/>
          <w:szCs w:val="24"/>
        </w:rPr>
        <w:tab/>
        <w:t xml:space="preserve">The accompanying statements were prepared for the purpose of complying with the rules and regulations of the Pennsylvania Public Utility Commission and are not intended to be a complete presentation of the </w:t>
      </w:r>
      <w:r>
        <w:rPr>
          <w:rFonts w:ascii="Arial" w:hAnsi="Arial" w:cs="Arial"/>
          <w:szCs w:val="24"/>
        </w:rPr>
        <w:t>PECO Energy Company’s</w:t>
      </w:r>
      <w:r w:rsidRPr="004F00DD">
        <w:rPr>
          <w:rFonts w:ascii="Arial" w:hAnsi="Arial" w:cs="Arial"/>
          <w:szCs w:val="24"/>
        </w:rPr>
        <w:t xml:space="preserve"> revenues and expenses.</w:t>
      </w:r>
    </w:p>
    <w:p w:rsidR="003469AD" w:rsidRPr="00982C30" w:rsidRDefault="003469AD" w:rsidP="003469AD">
      <w:pPr>
        <w:ind w:firstLine="720"/>
        <w:rPr>
          <w:rFonts w:ascii="Arial" w:hAnsi="Arial" w:cs="Arial"/>
          <w:szCs w:val="24"/>
        </w:rPr>
      </w:pPr>
    </w:p>
    <w:p w:rsidR="007C6911" w:rsidRDefault="007C6911" w:rsidP="007C6911">
      <w:pPr>
        <w:suppressAutoHyphens/>
        <w:rPr>
          <w:rFonts w:ascii="Arial" w:hAnsi="Arial" w:cs="Arial"/>
          <w:szCs w:val="24"/>
        </w:rPr>
      </w:pPr>
    </w:p>
    <w:p w:rsidR="00C059D2" w:rsidRDefault="00C059D2" w:rsidP="007C6911">
      <w:pPr>
        <w:suppressAutoHyphens/>
        <w:rPr>
          <w:rFonts w:ascii="Arial" w:hAnsi="Arial" w:cs="Arial"/>
          <w:szCs w:val="24"/>
        </w:rPr>
      </w:pPr>
    </w:p>
    <w:p w:rsidR="00630B6A" w:rsidRPr="00936DE2" w:rsidRDefault="00630B6A" w:rsidP="007C6911">
      <w:pPr>
        <w:suppressAutoHyphens/>
        <w:rPr>
          <w:rFonts w:ascii="Arial" w:hAnsi="Arial" w:cs="Arial"/>
          <w:szCs w:val="24"/>
        </w:rPr>
      </w:pPr>
    </w:p>
    <w:p w:rsidR="007C6911" w:rsidRPr="00936DE2" w:rsidRDefault="00630B6A" w:rsidP="00630B6A">
      <w:pPr>
        <w:tabs>
          <w:tab w:val="left" w:pos="5130"/>
        </w:tabs>
        <w:suppressAutoHyphens/>
        <w:rPr>
          <w:rFonts w:ascii="Arial" w:hAnsi="Arial" w:cs="Arial"/>
          <w:szCs w:val="24"/>
        </w:rPr>
      </w:pPr>
      <w:r>
        <w:rPr>
          <w:rFonts w:ascii="Arial" w:hAnsi="Arial" w:cs="Arial"/>
          <w:noProof/>
          <w:szCs w:val="24"/>
        </w:rPr>
        <w:tab/>
      </w:r>
      <w:r w:rsidR="003E16F5">
        <w:rPr>
          <w:rFonts w:ascii="Arial" w:hAnsi="Arial" w:cs="Arial"/>
          <w:noProof/>
          <w:szCs w:val="24"/>
        </w:rPr>
        <w:drawing>
          <wp:inline distT="0" distB="0" distL="0" distR="0" wp14:anchorId="4F4999B6" wp14:editId="559AB302">
            <wp:extent cx="2176272" cy="530352"/>
            <wp:effectExtent l="0" t="0" r="0" b="3175"/>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my signature.png"/>
                    <pic:cNvPicPr/>
                  </pic:nvPicPr>
                  <pic:blipFill>
                    <a:blip r:embed="rId24">
                      <a:extLst>
                        <a:ext uri="{28A0092B-C50C-407E-A947-70E740481C1C}">
                          <a14:useLocalDpi xmlns:a14="http://schemas.microsoft.com/office/drawing/2010/main" val="0"/>
                        </a:ext>
                      </a:extLst>
                    </a:blip>
                    <a:stretch>
                      <a:fillRect/>
                    </a:stretch>
                  </pic:blipFill>
                  <pic:spPr>
                    <a:xfrm>
                      <a:off x="0" y="0"/>
                      <a:ext cx="2176272" cy="530352"/>
                    </a:xfrm>
                    <a:prstGeom prst="rect">
                      <a:avLst/>
                    </a:prstGeom>
                  </pic:spPr>
                </pic:pic>
              </a:graphicData>
            </a:graphic>
          </wp:inline>
        </w:drawing>
      </w:r>
    </w:p>
    <w:p w:rsidR="00C059D2" w:rsidRPr="00C8306A" w:rsidRDefault="00C059D2" w:rsidP="00C059D2">
      <w:pPr>
        <w:tabs>
          <w:tab w:val="left" w:pos="5400"/>
        </w:tabs>
        <w:rPr>
          <w:rFonts w:ascii="Arial" w:hAnsi="Arial" w:cs="Arial"/>
          <w:szCs w:val="24"/>
        </w:rPr>
      </w:pPr>
      <w:r>
        <w:rPr>
          <w:rFonts w:ascii="Arial" w:hAnsi="Arial" w:cs="Arial"/>
          <w:szCs w:val="24"/>
        </w:rPr>
        <w:tab/>
      </w:r>
      <w:r w:rsidRPr="002571DE">
        <w:rPr>
          <w:rFonts w:ascii="Arial" w:hAnsi="Arial" w:cs="Arial"/>
          <w:szCs w:val="24"/>
        </w:rPr>
        <w:t>Thomas R. Schwab</w:t>
      </w:r>
      <w:r w:rsidRPr="00C8306A">
        <w:rPr>
          <w:rFonts w:ascii="Arial" w:hAnsi="Arial" w:cs="Arial"/>
          <w:szCs w:val="24"/>
        </w:rPr>
        <w:t>, CPA</w:t>
      </w:r>
    </w:p>
    <w:p w:rsidR="00C059D2" w:rsidRPr="00C8306A" w:rsidRDefault="00C059D2" w:rsidP="00630B6A">
      <w:pPr>
        <w:tabs>
          <w:tab w:val="left" w:pos="5400"/>
        </w:tabs>
        <w:rPr>
          <w:rFonts w:ascii="Arial" w:hAnsi="Arial" w:cs="Arial"/>
          <w:szCs w:val="24"/>
        </w:rPr>
      </w:pPr>
      <w:r w:rsidRPr="00C8306A">
        <w:rPr>
          <w:rFonts w:ascii="Arial" w:hAnsi="Arial" w:cs="Arial"/>
          <w:szCs w:val="24"/>
        </w:rPr>
        <w:tab/>
      </w:r>
      <w:r>
        <w:rPr>
          <w:rFonts w:ascii="Arial" w:hAnsi="Arial" w:cs="Arial"/>
          <w:szCs w:val="24"/>
        </w:rPr>
        <w:t xml:space="preserve">Acting </w:t>
      </w:r>
      <w:r w:rsidRPr="00C8306A">
        <w:rPr>
          <w:rFonts w:ascii="Arial" w:hAnsi="Arial" w:cs="Arial"/>
          <w:szCs w:val="24"/>
        </w:rPr>
        <w:t>Director</w:t>
      </w:r>
    </w:p>
    <w:p w:rsidR="00C059D2" w:rsidRPr="00C8306A" w:rsidRDefault="00C059D2" w:rsidP="00C059D2">
      <w:pPr>
        <w:tabs>
          <w:tab w:val="left" w:pos="5400"/>
        </w:tabs>
        <w:rPr>
          <w:rFonts w:ascii="Arial" w:hAnsi="Arial" w:cs="Arial"/>
          <w:szCs w:val="24"/>
        </w:rPr>
      </w:pPr>
      <w:r w:rsidRPr="00C8306A">
        <w:rPr>
          <w:rFonts w:ascii="Arial" w:hAnsi="Arial" w:cs="Arial"/>
          <w:szCs w:val="24"/>
        </w:rPr>
        <w:tab/>
        <w:t>Bureau of Audits</w:t>
      </w:r>
    </w:p>
    <w:p w:rsidR="00C059D2" w:rsidRPr="00C8306A" w:rsidRDefault="00C059D2" w:rsidP="00C059D2">
      <w:pPr>
        <w:tabs>
          <w:tab w:val="left" w:pos="5400"/>
        </w:tabs>
        <w:rPr>
          <w:rFonts w:ascii="Arial" w:hAnsi="Arial" w:cs="Arial"/>
          <w:szCs w:val="24"/>
        </w:rPr>
      </w:pPr>
      <w:r w:rsidRPr="00C8306A">
        <w:rPr>
          <w:rFonts w:ascii="Arial" w:hAnsi="Arial" w:cs="Arial"/>
          <w:szCs w:val="24"/>
        </w:rPr>
        <w:tab/>
        <w:t>Harrisburg, PA</w:t>
      </w:r>
    </w:p>
    <w:p w:rsidR="00C059D2" w:rsidRPr="00630B6A" w:rsidRDefault="00C059D2" w:rsidP="00C059D2">
      <w:pPr>
        <w:tabs>
          <w:tab w:val="left" w:pos="5400"/>
        </w:tabs>
        <w:rPr>
          <w:rFonts w:ascii="Arial" w:hAnsi="Arial" w:cs="Arial"/>
          <w:szCs w:val="24"/>
        </w:rPr>
      </w:pPr>
      <w:r w:rsidRPr="00C8306A">
        <w:rPr>
          <w:rFonts w:ascii="Arial" w:hAnsi="Arial" w:cs="Arial"/>
          <w:szCs w:val="24"/>
        </w:rPr>
        <w:tab/>
      </w:r>
      <w:bookmarkStart w:id="0" w:name="_GoBack"/>
      <w:r w:rsidR="00630B6A" w:rsidRPr="00630B6A">
        <w:rPr>
          <w:rFonts w:ascii="Arial" w:hAnsi="Arial" w:cs="Arial"/>
          <w:szCs w:val="24"/>
        </w:rPr>
        <w:t>December 1, 2016</w:t>
      </w:r>
    </w:p>
    <w:bookmarkEnd w:id="0"/>
    <w:p w:rsidR="007C6911" w:rsidRPr="00936DE2" w:rsidRDefault="007C6911" w:rsidP="007C6911">
      <w:pPr>
        <w:suppressAutoHyphens/>
        <w:rPr>
          <w:rFonts w:ascii="Arial" w:hAnsi="Arial" w:cs="Arial"/>
          <w:szCs w:val="24"/>
        </w:rPr>
      </w:pPr>
    </w:p>
    <w:p w:rsidR="007C6911" w:rsidRPr="00936DE2" w:rsidRDefault="007C6911" w:rsidP="003469AD">
      <w:pPr>
        <w:suppressAutoHyphens/>
        <w:outlineLvl w:val="0"/>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t xml:space="preserve"> </w:t>
      </w:r>
    </w:p>
    <w:p w:rsidR="007C6911" w:rsidRPr="00936DE2" w:rsidRDefault="007C6911" w:rsidP="007C6911">
      <w:pPr>
        <w:suppressAutoHyphens/>
        <w:rPr>
          <w:rFonts w:ascii="Arial" w:hAnsi="Arial" w:cs="Arial"/>
          <w:szCs w:val="24"/>
        </w:rPr>
      </w:pP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r w:rsidRPr="00936DE2">
        <w:rPr>
          <w:rFonts w:ascii="Arial" w:hAnsi="Arial" w:cs="Arial"/>
          <w:szCs w:val="24"/>
        </w:rPr>
        <w:tab/>
      </w:r>
    </w:p>
    <w:p w:rsidR="005D711E" w:rsidRPr="00BE0936" w:rsidRDefault="005D711E" w:rsidP="007C6911">
      <w:pPr>
        <w:suppressAutoHyphens/>
        <w:rPr>
          <w:rFonts w:ascii="Arial" w:hAnsi="Arial" w:cs="Arial"/>
          <w:szCs w:val="24"/>
        </w:rPr>
      </w:pPr>
    </w:p>
    <w:p w:rsidR="005D711E" w:rsidRPr="00BE0936" w:rsidRDefault="005D711E" w:rsidP="00CF2F5B">
      <w:pPr>
        <w:suppressAutoHyphens/>
        <w:rPr>
          <w:rFonts w:ascii="Arial" w:hAnsi="Arial" w:cs="Arial"/>
          <w:szCs w:val="24"/>
        </w:rPr>
      </w:pPr>
    </w:p>
    <w:p w:rsidR="0047509D" w:rsidRPr="00BE0936" w:rsidRDefault="0047509D" w:rsidP="00CF2F5B">
      <w:pPr>
        <w:suppressAutoHyphens/>
        <w:rPr>
          <w:rFonts w:ascii="Arial" w:hAnsi="Arial" w:cs="Arial"/>
          <w:szCs w:val="24"/>
        </w:rPr>
        <w:sectPr w:rsidR="0047509D" w:rsidRPr="00BE0936" w:rsidSect="003439CD">
          <w:headerReference w:type="even" r:id="rId25"/>
          <w:headerReference w:type="default" r:id="rId26"/>
          <w:footerReference w:type="default" r:id="rId27"/>
          <w:headerReference w:type="first" r:id="rId28"/>
          <w:endnotePr>
            <w:numFmt w:val="decimal"/>
          </w:endnotePr>
          <w:pgSz w:w="12240" w:h="15840" w:code="1"/>
          <w:pgMar w:top="1440" w:right="1440" w:bottom="1008" w:left="1440" w:header="720" w:footer="720" w:gutter="0"/>
          <w:pgNumType w:fmt="numberInDash" w:start="1"/>
          <w:cols w:space="720"/>
          <w:noEndnote/>
          <w:docGrid w:linePitch="326"/>
        </w:sectPr>
      </w:pPr>
    </w:p>
    <w:tbl>
      <w:tblPr>
        <w:tblW w:w="9315" w:type="dxa"/>
        <w:jc w:val="center"/>
        <w:tblLook w:val="0000" w:firstRow="0" w:lastRow="0" w:firstColumn="0" w:lastColumn="0" w:noHBand="0" w:noVBand="0"/>
      </w:tblPr>
      <w:tblGrid>
        <w:gridCol w:w="9315"/>
      </w:tblGrid>
      <w:tr w:rsidR="008B2A09" w:rsidRPr="00B61414" w:rsidTr="00D60026">
        <w:trPr>
          <w:trHeight w:val="277"/>
          <w:jc w:val="center"/>
        </w:trPr>
        <w:tc>
          <w:tcPr>
            <w:tcW w:w="9315" w:type="dxa"/>
            <w:tcBorders>
              <w:top w:val="nil"/>
              <w:left w:val="nil"/>
              <w:bottom w:val="nil"/>
              <w:right w:val="nil"/>
            </w:tcBorders>
            <w:shd w:val="clear" w:color="auto" w:fill="auto"/>
            <w:noWrap/>
            <w:vAlign w:val="bottom"/>
          </w:tcPr>
          <w:p w:rsidR="008B2A09" w:rsidRPr="00440FBF" w:rsidRDefault="00981B3B" w:rsidP="008B2A09">
            <w:pPr>
              <w:overflowPunct/>
              <w:autoSpaceDE/>
              <w:autoSpaceDN/>
              <w:adjustRightInd/>
              <w:jc w:val="center"/>
              <w:textAlignment w:val="auto"/>
              <w:rPr>
                <w:rFonts w:ascii="Arial" w:hAnsi="Arial" w:cs="Arial"/>
                <w:b/>
                <w:sz w:val="26"/>
                <w:szCs w:val="26"/>
              </w:rPr>
            </w:pPr>
            <w:r w:rsidRPr="00440FBF">
              <w:rPr>
                <w:rFonts w:ascii="Arial" w:hAnsi="Arial" w:cs="Arial"/>
                <w:b/>
                <w:sz w:val="26"/>
                <w:szCs w:val="26"/>
              </w:rPr>
              <w:lastRenderedPageBreak/>
              <w:t>PECO ENERGY COMPANY</w:t>
            </w:r>
          </w:p>
        </w:tc>
      </w:tr>
      <w:tr w:rsidR="008B2A09" w:rsidRPr="00BE0936" w:rsidTr="00440FBF">
        <w:trPr>
          <w:trHeight w:val="1593"/>
          <w:jc w:val="center"/>
        </w:trPr>
        <w:tc>
          <w:tcPr>
            <w:tcW w:w="9315" w:type="dxa"/>
            <w:tcBorders>
              <w:top w:val="nil"/>
              <w:left w:val="nil"/>
              <w:bottom w:val="nil"/>
              <w:right w:val="nil"/>
            </w:tcBorders>
            <w:shd w:val="clear" w:color="auto" w:fill="auto"/>
            <w:noWrap/>
            <w:vAlign w:val="bottom"/>
          </w:tcPr>
          <w:p w:rsidR="00440FBF" w:rsidRDefault="00440FBF" w:rsidP="00440FBF">
            <w:pPr>
              <w:overflowPunct/>
              <w:autoSpaceDE/>
              <w:autoSpaceDN/>
              <w:adjustRightInd/>
              <w:jc w:val="center"/>
              <w:textAlignment w:val="auto"/>
              <w:rPr>
                <w:rFonts w:ascii="Arial" w:hAnsi="Arial" w:cs="Arial"/>
                <w:b/>
                <w:sz w:val="26"/>
                <w:szCs w:val="26"/>
              </w:rPr>
            </w:pPr>
          </w:p>
          <w:p w:rsidR="00440FBF" w:rsidRDefault="00440FBF" w:rsidP="00440FBF">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440FBF" w:rsidRDefault="00440FBF" w:rsidP="00440FBF">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Pr="00440FBF">
              <w:rPr>
                <w:rFonts w:ascii="Arial" w:hAnsi="Arial" w:cs="Arial"/>
                <w:b/>
                <w:sz w:val="26"/>
                <w:szCs w:val="26"/>
              </w:rPr>
              <w:t>Transmission Service Charge</w:t>
            </w:r>
            <w:r>
              <w:rPr>
                <w:rFonts w:ascii="Arial" w:hAnsi="Arial" w:cs="Arial"/>
                <w:b/>
                <w:sz w:val="26"/>
                <w:szCs w:val="26"/>
              </w:rPr>
              <w:t xml:space="preserve"> (TSC)</w:t>
            </w:r>
          </w:p>
          <w:p w:rsidR="00D50737" w:rsidRDefault="00440FBF" w:rsidP="00440FBF">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8B2A09" w:rsidRPr="00440FBF" w:rsidRDefault="00440FBF" w:rsidP="00710127">
            <w:pPr>
              <w:overflowPunct/>
              <w:autoSpaceDE/>
              <w:autoSpaceDN/>
              <w:adjustRightInd/>
              <w:jc w:val="center"/>
              <w:textAlignment w:val="auto"/>
              <w:rPr>
                <w:rFonts w:ascii="Arial" w:hAnsi="Arial" w:cs="Arial"/>
                <w:b/>
                <w:sz w:val="26"/>
                <w:szCs w:val="26"/>
              </w:rPr>
            </w:pPr>
            <w:r w:rsidRPr="00440FBF">
              <w:rPr>
                <w:rFonts w:ascii="Arial" w:hAnsi="Arial" w:cs="Arial"/>
                <w:b/>
                <w:sz w:val="26"/>
                <w:szCs w:val="26"/>
              </w:rPr>
              <w:t xml:space="preserve">For the </w:t>
            </w:r>
            <w:r w:rsidR="00710127">
              <w:rPr>
                <w:rFonts w:ascii="Arial" w:hAnsi="Arial" w:cs="Arial"/>
                <w:b/>
                <w:sz w:val="26"/>
                <w:szCs w:val="26"/>
              </w:rPr>
              <w:t>Fourteen</w:t>
            </w:r>
            <w:r w:rsidRPr="00440FBF">
              <w:rPr>
                <w:rFonts w:ascii="Arial" w:hAnsi="Arial" w:cs="Arial"/>
                <w:b/>
                <w:sz w:val="26"/>
                <w:szCs w:val="26"/>
              </w:rPr>
              <w:t xml:space="preserve"> Months Ended </w:t>
            </w:r>
            <w:r w:rsidR="00710127">
              <w:rPr>
                <w:rFonts w:ascii="Arial" w:hAnsi="Arial" w:cs="Arial"/>
                <w:b/>
                <w:sz w:val="26"/>
                <w:szCs w:val="26"/>
              </w:rPr>
              <w:t>November</w:t>
            </w:r>
            <w:r w:rsidRPr="00440FBF">
              <w:rPr>
                <w:rFonts w:ascii="Arial" w:hAnsi="Arial" w:cs="Arial"/>
                <w:b/>
                <w:sz w:val="26"/>
                <w:szCs w:val="26"/>
              </w:rPr>
              <w:t xml:space="preserve"> 3</w:t>
            </w:r>
            <w:r w:rsidR="00710127">
              <w:rPr>
                <w:rFonts w:ascii="Arial" w:hAnsi="Arial" w:cs="Arial"/>
                <w:b/>
                <w:sz w:val="26"/>
                <w:szCs w:val="26"/>
              </w:rPr>
              <w:t>0</w:t>
            </w:r>
            <w:r w:rsidRPr="00440FBF">
              <w:rPr>
                <w:rFonts w:ascii="Arial" w:hAnsi="Arial" w:cs="Arial"/>
                <w:b/>
                <w:sz w:val="26"/>
                <w:szCs w:val="26"/>
              </w:rPr>
              <w:t>, 201</w:t>
            </w:r>
            <w:r w:rsidR="00710127">
              <w:rPr>
                <w:rFonts w:ascii="Arial" w:hAnsi="Arial" w:cs="Arial"/>
                <w:b/>
                <w:sz w:val="26"/>
                <w:szCs w:val="26"/>
              </w:rPr>
              <w:t>3</w:t>
            </w:r>
            <w:r>
              <w:rPr>
                <w:rFonts w:ascii="Arial" w:hAnsi="Arial" w:cs="Arial"/>
                <w:b/>
                <w:sz w:val="26"/>
                <w:szCs w:val="26"/>
              </w:rPr>
              <w:t>*</w:t>
            </w:r>
          </w:p>
        </w:tc>
      </w:tr>
      <w:tr w:rsidR="008B2A09" w:rsidRPr="00BE0936" w:rsidTr="00D60026">
        <w:trPr>
          <w:trHeight w:val="277"/>
          <w:jc w:val="center"/>
        </w:trPr>
        <w:tc>
          <w:tcPr>
            <w:tcW w:w="9315" w:type="dxa"/>
            <w:tcBorders>
              <w:top w:val="nil"/>
              <w:left w:val="nil"/>
              <w:bottom w:val="nil"/>
              <w:right w:val="nil"/>
            </w:tcBorders>
            <w:shd w:val="clear" w:color="auto" w:fill="auto"/>
            <w:noWrap/>
            <w:vAlign w:val="bottom"/>
          </w:tcPr>
          <w:p w:rsidR="008B2A09" w:rsidRPr="00440FBF" w:rsidRDefault="008B2A09" w:rsidP="00BF0E3F">
            <w:pPr>
              <w:overflowPunct/>
              <w:autoSpaceDE/>
              <w:autoSpaceDN/>
              <w:adjustRightInd/>
              <w:jc w:val="center"/>
              <w:textAlignment w:val="auto"/>
              <w:rPr>
                <w:rFonts w:ascii="Arial" w:hAnsi="Arial" w:cs="Arial"/>
                <w:b/>
                <w:sz w:val="26"/>
                <w:szCs w:val="26"/>
              </w:rPr>
            </w:pPr>
          </w:p>
        </w:tc>
      </w:tr>
    </w:tbl>
    <w:p w:rsidR="00B852ED" w:rsidRDefault="00B852ED">
      <w:pPr>
        <w:rPr>
          <w:rFonts w:ascii="Arial" w:hAnsi="Arial" w:cs="Arial"/>
          <w:szCs w:val="24"/>
        </w:rPr>
      </w:pPr>
    </w:p>
    <w:p w:rsidR="000A6589" w:rsidRDefault="000A6589">
      <w:pPr>
        <w:rPr>
          <w:rFonts w:ascii="Arial" w:hAnsi="Arial" w:cs="Arial"/>
          <w:szCs w:val="24"/>
        </w:rPr>
      </w:pPr>
    </w:p>
    <w:tbl>
      <w:tblPr>
        <w:tblW w:w="9513" w:type="dxa"/>
        <w:jc w:val="center"/>
        <w:tblLook w:val="0000" w:firstRow="0" w:lastRow="0" w:firstColumn="0" w:lastColumn="0" w:noHBand="0" w:noVBand="0"/>
      </w:tblPr>
      <w:tblGrid>
        <w:gridCol w:w="2718"/>
        <w:gridCol w:w="236"/>
        <w:gridCol w:w="2077"/>
        <w:gridCol w:w="270"/>
        <w:gridCol w:w="1809"/>
        <w:gridCol w:w="261"/>
        <w:gridCol w:w="2142"/>
      </w:tblGrid>
      <w:tr w:rsidR="000F0B3C" w:rsidRPr="00BE0936" w:rsidTr="001574B0">
        <w:trPr>
          <w:trHeight w:val="288"/>
          <w:jc w:val="center"/>
        </w:trPr>
        <w:tc>
          <w:tcPr>
            <w:tcW w:w="2718" w:type="dxa"/>
            <w:tcBorders>
              <w:top w:val="nil"/>
              <w:left w:val="nil"/>
              <w:right w:val="nil"/>
            </w:tcBorders>
            <w:shd w:val="clear" w:color="auto" w:fill="auto"/>
            <w:noWrap/>
            <w:vAlign w:val="bottom"/>
          </w:tcPr>
          <w:p w:rsidR="000F0B3C" w:rsidRPr="00BE0936" w:rsidRDefault="000F0B3C" w:rsidP="005E047A">
            <w:pPr>
              <w:jc w:val="center"/>
              <w:rPr>
                <w:rFonts w:ascii="Arial" w:hAnsi="Arial" w:cs="Arial"/>
                <w:b/>
                <w:bCs/>
                <w:szCs w:val="24"/>
              </w:rPr>
            </w:pPr>
          </w:p>
        </w:tc>
        <w:tc>
          <w:tcPr>
            <w:tcW w:w="236" w:type="dxa"/>
            <w:tcBorders>
              <w:top w:val="nil"/>
              <w:left w:val="nil"/>
              <w:right w:val="nil"/>
            </w:tcBorders>
          </w:tcPr>
          <w:p w:rsidR="000F0B3C" w:rsidRPr="00BE0936" w:rsidRDefault="000F0B3C" w:rsidP="005E047A">
            <w:pPr>
              <w:jc w:val="center"/>
              <w:rPr>
                <w:rFonts w:ascii="Arial" w:hAnsi="Arial" w:cs="Arial"/>
                <w:bCs/>
                <w:szCs w:val="24"/>
              </w:rPr>
            </w:pPr>
          </w:p>
        </w:tc>
        <w:tc>
          <w:tcPr>
            <w:tcW w:w="2077" w:type="dxa"/>
            <w:tcBorders>
              <w:top w:val="nil"/>
              <w:left w:val="nil"/>
              <w:right w:val="nil"/>
            </w:tcBorders>
            <w:shd w:val="clear" w:color="auto" w:fill="auto"/>
            <w:vAlign w:val="bottom"/>
          </w:tcPr>
          <w:p w:rsidR="000F0B3C" w:rsidRPr="00BE0936" w:rsidRDefault="000F0B3C" w:rsidP="000F0B3C">
            <w:pPr>
              <w:jc w:val="center"/>
              <w:rPr>
                <w:rFonts w:ascii="Arial" w:hAnsi="Arial" w:cs="Arial"/>
                <w:bCs/>
                <w:szCs w:val="24"/>
              </w:rPr>
            </w:pPr>
          </w:p>
        </w:tc>
        <w:tc>
          <w:tcPr>
            <w:tcW w:w="270" w:type="dxa"/>
            <w:tcBorders>
              <w:top w:val="nil"/>
              <w:left w:val="nil"/>
              <w:right w:val="nil"/>
            </w:tcBorders>
          </w:tcPr>
          <w:p w:rsidR="000F0B3C" w:rsidRPr="00BE0936" w:rsidRDefault="000F0B3C" w:rsidP="005E047A">
            <w:pPr>
              <w:jc w:val="center"/>
              <w:rPr>
                <w:rFonts w:ascii="Arial" w:hAnsi="Arial" w:cs="Arial"/>
                <w:bCs/>
                <w:szCs w:val="24"/>
              </w:rPr>
            </w:pPr>
          </w:p>
        </w:tc>
        <w:tc>
          <w:tcPr>
            <w:tcW w:w="1809" w:type="dxa"/>
            <w:tcBorders>
              <w:top w:val="nil"/>
              <w:left w:val="nil"/>
              <w:right w:val="nil"/>
            </w:tcBorders>
            <w:shd w:val="clear" w:color="auto" w:fill="auto"/>
            <w:vAlign w:val="bottom"/>
          </w:tcPr>
          <w:p w:rsidR="000F0B3C" w:rsidRPr="00BE0936" w:rsidRDefault="000F0B3C" w:rsidP="005E047A">
            <w:pPr>
              <w:jc w:val="center"/>
              <w:rPr>
                <w:rFonts w:ascii="Arial" w:hAnsi="Arial" w:cs="Arial"/>
                <w:bCs/>
                <w:szCs w:val="24"/>
              </w:rPr>
            </w:pPr>
          </w:p>
        </w:tc>
        <w:tc>
          <w:tcPr>
            <w:tcW w:w="261" w:type="dxa"/>
            <w:tcBorders>
              <w:top w:val="nil"/>
              <w:left w:val="nil"/>
              <w:right w:val="nil"/>
            </w:tcBorders>
          </w:tcPr>
          <w:p w:rsidR="000F0B3C" w:rsidRPr="00BE0936" w:rsidRDefault="000F0B3C" w:rsidP="005E047A">
            <w:pPr>
              <w:jc w:val="center"/>
              <w:rPr>
                <w:rFonts w:ascii="Arial" w:hAnsi="Arial" w:cs="Arial"/>
                <w:bCs/>
                <w:szCs w:val="24"/>
              </w:rPr>
            </w:pPr>
          </w:p>
        </w:tc>
        <w:tc>
          <w:tcPr>
            <w:tcW w:w="2142" w:type="dxa"/>
            <w:tcBorders>
              <w:top w:val="nil"/>
              <w:left w:val="nil"/>
              <w:right w:val="nil"/>
            </w:tcBorders>
            <w:shd w:val="clear" w:color="auto" w:fill="auto"/>
            <w:vAlign w:val="bottom"/>
          </w:tcPr>
          <w:p w:rsidR="000F0B3C" w:rsidRPr="005B4D6A" w:rsidRDefault="000F0B3C" w:rsidP="005E047A">
            <w:pPr>
              <w:jc w:val="center"/>
              <w:rPr>
                <w:rFonts w:ascii="Arial" w:hAnsi="Arial" w:cs="Arial"/>
                <w:b/>
                <w:bCs/>
                <w:szCs w:val="24"/>
              </w:rPr>
            </w:pPr>
          </w:p>
        </w:tc>
      </w:tr>
      <w:tr w:rsidR="000F0B3C" w:rsidRPr="00BE0936" w:rsidTr="001574B0">
        <w:trPr>
          <w:trHeight w:val="288"/>
          <w:jc w:val="center"/>
        </w:trPr>
        <w:tc>
          <w:tcPr>
            <w:tcW w:w="2718" w:type="dxa"/>
            <w:tcBorders>
              <w:top w:val="nil"/>
              <w:left w:val="nil"/>
              <w:right w:val="nil"/>
            </w:tcBorders>
            <w:shd w:val="clear" w:color="auto" w:fill="auto"/>
            <w:noWrap/>
            <w:vAlign w:val="bottom"/>
          </w:tcPr>
          <w:p w:rsidR="000F0B3C" w:rsidRPr="001574B0" w:rsidRDefault="000F0B3C" w:rsidP="005E047A">
            <w:pPr>
              <w:jc w:val="center"/>
              <w:rPr>
                <w:rFonts w:ascii="Arial" w:hAnsi="Arial" w:cs="Arial"/>
                <w:b/>
                <w:bCs/>
                <w:szCs w:val="24"/>
                <w:u w:val="single"/>
              </w:rPr>
            </w:pPr>
            <w:r w:rsidRPr="001574B0">
              <w:rPr>
                <w:rFonts w:ascii="Arial" w:hAnsi="Arial" w:cs="Arial"/>
                <w:b/>
                <w:bCs/>
                <w:szCs w:val="24"/>
                <w:u w:val="single"/>
              </w:rPr>
              <w:t>Rate</w:t>
            </w:r>
            <w:r w:rsidR="00767BA0" w:rsidRPr="001574B0">
              <w:rPr>
                <w:rFonts w:ascii="Arial" w:hAnsi="Arial" w:cs="Arial"/>
                <w:b/>
                <w:bCs/>
                <w:szCs w:val="24"/>
                <w:u w:val="single"/>
              </w:rPr>
              <w:t xml:space="preserve"> Class</w:t>
            </w:r>
          </w:p>
        </w:tc>
        <w:tc>
          <w:tcPr>
            <w:tcW w:w="236" w:type="dxa"/>
            <w:tcBorders>
              <w:top w:val="nil"/>
              <w:left w:val="nil"/>
              <w:right w:val="nil"/>
            </w:tcBorders>
          </w:tcPr>
          <w:p w:rsidR="000F0B3C" w:rsidRPr="001574B0" w:rsidRDefault="000F0B3C" w:rsidP="005E047A">
            <w:pPr>
              <w:jc w:val="center"/>
              <w:rPr>
                <w:rFonts w:ascii="Arial" w:hAnsi="Arial" w:cs="Arial"/>
                <w:bCs/>
                <w:szCs w:val="24"/>
                <w:u w:val="single"/>
              </w:rPr>
            </w:pPr>
          </w:p>
        </w:tc>
        <w:tc>
          <w:tcPr>
            <w:tcW w:w="2077" w:type="dxa"/>
            <w:tcBorders>
              <w:top w:val="nil"/>
              <w:left w:val="nil"/>
              <w:right w:val="nil"/>
            </w:tcBorders>
            <w:shd w:val="clear" w:color="auto" w:fill="auto"/>
            <w:vAlign w:val="bottom"/>
          </w:tcPr>
          <w:p w:rsidR="00044925" w:rsidRPr="00044925" w:rsidRDefault="00767BA0" w:rsidP="000F0B3C">
            <w:pPr>
              <w:jc w:val="center"/>
              <w:rPr>
                <w:rFonts w:ascii="Arial" w:hAnsi="Arial" w:cs="Arial"/>
                <w:b/>
                <w:bCs/>
                <w:szCs w:val="24"/>
              </w:rPr>
            </w:pPr>
            <w:r w:rsidRPr="00044925">
              <w:rPr>
                <w:rFonts w:ascii="Arial" w:hAnsi="Arial" w:cs="Arial"/>
                <w:b/>
                <w:bCs/>
                <w:szCs w:val="24"/>
              </w:rPr>
              <w:t xml:space="preserve">TSC </w:t>
            </w:r>
          </w:p>
          <w:p w:rsidR="000F0B3C" w:rsidRPr="001574B0" w:rsidRDefault="00767BA0" w:rsidP="000F0B3C">
            <w:pPr>
              <w:jc w:val="center"/>
              <w:rPr>
                <w:rFonts w:ascii="Arial" w:hAnsi="Arial" w:cs="Arial"/>
                <w:b/>
                <w:bCs/>
                <w:szCs w:val="24"/>
                <w:u w:val="single"/>
              </w:rPr>
            </w:pPr>
            <w:r w:rsidRPr="001574B0">
              <w:rPr>
                <w:rFonts w:ascii="Arial" w:hAnsi="Arial" w:cs="Arial"/>
                <w:b/>
                <w:bCs/>
                <w:szCs w:val="24"/>
                <w:u w:val="single"/>
              </w:rPr>
              <w:t>Revenues</w:t>
            </w:r>
          </w:p>
        </w:tc>
        <w:tc>
          <w:tcPr>
            <w:tcW w:w="270" w:type="dxa"/>
            <w:tcBorders>
              <w:top w:val="nil"/>
              <w:left w:val="nil"/>
              <w:right w:val="nil"/>
            </w:tcBorders>
          </w:tcPr>
          <w:p w:rsidR="000F0B3C" w:rsidRPr="00BE0936" w:rsidRDefault="000F0B3C" w:rsidP="005E047A">
            <w:pPr>
              <w:jc w:val="center"/>
              <w:rPr>
                <w:rFonts w:ascii="Arial" w:hAnsi="Arial" w:cs="Arial"/>
                <w:bCs/>
                <w:szCs w:val="24"/>
              </w:rPr>
            </w:pPr>
          </w:p>
        </w:tc>
        <w:tc>
          <w:tcPr>
            <w:tcW w:w="1809" w:type="dxa"/>
            <w:tcBorders>
              <w:top w:val="nil"/>
              <w:left w:val="nil"/>
              <w:right w:val="nil"/>
            </w:tcBorders>
            <w:shd w:val="clear" w:color="auto" w:fill="auto"/>
            <w:vAlign w:val="bottom"/>
          </w:tcPr>
          <w:p w:rsidR="00044925" w:rsidRPr="00044925" w:rsidRDefault="00767BA0" w:rsidP="005E047A">
            <w:pPr>
              <w:jc w:val="center"/>
              <w:rPr>
                <w:rFonts w:ascii="Arial" w:hAnsi="Arial" w:cs="Arial"/>
                <w:b/>
                <w:bCs/>
                <w:szCs w:val="24"/>
              </w:rPr>
            </w:pPr>
            <w:r w:rsidRPr="00044925">
              <w:rPr>
                <w:rFonts w:ascii="Arial" w:hAnsi="Arial" w:cs="Arial"/>
                <w:b/>
                <w:bCs/>
                <w:szCs w:val="24"/>
              </w:rPr>
              <w:t xml:space="preserve">TSC </w:t>
            </w:r>
          </w:p>
          <w:p w:rsidR="000F0B3C" w:rsidRPr="001574B0" w:rsidRDefault="00767BA0" w:rsidP="005E047A">
            <w:pPr>
              <w:jc w:val="center"/>
              <w:rPr>
                <w:rFonts w:ascii="Arial" w:hAnsi="Arial" w:cs="Arial"/>
                <w:b/>
                <w:bCs/>
                <w:szCs w:val="24"/>
                <w:u w:val="single"/>
              </w:rPr>
            </w:pPr>
            <w:r w:rsidRPr="001574B0">
              <w:rPr>
                <w:rFonts w:ascii="Arial" w:hAnsi="Arial" w:cs="Arial"/>
                <w:b/>
                <w:bCs/>
                <w:szCs w:val="24"/>
                <w:u w:val="single"/>
              </w:rPr>
              <w:t>Costs</w:t>
            </w:r>
          </w:p>
        </w:tc>
        <w:tc>
          <w:tcPr>
            <w:tcW w:w="261" w:type="dxa"/>
            <w:tcBorders>
              <w:top w:val="nil"/>
              <w:left w:val="nil"/>
              <w:right w:val="nil"/>
            </w:tcBorders>
          </w:tcPr>
          <w:p w:rsidR="000F0B3C" w:rsidRPr="00BE0936" w:rsidRDefault="000F0B3C" w:rsidP="005E047A">
            <w:pPr>
              <w:jc w:val="center"/>
              <w:rPr>
                <w:rFonts w:ascii="Arial" w:hAnsi="Arial" w:cs="Arial"/>
                <w:bCs/>
                <w:szCs w:val="24"/>
              </w:rPr>
            </w:pPr>
          </w:p>
        </w:tc>
        <w:tc>
          <w:tcPr>
            <w:tcW w:w="2142" w:type="dxa"/>
            <w:tcBorders>
              <w:top w:val="nil"/>
              <w:left w:val="nil"/>
              <w:right w:val="nil"/>
            </w:tcBorders>
            <w:shd w:val="clear" w:color="auto" w:fill="auto"/>
            <w:vAlign w:val="bottom"/>
          </w:tcPr>
          <w:p w:rsidR="000F0B3C" w:rsidRPr="001574B0" w:rsidRDefault="00044925" w:rsidP="005E047A">
            <w:pPr>
              <w:jc w:val="center"/>
              <w:rPr>
                <w:rFonts w:ascii="Arial" w:hAnsi="Arial" w:cs="Arial"/>
                <w:b/>
                <w:bCs/>
                <w:szCs w:val="24"/>
                <w:u w:val="single"/>
              </w:rPr>
            </w:pPr>
            <w:r w:rsidRPr="005B4D6A">
              <w:rPr>
                <w:rFonts w:ascii="Arial" w:hAnsi="Arial" w:cs="Arial"/>
                <w:b/>
                <w:bCs/>
                <w:szCs w:val="24"/>
              </w:rPr>
              <w:t>Over/(Under)</w:t>
            </w:r>
            <w:r>
              <w:rPr>
                <w:rFonts w:ascii="Arial" w:hAnsi="Arial" w:cs="Arial"/>
                <w:b/>
                <w:bCs/>
                <w:szCs w:val="24"/>
              </w:rPr>
              <w:t xml:space="preserve"> </w:t>
            </w:r>
            <w:r w:rsidR="000F0B3C" w:rsidRPr="001574B0">
              <w:rPr>
                <w:rFonts w:ascii="Arial" w:hAnsi="Arial" w:cs="Arial"/>
                <w:b/>
                <w:bCs/>
                <w:szCs w:val="24"/>
                <w:u w:val="single"/>
              </w:rPr>
              <w:t>Collections</w:t>
            </w:r>
          </w:p>
        </w:tc>
      </w:tr>
      <w:tr w:rsidR="000F0B3C" w:rsidRPr="00BE0936" w:rsidTr="001574B0">
        <w:trPr>
          <w:trHeight w:val="300"/>
          <w:jc w:val="center"/>
        </w:trPr>
        <w:tc>
          <w:tcPr>
            <w:tcW w:w="2718" w:type="dxa"/>
            <w:tcBorders>
              <w:left w:val="nil"/>
              <w:bottom w:val="nil"/>
              <w:right w:val="nil"/>
            </w:tcBorders>
            <w:shd w:val="clear" w:color="auto" w:fill="auto"/>
            <w:noWrap/>
            <w:vAlign w:val="bottom"/>
          </w:tcPr>
          <w:p w:rsidR="000F0B3C" w:rsidRPr="00BE0936" w:rsidRDefault="000F0B3C" w:rsidP="005E047A">
            <w:pPr>
              <w:jc w:val="center"/>
              <w:rPr>
                <w:rFonts w:ascii="Arial" w:hAnsi="Arial" w:cs="Arial"/>
                <w:b/>
                <w:bCs/>
                <w:szCs w:val="24"/>
              </w:rPr>
            </w:pPr>
          </w:p>
        </w:tc>
        <w:tc>
          <w:tcPr>
            <w:tcW w:w="236" w:type="dxa"/>
            <w:tcBorders>
              <w:left w:val="nil"/>
              <w:bottom w:val="nil"/>
              <w:right w:val="nil"/>
            </w:tcBorders>
          </w:tcPr>
          <w:p w:rsidR="000F0B3C" w:rsidRPr="00BE0936" w:rsidRDefault="000F0B3C" w:rsidP="005E047A">
            <w:pPr>
              <w:jc w:val="center"/>
              <w:rPr>
                <w:rFonts w:ascii="Arial" w:hAnsi="Arial" w:cs="Arial"/>
                <w:bCs/>
                <w:szCs w:val="24"/>
              </w:rPr>
            </w:pPr>
          </w:p>
        </w:tc>
        <w:tc>
          <w:tcPr>
            <w:tcW w:w="2077" w:type="dxa"/>
            <w:tcBorders>
              <w:left w:val="nil"/>
              <w:bottom w:val="nil"/>
              <w:right w:val="nil"/>
            </w:tcBorders>
            <w:shd w:val="clear" w:color="auto" w:fill="auto"/>
            <w:vAlign w:val="bottom"/>
          </w:tcPr>
          <w:p w:rsidR="000F0B3C" w:rsidRPr="00BE0936" w:rsidRDefault="00767BA0" w:rsidP="00DD52FF">
            <w:pPr>
              <w:jc w:val="center"/>
              <w:rPr>
                <w:rFonts w:ascii="Arial" w:hAnsi="Arial" w:cs="Arial"/>
                <w:bCs/>
                <w:szCs w:val="24"/>
              </w:rPr>
            </w:pPr>
            <w:r>
              <w:rPr>
                <w:rFonts w:ascii="Arial" w:hAnsi="Arial" w:cs="Arial"/>
                <w:bCs/>
                <w:szCs w:val="24"/>
              </w:rPr>
              <w:t>(1)</w:t>
            </w:r>
          </w:p>
        </w:tc>
        <w:tc>
          <w:tcPr>
            <w:tcW w:w="270" w:type="dxa"/>
            <w:tcBorders>
              <w:left w:val="nil"/>
              <w:bottom w:val="nil"/>
              <w:right w:val="nil"/>
            </w:tcBorders>
          </w:tcPr>
          <w:p w:rsidR="000F0B3C" w:rsidRPr="00BE0936" w:rsidRDefault="000F0B3C" w:rsidP="005E047A">
            <w:pPr>
              <w:jc w:val="center"/>
              <w:rPr>
                <w:rFonts w:ascii="Arial" w:hAnsi="Arial" w:cs="Arial"/>
                <w:bCs/>
                <w:szCs w:val="24"/>
              </w:rPr>
            </w:pPr>
          </w:p>
        </w:tc>
        <w:tc>
          <w:tcPr>
            <w:tcW w:w="1809" w:type="dxa"/>
            <w:tcBorders>
              <w:left w:val="nil"/>
              <w:bottom w:val="nil"/>
              <w:right w:val="nil"/>
            </w:tcBorders>
            <w:shd w:val="clear" w:color="auto" w:fill="auto"/>
            <w:vAlign w:val="bottom"/>
          </w:tcPr>
          <w:p w:rsidR="000F0B3C" w:rsidRPr="00BE0936" w:rsidRDefault="00767BA0" w:rsidP="00DD52FF">
            <w:pPr>
              <w:jc w:val="center"/>
              <w:rPr>
                <w:rFonts w:ascii="Arial" w:hAnsi="Arial" w:cs="Arial"/>
                <w:bCs/>
                <w:szCs w:val="24"/>
              </w:rPr>
            </w:pPr>
            <w:r>
              <w:rPr>
                <w:rFonts w:ascii="Arial" w:hAnsi="Arial" w:cs="Arial"/>
                <w:bCs/>
                <w:szCs w:val="24"/>
              </w:rPr>
              <w:t>(2)</w:t>
            </w:r>
          </w:p>
        </w:tc>
        <w:tc>
          <w:tcPr>
            <w:tcW w:w="261" w:type="dxa"/>
            <w:tcBorders>
              <w:left w:val="nil"/>
              <w:bottom w:val="nil"/>
              <w:right w:val="nil"/>
            </w:tcBorders>
          </w:tcPr>
          <w:p w:rsidR="000F0B3C" w:rsidRPr="00BE0936" w:rsidRDefault="000F0B3C" w:rsidP="005E047A">
            <w:pPr>
              <w:jc w:val="center"/>
              <w:rPr>
                <w:rFonts w:ascii="Arial" w:hAnsi="Arial" w:cs="Arial"/>
                <w:bCs/>
                <w:szCs w:val="24"/>
              </w:rPr>
            </w:pPr>
          </w:p>
        </w:tc>
        <w:tc>
          <w:tcPr>
            <w:tcW w:w="2142" w:type="dxa"/>
            <w:tcBorders>
              <w:left w:val="nil"/>
              <w:bottom w:val="nil"/>
              <w:right w:val="nil"/>
            </w:tcBorders>
            <w:shd w:val="clear" w:color="auto" w:fill="auto"/>
            <w:vAlign w:val="bottom"/>
          </w:tcPr>
          <w:p w:rsidR="000F0B3C" w:rsidRPr="00BE0936" w:rsidRDefault="00767BA0" w:rsidP="00DD52FF">
            <w:pPr>
              <w:jc w:val="center"/>
              <w:rPr>
                <w:rFonts w:ascii="Arial" w:hAnsi="Arial" w:cs="Arial"/>
                <w:bCs/>
                <w:szCs w:val="24"/>
              </w:rPr>
            </w:pPr>
            <w:r>
              <w:rPr>
                <w:rFonts w:ascii="Arial" w:hAnsi="Arial" w:cs="Arial"/>
                <w:bCs/>
                <w:szCs w:val="24"/>
              </w:rPr>
              <w:t>(3)=(1)-(2)</w:t>
            </w:r>
          </w:p>
        </w:tc>
      </w:tr>
      <w:tr w:rsidR="000F0B3C" w:rsidRPr="00BE0936" w:rsidTr="001574B0">
        <w:trPr>
          <w:trHeight w:val="144"/>
          <w:jc w:val="center"/>
        </w:trPr>
        <w:tc>
          <w:tcPr>
            <w:tcW w:w="2718" w:type="dxa"/>
            <w:tcBorders>
              <w:top w:val="nil"/>
              <w:left w:val="nil"/>
              <w:bottom w:val="nil"/>
              <w:right w:val="nil"/>
            </w:tcBorders>
            <w:shd w:val="clear" w:color="auto" w:fill="auto"/>
            <w:noWrap/>
            <w:vAlign w:val="bottom"/>
          </w:tcPr>
          <w:p w:rsidR="000F0B3C" w:rsidRPr="00BE0936" w:rsidRDefault="000F0B3C">
            <w:pPr>
              <w:rPr>
                <w:rFonts w:ascii="Arial" w:hAnsi="Arial" w:cs="Arial"/>
                <w:szCs w:val="24"/>
              </w:rPr>
            </w:pPr>
          </w:p>
        </w:tc>
        <w:tc>
          <w:tcPr>
            <w:tcW w:w="236" w:type="dxa"/>
            <w:tcBorders>
              <w:top w:val="nil"/>
              <w:left w:val="nil"/>
              <w:bottom w:val="nil"/>
              <w:right w:val="nil"/>
            </w:tcBorders>
          </w:tcPr>
          <w:p w:rsidR="000F0B3C" w:rsidRPr="00BE0936" w:rsidRDefault="000F0B3C" w:rsidP="00D60026">
            <w:pPr>
              <w:jc w:val="center"/>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767BA0" w:rsidP="00D60026">
            <w:pPr>
              <w:jc w:val="center"/>
              <w:rPr>
                <w:rFonts w:ascii="Arial" w:hAnsi="Arial" w:cs="Arial"/>
                <w:szCs w:val="24"/>
              </w:rPr>
            </w:pPr>
            <w:r w:rsidRPr="00BE0936">
              <w:rPr>
                <w:rFonts w:ascii="Arial" w:hAnsi="Arial" w:cs="Arial"/>
                <w:bCs/>
                <w:szCs w:val="24"/>
              </w:rPr>
              <w:t xml:space="preserve">(Note </w:t>
            </w:r>
            <w:r>
              <w:rPr>
                <w:rFonts w:ascii="Arial" w:hAnsi="Arial" w:cs="Arial"/>
                <w:bCs/>
                <w:szCs w:val="24"/>
              </w:rPr>
              <w:t>2</w:t>
            </w:r>
            <w:r w:rsidRPr="00BE0936">
              <w:rPr>
                <w:rFonts w:ascii="Arial" w:hAnsi="Arial" w:cs="Arial"/>
                <w:bCs/>
                <w:szCs w:val="24"/>
              </w:rPr>
              <w:t>)</w:t>
            </w:r>
          </w:p>
        </w:tc>
        <w:tc>
          <w:tcPr>
            <w:tcW w:w="270" w:type="dxa"/>
            <w:tcBorders>
              <w:top w:val="nil"/>
              <w:left w:val="nil"/>
              <w:bottom w:val="nil"/>
              <w:right w:val="nil"/>
            </w:tcBorders>
          </w:tcPr>
          <w:p w:rsidR="000F0B3C" w:rsidRPr="00BE0936" w:rsidRDefault="000F0B3C" w:rsidP="00D60026">
            <w:pPr>
              <w:jc w:val="center"/>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767BA0" w:rsidP="00D60026">
            <w:pPr>
              <w:jc w:val="center"/>
              <w:rPr>
                <w:rFonts w:ascii="Arial" w:hAnsi="Arial" w:cs="Arial"/>
                <w:szCs w:val="24"/>
              </w:rPr>
            </w:pPr>
            <w:r w:rsidRPr="00BE0936">
              <w:rPr>
                <w:rFonts w:ascii="Arial" w:hAnsi="Arial" w:cs="Arial"/>
                <w:bCs/>
                <w:szCs w:val="24"/>
              </w:rPr>
              <w:t xml:space="preserve">(Note </w:t>
            </w:r>
            <w:r>
              <w:rPr>
                <w:rFonts w:ascii="Arial" w:hAnsi="Arial" w:cs="Arial"/>
                <w:bCs/>
                <w:szCs w:val="24"/>
              </w:rPr>
              <w:t>3</w:t>
            </w:r>
            <w:r w:rsidRPr="00BE0936">
              <w:rPr>
                <w:rFonts w:ascii="Arial" w:hAnsi="Arial" w:cs="Arial"/>
                <w:bCs/>
                <w:szCs w:val="24"/>
              </w:rPr>
              <w:t>)</w:t>
            </w:r>
          </w:p>
        </w:tc>
        <w:tc>
          <w:tcPr>
            <w:tcW w:w="261" w:type="dxa"/>
            <w:tcBorders>
              <w:top w:val="nil"/>
              <w:left w:val="nil"/>
              <w:bottom w:val="nil"/>
              <w:right w:val="nil"/>
            </w:tcBorders>
          </w:tcPr>
          <w:p w:rsidR="000F0B3C" w:rsidRPr="00BE0936" w:rsidRDefault="000F0B3C" w:rsidP="00D60026">
            <w:pPr>
              <w:jc w:val="center"/>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767BA0" w:rsidP="00D60026">
            <w:pPr>
              <w:jc w:val="center"/>
              <w:rPr>
                <w:rFonts w:ascii="Arial" w:hAnsi="Arial" w:cs="Arial"/>
                <w:szCs w:val="24"/>
              </w:rPr>
            </w:pPr>
            <w:r w:rsidRPr="00BE0936">
              <w:rPr>
                <w:rFonts w:ascii="Arial" w:hAnsi="Arial" w:cs="Arial"/>
                <w:bCs/>
                <w:szCs w:val="24"/>
              </w:rPr>
              <w:t xml:space="preserve">(Note </w:t>
            </w:r>
            <w:r>
              <w:rPr>
                <w:rFonts w:ascii="Arial" w:hAnsi="Arial" w:cs="Arial"/>
                <w:bCs/>
                <w:szCs w:val="24"/>
              </w:rPr>
              <w:t>4</w:t>
            </w:r>
            <w:r w:rsidRPr="00BE0936">
              <w:rPr>
                <w:rFonts w:ascii="Arial" w:hAnsi="Arial" w:cs="Arial"/>
                <w:bCs/>
                <w:szCs w:val="24"/>
              </w:rPr>
              <w:t>)</w:t>
            </w:r>
          </w:p>
        </w:tc>
      </w:tr>
      <w:tr w:rsidR="000F0B3C" w:rsidRPr="00BE0936" w:rsidTr="001574B0">
        <w:trPr>
          <w:trHeight w:val="288"/>
          <w:jc w:val="center"/>
        </w:trPr>
        <w:tc>
          <w:tcPr>
            <w:tcW w:w="2718" w:type="dxa"/>
            <w:tcBorders>
              <w:top w:val="nil"/>
              <w:left w:val="nil"/>
              <w:bottom w:val="nil"/>
              <w:right w:val="nil"/>
            </w:tcBorders>
            <w:shd w:val="clear" w:color="auto" w:fill="auto"/>
            <w:noWrap/>
            <w:vAlign w:val="bottom"/>
          </w:tcPr>
          <w:p w:rsidR="000F0B3C" w:rsidRPr="00BE0936" w:rsidRDefault="000F0B3C" w:rsidP="00C7694F">
            <w:pPr>
              <w:ind w:right="-180"/>
              <w:rPr>
                <w:rFonts w:ascii="Arial" w:hAnsi="Arial" w:cs="Arial"/>
                <w:szCs w:val="24"/>
              </w:rPr>
            </w:pPr>
          </w:p>
        </w:tc>
        <w:tc>
          <w:tcPr>
            <w:tcW w:w="236" w:type="dxa"/>
            <w:tcBorders>
              <w:top w:val="nil"/>
              <w:left w:val="nil"/>
              <w:bottom w:val="nil"/>
              <w:right w:val="nil"/>
            </w:tcBorders>
          </w:tcPr>
          <w:p w:rsidR="000F0B3C" w:rsidRPr="00BE0936" w:rsidRDefault="000F0B3C" w:rsidP="00770CB2">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0F0B3C" w:rsidP="00921081">
            <w:pPr>
              <w:tabs>
                <w:tab w:val="decimal" w:pos="1569"/>
              </w:tabs>
              <w:rPr>
                <w:rFonts w:ascii="Arial" w:hAnsi="Arial" w:cs="Arial"/>
                <w:szCs w:val="24"/>
              </w:rPr>
            </w:pP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0F0B3C" w:rsidP="00B61414">
            <w:pPr>
              <w:tabs>
                <w:tab w:val="decimal" w:pos="1476"/>
              </w:tabs>
              <w:rPr>
                <w:rFonts w:ascii="Arial" w:hAnsi="Arial" w:cs="Arial"/>
                <w:szCs w:val="24"/>
              </w:rPr>
            </w:pPr>
          </w:p>
        </w:tc>
        <w:tc>
          <w:tcPr>
            <w:tcW w:w="261" w:type="dxa"/>
            <w:tcBorders>
              <w:top w:val="nil"/>
              <w:left w:val="nil"/>
              <w:bottom w:val="nil"/>
              <w:right w:val="nil"/>
            </w:tcBorders>
          </w:tcPr>
          <w:p w:rsidR="000F0B3C" w:rsidRPr="00BE0936" w:rsidRDefault="000F0B3C" w:rsidP="00D60026">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0F0B3C" w:rsidP="00B61414">
            <w:pPr>
              <w:tabs>
                <w:tab w:val="decimal" w:pos="1431"/>
              </w:tabs>
              <w:rPr>
                <w:rFonts w:ascii="Arial" w:hAnsi="Arial" w:cs="Arial"/>
                <w:szCs w:val="24"/>
              </w:rPr>
            </w:pPr>
          </w:p>
        </w:tc>
      </w:tr>
      <w:tr w:rsidR="000F0B3C" w:rsidRPr="00BE0936" w:rsidTr="0014799E">
        <w:trPr>
          <w:trHeight w:val="288"/>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r>
              <w:rPr>
                <w:rFonts w:ascii="Arial" w:hAnsi="Arial" w:cs="Arial"/>
                <w:szCs w:val="24"/>
              </w:rPr>
              <w:t>Rate</w:t>
            </w:r>
            <w:r w:rsidR="006A66FE">
              <w:rPr>
                <w:rFonts w:ascii="Arial" w:hAnsi="Arial" w:cs="Arial"/>
                <w:szCs w:val="24"/>
              </w:rPr>
              <w:t>s</w:t>
            </w:r>
            <w:r>
              <w:rPr>
                <w:rFonts w:ascii="Arial" w:hAnsi="Arial" w:cs="Arial"/>
                <w:szCs w:val="24"/>
              </w:rPr>
              <w:t xml:space="preserve"> R</w:t>
            </w:r>
            <w:r w:rsidR="00710127">
              <w:rPr>
                <w:rFonts w:ascii="Arial" w:hAnsi="Arial" w:cs="Arial"/>
                <w:szCs w:val="24"/>
              </w:rPr>
              <w:t>, RH</w:t>
            </w: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1C4463" w:rsidP="00205553">
            <w:pPr>
              <w:jc w:val="center"/>
              <w:rPr>
                <w:rFonts w:ascii="Arial" w:hAnsi="Arial" w:cs="Arial"/>
                <w:szCs w:val="24"/>
              </w:rPr>
            </w:pPr>
            <w:r>
              <w:rPr>
                <w:rFonts w:ascii="Arial" w:hAnsi="Arial" w:cs="Arial"/>
                <w:szCs w:val="24"/>
              </w:rPr>
              <w:t xml:space="preserve">  </w:t>
            </w:r>
            <w:r w:rsidR="000F0B3C">
              <w:rPr>
                <w:rFonts w:ascii="Arial" w:hAnsi="Arial" w:cs="Arial"/>
                <w:szCs w:val="24"/>
              </w:rPr>
              <w:t xml:space="preserve">$    </w:t>
            </w:r>
            <w:r w:rsidR="00205553">
              <w:rPr>
                <w:rFonts w:ascii="Arial" w:hAnsi="Arial" w:cs="Arial"/>
                <w:szCs w:val="24"/>
              </w:rPr>
              <w:t>73</w:t>
            </w:r>
            <w:r w:rsidR="000F0B3C">
              <w:rPr>
                <w:rFonts w:ascii="Arial" w:hAnsi="Arial" w:cs="Arial"/>
                <w:szCs w:val="24"/>
              </w:rPr>
              <w:t>,</w:t>
            </w:r>
            <w:r w:rsidR="00205553">
              <w:rPr>
                <w:rFonts w:ascii="Arial" w:hAnsi="Arial" w:cs="Arial"/>
                <w:szCs w:val="24"/>
              </w:rPr>
              <w:t>992</w:t>
            </w:r>
            <w:r w:rsidR="000F0B3C">
              <w:rPr>
                <w:rFonts w:ascii="Arial" w:hAnsi="Arial" w:cs="Arial"/>
                <w:szCs w:val="24"/>
              </w:rPr>
              <w:t>,</w:t>
            </w:r>
            <w:r w:rsidR="00205553">
              <w:rPr>
                <w:rFonts w:ascii="Arial" w:hAnsi="Arial" w:cs="Arial"/>
                <w:szCs w:val="24"/>
              </w:rPr>
              <w:t>508</w:t>
            </w: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0F0B3C" w:rsidP="00205553">
            <w:pPr>
              <w:tabs>
                <w:tab w:val="decimal" w:pos="1476"/>
              </w:tabs>
              <w:ind w:right="-108"/>
              <w:rPr>
                <w:rFonts w:ascii="Arial" w:hAnsi="Arial" w:cs="Arial"/>
                <w:szCs w:val="24"/>
              </w:rPr>
            </w:pPr>
            <w:r w:rsidRPr="00BE0936">
              <w:rPr>
                <w:rFonts w:ascii="Arial" w:hAnsi="Arial" w:cs="Arial"/>
                <w:szCs w:val="24"/>
              </w:rPr>
              <w:t xml:space="preserve"> </w:t>
            </w:r>
            <w:r>
              <w:rPr>
                <w:rFonts w:ascii="Arial" w:hAnsi="Arial" w:cs="Arial"/>
                <w:szCs w:val="24"/>
              </w:rPr>
              <w:t>$</w:t>
            </w:r>
            <w:r w:rsidR="001C4463">
              <w:rPr>
                <w:rFonts w:ascii="Arial" w:hAnsi="Arial" w:cs="Arial"/>
                <w:szCs w:val="24"/>
              </w:rPr>
              <w:t xml:space="preserve"> </w:t>
            </w:r>
            <w:r>
              <w:rPr>
                <w:rFonts w:ascii="Arial" w:hAnsi="Arial" w:cs="Arial"/>
                <w:szCs w:val="24"/>
              </w:rPr>
              <w:t xml:space="preserve">   </w:t>
            </w:r>
            <w:r w:rsidR="00205553">
              <w:rPr>
                <w:rFonts w:ascii="Arial" w:hAnsi="Arial" w:cs="Arial"/>
                <w:szCs w:val="24"/>
              </w:rPr>
              <w:t>72</w:t>
            </w:r>
            <w:r>
              <w:rPr>
                <w:rFonts w:ascii="Arial" w:hAnsi="Arial" w:cs="Arial"/>
                <w:szCs w:val="24"/>
              </w:rPr>
              <w:t>,</w:t>
            </w:r>
            <w:r w:rsidR="00205553">
              <w:rPr>
                <w:rFonts w:ascii="Arial" w:hAnsi="Arial" w:cs="Arial"/>
                <w:szCs w:val="24"/>
              </w:rPr>
              <w:t>326</w:t>
            </w:r>
            <w:r>
              <w:rPr>
                <w:rFonts w:ascii="Arial" w:hAnsi="Arial" w:cs="Arial"/>
                <w:szCs w:val="24"/>
              </w:rPr>
              <w:t>,</w:t>
            </w:r>
            <w:r w:rsidR="00205553">
              <w:rPr>
                <w:rFonts w:ascii="Arial" w:hAnsi="Arial" w:cs="Arial"/>
                <w:szCs w:val="24"/>
              </w:rPr>
              <w:t>712</w:t>
            </w:r>
            <w:r w:rsidRPr="00BE0936">
              <w:rPr>
                <w:rFonts w:ascii="Arial" w:hAnsi="Arial" w:cs="Arial"/>
                <w:szCs w:val="24"/>
              </w:rPr>
              <w:t xml:space="preserve"> </w:t>
            </w:r>
          </w:p>
        </w:tc>
        <w:tc>
          <w:tcPr>
            <w:tcW w:w="261" w:type="dxa"/>
            <w:tcBorders>
              <w:top w:val="nil"/>
              <w:left w:val="nil"/>
              <w:bottom w:val="nil"/>
              <w:right w:val="nil"/>
            </w:tcBorders>
          </w:tcPr>
          <w:p w:rsidR="000F0B3C" w:rsidRPr="00BE0936" w:rsidRDefault="000F0B3C">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CD0C8C" w:rsidP="0014799E">
            <w:pPr>
              <w:ind w:right="148"/>
              <w:jc w:val="right"/>
              <w:rPr>
                <w:rFonts w:ascii="Arial" w:hAnsi="Arial" w:cs="Arial"/>
                <w:szCs w:val="24"/>
              </w:rPr>
            </w:pPr>
            <w:r>
              <w:rPr>
                <w:rFonts w:ascii="Arial" w:hAnsi="Arial" w:cs="Arial"/>
                <w:szCs w:val="24"/>
              </w:rPr>
              <w:t xml:space="preserve">    </w:t>
            </w:r>
            <w:r w:rsidR="000F0B3C">
              <w:rPr>
                <w:rFonts w:ascii="Arial" w:hAnsi="Arial" w:cs="Arial"/>
                <w:szCs w:val="24"/>
              </w:rPr>
              <w:t>$</w:t>
            </w:r>
            <w:r>
              <w:rPr>
                <w:rFonts w:ascii="Arial" w:hAnsi="Arial" w:cs="Arial"/>
                <w:szCs w:val="24"/>
              </w:rPr>
              <w:t xml:space="preserve">   </w:t>
            </w:r>
            <w:r w:rsidR="0014799E">
              <w:rPr>
                <w:rFonts w:ascii="Arial" w:hAnsi="Arial" w:cs="Arial"/>
                <w:szCs w:val="24"/>
              </w:rPr>
              <w:t xml:space="preserve"> </w:t>
            </w:r>
            <w:r w:rsidR="00205553">
              <w:rPr>
                <w:rFonts w:ascii="Arial" w:hAnsi="Arial" w:cs="Arial"/>
                <w:szCs w:val="24"/>
              </w:rPr>
              <w:t>1</w:t>
            </w:r>
            <w:r w:rsidR="000F0B3C">
              <w:rPr>
                <w:rFonts w:ascii="Arial" w:hAnsi="Arial" w:cs="Arial"/>
                <w:szCs w:val="24"/>
              </w:rPr>
              <w:t>,</w:t>
            </w:r>
            <w:r w:rsidR="00205553">
              <w:rPr>
                <w:rFonts w:ascii="Arial" w:hAnsi="Arial" w:cs="Arial"/>
                <w:szCs w:val="24"/>
              </w:rPr>
              <w:t>665</w:t>
            </w:r>
            <w:r w:rsidR="000F0B3C">
              <w:rPr>
                <w:rFonts w:ascii="Arial" w:hAnsi="Arial" w:cs="Arial"/>
                <w:szCs w:val="24"/>
              </w:rPr>
              <w:t>,</w:t>
            </w:r>
            <w:r w:rsidR="00205553">
              <w:rPr>
                <w:rFonts w:ascii="Arial" w:hAnsi="Arial" w:cs="Arial"/>
                <w:szCs w:val="24"/>
              </w:rPr>
              <w:t>797</w:t>
            </w:r>
          </w:p>
        </w:tc>
      </w:tr>
      <w:tr w:rsidR="000F0B3C" w:rsidRPr="00BE0936" w:rsidTr="001574B0">
        <w:trPr>
          <w:trHeight w:val="144"/>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0F0B3C" w:rsidP="00880253">
            <w:pPr>
              <w:tabs>
                <w:tab w:val="decimal" w:pos="1569"/>
              </w:tabs>
              <w:jc w:val="center"/>
              <w:rPr>
                <w:rFonts w:ascii="Arial" w:hAnsi="Arial" w:cs="Arial"/>
                <w:szCs w:val="24"/>
              </w:rPr>
            </w:pP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0F0B3C" w:rsidP="00B61414">
            <w:pPr>
              <w:tabs>
                <w:tab w:val="decimal" w:pos="1476"/>
              </w:tabs>
              <w:rPr>
                <w:rFonts w:ascii="Arial" w:hAnsi="Arial" w:cs="Arial"/>
                <w:szCs w:val="24"/>
              </w:rPr>
            </w:pPr>
          </w:p>
        </w:tc>
        <w:tc>
          <w:tcPr>
            <w:tcW w:w="261" w:type="dxa"/>
            <w:tcBorders>
              <w:top w:val="nil"/>
              <w:left w:val="nil"/>
              <w:bottom w:val="nil"/>
              <w:right w:val="nil"/>
            </w:tcBorders>
          </w:tcPr>
          <w:p w:rsidR="000F0B3C" w:rsidRPr="00BE0936" w:rsidRDefault="000F0B3C">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0F0B3C" w:rsidP="0014799E">
            <w:pPr>
              <w:ind w:right="58"/>
              <w:jc w:val="right"/>
              <w:rPr>
                <w:rFonts w:ascii="Arial" w:hAnsi="Arial" w:cs="Arial"/>
                <w:szCs w:val="24"/>
              </w:rPr>
            </w:pPr>
          </w:p>
        </w:tc>
      </w:tr>
      <w:tr w:rsidR="000F0B3C" w:rsidRPr="00BE0936" w:rsidTr="001574B0">
        <w:trPr>
          <w:trHeight w:val="288"/>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r>
              <w:rPr>
                <w:rFonts w:ascii="Arial" w:hAnsi="Arial" w:cs="Arial"/>
                <w:szCs w:val="24"/>
              </w:rPr>
              <w:t>Rate</w:t>
            </w:r>
            <w:r w:rsidR="006A66FE">
              <w:rPr>
                <w:rFonts w:ascii="Arial" w:hAnsi="Arial" w:cs="Arial"/>
                <w:szCs w:val="24"/>
              </w:rPr>
              <w:t>s</w:t>
            </w:r>
            <w:r>
              <w:rPr>
                <w:rFonts w:ascii="Arial" w:hAnsi="Arial" w:cs="Arial"/>
                <w:szCs w:val="24"/>
              </w:rPr>
              <w:t xml:space="preserve"> GS</w:t>
            </w: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880253" w:rsidP="00205553">
            <w:pPr>
              <w:jc w:val="center"/>
              <w:rPr>
                <w:rFonts w:ascii="Arial" w:hAnsi="Arial" w:cs="Arial"/>
                <w:szCs w:val="24"/>
              </w:rPr>
            </w:pPr>
            <w:r>
              <w:rPr>
                <w:rFonts w:ascii="Arial" w:hAnsi="Arial" w:cs="Arial"/>
                <w:szCs w:val="24"/>
              </w:rPr>
              <w:t xml:space="preserve">       </w:t>
            </w:r>
            <w:r w:rsidR="00205553">
              <w:rPr>
                <w:rFonts w:ascii="Arial" w:hAnsi="Arial" w:cs="Arial"/>
                <w:szCs w:val="24"/>
              </w:rPr>
              <w:t>23</w:t>
            </w:r>
            <w:r w:rsidR="000F0B3C" w:rsidRPr="00B03D93">
              <w:rPr>
                <w:rFonts w:ascii="Arial" w:hAnsi="Arial" w:cs="Arial"/>
                <w:szCs w:val="24"/>
              </w:rPr>
              <w:t>,</w:t>
            </w:r>
            <w:r w:rsidR="00205553">
              <w:rPr>
                <w:rFonts w:ascii="Arial" w:hAnsi="Arial" w:cs="Arial"/>
                <w:szCs w:val="24"/>
              </w:rPr>
              <w:t>897</w:t>
            </w:r>
            <w:r w:rsidR="000F0B3C" w:rsidRPr="00B03D93">
              <w:rPr>
                <w:rFonts w:ascii="Arial" w:hAnsi="Arial" w:cs="Arial"/>
                <w:szCs w:val="24"/>
              </w:rPr>
              <w:t>,</w:t>
            </w:r>
            <w:r w:rsidR="00205553">
              <w:rPr>
                <w:rFonts w:ascii="Arial" w:hAnsi="Arial" w:cs="Arial"/>
                <w:szCs w:val="24"/>
              </w:rPr>
              <w:t>693</w:t>
            </w: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1C4463" w:rsidP="00205553">
            <w:pPr>
              <w:ind w:right="-351"/>
              <w:rPr>
                <w:rFonts w:ascii="Arial" w:hAnsi="Arial" w:cs="Arial"/>
                <w:szCs w:val="24"/>
              </w:rPr>
            </w:pPr>
            <w:r>
              <w:rPr>
                <w:rFonts w:ascii="Arial" w:hAnsi="Arial" w:cs="Arial"/>
                <w:szCs w:val="24"/>
              </w:rPr>
              <w:t xml:space="preserve">       </w:t>
            </w:r>
            <w:r w:rsidR="000F0B3C" w:rsidRPr="005B125C">
              <w:rPr>
                <w:rFonts w:ascii="Arial" w:hAnsi="Arial" w:cs="Arial"/>
                <w:szCs w:val="24"/>
              </w:rPr>
              <w:t>2</w:t>
            </w:r>
            <w:r w:rsidR="00205553">
              <w:rPr>
                <w:rFonts w:ascii="Arial" w:hAnsi="Arial" w:cs="Arial"/>
                <w:szCs w:val="24"/>
              </w:rPr>
              <w:t>1</w:t>
            </w:r>
            <w:r w:rsidR="000F0B3C" w:rsidRPr="005B125C">
              <w:rPr>
                <w:rFonts w:ascii="Arial" w:hAnsi="Arial" w:cs="Arial"/>
                <w:szCs w:val="24"/>
              </w:rPr>
              <w:t>,</w:t>
            </w:r>
            <w:r w:rsidR="00205553">
              <w:rPr>
                <w:rFonts w:ascii="Arial" w:hAnsi="Arial" w:cs="Arial"/>
                <w:szCs w:val="24"/>
              </w:rPr>
              <w:t>870</w:t>
            </w:r>
            <w:r w:rsidR="000F0B3C" w:rsidRPr="005B125C">
              <w:rPr>
                <w:rFonts w:ascii="Arial" w:hAnsi="Arial" w:cs="Arial"/>
                <w:szCs w:val="24"/>
              </w:rPr>
              <w:t>,</w:t>
            </w:r>
            <w:r w:rsidR="00205553">
              <w:rPr>
                <w:rFonts w:ascii="Arial" w:hAnsi="Arial" w:cs="Arial"/>
                <w:szCs w:val="24"/>
              </w:rPr>
              <w:t>110</w:t>
            </w:r>
          </w:p>
        </w:tc>
        <w:tc>
          <w:tcPr>
            <w:tcW w:w="261" w:type="dxa"/>
            <w:tcBorders>
              <w:top w:val="nil"/>
              <w:left w:val="nil"/>
              <w:bottom w:val="nil"/>
              <w:right w:val="nil"/>
            </w:tcBorders>
          </w:tcPr>
          <w:p w:rsidR="000F0B3C" w:rsidRPr="00BE0936" w:rsidRDefault="000F0B3C">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CD0C8C" w:rsidP="0014799E">
            <w:pPr>
              <w:ind w:right="148"/>
              <w:jc w:val="right"/>
              <w:rPr>
                <w:rFonts w:ascii="Arial" w:hAnsi="Arial" w:cs="Arial"/>
                <w:szCs w:val="24"/>
              </w:rPr>
            </w:pPr>
            <w:r>
              <w:rPr>
                <w:rFonts w:ascii="Arial" w:hAnsi="Arial" w:cs="Arial"/>
                <w:szCs w:val="24"/>
              </w:rPr>
              <w:t xml:space="preserve">          </w:t>
            </w:r>
            <w:r w:rsidR="00205553">
              <w:rPr>
                <w:rFonts w:ascii="Arial" w:hAnsi="Arial" w:cs="Arial"/>
                <w:szCs w:val="24"/>
              </w:rPr>
              <w:t xml:space="preserve"> 2</w:t>
            </w:r>
            <w:r w:rsidR="000F0B3C" w:rsidRPr="005B125C">
              <w:rPr>
                <w:rFonts w:ascii="Arial" w:hAnsi="Arial" w:cs="Arial"/>
                <w:szCs w:val="24"/>
              </w:rPr>
              <w:t>,</w:t>
            </w:r>
            <w:r w:rsidR="00205553">
              <w:rPr>
                <w:rFonts w:ascii="Arial" w:hAnsi="Arial" w:cs="Arial"/>
                <w:szCs w:val="24"/>
              </w:rPr>
              <w:t>027</w:t>
            </w:r>
            <w:r w:rsidR="000F0B3C" w:rsidRPr="005B125C">
              <w:rPr>
                <w:rFonts w:ascii="Arial" w:hAnsi="Arial" w:cs="Arial"/>
                <w:szCs w:val="24"/>
              </w:rPr>
              <w:t>,</w:t>
            </w:r>
            <w:r w:rsidR="00205553">
              <w:rPr>
                <w:rFonts w:ascii="Arial" w:hAnsi="Arial" w:cs="Arial"/>
                <w:szCs w:val="24"/>
              </w:rPr>
              <w:t>583</w:t>
            </w:r>
          </w:p>
        </w:tc>
      </w:tr>
      <w:tr w:rsidR="000F0B3C" w:rsidRPr="00BE0936" w:rsidTr="001574B0">
        <w:trPr>
          <w:trHeight w:val="144"/>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0F0B3C" w:rsidP="00880253">
            <w:pPr>
              <w:tabs>
                <w:tab w:val="decimal" w:pos="1569"/>
              </w:tabs>
              <w:jc w:val="center"/>
              <w:rPr>
                <w:rFonts w:ascii="Arial" w:hAnsi="Arial" w:cs="Arial"/>
                <w:szCs w:val="24"/>
              </w:rPr>
            </w:pP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0F0B3C" w:rsidP="00B61414">
            <w:pPr>
              <w:tabs>
                <w:tab w:val="decimal" w:pos="1476"/>
              </w:tabs>
              <w:rPr>
                <w:rFonts w:ascii="Arial" w:hAnsi="Arial" w:cs="Arial"/>
                <w:szCs w:val="24"/>
              </w:rPr>
            </w:pPr>
          </w:p>
        </w:tc>
        <w:tc>
          <w:tcPr>
            <w:tcW w:w="261" w:type="dxa"/>
            <w:tcBorders>
              <w:top w:val="nil"/>
              <w:left w:val="nil"/>
              <w:bottom w:val="nil"/>
              <w:right w:val="nil"/>
            </w:tcBorders>
          </w:tcPr>
          <w:p w:rsidR="000F0B3C" w:rsidRPr="00BE0936" w:rsidRDefault="000F0B3C">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0F0B3C" w:rsidP="0014799E">
            <w:pPr>
              <w:ind w:right="58"/>
              <w:jc w:val="right"/>
              <w:rPr>
                <w:rFonts w:ascii="Arial" w:hAnsi="Arial" w:cs="Arial"/>
                <w:szCs w:val="24"/>
              </w:rPr>
            </w:pPr>
          </w:p>
        </w:tc>
      </w:tr>
      <w:tr w:rsidR="000F0B3C" w:rsidRPr="00BE0936" w:rsidTr="001574B0">
        <w:trPr>
          <w:trHeight w:val="288"/>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r>
              <w:rPr>
                <w:rFonts w:ascii="Arial" w:hAnsi="Arial" w:cs="Arial"/>
                <w:szCs w:val="24"/>
              </w:rPr>
              <w:t>Rate</w:t>
            </w:r>
            <w:r w:rsidR="006A66FE">
              <w:rPr>
                <w:rFonts w:ascii="Arial" w:hAnsi="Arial" w:cs="Arial"/>
                <w:szCs w:val="24"/>
              </w:rPr>
              <w:t>s</w:t>
            </w:r>
            <w:r>
              <w:rPr>
                <w:rFonts w:ascii="Arial" w:hAnsi="Arial" w:cs="Arial"/>
                <w:szCs w:val="24"/>
              </w:rPr>
              <w:t xml:space="preserve"> PD, HT, EP</w:t>
            </w: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880253" w:rsidP="00205553">
            <w:pPr>
              <w:jc w:val="center"/>
              <w:rPr>
                <w:rFonts w:ascii="Arial" w:hAnsi="Arial" w:cs="Arial"/>
                <w:szCs w:val="24"/>
              </w:rPr>
            </w:pPr>
            <w:r>
              <w:rPr>
                <w:rFonts w:ascii="Arial" w:hAnsi="Arial" w:cs="Arial"/>
                <w:szCs w:val="24"/>
              </w:rPr>
              <w:t xml:space="preserve">    </w:t>
            </w:r>
            <w:r w:rsidR="00245DB5">
              <w:rPr>
                <w:rFonts w:ascii="Arial" w:hAnsi="Arial" w:cs="Arial"/>
                <w:szCs w:val="24"/>
              </w:rPr>
              <w:t xml:space="preserve"> </w:t>
            </w:r>
            <w:r>
              <w:rPr>
                <w:rFonts w:ascii="Arial" w:hAnsi="Arial" w:cs="Arial"/>
                <w:szCs w:val="24"/>
              </w:rPr>
              <w:t xml:space="preserve">    </w:t>
            </w:r>
            <w:r w:rsidR="00205553">
              <w:rPr>
                <w:rFonts w:ascii="Arial" w:hAnsi="Arial" w:cs="Arial"/>
                <w:szCs w:val="24"/>
              </w:rPr>
              <w:t>4</w:t>
            </w:r>
            <w:r w:rsidR="000F0B3C" w:rsidRPr="00B03D93">
              <w:rPr>
                <w:rFonts w:ascii="Arial" w:hAnsi="Arial" w:cs="Arial"/>
                <w:szCs w:val="24"/>
              </w:rPr>
              <w:t>,</w:t>
            </w:r>
            <w:r w:rsidR="00205553">
              <w:rPr>
                <w:rFonts w:ascii="Arial" w:hAnsi="Arial" w:cs="Arial"/>
                <w:szCs w:val="24"/>
              </w:rPr>
              <w:t>374</w:t>
            </w:r>
            <w:r w:rsidR="000F0B3C" w:rsidRPr="00B03D93">
              <w:rPr>
                <w:rFonts w:ascii="Arial" w:hAnsi="Arial" w:cs="Arial"/>
                <w:szCs w:val="24"/>
              </w:rPr>
              <w:t>,</w:t>
            </w:r>
            <w:r w:rsidR="00205553">
              <w:rPr>
                <w:rFonts w:ascii="Arial" w:hAnsi="Arial" w:cs="Arial"/>
                <w:szCs w:val="24"/>
              </w:rPr>
              <w:t>781</w:t>
            </w: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1C4463" w:rsidP="00205553">
            <w:pPr>
              <w:ind w:right="-261"/>
              <w:rPr>
                <w:rFonts w:ascii="Arial" w:hAnsi="Arial" w:cs="Arial"/>
                <w:szCs w:val="24"/>
              </w:rPr>
            </w:pPr>
            <w:r>
              <w:rPr>
                <w:rFonts w:ascii="Arial" w:hAnsi="Arial" w:cs="Arial"/>
                <w:szCs w:val="24"/>
              </w:rPr>
              <w:t xml:space="preserve">         </w:t>
            </w:r>
            <w:r w:rsidR="00205553">
              <w:rPr>
                <w:rFonts w:ascii="Arial" w:hAnsi="Arial" w:cs="Arial"/>
                <w:szCs w:val="24"/>
              </w:rPr>
              <w:t>3</w:t>
            </w:r>
            <w:r w:rsidR="000F0B3C" w:rsidRPr="005B125C">
              <w:rPr>
                <w:rFonts w:ascii="Arial" w:hAnsi="Arial" w:cs="Arial"/>
                <w:szCs w:val="24"/>
              </w:rPr>
              <w:t>,</w:t>
            </w:r>
            <w:r w:rsidR="00205553">
              <w:rPr>
                <w:rFonts w:ascii="Arial" w:hAnsi="Arial" w:cs="Arial"/>
                <w:szCs w:val="24"/>
              </w:rPr>
              <w:t>927</w:t>
            </w:r>
            <w:r w:rsidR="000F0B3C" w:rsidRPr="005B125C">
              <w:rPr>
                <w:rFonts w:ascii="Arial" w:hAnsi="Arial" w:cs="Arial"/>
                <w:szCs w:val="24"/>
              </w:rPr>
              <w:t>,</w:t>
            </w:r>
            <w:r w:rsidR="00205553">
              <w:rPr>
                <w:rFonts w:ascii="Arial" w:hAnsi="Arial" w:cs="Arial"/>
                <w:szCs w:val="24"/>
              </w:rPr>
              <w:t>401</w:t>
            </w:r>
          </w:p>
        </w:tc>
        <w:tc>
          <w:tcPr>
            <w:tcW w:w="261" w:type="dxa"/>
            <w:tcBorders>
              <w:top w:val="nil"/>
              <w:left w:val="nil"/>
              <w:bottom w:val="nil"/>
              <w:right w:val="nil"/>
            </w:tcBorders>
          </w:tcPr>
          <w:p w:rsidR="000F0B3C" w:rsidRPr="00BE0936" w:rsidRDefault="000F0B3C">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CD0C8C" w:rsidP="0014799E">
            <w:pPr>
              <w:ind w:right="148"/>
              <w:jc w:val="right"/>
              <w:rPr>
                <w:rFonts w:ascii="Arial" w:hAnsi="Arial" w:cs="Arial"/>
                <w:szCs w:val="24"/>
              </w:rPr>
            </w:pPr>
            <w:r>
              <w:rPr>
                <w:rFonts w:ascii="Arial" w:hAnsi="Arial" w:cs="Arial"/>
                <w:szCs w:val="24"/>
              </w:rPr>
              <w:t xml:space="preserve">              </w:t>
            </w:r>
            <w:r w:rsidR="00205553">
              <w:rPr>
                <w:rFonts w:ascii="Arial" w:hAnsi="Arial" w:cs="Arial"/>
                <w:szCs w:val="24"/>
              </w:rPr>
              <w:t>447</w:t>
            </w:r>
            <w:r w:rsidR="000F0B3C" w:rsidRPr="005B125C">
              <w:rPr>
                <w:rFonts w:ascii="Arial" w:hAnsi="Arial" w:cs="Arial"/>
                <w:szCs w:val="24"/>
              </w:rPr>
              <w:t>,</w:t>
            </w:r>
            <w:r w:rsidR="00205553">
              <w:rPr>
                <w:rFonts w:ascii="Arial" w:hAnsi="Arial" w:cs="Arial"/>
                <w:szCs w:val="24"/>
              </w:rPr>
              <w:t>380</w:t>
            </w:r>
          </w:p>
        </w:tc>
      </w:tr>
      <w:tr w:rsidR="000F0B3C" w:rsidRPr="00BE0936" w:rsidTr="001574B0">
        <w:trPr>
          <w:trHeight w:val="144"/>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0F0B3C" w:rsidRPr="00BE0936" w:rsidRDefault="000F0B3C" w:rsidP="00880253">
            <w:pPr>
              <w:tabs>
                <w:tab w:val="decimal" w:pos="1569"/>
              </w:tabs>
              <w:jc w:val="center"/>
              <w:rPr>
                <w:rFonts w:ascii="Arial" w:hAnsi="Arial" w:cs="Arial"/>
                <w:szCs w:val="24"/>
              </w:rPr>
            </w:pP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BE0936" w:rsidRDefault="000F0B3C" w:rsidP="00B61414">
            <w:pPr>
              <w:tabs>
                <w:tab w:val="decimal" w:pos="1476"/>
              </w:tabs>
              <w:rPr>
                <w:rFonts w:ascii="Arial" w:hAnsi="Arial" w:cs="Arial"/>
                <w:szCs w:val="24"/>
              </w:rPr>
            </w:pPr>
          </w:p>
        </w:tc>
        <w:tc>
          <w:tcPr>
            <w:tcW w:w="261" w:type="dxa"/>
            <w:tcBorders>
              <w:top w:val="nil"/>
              <w:left w:val="nil"/>
              <w:bottom w:val="nil"/>
              <w:right w:val="nil"/>
            </w:tcBorders>
          </w:tcPr>
          <w:p w:rsidR="000F0B3C" w:rsidRPr="00BE0936" w:rsidRDefault="000F0B3C">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0F0B3C" w:rsidRPr="00BE0936" w:rsidRDefault="000F0B3C" w:rsidP="0014799E">
            <w:pPr>
              <w:ind w:right="58"/>
              <w:jc w:val="right"/>
              <w:rPr>
                <w:rFonts w:ascii="Arial" w:hAnsi="Arial" w:cs="Arial"/>
                <w:szCs w:val="24"/>
              </w:rPr>
            </w:pPr>
          </w:p>
        </w:tc>
      </w:tr>
      <w:tr w:rsidR="000F0B3C" w:rsidRPr="00BE0936" w:rsidTr="0014799E">
        <w:trPr>
          <w:trHeight w:val="288"/>
          <w:jc w:val="center"/>
        </w:trPr>
        <w:tc>
          <w:tcPr>
            <w:tcW w:w="2718" w:type="dxa"/>
            <w:tcBorders>
              <w:top w:val="nil"/>
              <w:left w:val="nil"/>
              <w:bottom w:val="nil"/>
              <w:right w:val="nil"/>
            </w:tcBorders>
            <w:shd w:val="clear" w:color="auto" w:fill="auto"/>
            <w:noWrap/>
            <w:vAlign w:val="bottom"/>
          </w:tcPr>
          <w:p w:rsidR="006A66FE" w:rsidRDefault="000F0B3C" w:rsidP="00B03D93">
            <w:pPr>
              <w:ind w:right="-270"/>
              <w:rPr>
                <w:rFonts w:ascii="Arial" w:hAnsi="Arial" w:cs="Arial"/>
                <w:szCs w:val="24"/>
              </w:rPr>
            </w:pPr>
            <w:r>
              <w:rPr>
                <w:rFonts w:ascii="Arial" w:hAnsi="Arial" w:cs="Arial"/>
                <w:szCs w:val="24"/>
              </w:rPr>
              <w:t>Rate</w:t>
            </w:r>
            <w:r w:rsidR="006A66FE">
              <w:rPr>
                <w:rFonts w:ascii="Arial" w:hAnsi="Arial" w:cs="Arial"/>
                <w:szCs w:val="24"/>
              </w:rPr>
              <w:t>s</w:t>
            </w:r>
            <w:r>
              <w:rPr>
                <w:rFonts w:ascii="Arial" w:hAnsi="Arial" w:cs="Arial"/>
                <w:szCs w:val="24"/>
              </w:rPr>
              <w:t xml:space="preserve"> SLE, SLS,POL, </w:t>
            </w:r>
          </w:p>
          <w:p w:rsidR="000F0B3C" w:rsidRPr="00BE0936" w:rsidRDefault="000F0B3C" w:rsidP="00B03D93">
            <w:pPr>
              <w:ind w:right="-270"/>
              <w:rPr>
                <w:rFonts w:ascii="Arial" w:hAnsi="Arial" w:cs="Arial"/>
                <w:szCs w:val="24"/>
              </w:rPr>
            </w:pPr>
            <w:r>
              <w:rPr>
                <w:rFonts w:ascii="Arial" w:hAnsi="Arial" w:cs="Arial"/>
                <w:szCs w:val="24"/>
              </w:rPr>
              <w:t>AL, TLCL</w:t>
            </w: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right w:val="nil"/>
            </w:tcBorders>
            <w:shd w:val="clear" w:color="auto" w:fill="auto"/>
            <w:noWrap/>
            <w:vAlign w:val="bottom"/>
          </w:tcPr>
          <w:p w:rsidR="000F0B3C" w:rsidRPr="00F6068B" w:rsidRDefault="00880253" w:rsidP="00205553">
            <w:pPr>
              <w:jc w:val="center"/>
              <w:rPr>
                <w:rFonts w:ascii="Arial" w:hAnsi="Arial" w:cs="Arial"/>
                <w:szCs w:val="24"/>
                <w:u w:val="single"/>
              </w:rPr>
            </w:pPr>
            <w:r w:rsidRPr="00F6068B">
              <w:rPr>
                <w:rFonts w:ascii="Arial" w:hAnsi="Arial" w:cs="Arial"/>
                <w:szCs w:val="24"/>
              </w:rPr>
              <w:t xml:space="preserve">  </w:t>
            </w:r>
            <w:r w:rsidR="00205553">
              <w:rPr>
                <w:rFonts w:ascii="Arial" w:hAnsi="Arial" w:cs="Arial"/>
                <w:szCs w:val="24"/>
                <w:u w:val="single"/>
              </w:rPr>
              <w:t xml:space="preserve">            28,998</w:t>
            </w:r>
          </w:p>
        </w:tc>
        <w:tc>
          <w:tcPr>
            <w:tcW w:w="270" w:type="dxa"/>
            <w:tcBorders>
              <w:top w:val="nil"/>
              <w:left w:val="nil"/>
              <w:bottom w:val="nil"/>
              <w:right w:val="nil"/>
            </w:tcBorders>
          </w:tcPr>
          <w:p w:rsidR="000F0B3C" w:rsidRPr="00BE0936" w:rsidRDefault="000F0B3C">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0F0B3C" w:rsidRPr="00F6068B" w:rsidRDefault="001C4463" w:rsidP="0014799E">
            <w:pPr>
              <w:ind w:right="-351"/>
              <w:rPr>
                <w:rFonts w:ascii="Arial" w:hAnsi="Arial" w:cs="Arial"/>
                <w:szCs w:val="24"/>
                <w:u w:val="single"/>
              </w:rPr>
            </w:pPr>
            <w:r w:rsidRPr="00F6068B">
              <w:rPr>
                <w:rFonts w:ascii="Arial" w:hAnsi="Arial" w:cs="Arial"/>
                <w:szCs w:val="24"/>
              </w:rPr>
              <w:t xml:space="preserve"> </w:t>
            </w:r>
            <w:r w:rsidRPr="00F6068B">
              <w:rPr>
                <w:rFonts w:ascii="Arial" w:hAnsi="Arial" w:cs="Arial"/>
                <w:szCs w:val="24"/>
                <w:u w:val="single"/>
              </w:rPr>
              <w:t xml:space="preserve">     </w:t>
            </w:r>
            <w:r w:rsidR="0014799E">
              <w:rPr>
                <w:rFonts w:ascii="Arial" w:hAnsi="Arial" w:cs="Arial"/>
                <w:szCs w:val="24"/>
                <w:u w:val="single"/>
              </w:rPr>
              <w:t xml:space="preserve">  </w:t>
            </w:r>
            <w:r w:rsidRPr="00F6068B">
              <w:rPr>
                <w:rFonts w:ascii="Arial" w:hAnsi="Arial" w:cs="Arial"/>
                <w:szCs w:val="24"/>
                <w:u w:val="single"/>
              </w:rPr>
              <w:t xml:space="preserve">     </w:t>
            </w:r>
            <w:r w:rsidR="000F0B3C" w:rsidRPr="00F6068B">
              <w:rPr>
                <w:rFonts w:ascii="Arial" w:hAnsi="Arial" w:cs="Arial"/>
                <w:szCs w:val="24"/>
                <w:u w:val="single"/>
              </w:rPr>
              <w:t>3</w:t>
            </w:r>
            <w:r w:rsidR="00205553">
              <w:rPr>
                <w:rFonts w:ascii="Arial" w:hAnsi="Arial" w:cs="Arial"/>
                <w:szCs w:val="24"/>
                <w:u w:val="single"/>
              </w:rPr>
              <w:t>3</w:t>
            </w:r>
            <w:r w:rsidR="000F0B3C" w:rsidRPr="00F6068B">
              <w:rPr>
                <w:rFonts w:ascii="Arial" w:hAnsi="Arial" w:cs="Arial"/>
                <w:szCs w:val="24"/>
                <w:u w:val="single"/>
              </w:rPr>
              <w:t>,</w:t>
            </w:r>
            <w:r w:rsidR="00205553">
              <w:rPr>
                <w:rFonts w:ascii="Arial" w:hAnsi="Arial" w:cs="Arial"/>
                <w:szCs w:val="24"/>
                <w:u w:val="single"/>
              </w:rPr>
              <w:t>271</w:t>
            </w:r>
          </w:p>
        </w:tc>
        <w:tc>
          <w:tcPr>
            <w:tcW w:w="261" w:type="dxa"/>
            <w:tcBorders>
              <w:top w:val="nil"/>
              <w:left w:val="nil"/>
              <w:bottom w:val="nil"/>
              <w:right w:val="nil"/>
            </w:tcBorders>
          </w:tcPr>
          <w:p w:rsidR="000F0B3C" w:rsidRPr="0014799E" w:rsidRDefault="000F0B3C">
            <w:pPr>
              <w:jc w:val="right"/>
              <w:rPr>
                <w:rFonts w:ascii="Arial" w:hAnsi="Arial" w:cs="Arial"/>
                <w:szCs w:val="24"/>
                <w:u w:val="single"/>
              </w:rPr>
            </w:pPr>
          </w:p>
        </w:tc>
        <w:tc>
          <w:tcPr>
            <w:tcW w:w="2142" w:type="dxa"/>
            <w:tcBorders>
              <w:top w:val="nil"/>
              <w:left w:val="nil"/>
              <w:bottom w:val="nil"/>
              <w:right w:val="nil"/>
            </w:tcBorders>
            <w:shd w:val="clear" w:color="auto" w:fill="auto"/>
            <w:noWrap/>
            <w:vAlign w:val="bottom"/>
          </w:tcPr>
          <w:p w:rsidR="000F0B3C" w:rsidRPr="0014799E" w:rsidRDefault="0014799E" w:rsidP="0014799E">
            <w:pPr>
              <w:ind w:left="428" w:right="58" w:hanging="270"/>
              <w:jc w:val="both"/>
              <w:rPr>
                <w:rFonts w:ascii="Arial" w:hAnsi="Arial" w:cs="Arial"/>
                <w:szCs w:val="24"/>
                <w:u w:val="single"/>
              </w:rPr>
            </w:pPr>
            <w:r w:rsidRPr="0014799E">
              <w:rPr>
                <w:rFonts w:ascii="Arial" w:hAnsi="Arial" w:cs="Arial"/>
                <w:szCs w:val="24"/>
              </w:rPr>
              <w:t xml:space="preserve">  </w:t>
            </w:r>
            <w:r>
              <w:rPr>
                <w:rFonts w:ascii="Arial" w:hAnsi="Arial" w:cs="Arial"/>
                <w:szCs w:val="24"/>
                <w:u w:val="single"/>
              </w:rPr>
              <w:t xml:space="preserve">            (4,272)</w:t>
            </w:r>
          </w:p>
        </w:tc>
      </w:tr>
      <w:tr w:rsidR="000F0B3C" w:rsidRPr="00BE0936" w:rsidTr="001574B0">
        <w:trPr>
          <w:trHeight w:val="144"/>
          <w:jc w:val="center"/>
        </w:trPr>
        <w:tc>
          <w:tcPr>
            <w:tcW w:w="2718" w:type="dxa"/>
            <w:tcBorders>
              <w:top w:val="nil"/>
              <w:left w:val="nil"/>
              <w:bottom w:val="nil"/>
              <w:right w:val="nil"/>
            </w:tcBorders>
            <w:shd w:val="clear" w:color="auto" w:fill="auto"/>
            <w:noWrap/>
            <w:vAlign w:val="bottom"/>
          </w:tcPr>
          <w:p w:rsidR="000F0B3C" w:rsidRPr="00BE0936" w:rsidRDefault="000F0B3C" w:rsidP="00E75F1F">
            <w:pPr>
              <w:rPr>
                <w:rFonts w:ascii="Arial" w:hAnsi="Arial" w:cs="Arial"/>
                <w:szCs w:val="24"/>
              </w:rPr>
            </w:pPr>
          </w:p>
        </w:tc>
        <w:tc>
          <w:tcPr>
            <w:tcW w:w="236" w:type="dxa"/>
            <w:tcBorders>
              <w:top w:val="nil"/>
              <w:left w:val="nil"/>
              <w:bottom w:val="nil"/>
              <w:right w:val="nil"/>
            </w:tcBorders>
          </w:tcPr>
          <w:p w:rsidR="000F0B3C" w:rsidRPr="00BE0936" w:rsidRDefault="000F0B3C">
            <w:pPr>
              <w:jc w:val="right"/>
              <w:rPr>
                <w:rFonts w:ascii="Arial" w:hAnsi="Arial" w:cs="Arial"/>
                <w:szCs w:val="24"/>
              </w:rPr>
            </w:pPr>
          </w:p>
        </w:tc>
        <w:tc>
          <w:tcPr>
            <w:tcW w:w="2077" w:type="dxa"/>
            <w:tcBorders>
              <w:top w:val="nil"/>
              <w:left w:val="nil"/>
              <w:right w:val="nil"/>
            </w:tcBorders>
            <w:shd w:val="clear" w:color="auto" w:fill="auto"/>
            <w:noWrap/>
            <w:vAlign w:val="bottom"/>
          </w:tcPr>
          <w:p w:rsidR="000F0B3C" w:rsidRPr="00BE0936" w:rsidRDefault="000F0B3C" w:rsidP="000E76F1">
            <w:pPr>
              <w:tabs>
                <w:tab w:val="decimal" w:pos="1569"/>
              </w:tabs>
              <w:rPr>
                <w:rFonts w:ascii="Arial" w:hAnsi="Arial" w:cs="Arial"/>
                <w:szCs w:val="24"/>
              </w:rPr>
            </w:pPr>
          </w:p>
        </w:tc>
        <w:tc>
          <w:tcPr>
            <w:tcW w:w="270" w:type="dxa"/>
            <w:tcBorders>
              <w:top w:val="nil"/>
              <w:left w:val="nil"/>
              <w:right w:val="nil"/>
            </w:tcBorders>
          </w:tcPr>
          <w:p w:rsidR="000F0B3C" w:rsidRPr="00BE0936" w:rsidRDefault="000F0B3C">
            <w:pPr>
              <w:jc w:val="right"/>
              <w:rPr>
                <w:rFonts w:ascii="Arial" w:hAnsi="Arial" w:cs="Arial"/>
                <w:szCs w:val="24"/>
              </w:rPr>
            </w:pPr>
          </w:p>
        </w:tc>
        <w:tc>
          <w:tcPr>
            <w:tcW w:w="1809" w:type="dxa"/>
            <w:tcBorders>
              <w:top w:val="nil"/>
              <w:left w:val="nil"/>
              <w:right w:val="nil"/>
            </w:tcBorders>
            <w:shd w:val="clear" w:color="auto" w:fill="auto"/>
            <w:noWrap/>
            <w:vAlign w:val="bottom"/>
          </w:tcPr>
          <w:p w:rsidR="000F0B3C" w:rsidRPr="00BE0936" w:rsidRDefault="000F0B3C" w:rsidP="00B61414">
            <w:pPr>
              <w:tabs>
                <w:tab w:val="decimal" w:pos="1476"/>
              </w:tabs>
              <w:rPr>
                <w:rFonts w:ascii="Arial" w:hAnsi="Arial" w:cs="Arial"/>
                <w:szCs w:val="24"/>
              </w:rPr>
            </w:pPr>
          </w:p>
        </w:tc>
        <w:tc>
          <w:tcPr>
            <w:tcW w:w="261" w:type="dxa"/>
            <w:tcBorders>
              <w:top w:val="nil"/>
              <w:left w:val="nil"/>
              <w:right w:val="nil"/>
            </w:tcBorders>
          </w:tcPr>
          <w:p w:rsidR="000F0B3C" w:rsidRPr="00BE0936" w:rsidRDefault="000F0B3C">
            <w:pPr>
              <w:jc w:val="right"/>
              <w:rPr>
                <w:rFonts w:ascii="Arial" w:hAnsi="Arial" w:cs="Arial"/>
                <w:szCs w:val="24"/>
              </w:rPr>
            </w:pPr>
          </w:p>
        </w:tc>
        <w:tc>
          <w:tcPr>
            <w:tcW w:w="2142" w:type="dxa"/>
            <w:tcBorders>
              <w:top w:val="nil"/>
              <w:left w:val="nil"/>
              <w:right w:val="nil"/>
            </w:tcBorders>
            <w:shd w:val="clear" w:color="auto" w:fill="auto"/>
            <w:noWrap/>
            <w:vAlign w:val="bottom"/>
          </w:tcPr>
          <w:p w:rsidR="000F0B3C" w:rsidRPr="00BE0936" w:rsidRDefault="000F0B3C" w:rsidP="0014799E">
            <w:pPr>
              <w:ind w:right="58"/>
              <w:jc w:val="right"/>
              <w:rPr>
                <w:rFonts w:ascii="Arial" w:hAnsi="Arial" w:cs="Arial"/>
                <w:szCs w:val="24"/>
              </w:rPr>
            </w:pPr>
          </w:p>
        </w:tc>
      </w:tr>
      <w:tr w:rsidR="000F0B3C" w:rsidRPr="00BE0936" w:rsidTr="001574B0">
        <w:trPr>
          <w:trHeight w:val="288"/>
          <w:jc w:val="center"/>
        </w:trPr>
        <w:tc>
          <w:tcPr>
            <w:tcW w:w="2718" w:type="dxa"/>
            <w:tcBorders>
              <w:top w:val="nil"/>
              <w:left w:val="nil"/>
              <w:bottom w:val="nil"/>
              <w:right w:val="nil"/>
            </w:tcBorders>
            <w:shd w:val="clear" w:color="auto" w:fill="auto"/>
            <w:vAlign w:val="bottom"/>
          </w:tcPr>
          <w:p w:rsidR="000F0B3C" w:rsidRPr="00BE0936" w:rsidRDefault="006A66FE">
            <w:pPr>
              <w:rPr>
                <w:rFonts w:ascii="Arial" w:hAnsi="Arial" w:cs="Arial"/>
                <w:szCs w:val="24"/>
              </w:rPr>
            </w:pPr>
            <w:r>
              <w:rPr>
                <w:rFonts w:ascii="Arial" w:hAnsi="Arial" w:cs="Arial"/>
                <w:szCs w:val="24"/>
              </w:rPr>
              <w:t xml:space="preserve">     </w:t>
            </w:r>
            <w:r w:rsidR="000F0B3C" w:rsidRPr="00BE0936">
              <w:rPr>
                <w:rFonts w:ascii="Arial" w:hAnsi="Arial" w:cs="Arial"/>
                <w:szCs w:val="24"/>
              </w:rPr>
              <w:t>Totals</w:t>
            </w:r>
          </w:p>
        </w:tc>
        <w:tc>
          <w:tcPr>
            <w:tcW w:w="236" w:type="dxa"/>
            <w:tcBorders>
              <w:top w:val="nil"/>
              <w:left w:val="nil"/>
              <w:bottom w:val="nil"/>
              <w:right w:val="nil"/>
            </w:tcBorders>
          </w:tcPr>
          <w:p w:rsidR="000F0B3C" w:rsidRPr="00BE0936" w:rsidRDefault="000F0B3C">
            <w:pPr>
              <w:jc w:val="right"/>
              <w:rPr>
                <w:rFonts w:ascii="Arial" w:hAnsi="Arial" w:cs="Arial"/>
                <w:szCs w:val="24"/>
                <w:u w:val="double"/>
              </w:rPr>
            </w:pPr>
          </w:p>
        </w:tc>
        <w:tc>
          <w:tcPr>
            <w:tcW w:w="2077" w:type="dxa"/>
            <w:tcBorders>
              <w:left w:val="nil"/>
              <w:right w:val="nil"/>
            </w:tcBorders>
            <w:shd w:val="clear" w:color="auto" w:fill="auto"/>
            <w:noWrap/>
            <w:vAlign w:val="bottom"/>
          </w:tcPr>
          <w:p w:rsidR="000F0B3C" w:rsidRPr="001C4463" w:rsidRDefault="001C4463" w:rsidP="0014799E">
            <w:pPr>
              <w:tabs>
                <w:tab w:val="decimal" w:pos="1569"/>
              </w:tabs>
              <w:jc w:val="center"/>
              <w:rPr>
                <w:rFonts w:ascii="Arial" w:hAnsi="Arial" w:cs="Arial"/>
                <w:szCs w:val="24"/>
                <w:u w:val="double"/>
              </w:rPr>
            </w:pPr>
            <w:r>
              <w:rPr>
                <w:rFonts w:ascii="Arial" w:hAnsi="Arial" w:cs="Arial"/>
                <w:szCs w:val="24"/>
              </w:rPr>
              <w:t xml:space="preserve"> </w:t>
            </w:r>
            <w:r w:rsidR="000F0B3C" w:rsidRPr="001C4463">
              <w:rPr>
                <w:rFonts w:ascii="Arial" w:hAnsi="Arial" w:cs="Arial"/>
                <w:szCs w:val="24"/>
                <w:u w:val="double"/>
              </w:rPr>
              <w:t xml:space="preserve">$ </w:t>
            </w:r>
            <w:r w:rsidR="00880253" w:rsidRPr="001C4463">
              <w:rPr>
                <w:rFonts w:ascii="Arial" w:hAnsi="Arial" w:cs="Arial"/>
                <w:szCs w:val="24"/>
                <w:u w:val="double"/>
              </w:rPr>
              <w:t xml:space="preserve"> </w:t>
            </w:r>
            <w:r w:rsidR="00205553">
              <w:rPr>
                <w:rFonts w:ascii="Arial" w:hAnsi="Arial" w:cs="Arial"/>
                <w:szCs w:val="24"/>
                <w:u w:val="double"/>
              </w:rPr>
              <w:t>102,293</w:t>
            </w:r>
            <w:r w:rsidR="000F0B3C" w:rsidRPr="001C4463">
              <w:rPr>
                <w:rFonts w:ascii="Arial" w:hAnsi="Arial" w:cs="Arial"/>
                <w:szCs w:val="24"/>
                <w:u w:val="double"/>
              </w:rPr>
              <w:t>,</w:t>
            </w:r>
            <w:r w:rsidR="00205553">
              <w:rPr>
                <w:rFonts w:ascii="Arial" w:hAnsi="Arial" w:cs="Arial"/>
                <w:szCs w:val="24"/>
                <w:u w:val="double"/>
              </w:rPr>
              <w:t>981</w:t>
            </w:r>
          </w:p>
        </w:tc>
        <w:tc>
          <w:tcPr>
            <w:tcW w:w="270" w:type="dxa"/>
            <w:tcBorders>
              <w:top w:val="nil"/>
              <w:left w:val="nil"/>
              <w:right w:val="nil"/>
            </w:tcBorders>
          </w:tcPr>
          <w:p w:rsidR="000F0B3C" w:rsidRPr="00BE0936" w:rsidRDefault="000F0B3C">
            <w:pPr>
              <w:jc w:val="right"/>
              <w:rPr>
                <w:rFonts w:ascii="Arial" w:hAnsi="Arial" w:cs="Arial"/>
                <w:szCs w:val="24"/>
              </w:rPr>
            </w:pPr>
          </w:p>
        </w:tc>
        <w:tc>
          <w:tcPr>
            <w:tcW w:w="1809" w:type="dxa"/>
            <w:tcBorders>
              <w:left w:val="nil"/>
              <w:right w:val="nil"/>
            </w:tcBorders>
            <w:shd w:val="clear" w:color="auto" w:fill="auto"/>
            <w:noWrap/>
            <w:vAlign w:val="bottom"/>
          </w:tcPr>
          <w:p w:rsidR="000F0B3C" w:rsidRPr="001C4463" w:rsidRDefault="00F6068B" w:rsidP="0014799E">
            <w:pPr>
              <w:ind w:right="-261"/>
              <w:rPr>
                <w:rFonts w:ascii="Arial" w:hAnsi="Arial" w:cs="Arial"/>
                <w:szCs w:val="24"/>
                <w:u w:val="double"/>
              </w:rPr>
            </w:pPr>
            <w:r w:rsidRPr="00F6068B">
              <w:rPr>
                <w:rFonts w:ascii="Arial" w:hAnsi="Arial" w:cs="Arial"/>
                <w:szCs w:val="24"/>
              </w:rPr>
              <w:t xml:space="preserve"> </w:t>
            </w:r>
            <w:r w:rsidR="000F0B3C" w:rsidRPr="001C4463">
              <w:rPr>
                <w:rFonts w:ascii="Arial" w:hAnsi="Arial" w:cs="Arial"/>
                <w:szCs w:val="24"/>
                <w:u w:val="double"/>
              </w:rPr>
              <w:t xml:space="preserve">$ </w:t>
            </w:r>
            <w:r w:rsidR="001C4463">
              <w:rPr>
                <w:rFonts w:ascii="Arial" w:hAnsi="Arial" w:cs="Arial"/>
                <w:szCs w:val="24"/>
                <w:u w:val="double"/>
              </w:rPr>
              <w:t xml:space="preserve">  </w:t>
            </w:r>
            <w:r w:rsidR="000F0B3C" w:rsidRPr="001C4463">
              <w:rPr>
                <w:rFonts w:ascii="Arial" w:hAnsi="Arial" w:cs="Arial"/>
                <w:szCs w:val="24"/>
                <w:u w:val="double"/>
              </w:rPr>
              <w:t>9</w:t>
            </w:r>
            <w:r w:rsidR="00205553">
              <w:rPr>
                <w:rFonts w:ascii="Arial" w:hAnsi="Arial" w:cs="Arial"/>
                <w:szCs w:val="24"/>
                <w:u w:val="double"/>
              </w:rPr>
              <w:t>8</w:t>
            </w:r>
            <w:r w:rsidR="000F0B3C" w:rsidRPr="001C4463">
              <w:rPr>
                <w:rFonts w:ascii="Arial" w:hAnsi="Arial" w:cs="Arial"/>
                <w:szCs w:val="24"/>
                <w:u w:val="double"/>
              </w:rPr>
              <w:t>,</w:t>
            </w:r>
            <w:r w:rsidR="00205553">
              <w:rPr>
                <w:rFonts w:ascii="Arial" w:hAnsi="Arial" w:cs="Arial"/>
                <w:szCs w:val="24"/>
                <w:u w:val="double"/>
              </w:rPr>
              <w:t>157</w:t>
            </w:r>
            <w:r w:rsidR="000F0B3C" w:rsidRPr="001C4463">
              <w:rPr>
                <w:rFonts w:ascii="Arial" w:hAnsi="Arial" w:cs="Arial"/>
                <w:szCs w:val="24"/>
                <w:u w:val="double"/>
              </w:rPr>
              <w:t>,</w:t>
            </w:r>
            <w:r w:rsidR="00205553">
              <w:rPr>
                <w:rFonts w:ascii="Arial" w:hAnsi="Arial" w:cs="Arial"/>
                <w:szCs w:val="24"/>
                <w:u w:val="double"/>
              </w:rPr>
              <w:t>494</w:t>
            </w:r>
            <w:r w:rsidR="000F0B3C" w:rsidRPr="001C4463">
              <w:rPr>
                <w:rFonts w:ascii="Arial" w:hAnsi="Arial" w:cs="Arial"/>
                <w:szCs w:val="24"/>
                <w:u w:val="double"/>
              </w:rPr>
              <w:t xml:space="preserve"> </w:t>
            </w:r>
          </w:p>
        </w:tc>
        <w:tc>
          <w:tcPr>
            <w:tcW w:w="261" w:type="dxa"/>
            <w:tcBorders>
              <w:top w:val="nil"/>
              <w:left w:val="nil"/>
              <w:right w:val="nil"/>
            </w:tcBorders>
          </w:tcPr>
          <w:p w:rsidR="000F0B3C" w:rsidRPr="00BE0936" w:rsidRDefault="000F0B3C">
            <w:pPr>
              <w:jc w:val="right"/>
              <w:rPr>
                <w:rFonts w:ascii="Arial" w:hAnsi="Arial" w:cs="Arial"/>
                <w:szCs w:val="24"/>
              </w:rPr>
            </w:pPr>
          </w:p>
        </w:tc>
        <w:tc>
          <w:tcPr>
            <w:tcW w:w="2142" w:type="dxa"/>
            <w:tcBorders>
              <w:left w:val="nil"/>
              <w:right w:val="nil"/>
            </w:tcBorders>
            <w:shd w:val="clear" w:color="auto" w:fill="auto"/>
            <w:noWrap/>
            <w:vAlign w:val="bottom"/>
          </w:tcPr>
          <w:p w:rsidR="000F0B3C" w:rsidRPr="00CD0C8C" w:rsidRDefault="00CD0C8C" w:rsidP="0014799E">
            <w:pPr>
              <w:ind w:right="148"/>
              <w:jc w:val="right"/>
              <w:rPr>
                <w:rFonts w:ascii="Arial" w:hAnsi="Arial" w:cs="Arial"/>
                <w:szCs w:val="24"/>
                <w:u w:val="double"/>
              </w:rPr>
            </w:pPr>
            <w:r>
              <w:rPr>
                <w:rFonts w:ascii="Arial" w:hAnsi="Arial" w:cs="Arial"/>
                <w:szCs w:val="24"/>
              </w:rPr>
              <w:t xml:space="preserve">    </w:t>
            </w:r>
            <w:r w:rsidR="000F0B3C" w:rsidRPr="00CD0C8C">
              <w:rPr>
                <w:rFonts w:ascii="Arial" w:hAnsi="Arial" w:cs="Arial"/>
                <w:szCs w:val="24"/>
                <w:u w:val="double"/>
              </w:rPr>
              <w:t>$</w:t>
            </w:r>
            <w:r w:rsidRPr="00CD0C8C">
              <w:rPr>
                <w:rFonts w:ascii="Arial" w:hAnsi="Arial" w:cs="Arial"/>
                <w:szCs w:val="24"/>
                <w:u w:val="double"/>
              </w:rPr>
              <w:t xml:space="preserve">  </w:t>
            </w:r>
            <w:r w:rsidR="00205553">
              <w:rPr>
                <w:rFonts w:ascii="Arial" w:hAnsi="Arial" w:cs="Arial"/>
                <w:szCs w:val="24"/>
                <w:u w:val="double"/>
              </w:rPr>
              <w:t xml:space="preserve">  4</w:t>
            </w:r>
            <w:r w:rsidR="000F0B3C" w:rsidRPr="00CD0C8C">
              <w:rPr>
                <w:rFonts w:ascii="Arial" w:hAnsi="Arial" w:cs="Arial"/>
                <w:szCs w:val="24"/>
                <w:u w:val="double"/>
              </w:rPr>
              <w:t>,</w:t>
            </w:r>
            <w:r w:rsidR="00205553">
              <w:rPr>
                <w:rFonts w:ascii="Arial" w:hAnsi="Arial" w:cs="Arial"/>
                <w:szCs w:val="24"/>
                <w:u w:val="double"/>
              </w:rPr>
              <w:t>136</w:t>
            </w:r>
            <w:r w:rsidR="000F0B3C" w:rsidRPr="00CD0C8C">
              <w:rPr>
                <w:rFonts w:ascii="Arial" w:hAnsi="Arial" w:cs="Arial"/>
                <w:szCs w:val="24"/>
                <w:u w:val="double"/>
              </w:rPr>
              <w:t>,</w:t>
            </w:r>
            <w:r w:rsidR="00205553">
              <w:rPr>
                <w:rFonts w:ascii="Arial" w:hAnsi="Arial" w:cs="Arial"/>
                <w:szCs w:val="24"/>
                <w:u w:val="double"/>
              </w:rPr>
              <w:t>486</w:t>
            </w:r>
            <w:r w:rsidR="0014799E">
              <w:rPr>
                <w:rFonts w:ascii="Arial" w:hAnsi="Arial" w:cs="Arial"/>
                <w:szCs w:val="24"/>
                <w:u w:val="double"/>
              </w:rPr>
              <w:t xml:space="preserve"> </w:t>
            </w:r>
          </w:p>
        </w:tc>
      </w:tr>
      <w:tr w:rsidR="000F0B3C" w:rsidRPr="00BE0936" w:rsidTr="001574B0">
        <w:trPr>
          <w:trHeight w:val="288"/>
          <w:jc w:val="center"/>
        </w:trPr>
        <w:tc>
          <w:tcPr>
            <w:tcW w:w="2718" w:type="dxa"/>
            <w:tcBorders>
              <w:top w:val="nil"/>
              <w:left w:val="nil"/>
              <w:bottom w:val="nil"/>
              <w:right w:val="nil"/>
            </w:tcBorders>
            <w:shd w:val="clear" w:color="auto" w:fill="auto"/>
            <w:noWrap/>
            <w:vAlign w:val="bottom"/>
          </w:tcPr>
          <w:p w:rsidR="000F0B3C" w:rsidRPr="00BE0936" w:rsidRDefault="000F0B3C">
            <w:pPr>
              <w:rPr>
                <w:rFonts w:ascii="Arial" w:hAnsi="Arial" w:cs="Arial"/>
                <w:szCs w:val="24"/>
              </w:rPr>
            </w:pPr>
          </w:p>
        </w:tc>
        <w:tc>
          <w:tcPr>
            <w:tcW w:w="236" w:type="dxa"/>
            <w:tcBorders>
              <w:top w:val="nil"/>
              <w:left w:val="nil"/>
              <w:bottom w:val="nil"/>
              <w:right w:val="nil"/>
            </w:tcBorders>
          </w:tcPr>
          <w:p w:rsidR="000F0B3C" w:rsidRPr="00BE0936" w:rsidRDefault="000F0B3C">
            <w:pPr>
              <w:rPr>
                <w:rFonts w:ascii="Arial" w:hAnsi="Arial" w:cs="Arial"/>
                <w:szCs w:val="24"/>
              </w:rPr>
            </w:pPr>
          </w:p>
        </w:tc>
        <w:tc>
          <w:tcPr>
            <w:tcW w:w="2077" w:type="dxa"/>
            <w:tcBorders>
              <w:left w:val="nil"/>
              <w:right w:val="nil"/>
            </w:tcBorders>
            <w:shd w:val="clear" w:color="auto" w:fill="auto"/>
            <w:noWrap/>
            <w:vAlign w:val="bottom"/>
          </w:tcPr>
          <w:p w:rsidR="000F0B3C" w:rsidRPr="00BE0936" w:rsidRDefault="000F0B3C">
            <w:pPr>
              <w:rPr>
                <w:rFonts w:ascii="Arial" w:hAnsi="Arial" w:cs="Arial"/>
                <w:szCs w:val="24"/>
              </w:rPr>
            </w:pPr>
          </w:p>
        </w:tc>
        <w:tc>
          <w:tcPr>
            <w:tcW w:w="270" w:type="dxa"/>
            <w:tcBorders>
              <w:left w:val="nil"/>
              <w:right w:val="nil"/>
            </w:tcBorders>
          </w:tcPr>
          <w:p w:rsidR="000F0B3C" w:rsidRPr="00BE0936" w:rsidRDefault="000F0B3C">
            <w:pPr>
              <w:jc w:val="center"/>
              <w:rPr>
                <w:rFonts w:ascii="Arial" w:hAnsi="Arial" w:cs="Arial"/>
                <w:bCs/>
                <w:szCs w:val="24"/>
              </w:rPr>
            </w:pPr>
          </w:p>
        </w:tc>
        <w:tc>
          <w:tcPr>
            <w:tcW w:w="1809" w:type="dxa"/>
            <w:tcBorders>
              <w:left w:val="nil"/>
              <w:right w:val="nil"/>
            </w:tcBorders>
            <w:shd w:val="clear" w:color="auto" w:fill="auto"/>
            <w:vAlign w:val="bottom"/>
          </w:tcPr>
          <w:p w:rsidR="000F0B3C" w:rsidRPr="00BE0936" w:rsidRDefault="000F0B3C">
            <w:pPr>
              <w:jc w:val="center"/>
              <w:rPr>
                <w:rFonts w:ascii="Arial" w:hAnsi="Arial" w:cs="Arial"/>
                <w:bCs/>
                <w:szCs w:val="24"/>
              </w:rPr>
            </w:pPr>
          </w:p>
        </w:tc>
        <w:tc>
          <w:tcPr>
            <w:tcW w:w="261" w:type="dxa"/>
            <w:tcBorders>
              <w:left w:val="nil"/>
              <w:right w:val="nil"/>
            </w:tcBorders>
          </w:tcPr>
          <w:p w:rsidR="000F0B3C" w:rsidRPr="00BE0936" w:rsidRDefault="000F0B3C">
            <w:pPr>
              <w:jc w:val="right"/>
              <w:rPr>
                <w:rFonts w:ascii="Arial" w:hAnsi="Arial" w:cs="Arial"/>
                <w:szCs w:val="24"/>
                <w:u w:val="single"/>
              </w:rPr>
            </w:pPr>
          </w:p>
        </w:tc>
        <w:tc>
          <w:tcPr>
            <w:tcW w:w="2142" w:type="dxa"/>
            <w:tcBorders>
              <w:left w:val="nil"/>
              <w:right w:val="nil"/>
            </w:tcBorders>
            <w:shd w:val="clear" w:color="auto" w:fill="auto"/>
            <w:noWrap/>
            <w:vAlign w:val="bottom"/>
          </w:tcPr>
          <w:p w:rsidR="000F0B3C" w:rsidRPr="00BE0936" w:rsidRDefault="000F0B3C" w:rsidP="00B61414">
            <w:pPr>
              <w:tabs>
                <w:tab w:val="decimal" w:pos="1431"/>
              </w:tabs>
              <w:rPr>
                <w:rFonts w:ascii="Arial" w:hAnsi="Arial" w:cs="Arial"/>
                <w:szCs w:val="24"/>
              </w:rPr>
            </w:pPr>
          </w:p>
        </w:tc>
      </w:tr>
    </w:tbl>
    <w:p w:rsidR="00DD1E89" w:rsidRPr="00BE0936" w:rsidRDefault="00DD1E89" w:rsidP="001B78F9">
      <w:pPr>
        <w:tabs>
          <w:tab w:val="center" w:pos="4680"/>
        </w:tabs>
        <w:suppressAutoHyphens/>
        <w:rPr>
          <w:rFonts w:ascii="Arial" w:hAnsi="Arial" w:cs="Arial"/>
          <w:szCs w:val="24"/>
        </w:rPr>
      </w:pPr>
    </w:p>
    <w:p w:rsidR="00EE601A" w:rsidRDefault="00EE601A" w:rsidP="001B78F9">
      <w:pPr>
        <w:tabs>
          <w:tab w:val="center" w:pos="4680"/>
        </w:tabs>
        <w:suppressAutoHyphens/>
        <w:rPr>
          <w:rFonts w:ascii="Arial" w:hAnsi="Arial" w:cs="Arial"/>
          <w:szCs w:val="24"/>
        </w:rPr>
      </w:pPr>
    </w:p>
    <w:p w:rsidR="00710127" w:rsidRDefault="00710127" w:rsidP="001B78F9">
      <w:pPr>
        <w:tabs>
          <w:tab w:val="center" w:pos="4680"/>
        </w:tabs>
        <w:suppressAutoHyphens/>
        <w:rPr>
          <w:rFonts w:ascii="Arial" w:hAnsi="Arial" w:cs="Arial"/>
          <w:szCs w:val="24"/>
        </w:rPr>
      </w:pPr>
    </w:p>
    <w:p w:rsidR="00230938" w:rsidRDefault="00230938" w:rsidP="003439CD">
      <w:pPr>
        <w:tabs>
          <w:tab w:val="left" w:pos="270"/>
        </w:tabs>
        <w:suppressAutoHyphens/>
        <w:ind w:left="270" w:hanging="270"/>
        <w:rPr>
          <w:rFonts w:ascii="Arial" w:hAnsi="Arial" w:cs="Arial"/>
          <w:szCs w:val="24"/>
        </w:rPr>
      </w:pPr>
      <w:r w:rsidRPr="00936DE2">
        <w:rPr>
          <w:rFonts w:ascii="Arial" w:hAnsi="Arial" w:cs="Arial"/>
          <w:szCs w:val="24"/>
        </w:rPr>
        <w:t>*</w:t>
      </w:r>
      <w:r w:rsidR="00400C49">
        <w:rPr>
          <w:rFonts w:ascii="Arial" w:hAnsi="Arial" w:cs="Arial"/>
          <w:szCs w:val="24"/>
        </w:rPr>
        <w:t xml:space="preserve"> - </w:t>
      </w:r>
      <w:r>
        <w:rPr>
          <w:rFonts w:ascii="Arial" w:hAnsi="Arial" w:cs="Arial"/>
          <w:szCs w:val="24"/>
        </w:rPr>
        <w:t xml:space="preserve">As reported to the </w:t>
      </w:r>
      <w:r w:rsidR="005F4E56">
        <w:rPr>
          <w:rFonts w:ascii="Arial" w:hAnsi="Arial" w:cs="Arial"/>
          <w:szCs w:val="24"/>
        </w:rPr>
        <w:t xml:space="preserve">Pennsylvania Public Utility </w:t>
      </w:r>
      <w:r>
        <w:rPr>
          <w:rFonts w:ascii="Arial" w:hAnsi="Arial" w:cs="Arial"/>
          <w:szCs w:val="24"/>
        </w:rPr>
        <w:t>Commission</w:t>
      </w:r>
      <w:r w:rsidR="005F4E56">
        <w:rPr>
          <w:rFonts w:ascii="Arial" w:hAnsi="Arial" w:cs="Arial"/>
          <w:szCs w:val="24"/>
        </w:rPr>
        <w:t xml:space="preserve"> (Commission),</w:t>
      </w:r>
      <w:r w:rsidRPr="00936DE2">
        <w:rPr>
          <w:rFonts w:ascii="Arial" w:hAnsi="Arial" w:cs="Arial"/>
          <w:szCs w:val="24"/>
        </w:rPr>
        <w:t xml:space="preserve"> </w:t>
      </w:r>
      <w:r w:rsidR="00C17C3B">
        <w:rPr>
          <w:rFonts w:ascii="Arial" w:hAnsi="Arial" w:cs="Arial"/>
          <w:szCs w:val="24"/>
        </w:rPr>
        <w:t>a</w:t>
      </w:r>
      <w:r w:rsidRPr="00936DE2">
        <w:rPr>
          <w:rFonts w:ascii="Arial" w:hAnsi="Arial" w:cs="Arial"/>
          <w:szCs w:val="24"/>
        </w:rPr>
        <w:t>t Docket</w:t>
      </w:r>
      <w:r w:rsidR="003439CD">
        <w:rPr>
          <w:rFonts w:ascii="Arial" w:hAnsi="Arial" w:cs="Arial"/>
          <w:szCs w:val="24"/>
        </w:rPr>
        <w:t xml:space="preserve"> </w:t>
      </w:r>
      <w:r w:rsidRPr="00936DE2">
        <w:rPr>
          <w:rFonts w:ascii="Arial" w:hAnsi="Arial" w:cs="Arial"/>
          <w:szCs w:val="24"/>
        </w:rPr>
        <w:t>No.</w:t>
      </w:r>
      <w:r w:rsidR="00C17C3B">
        <w:rPr>
          <w:rFonts w:ascii="Arial" w:hAnsi="Arial" w:cs="Arial"/>
          <w:szCs w:val="24"/>
        </w:rPr>
        <w:t xml:space="preserve"> M</w:t>
      </w:r>
      <w:r w:rsidRPr="00245DB5">
        <w:rPr>
          <w:rFonts w:ascii="Arial" w:hAnsi="Arial" w:cs="Arial"/>
          <w:szCs w:val="24"/>
        </w:rPr>
        <w:noBreakHyphen/>
        <w:t>201</w:t>
      </w:r>
      <w:r w:rsidR="004376C4" w:rsidRPr="00245DB5">
        <w:rPr>
          <w:rFonts w:ascii="Arial" w:hAnsi="Arial" w:cs="Arial"/>
          <w:szCs w:val="24"/>
        </w:rPr>
        <w:t>3</w:t>
      </w:r>
      <w:r w:rsidRPr="00245DB5">
        <w:rPr>
          <w:rFonts w:ascii="Arial" w:hAnsi="Arial" w:cs="Arial"/>
          <w:szCs w:val="24"/>
        </w:rPr>
        <w:noBreakHyphen/>
      </w:r>
      <w:r w:rsidR="00245DB5" w:rsidRPr="00245DB5">
        <w:rPr>
          <w:rFonts w:ascii="Arial" w:hAnsi="Arial" w:cs="Arial"/>
          <w:szCs w:val="24"/>
        </w:rPr>
        <w:t>239</w:t>
      </w:r>
      <w:r w:rsidR="00125A5B">
        <w:rPr>
          <w:rFonts w:ascii="Arial" w:hAnsi="Arial" w:cs="Arial"/>
          <w:szCs w:val="24"/>
        </w:rPr>
        <w:t>9595</w:t>
      </w:r>
      <w:r w:rsidR="00C17C3B">
        <w:rPr>
          <w:rFonts w:ascii="Arial" w:hAnsi="Arial" w:cs="Arial"/>
          <w:szCs w:val="24"/>
        </w:rPr>
        <w:t>.</w:t>
      </w:r>
    </w:p>
    <w:p w:rsidR="00DC7D28" w:rsidRDefault="00DC7D28" w:rsidP="00DC7D28">
      <w:pPr>
        <w:tabs>
          <w:tab w:val="center" w:pos="4680"/>
        </w:tabs>
        <w:suppressAutoHyphens/>
        <w:ind w:left="90" w:hanging="90"/>
        <w:rPr>
          <w:rFonts w:ascii="Arial" w:hAnsi="Arial" w:cs="Arial"/>
          <w:szCs w:val="24"/>
        </w:rPr>
      </w:pPr>
    </w:p>
    <w:p w:rsidR="00DC7D28" w:rsidRPr="00936DE2" w:rsidRDefault="00DC7D28" w:rsidP="003439CD">
      <w:pPr>
        <w:suppressAutoHyphens/>
        <w:rPr>
          <w:rFonts w:ascii="Arial" w:hAnsi="Arial" w:cs="Arial"/>
          <w:szCs w:val="24"/>
        </w:rPr>
      </w:pPr>
      <w:r>
        <w:rPr>
          <w:rFonts w:ascii="Arial" w:hAnsi="Arial" w:cs="Arial"/>
          <w:szCs w:val="24"/>
        </w:rPr>
        <w:t xml:space="preserve"> Arithmetic differences are due to rounding.</w:t>
      </w:r>
    </w:p>
    <w:p w:rsidR="00DC7D28" w:rsidRDefault="00DC7D28" w:rsidP="003439CD">
      <w:pPr>
        <w:suppressAutoHyphens/>
        <w:rPr>
          <w:rFonts w:ascii="Arial" w:hAnsi="Arial" w:cs="Arial"/>
          <w:szCs w:val="24"/>
        </w:rPr>
      </w:pPr>
    </w:p>
    <w:p w:rsidR="008B2A09" w:rsidRDefault="00C92778" w:rsidP="003439CD">
      <w:pPr>
        <w:suppressAutoHyphens/>
        <w:rPr>
          <w:rFonts w:ascii="Arial" w:hAnsi="Arial" w:cs="Arial"/>
          <w:szCs w:val="24"/>
        </w:rPr>
      </w:pPr>
      <w:r>
        <w:rPr>
          <w:rFonts w:ascii="Arial" w:hAnsi="Arial" w:cs="Arial"/>
          <w:szCs w:val="24"/>
        </w:rPr>
        <w:t xml:space="preserve"> </w:t>
      </w:r>
      <w:r w:rsidR="007F65D9" w:rsidRPr="00BE0936">
        <w:rPr>
          <w:rFonts w:ascii="Arial" w:hAnsi="Arial" w:cs="Arial"/>
          <w:szCs w:val="24"/>
        </w:rPr>
        <w:t>Notes to the Fi</w:t>
      </w:r>
      <w:r w:rsidR="00D50FE2">
        <w:rPr>
          <w:rFonts w:ascii="Arial" w:hAnsi="Arial" w:cs="Arial"/>
          <w:szCs w:val="24"/>
        </w:rPr>
        <w:t>nancial Statement</w:t>
      </w:r>
      <w:r w:rsidR="00C17C3B">
        <w:rPr>
          <w:rFonts w:ascii="Arial" w:hAnsi="Arial" w:cs="Arial"/>
          <w:szCs w:val="24"/>
        </w:rPr>
        <w:t>s</w:t>
      </w:r>
      <w:r w:rsidR="007F65D9" w:rsidRPr="00BE0936">
        <w:rPr>
          <w:rFonts w:ascii="Arial" w:hAnsi="Arial" w:cs="Arial"/>
          <w:szCs w:val="24"/>
        </w:rPr>
        <w:t xml:space="preserve"> are an integral part of this report.</w:t>
      </w:r>
    </w:p>
    <w:p w:rsidR="00710127" w:rsidRDefault="00710127" w:rsidP="003439CD">
      <w:pPr>
        <w:suppressAutoHyphens/>
        <w:rPr>
          <w:rFonts w:ascii="Arial" w:hAnsi="Arial" w:cs="Arial"/>
          <w:szCs w:val="24"/>
        </w:rPr>
      </w:pPr>
    </w:p>
    <w:p w:rsidR="00710127" w:rsidRPr="00BE0936" w:rsidRDefault="00710127" w:rsidP="003439CD">
      <w:pPr>
        <w:suppressAutoHyphens/>
        <w:rPr>
          <w:rFonts w:ascii="Arial" w:hAnsi="Arial" w:cs="Arial"/>
          <w:szCs w:val="24"/>
        </w:rPr>
      </w:pPr>
    </w:p>
    <w:p w:rsidR="005C66F7" w:rsidRDefault="005C66F7" w:rsidP="001B78F9">
      <w:pPr>
        <w:tabs>
          <w:tab w:val="center" w:pos="4680"/>
        </w:tabs>
        <w:suppressAutoHyphens/>
        <w:rPr>
          <w:rFonts w:ascii="Arial" w:hAnsi="Arial" w:cs="Arial"/>
          <w:szCs w:val="24"/>
        </w:rPr>
      </w:pPr>
    </w:p>
    <w:p w:rsidR="00400C49" w:rsidRDefault="00400C49" w:rsidP="001B78F9">
      <w:pPr>
        <w:tabs>
          <w:tab w:val="center" w:pos="4680"/>
        </w:tabs>
        <w:suppressAutoHyphens/>
        <w:rPr>
          <w:rFonts w:ascii="Arial" w:hAnsi="Arial" w:cs="Arial"/>
          <w:szCs w:val="24"/>
        </w:rPr>
      </w:pPr>
    </w:p>
    <w:p w:rsidR="00400C49" w:rsidRDefault="00400C49" w:rsidP="001B78F9">
      <w:pPr>
        <w:tabs>
          <w:tab w:val="center" w:pos="4680"/>
        </w:tabs>
        <w:suppressAutoHyphens/>
        <w:rPr>
          <w:rFonts w:ascii="Arial" w:hAnsi="Arial" w:cs="Arial"/>
          <w:szCs w:val="24"/>
        </w:rPr>
      </w:pPr>
    </w:p>
    <w:p w:rsidR="00400C49" w:rsidRDefault="00400C49" w:rsidP="001B78F9">
      <w:pPr>
        <w:tabs>
          <w:tab w:val="center" w:pos="4680"/>
        </w:tabs>
        <w:suppressAutoHyphens/>
        <w:rPr>
          <w:rFonts w:ascii="Arial" w:hAnsi="Arial" w:cs="Arial"/>
          <w:szCs w:val="24"/>
        </w:rPr>
      </w:pPr>
    </w:p>
    <w:p w:rsidR="00400C49" w:rsidRDefault="00400C49" w:rsidP="001B78F9">
      <w:pPr>
        <w:tabs>
          <w:tab w:val="center" w:pos="4680"/>
        </w:tabs>
        <w:suppressAutoHyphens/>
        <w:rPr>
          <w:rFonts w:ascii="Arial" w:hAnsi="Arial" w:cs="Arial"/>
          <w:szCs w:val="24"/>
        </w:rPr>
      </w:pPr>
    </w:p>
    <w:p w:rsidR="00400C49" w:rsidRDefault="00400C49" w:rsidP="001B78F9">
      <w:pPr>
        <w:tabs>
          <w:tab w:val="center" w:pos="4680"/>
        </w:tabs>
        <w:suppressAutoHyphens/>
        <w:rPr>
          <w:rFonts w:ascii="Arial" w:hAnsi="Arial" w:cs="Arial"/>
          <w:szCs w:val="24"/>
        </w:rPr>
      </w:pPr>
    </w:p>
    <w:p w:rsidR="00400C49" w:rsidRDefault="00400C49" w:rsidP="001B78F9">
      <w:pPr>
        <w:tabs>
          <w:tab w:val="center" w:pos="4680"/>
        </w:tabs>
        <w:suppressAutoHyphens/>
        <w:rPr>
          <w:rFonts w:ascii="Arial" w:hAnsi="Arial" w:cs="Arial"/>
          <w:szCs w:val="24"/>
        </w:rPr>
      </w:pPr>
    </w:p>
    <w:p w:rsidR="00A461B4" w:rsidRDefault="00A461B4" w:rsidP="001B78F9">
      <w:pPr>
        <w:tabs>
          <w:tab w:val="center" w:pos="4680"/>
        </w:tabs>
        <w:suppressAutoHyphens/>
        <w:rPr>
          <w:rFonts w:ascii="Arial" w:hAnsi="Arial" w:cs="Arial"/>
          <w:szCs w:val="24"/>
        </w:rPr>
      </w:pPr>
    </w:p>
    <w:tbl>
      <w:tblPr>
        <w:tblW w:w="9315" w:type="dxa"/>
        <w:jc w:val="center"/>
        <w:tblLook w:val="0000" w:firstRow="0" w:lastRow="0" w:firstColumn="0" w:lastColumn="0" w:noHBand="0" w:noVBand="0"/>
      </w:tblPr>
      <w:tblGrid>
        <w:gridCol w:w="9315"/>
      </w:tblGrid>
      <w:tr w:rsidR="00710127" w:rsidRPr="00B61414" w:rsidTr="00154CF8">
        <w:trPr>
          <w:trHeight w:val="277"/>
          <w:jc w:val="center"/>
        </w:trPr>
        <w:tc>
          <w:tcPr>
            <w:tcW w:w="9315" w:type="dxa"/>
            <w:tcBorders>
              <w:top w:val="nil"/>
              <w:left w:val="nil"/>
              <w:bottom w:val="nil"/>
              <w:right w:val="nil"/>
            </w:tcBorders>
            <w:shd w:val="clear" w:color="auto" w:fill="auto"/>
            <w:noWrap/>
            <w:vAlign w:val="bottom"/>
          </w:tcPr>
          <w:p w:rsidR="00710127" w:rsidRPr="00440FBF" w:rsidRDefault="00710127" w:rsidP="00154CF8">
            <w:pPr>
              <w:overflowPunct/>
              <w:autoSpaceDE/>
              <w:autoSpaceDN/>
              <w:adjustRightInd/>
              <w:jc w:val="center"/>
              <w:textAlignment w:val="auto"/>
              <w:rPr>
                <w:rFonts w:ascii="Arial" w:hAnsi="Arial" w:cs="Arial"/>
                <w:b/>
                <w:sz w:val="26"/>
                <w:szCs w:val="26"/>
              </w:rPr>
            </w:pPr>
            <w:r w:rsidRPr="00440FBF">
              <w:rPr>
                <w:rFonts w:ascii="Arial" w:hAnsi="Arial" w:cs="Arial"/>
                <w:b/>
                <w:sz w:val="26"/>
                <w:szCs w:val="26"/>
              </w:rPr>
              <w:lastRenderedPageBreak/>
              <w:t>PECO ENERGY COMPANY</w:t>
            </w:r>
          </w:p>
        </w:tc>
      </w:tr>
      <w:tr w:rsidR="00710127" w:rsidRPr="00BE0936" w:rsidTr="00154CF8">
        <w:trPr>
          <w:trHeight w:val="1593"/>
          <w:jc w:val="center"/>
        </w:trPr>
        <w:tc>
          <w:tcPr>
            <w:tcW w:w="9315" w:type="dxa"/>
            <w:tcBorders>
              <w:top w:val="nil"/>
              <w:left w:val="nil"/>
              <w:bottom w:val="nil"/>
              <w:right w:val="nil"/>
            </w:tcBorders>
            <w:shd w:val="clear" w:color="auto" w:fill="auto"/>
            <w:noWrap/>
            <w:vAlign w:val="bottom"/>
          </w:tcPr>
          <w:p w:rsidR="00710127" w:rsidRDefault="00710127" w:rsidP="00154CF8">
            <w:pPr>
              <w:overflowPunct/>
              <w:autoSpaceDE/>
              <w:autoSpaceDN/>
              <w:adjustRightInd/>
              <w:jc w:val="center"/>
              <w:textAlignment w:val="auto"/>
              <w:rPr>
                <w:rFonts w:ascii="Arial" w:hAnsi="Arial" w:cs="Arial"/>
                <w:b/>
                <w:sz w:val="26"/>
                <w:szCs w:val="26"/>
              </w:rPr>
            </w:pPr>
          </w:p>
          <w:p w:rsidR="00710127" w:rsidRDefault="00710127" w:rsidP="00154CF8">
            <w:pPr>
              <w:overflowPunct/>
              <w:autoSpaceDE/>
              <w:autoSpaceDN/>
              <w:adjustRightInd/>
              <w:jc w:val="center"/>
              <w:textAlignment w:val="auto"/>
              <w:rPr>
                <w:rFonts w:ascii="Arial" w:hAnsi="Arial" w:cs="Arial"/>
                <w:b/>
                <w:sz w:val="26"/>
                <w:szCs w:val="26"/>
              </w:rPr>
            </w:pPr>
            <w:r>
              <w:rPr>
                <w:rFonts w:ascii="Arial" w:hAnsi="Arial" w:cs="Arial"/>
                <w:b/>
                <w:sz w:val="26"/>
                <w:szCs w:val="26"/>
              </w:rPr>
              <w:t>Condensed (Note 1)</w:t>
            </w:r>
          </w:p>
          <w:p w:rsidR="00710127" w:rsidRDefault="00710127" w:rsidP="00154CF8">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 xml:space="preserve">Statement Of </w:t>
            </w:r>
            <w:r w:rsidRPr="00440FBF">
              <w:rPr>
                <w:rFonts w:ascii="Arial" w:hAnsi="Arial" w:cs="Arial"/>
                <w:b/>
                <w:sz w:val="26"/>
                <w:szCs w:val="26"/>
              </w:rPr>
              <w:t>Transmission Service Charge</w:t>
            </w:r>
            <w:r>
              <w:rPr>
                <w:rFonts w:ascii="Arial" w:hAnsi="Arial" w:cs="Arial"/>
                <w:b/>
                <w:sz w:val="26"/>
                <w:szCs w:val="26"/>
              </w:rPr>
              <w:t xml:space="preserve"> (TSC)</w:t>
            </w:r>
          </w:p>
          <w:p w:rsidR="00710127" w:rsidRDefault="00710127" w:rsidP="00154CF8">
            <w:pPr>
              <w:overflowPunct/>
              <w:autoSpaceDE/>
              <w:autoSpaceDN/>
              <w:adjustRightInd/>
              <w:jc w:val="center"/>
              <w:textAlignment w:val="auto"/>
              <w:rPr>
                <w:rFonts w:ascii="Arial" w:hAnsi="Arial" w:cs="Arial"/>
                <w:b/>
                <w:sz w:val="26"/>
                <w:szCs w:val="26"/>
              </w:rPr>
            </w:pPr>
            <w:r w:rsidRPr="00470786">
              <w:rPr>
                <w:rFonts w:ascii="Arial" w:hAnsi="Arial" w:cs="Arial"/>
                <w:b/>
                <w:sz w:val="26"/>
                <w:szCs w:val="26"/>
              </w:rPr>
              <w:t>Over/(Under) Collections</w:t>
            </w:r>
            <w:r>
              <w:rPr>
                <w:rFonts w:ascii="Arial" w:hAnsi="Arial" w:cs="Arial"/>
                <w:b/>
                <w:sz w:val="26"/>
                <w:szCs w:val="26"/>
              </w:rPr>
              <w:t xml:space="preserve"> </w:t>
            </w:r>
            <w:r w:rsidRPr="00470786">
              <w:rPr>
                <w:rFonts w:ascii="Arial" w:hAnsi="Arial" w:cs="Arial"/>
                <w:b/>
                <w:sz w:val="26"/>
                <w:szCs w:val="26"/>
              </w:rPr>
              <w:t>(Section 1307(e))</w:t>
            </w:r>
          </w:p>
          <w:p w:rsidR="00710127" w:rsidRPr="00440FBF" w:rsidRDefault="00710127" w:rsidP="00893569">
            <w:pPr>
              <w:overflowPunct/>
              <w:autoSpaceDE/>
              <w:autoSpaceDN/>
              <w:adjustRightInd/>
              <w:jc w:val="center"/>
              <w:textAlignment w:val="auto"/>
              <w:rPr>
                <w:rFonts w:ascii="Arial" w:hAnsi="Arial" w:cs="Arial"/>
                <w:b/>
                <w:sz w:val="26"/>
                <w:szCs w:val="26"/>
              </w:rPr>
            </w:pPr>
            <w:r w:rsidRPr="00440FBF">
              <w:rPr>
                <w:rFonts w:ascii="Arial" w:hAnsi="Arial" w:cs="Arial"/>
                <w:b/>
                <w:sz w:val="26"/>
                <w:szCs w:val="26"/>
              </w:rPr>
              <w:t xml:space="preserve">For the </w:t>
            </w:r>
            <w:r w:rsidR="00893569">
              <w:rPr>
                <w:rFonts w:ascii="Arial" w:hAnsi="Arial" w:cs="Arial"/>
                <w:b/>
                <w:sz w:val="26"/>
                <w:szCs w:val="26"/>
              </w:rPr>
              <w:t>Eleven</w:t>
            </w:r>
            <w:r w:rsidRPr="00440FBF">
              <w:rPr>
                <w:rFonts w:ascii="Arial" w:hAnsi="Arial" w:cs="Arial"/>
                <w:b/>
                <w:sz w:val="26"/>
                <w:szCs w:val="26"/>
              </w:rPr>
              <w:t xml:space="preserve"> Months Ended </w:t>
            </w:r>
            <w:r w:rsidR="00893569">
              <w:rPr>
                <w:rFonts w:ascii="Arial" w:hAnsi="Arial" w:cs="Arial"/>
                <w:b/>
                <w:sz w:val="26"/>
                <w:szCs w:val="26"/>
              </w:rPr>
              <w:t xml:space="preserve">September </w:t>
            </w:r>
            <w:r w:rsidRPr="00440FBF">
              <w:rPr>
                <w:rFonts w:ascii="Arial" w:hAnsi="Arial" w:cs="Arial"/>
                <w:b/>
                <w:sz w:val="26"/>
                <w:szCs w:val="26"/>
              </w:rPr>
              <w:t>3</w:t>
            </w:r>
            <w:r w:rsidR="00893569">
              <w:rPr>
                <w:rFonts w:ascii="Arial" w:hAnsi="Arial" w:cs="Arial"/>
                <w:b/>
                <w:sz w:val="26"/>
                <w:szCs w:val="26"/>
              </w:rPr>
              <w:t>0</w:t>
            </w:r>
            <w:r w:rsidRPr="00440FBF">
              <w:rPr>
                <w:rFonts w:ascii="Arial" w:hAnsi="Arial" w:cs="Arial"/>
                <w:b/>
                <w:sz w:val="26"/>
                <w:szCs w:val="26"/>
              </w:rPr>
              <w:t>, 201</w:t>
            </w:r>
            <w:r w:rsidR="00893569">
              <w:rPr>
                <w:rFonts w:ascii="Arial" w:hAnsi="Arial" w:cs="Arial"/>
                <w:b/>
                <w:sz w:val="26"/>
                <w:szCs w:val="26"/>
              </w:rPr>
              <w:t>2</w:t>
            </w:r>
            <w:r>
              <w:rPr>
                <w:rFonts w:ascii="Arial" w:hAnsi="Arial" w:cs="Arial"/>
                <w:b/>
                <w:sz w:val="26"/>
                <w:szCs w:val="26"/>
              </w:rPr>
              <w:t>*</w:t>
            </w:r>
          </w:p>
        </w:tc>
      </w:tr>
      <w:tr w:rsidR="00710127" w:rsidRPr="00BE0936" w:rsidTr="00154CF8">
        <w:trPr>
          <w:trHeight w:val="277"/>
          <w:jc w:val="center"/>
        </w:trPr>
        <w:tc>
          <w:tcPr>
            <w:tcW w:w="9315" w:type="dxa"/>
            <w:tcBorders>
              <w:top w:val="nil"/>
              <w:left w:val="nil"/>
              <w:bottom w:val="nil"/>
              <w:right w:val="nil"/>
            </w:tcBorders>
            <w:shd w:val="clear" w:color="auto" w:fill="auto"/>
            <w:noWrap/>
            <w:vAlign w:val="bottom"/>
          </w:tcPr>
          <w:p w:rsidR="00710127" w:rsidRPr="00440FBF" w:rsidRDefault="00710127" w:rsidP="00154CF8">
            <w:pPr>
              <w:overflowPunct/>
              <w:autoSpaceDE/>
              <w:autoSpaceDN/>
              <w:adjustRightInd/>
              <w:jc w:val="center"/>
              <w:textAlignment w:val="auto"/>
              <w:rPr>
                <w:rFonts w:ascii="Arial" w:hAnsi="Arial" w:cs="Arial"/>
                <w:b/>
                <w:sz w:val="26"/>
                <w:szCs w:val="26"/>
              </w:rPr>
            </w:pPr>
          </w:p>
        </w:tc>
      </w:tr>
    </w:tbl>
    <w:p w:rsidR="00710127" w:rsidRDefault="00710127" w:rsidP="00710127">
      <w:pPr>
        <w:rPr>
          <w:rFonts w:ascii="Arial" w:hAnsi="Arial" w:cs="Arial"/>
          <w:szCs w:val="24"/>
        </w:rPr>
      </w:pPr>
    </w:p>
    <w:p w:rsidR="00710127" w:rsidRDefault="00710127" w:rsidP="00710127">
      <w:pPr>
        <w:rPr>
          <w:rFonts w:ascii="Arial" w:hAnsi="Arial" w:cs="Arial"/>
          <w:szCs w:val="24"/>
        </w:rPr>
      </w:pPr>
    </w:p>
    <w:tbl>
      <w:tblPr>
        <w:tblW w:w="9513" w:type="dxa"/>
        <w:jc w:val="center"/>
        <w:tblInd w:w="-1730" w:type="dxa"/>
        <w:tblLook w:val="0000" w:firstRow="0" w:lastRow="0" w:firstColumn="0" w:lastColumn="0" w:noHBand="0" w:noVBand="0"/>
      </w:tblPr>
      <w:tblGrid>
        <w:gridCol w:w="2718"/>
        <w:gridCol w:w="236"/>
        <w:gridCol w:w="2077"/>
        <w:gridCol w:w="270"/>
        <w:gridCol w:w="1809"/>
        <w:gridCol w:w="261"/>
        <w:gridCol w:w="2142"/>
      </w:tblGrid>
      <w:tr w:rsidR="00710127" w:rsidRPr="00BE0936" w:rsidTr="003439CD">
        <w:trPr>
          <w:trHeight w:val="288"/>
          <w:jc w:val="center"/>
        </w:trPr>
        <w:tc>
          <w:tcPr>
            <w:tcW w:w="2718" w:type="dxa"/>
            <w:tcBorders>
              <w:top w:val="nil"/>
              <w:left w:val="nil"/>
              <w:right w:val="nil"/>
            </w:tcBorders>
            <w:shd w:val="clear" w:color="auto" w:fill="auto"/>
            <w:noWrap/>
            <w:vAlign w:val="bottom"/>
          </w:tcPr>
          <w:p w:rsidR="00710127" w:rsidRPr="00BE0936" w:rsidRDefault="00710127" w:rsidP="00154CF8">
            <w:pPr>
              <w:jc w:val="center"/>
              <w:rPr>
                <w:rFonts w:ascii="Arial" w:hAnsi="Arial" w:cs="Arial"/>
                <w:b/>
                <w:bCs/>
                <w:szCs w:val="24"/>
              </w:rPr>
            </w:pPr>
          </w:p>
        </w:tc>
        <w:tc>
          <w:tcPr>
            <w:tcW w:w="236" w:type="dxa"/>
            <w:tcBorders>
              <w:top w:val="nil"/>
              <w:left w:val="nil"/>
              <w:right w:val="nil"/>
            </w:tcBorders>
          </w:tcPr>
          <w:p w:rsidR="00710127" w:rsidRPr="00BE0936" w:rsidRDefault="00710127" w:rsidP="00154CF8">
            <w:pPr>
              <w:jc w:val="center"/>
              <w:rPr>
                <w:rFonts w:ascii="Arial" w:hAnsi="Arial" w:cs="Arial"/>
                <w:bCs/>
                <w:szCs w:val="24"/>
              </w:rPr>
            </w:pPr>
          </w:p>
        </w:tc>
        <w:tc>
          <w:tcPr>
            <w:tcW w:w="2077" w:type="dxa"/>
            <w:tcBorders>
              <w:top w:val="nil"/>
              <w:left w:val="nil"/>
              <w:right w:val="nil"/>
            </w:tcBorders>
            <w:shd w:val="clear" w:color="auto" w:fill="auto"/>
            <w:vAlign w:val="bottom"/>
          </w:tcPr>
          <w:p w:rsidR="00710127" w:rsidRPr="00BE0936" w:rsidRDefault="00710127" w:rsidP="00154CF8">
            <w:pPr>
              <w:jc w:val="center"/>
              <w:rPr>
                <w:rFonts w:ascii="Arial" w:hAnsi="Arial" w:cs="Arial"/>
                <w:bCs/>
                <w:szCs w:val="24"/>
              </w:rPr>
            </w:pPr>
          </w:p>
        </w:tc>
        <w:tc>
          <w:tcPr>
            <w:tcW w:w="270" w:type="dxa"/>
            <w:tcBorders>
              <w:top w:val="nil"/>
              <w:left w:val="nil"/>
              <w:right w:val="nil"/>
            </w:tcBorders>
          </w:tcPr>
          <w:p w:rsidR="00710127" w:rsidRPr="00BE0936" w:rsidRDefault="00710127" w:rsidP="00154CF8">
            <w:pPr>
              <w:jc w:val="center"/>
              <w:rPr>
                <w:rFonts w:ascii="Arial" w:hAnsi="Arial" w:cs="Arial"/>
                <w:bCs/>
                <w:szCs w:val="24"/>
              </w:rPr>
            </w:pPr>
          </w:p>
        </w:tc>
        <w:tc>
          <w:tcPr>
            <w:tcW w:w="1809" w:type="dxa"/>
            <w:tcBorders>
              <w:top w:val="nil"/>
              <w:left w:val="nil"/>
              <w:right w:val="nil"/>
            </w:tcBorders>
            <w:shd w:val="clear" w:color="auto" w:fill="auto"/>
            <w:vAlign w:val="bottom"/>
          </w:tcPr>
          <w:p w:rsidR="00710127" w:rsidRPr="00BE0936" w:rsidRDefault="00710127" w:rsidP="00154CF8">
            <w:pPr>
              <w:jc w:val="center"/>
              <w:rPr>
                <w:rFonts w:ascii="Arial" w:hAnsi="Arial" w:cs="Arial"/>
                <w:bCs/>
                <w:szCs w:val="24"/>
              </w:rPr>
            </w:pPr>
          </w:p>
        </w:tc>
        <w:tc>
          <w:tcPr>
            <w:tcW w:w="261" w:type="dxa"/>
            <w:tcBorders>
              <w:top w:val="nil"/>
              <w:left w:val="nil"/>
              <w:right w:val="nil"/>
            </w:tcBorders>
          </w:tcPr>
          <w:p w:rsidR="00710127" w:rsidRPr="00BE0936" w:rsidRDefault="00710127" w:rsidP="00154CF8">
            <w:pPr>
              <w:jc w:val="center"/>
              <w:rPr>
                <w:rFonts w:ascii="Arial" w:hAnsi="Arial" w:cs="Arial"/>
                <w:bCs/>
                <w:szCs w:val="24"/>
              </w:rPr>
            </w:pPr>
          </w:p>
        </w:tc>
        <w:tc>
          <w:tcPr>
            <w:tcW w:w="2142" w:type="dxa"/>
            <w:tcBorders>
              <w:top w:val="nil"/>
              <w:left w:val="nil"/>
              <w:right w:val="nil"/>
            </w:tcBorders>
            <w:shd w:val="clear" w:color="auto" w:fill="auto"/>
            <w:vAlign w:val="bottom"/>
          </w:tcPr>
          <w:p w:rsidR="00710127" w:rsidRPr="00BE0936" w:rsidRDefault="00710127" w:rsidP="00154CF8">
            <w:pPr>
              <w:jc w:val="center"/>
              <w:rPr>
                <w:rFonts w:ascii="Arial" w:hAnsi="Arial" w:cs="Arial"/>
                <w:bCs/>
                <w:szCs w:val="24"/>
              </w:rPr>
            </w:pPr>
          </w:p>
        </w:tc>
      </w:tr>
      <w:tr w:rsidR="00A461B4" w:rsidRPr="00BE0936" w:rsidTr="003439CD">
        <w:trPr>
          <w:trHeight w:val="288"/>
          <w:jc w:val="center"/>
        </w:trPr>
        <w:tc>
          <w:tcPr>
            <w:tcW w:w="2718" w:type="dxa"/>
            <w:tcBorders>
              <w:top w:val="nil"/>
              <w:left w:val="nil"/>
              <w:right w:val="nil"/>
            </w:tcBorders>
            <w:shd w:val="clear" w:color="auto" w:fill="auto"/>
            <w:noWrap/>
            <w:vAlign w:val="bottom"/>
          </w:tcPr>
          <w:p w:rsidR="00A461B4" w:rsidRPr="001574B0" w:rsidRDefault="00A461B4" w:rsidP="00941B23">
            <w:pPr>
              <w:jc w:val="center"/>
              <w:rPr>
                <w:rFonts w:ascii="Arial" w:hAnsi="Arial" w:cs="Arial"/>
                <w:b/>
                <w:bCs/>
                <w:szCs w:val="24"/>
                <w:u w:val="single"/>
              </w:rPr>
            </w:pPr>
            <w:r w:rsidRPr="001574B0">
              <w:rPr>
                <w:rFonts w:ascii="Arial" w:hAnsi="Arial" w:cs="Arial"/>
                <w:b/>
                <w:bCs/>
                <w:szCs w:val="24"/>
                <w:u w:val="single"/>
              </w:rPr>
              <w:t>Rate Class</w:t>
            </w:r>
          </w:p>
        </w:tc>
        <w:tc>
          <w:tcPr>
            <w:tcW w:w="236" w:type="dxa"/>
            <w:tcBorders>
              <w:top w:val="nil"/>
              <w:left w:val="nil"/>
              <w:right w:val="nil"/>
            </w:tcBorders>
          </w:tcPr>
          <w:p w:rsidR="00A461B4" w:rsidRPr="001574B0" w:rsidRDefault="00A461B4" w:rsidP="00941B23">
            <w:pPr>
              <w:jc w:val="center"/>
              <w:rPr>
                <w:rFonts w:ascii="Arial" w:hAnsi="Arial" w:cs="Arial"/>
                <w:bCs/>
                <w:szCs w:val="24"/>
                <w:u w:val="single"/>
              </w:rPr>
            </w:pPr>
          </w:p>
        </w:tc>
        <w:tc>
          <w:tcPr>
            <w:tcW w:w="2077" w:type="dxa"/>
            <w:tcBorders>
              <w:top w:val="nil"/>
              <w:left w:val="nil"/>
              <w:right w:val="nil"/>
            </w:tcBorders>
            <w:shd w:val="clear" w:color="auto" w:fill="auto"/>
            <w:vAlign w:val="bottom"/>
          </w:tcPr>
          <w:p w:rsidR="00A461B4" w:rsidRPr="00044925" w:rsidRDefault="00A461B4" w:rsidP="00941B23">
            <w:pPr>
              <w:jc w:val="center"/>
              <w:rPr>
                <w:rFonts w:ascii="Arial" w:hAnsi="Arial" w:cs="Arial"/>
                <w:b/>
                <w:bCs/>
                <w:szCs w:val="24"/>
              </w:rPr>
            </w:pPr>
            <w:r w:rsidRPr="00044925">
              <w:rPr>
                <w:rFonts w:ascii="Arial" w:hAnsi="Arial" w:cs="Arial"/>
                <w:b/>
                <w:bCs/>
                <w:szCs w:val="24"/>
              </w:rPr>
              <w:t xml:space="preserve">TSC </w:t>
            </w:r>
          </w:p>
          <w:p w:rsidR="00A461B4" w:rsidRPr="001574B0" w:rsidRDefault="00A461B4" w:rsidP="00941B23">
            <w:pPr>
              <w:jc w:val="center"/>
              <w:rPr>
                <w:rFonts w:ascii="Arial" w:hAnsi="Arial" w:cs="Arial"/>
                <w:b/>
                <w:bCs/>
                <w:szCs w:val="24"/>
                <w:u w:val="single"/>
              </w:rPr>
            </w:pPr>
            <w:r w:rsidRPr="001574B0">
              <w:rPr>
                <w:rFonts w:ascii="Arial" w:hAnsi="Arial" w:cs="Arial"/>
                <w:b/>
                <w:bCs/>
                <w:szCs w:val="24"/>
                <w:u w:val="single"/>
              </w:rPr>
              <w:t>Revenues</w:t>
            </w:r>
          </w:p>
        </w:tc>
        <w:tc>
          <w:tcPr>
            <w:tcW w:w="270" w:type="dxa"/>
            <w:tcBorders>
              <w:top w:val="nil"/>
              <w:left w:val="nil"/>
              <w:right w:val="nil"/>
            </w:tcBorders>
          </w:tcPr>
          <w:p w:rsidR="00A461B4" w:rsidRPr="00BE0936" w:rsidRDefault="00A461B4" w:rsidP="00941B23">
            <w:pPr>
              <w:jc w:val="center"/>
              <w:rPr>
                <w:rFonts w:ascii="Arial" w:hAnsi="Arial" w:cs="Arial"/>
                <w:bCs/>
                <w:szCs w:val="24"/>
              </w:rPr>
            </w:pPr>
          </w:p>
        </w:tc>
        <w:tc>
          <w:tcPr>
            <w:tcW w:w="1809" w:type="dxa"/>
            <w:tcBorders>
              <w:top w:val="nil"/>
              <w:left w:val="nil"/>
              <w:right w:val="nil"/>
            </w:tcBorders>
            <w:shd w:val="clear" w:color="auto" w:fill="auto"/>
            <w:vAlign w:val="bottom"/>
          </w:tcPr>
          <w:p w:rsidR="00A461B4" w:rsidRPr="00044925" w:rsidRDefault="00A461B4" w:rsidP="00941B23">
            <w:pPr>
              <w:jc w:val="center"/>
              <w:rPr>
                <w:rFonts w:ascii="Arial" w:hAnsi="Arial" w:cs="Arial"/>
                <w:b/>
                <w:bCs/>
                <w:szCs w:val="24"/>
              </w:rPr>
            </w:pPr>
            <w:r w:rsidRPr="00044925">
              <w:rPr>
                <w:rFonts w:ascii="Arial" w:hAnsi="Arial" w:cs="Arial"/>
                <w:b/>
                <w:bCs/>
                <w:szCs w:val="24"/>
              </w:rPr>
              <w:t xml:space="preserve">TSC </w:t>
            </w:r>
          </w:p>
          <w:p w:rsidR="00A461B4" w:rsidRPr="001574B0" w:rsidRDefault="00A461B4" w:rsidP="00941B23">
            <w:pPr>
              <w:jc w:val="center"/>
              <w:rPr>
                <w:rFonts w:ascii="Arial" w:hAnsi="Arial" w:cs="Arial"/>
                <w:b/>
                <w:bCs/>
                <w:szCs w:val="24"/>
                <w:u w:val="single"/>
              </w:rPr>
            </w:pPr>
            <w:r w:rsidRPr="001574B0">
              <w:rPr>
                <w:rFonts w:ascii="Arial" w:hAnsi="Arial" w:cs="Arial"/>
                <w:b/>
                <w:bCs/>
                <w:szCs w:val="24"/>
                <w:u w:val="single"/>
              </w:rPr>
              <w:t>Costs</w:t>
            </w:r>
          </w:p>
        </w:tc>
        <w:tc>
          <w:tcPr>
            <w:tcW w:w="261" w:type="dxa"/>
            <w:tcBorders>
              <w:top w:val="nil"/>
              <w:left w:val="nil"/>
              <w:right w:val="nil"/>
            </w:tcBorders>
          </w:tcPr>
          <w:p w:rsidR="00A461B4" w:rsidRPr="00BE0936" w:rsidRDefault="00A461B4" w:rsidP="00941B23">
            <w:pPr>
              <w:jc w:val="center"/>
              <w:rPr>
                <w:rFonts w:ascii="Arial" w:hAnsi="Arial" w:cs="Arial"/>
                <w:bCs/>
                <w:szCs w:val="24"/>
              </w:rPr>
            </w:pPr>
          </w:p>
        </w:tc>
        <w:tc>
          <w:tcPr>
            <w:tcW w:w="2142" w:type="dxa"/>
            <w:tcBorders>
              <w:top w:val="nil"/>
              <w:left w:val="nil"/>
              <w:right w:val="nil"/>
            </w:tcBorders>
            <w:shd w:val="clear" w:color="auto" w:fill="auto"/>
            <w:vAlign w:val="bottom"/>
          </w:tcPr>
          <w:p w:rsidR="00A461B4" w:rsidRPr="001574B0" w:rsidRDefault="00A461B4" w:rsidP="00941B23">
            <w:pPr>
              <w:jc w:val="center"/>
              <w:rPr>
                <w:rFonts w:ascii="Arial" w:hAnsi="Arial" w:cs="Arial"/>
                <w:b/>
                <w:bCs/>
                <w:szCs w:val="24"/>
                <w:u w:val="single"/>
              </w:rPr>
            </w:pPr>
            <w:r w:rsidRPr="005B4D6A">
              <w:rPr>
                <w:rFonts w:ascii="Arial" w:hAnsi="Arial" w:cs="Arial"/>
                <w:b/>
                <w:bCs/>
                <w:szCs w:val="24"/>
              </w:rPr>
              <w:t>Over/(Under)</w:t>
            </w:r>
            <w:r>
              <w:rPr>
                <w:rFonts w:ascii="Arial" w:hAnsi="Arial" w:cs="Arial"/>
                <w:b/>
                <w:bCs/>
                <w:szCs w:val="24"/>
              </w:rPr>
              <w:t xml:space="preserve"> </w:t>
            </w:r>
            <w:r w:rsidRPr="001574B0">
              <w:rPr>
                <w:rFonts w:ascii="Arial" w:hAnsi="Arial" w:cs="Arial"/>
                <w:b/>
                <w:bCs/>
                <w:szCs w:val="24"/>
                <w:u w:val="single"/>
              </w:rPr>
              <w:t>Collections</w:t>
            </w:r>
          </w:p>
        </w:tc>
      </w:tr>
      <w:tr w:rsidR="00A461B4" w:rsidRPr="00BE0936" w:rsidTr="003439CD">
        <w:trPr>
          <w:trHeight w:val="300"/>
          <w:jc w:val="center"/>
        </w:trPr>
        <w:tc>
          <w:tcPr>
            <w:tcW w:w="2718" w:type="dxa"/>
            <w:tcBorders>
              <w:left w:val="nil"/>
              <w:bottom w:val="nil"/>
              <w:right w:val="nil"/>
            </w:tcBorders>
            <w:shd w:val="clear" w:color="auto" w:fill="auto"/>
            <w:noWrap/>
            <w:vAlign w:val="bottom"/>
          </w:tcPr>
          <w:p w:rsidR="00A461B4" w:rsidRPr="00BE0936" w:rsidRDefault="00A461B4" w:rsidP="00941B23">
            <w:pPr>
              <w:jc w:val="center"/>
              <w:rPr>
                <w:rFonts w:ascii="Arial" w:hAnsi="Arial" w:cs="Arial"/>
                <w:b/>
                <w:bCs/>
                <w:szCs w:val="24"/>
              </w:rPr>
            </w:pPr>
          </w:p>
        </w:tc>
        <w:tc>
          <w:tcPr>
            <w:tcW w:w="236" w:type="dxa"/>
            <w:tcBorders>
              <w:left w:val="nil"/>
              <w:bottom w:val="nil"/>
              <w:right w:val="nil"/>
            </w:tcBorders>
          </w:tcPr>
          <w:p w:rsidR="00A461B4" w:rsidRPr="00BE0936" w:rsidRDefault="00A461B4" w:rsidP="00941B23">
            <w:pPr>
              <w:jc w:val="center"/>
              <w:rPr>
                <w:rFonts w:ascii="Arial" w:hAnsi="Arial" w:cs="Arial"/>
                <w:bCs/>
                <w:szCs w:val="24"/>
              </w:rPr>
            </w:pPr>
          </w:p>
        </w:tc>
        <w:tc>
          <w:tcPr>
            <w:tcW w:w="2077" w:type="dxa"/>
            <w:tcBorders>
              <w:left w:val="nil"/>
              <w:bottom w:val="nil"/>
              <w:right w:val="nil"/>
            </w:tcBorders>
            <w:shd w:val="clear" w:color="auto" w:fill="auto"/>
            <w:vAlign w:val="bottom"/>
          </w:tcPr>
          <w:p w:rsidR="00A461B4" w:rsidRPr="00BE0936" w:rsidRDefault="00A461B4" w:rsidP="00941B23">
            <w:pPr>
              <w:jc w:val="center"/>
              <w:rPr>
                <w:rFonts w:ascii="Arial" w:hAnsi="Arial" w:cs="Arial"/>
                <w:bCs/>
                <w:szCs w:val="24"/>
              </w:rPr>
            </w:pPr>
            <w:r>
              <w:rPr>
                <w:rFonts w:ascii="Arial" w:hAnsi="Arial" w:cs="Arial"/>
                <w:bCs/>
                <w:szCs w:val="24"/>
              </w:rPr>
              <w:t>(1)</w:t>
            </w:r>
          </w:p>
        </w:tc>
        <w:tc>
          <w:tcPr>
            <w:tcW w:w="270" w:type="dxa"/>
            <w:tcBorders>
              <w:left w:val="nil"/>
              <w:bottom w:val="nil"/>
              <w:right w:val="nil"/>
            </w:tcBorders>
          </w:tcPr>
          <w:p w:rsidR="00A461B4" w:rsidRPr="00BE0936" w:rsidRDefault="00A461B4" w:rsidP="00941B23">
            <w:pPr>
              <w:jc w:val="center"/>
              <w:rPr>
                <w:rFonts w:ascii="Arial" w:hAnsi="Arial" w:cs="Arial"/>
                <w:bCs/>
                <w:szCs w:val="24"/>
              </w:rPr>
            </w:pPr>
          </w:p>
        </w:tc>
        <w:tc>
          <w:tcPr>
            <w:tcW w:w="1809" w:type="dxa"/>
            <w:tcBorders>
              <w:left w:val="nil"/>
              <w:bottom w:val="nil"/>
              <w:right w:val="nil"/>
            </w:tcBorders>
            <w:shd w:val="clear" w:color="auto" w:fill="auto"/>
            <w:vAlign w:val="bottom"/>
          </w:tcPr>
          <w:p w:rsidR="00A461B4" w:rsidRPr="00BE0936" w:rsidRDefault="00A461B4" w:rsidP="00941B23">
            <w:pPr>
              <w:jc w:val="center"/>
              <w:rPr>
                <w:rFonts w:ascii="Arial" w:hAnsi="Arial" w:cs="Arial"/>
                <w:bCs/>
                <w:szCs w:val="24"/>
              </w:rPr>
            </w:pPr>
            <w:r>
              <w:rPr>
                <w:rFonts w:ascii="Arial" w:hAnsi="Arial" w:cs="Arial"/>
                <w:bCs/>
                <w:szCs w:val="24"/>
              </w:rPr>
              <w:t>(2)</w:t>
            </w:r>
          </w:p>
        </w:tc>
        <w:tc>
          <w:tcPr>
            <w:tcW w:w="261" w:type="dxa"/>
            <w:tcBorders>
              <w:left w:val="nil"/>
              <w:bottom w:val="nil"/>
              <w:right w:val="nil"/>
            </w:tcBorders>
          </w:tcPr>
          <w:p w:rsidR="00A461B4" w:rsidRPr="00BE0936" w:rsidRDefault="00A461B4" w:rsidP="00941B23">
            <w:pPr>
              <w:jc w:val="center"/>
              <w:rPr>
                <w:rFonts w:ascii="Arial" w:hAnsi="Arial" w:cs="Arial"/>
                <w:bCs/>
                <w:szCs w:val="24"/>
              </w:rPr>
            </w:pPr>
          </w:p>
        </w:tc>
        <w:tc>
          <w:tcPr>
            <w:tcW w:w="2142" w:type="dxa"/>
            <w:tcBorders>
              <w:left w:val="nil"/>
              <w:bottom w:val="nil"/>
              <w:right w:val="nil"/>
            </w:tcBorders>
            <w:shd w:val="clear" w:color="auto" w:fill="auto"/>
            <w:vAlign w:val="bottom"/>
          </w:tcPr>
          <w:p w:rsidR="00A461B4" w:rsidRPr="00BE0936" w:rsidRDefault="00A461B4" w:rsidP="00941B23">
            <w:pPr>
              <w:jc w:val="center"/>
              <w:rPr>
                <w:rFonts w:ascii="Arial" w:hAnsi="Arial" w:cs="Arial"/>
                <w:bCs/>
                <w:szCs w:val="24"/>
              </w:rPr>
            </w:pPr>
            <w:r>
              <w:rPr>
                <w:rFonts w:ascii="Arial" w:hAnsi="Arial" w:cs="Arial"/>
                <w:bCs/>
                <w:szCs w:val="24"/>
              </w:rPr>
              <w:t>(3)=(1)-(2)</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941B23">
            <w:pPr>
              <w:rPr>
                <w:rFonts w:ascii="Arial" w:hAnsi="Arial" w:cs="Arial"/>
                <w:szCs w:val="24"/>
              </w:rPr>
            </w:pPr>
          </w:p>
        </w:tc>
        <w:tc>
          <w:tcPr>
            <w:tcW w:w="236" w:type="dxa"/>
            <w:tcBorders>
              <w:top w:val="nil"/>
              <w:left w:val="nil"/>
              <w:bottom w:val="nil"/>
              <w:right w:val="nil"/>
            </w:tcBorders>
          </w:tcPr>
          <w:p w:rsidR="00A461B4" w:rsidRPr="00BE0936" w:rsidRDefault="00A461B4" w:rsidP="00941B23">
            <w:pPr>
              <w:jc w:val="center"/>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941B23">
            <w:pPr>
              <w:jc w:val="center"/>
              <w:rPr>
                <w:rFonts w:ascii="Arial" w:hAnsi="Arial" w:cs="Arial"/>
                <w:szCs w:val="24"/>
              </w:rPr>
            </w:pPr>
            <w:r w:rsidRPr="00BE0936">
              <w:rPr>
                <w:rFonts w:ascii="Arial" w:hAnsi="Arial" w:cs="Arial"/>
                <w:bCs/>
                <w:szCs w:val="24"/>
              </w:rPr>
              <w:t xml:space="preserve">(Note </w:t>
            </w:r>
            <w:r>
              <w:rPr>
                <w:rFonts w:ascii="Arial" w:hAnsi="Arial" w:cs="Arial"/>
                <w:bCs/>
                <w:szCs w:val="24"/>
              </w:rPr>
              <w:t>2</w:t>
            </w:r>
            <w:r w:rsidRPr="00BE0936">
              <w:rPr>
                <w:rFonts w:ascii="Arial" w:hAnsi="Arial" w:cs="Arial"/>
                <w:bCs/>
                <w:szCs w:val="24"/>
              </w:rPr>
              <w:t>)</w:t>
            </w:r>
          </w:p>
        </w:tc>
        <w:tc>
          <w:tcPr>
            <w:tcW w:w="270" w:type="dxa"/>
            <w:tcBorders>
              <w:top w:val="nil"/>
              <w:left w:val="nil"/>
              <w:bottom w:val="nil"/>
              <w:right w:val="nil"/>
            </w:tcBorders>
          </w:tcPr>
          <w:p w:rsidR="00A461B4" w:rsidRPr="00BE0936" w:rsidRDefault="00A461B4" w:rsidP="00941B23">
            <w:pPr>
              <w:jc w:val="center"/>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941B23">
            <w:pPr>
              <w:jc w:val="center"/>
              <w:rPr>
                <w:rFonts w:ascii="Arial" w:hAnsi="Arial" w:cs="Arial"/>
                <w:szCs w:val="24"/>
              </w:rPr>
            </w:pPr>
            <w:r w:rsidRPr="00BE0936">
              <w:rPr>
                <w:rFonts w:ascii="Arial" w:hAnsi="Arial" w:cs="Arial"/>
                <w:bCs/>
                <w:szCs w:val="24"/>
              </w:rPr>
              <w:t xml:space="preserve">(Note </w:t>
            </w:r>
            <w:r>
              <w:rPr>
                <w:rFonts w:ascii="Arial" w:hAnsi="Arial" w:cs="Arial"/>
                <w:bCs/>
                <w:szCs w:val="24"/>
              </w:rPr>
              <w:t>3</w:t>
            </w:r>
            <w:r w:rsidRPr="00BE0936">
              <w:rPr>
                <w:rFonts w:ascii="Arial" w:hAnsi="Arial" w:cs="Arial"/>
                <w:bCs/>
                <w:szCs w:val="24"/>
              </w:rPr>
              <w:t>)</w:t>
            </w:r>
          </w:p>
        </w:tc>
        <w:tc>
          <w:tcPr>
            <w:tcW w:w="261" w:type="dxa"/>
            <w:tcBorders>
              <w:top w:val="nil"/>
              <w:left w:val="nil"/>
              <w:bottom w:val="nil"/>
              <w:right w:val="nil"/>
            </w:tcBorders>
          </w:tcPr>
          <w:p w:rsidR="00A461B4" w:rsidRPr="00BE0936" w:rsidRDefault="00A461B4" w:rsidP="00941B23">
            <w:pPr>
              <w:jc w:val="center"/>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941B23">
            <w:pPr>
              <w:jc w:val="center"/>
              <w:rPr>
                <w:rFonts w:ascii="Arial" w:hAnsi="Arial" w:cs="Arial"/>
                <w:szCs w:val="24"/>
              </w:rPr>
            </w:pPr>
            <w:r w:rsidRPr="00BE0936">
              <w:rPr>
                <w:rFonts w:ascii="Arial" w:hAnsi="Arial" w:cs="Arial"/>
                <w:bCs/>
                <w:szCs w:val="24"/>
              </w:rPr>
              <w:t xml:space="preserve">(Note </w:t>
            </w:r>
            <w:r>
              <w:rPr>
                <w:rFonts w:ascii="Arial" w:hAnsi="Arial" w:cs="Arial"/>
                <w:bCs/>
                <w:szCs w:val="24"/>
              </w:rPr>
              <w:t>4</w:t>
            </w:r>
            <w:r w:rsidRPr="00BE0936">
              <w:rPr>
                <w:rFonts w:ascii="Arial" w:hAnsi="Arial" w:cs="Arial"/>
                <w:bCs/>
                <w:szCs w:val="24"/>
              </w:rPr>
              <w:t>)</w:t>
            </w: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ind w:right="-180"/>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154CF8">
            <w:pPr>
              <w:tabs>
                <w:tab w:val="decimal" w:pos="1569"/>
              </w:tabs>
              <w:rPr>
                <w:rFonts w:ascii="Arial" w:hAnsi="Arial" w:cs="Arial"/>
                <w:szCs w:val="24"/>
              </w:rPr>
            </w:pP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154CF8">
            <w:pPr>
              <w:tabs>
                <w:tab w:val="decimal" w:pos="1431"/>
              </w:tabs>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r>
              <w:rPr>
                <w:rFonts w:ascii="Arial" w:hAnsi="Arial" w:cs="Arial"/>
                <w:szCs w:val="24"/>
              </w:rPr>
              <w:t>Rate R</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21790A">
            <w:pPr>
              <w:ind w:right="76"/>
              <w:jc w:val="center"/>
              <w:rPr>
                <w:rFonts w:ascii="Arial" w:hAnsi="Arial" w:cs="Arial"/>
                <w:szCs w:val="24"/>
              </w:rPr>
            </w:pPr>
            <w:r>
              <w:rPr>
                <w:rFonts w:ascii="Arial" w:hAnsi="Arial" w:cs="Arial"/>
                <w:szCs w:val="24"/>
              </w:rPr>
              <w:t xml:space="preserve">  </w:t>
            </w:r>
            <w:r w:rsidR="0021790A">
              <w:rPr>
                <w:rFonts w:ascii="Arial" w:hAnsi="Arial" w:cs="Arial"/>
                <w:szCs w:val="24"/>
              </w:rPr>
              <w:t xml:space="preserve"> </w:t>
            </w:r>
            <w:r>
              <w:rPr>
                <w:rFonts w:ascii="Arial" w:hAnsi="Arial" w:cs="Arial"/>
                <w:szCs w:val="24"/>
              </w:rPr>
              <w:t>$   42,039,365</w:t>
            </w: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21790A">
            <w:pPr>
              <w:tabs>
                <w:tab w:val="decimal" w:pos="1476"/>
              </w:tabs>
              <w:ind w:right="-108"/>
              <w:rPr>
                <w:rFonts w:ascii="Arial" w:hAnsi="Arial" w:cs="Arial"/>
                <w:szCs w:val="24"/>
              </w:rPr>
            </w:pPr>
            <w:r w:rsidRPr="00BE0936">
              <w:rPr>
                <w:rFonts w:ascii="Arial" w:hAnsi="Arial" w:cs="Arial"/>
                <w:szCs w:val="24"/>
              </w:rPr>
              <w:t xml:space="preserve"> </w:t>
            </w:r>
            <w:r w:rsidR="0021790A">
              <w:rPr>
                <w:rFonts w:ascii="Arial" w:hAnsi="Arial" w:cs="Arial"/>
                <w:szCs w:val="24"/>
              </w:rPr>
              <w:t xml:space="preserve"> </w:t>
            </w:r>
            <w:r>
              <w:rPr>
                <w:rFonts w:ascii="Arial" w:hAnsi="Arial" w:cs="Arial"/>
                <w:szCs w:val="24"/>
              </w:rPr>
              <w:t>$   50,256,256</w:t>
            </w:r>
            <w:r w:rsidRPr="00BE0936">
              <w:rPr>
                <w:rFonts w:ascii="Arial" w:hAnsi="Arial" w:cs="Arial"/>
                <w:szCs w:val="24"/>
              </w:rPr>
              <w:t xml:space="preserve"> </w:t>
            </w: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893569">
            <w:pPr>
              <w:ind w:right="-392"/>
              <w:rPr>
                <w:rFonts w:ascii="Arial" w:hAnsi="Arial" w:cs="Arial"/>
                <w:szCs w:val="24"/>
              </w:rPr>
            </w:pPr>
            <w:r>
              <w:rPr>
                <w:rFonts w:ascii="Arial" w:hAnsi="Arial" w:cs="Arial"/>
                <w:szCs w:val="24"/>
              </w:rPr>
              <w:t xml:space="preserve">    $    (8,216,892)</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21790A">
            <w:pPr>
              <w:tabs>
                <w:tab w:val="decimal" w:pos="1569"/>
              </w:tabs>
              <w:ind w:right="76"/>
              <w:jc w:val="center"/>
              <w:rPr>
                <w:rFonts w:ascii="Arial" w:hAnsi="Arial" w:cs="Arial"/>
                <w:szCs w:val="24"/>
              </w:rPr>
            </w:pP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r>
              <w:rPr>
                <w:rFonts w:ascii="Arial" w:hAnsi="Arial" w:cs="Arial"/>
                <w:szCs w:val="24"/>
              </w:rPr>
              <w:t>Rate RH</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893569">
            <w:pPr>
              <w:jc w:val="center"/>
              <w:rPr>
                <w:rFonts w:ascii="Arial" w:hAnsi="Arial" w:cs="Arial"/>
                <w:szCs w:val="24"/>
              </w:rPr>
            </w:pPr>
            <w:r>
              <w:rPr>
                <w:rFonts w:ascii="Arial" w:hAnsi="Arial" w:cs="Arial"/>
                <w:szCs w:val="24"/>
              </w:rPr>
              <w:t xml:space="preserve">        10</w:t>
            </w:r>
            <w:r w:rsidRPr="00B03D93">
              <w:rPr>
                <w:rFonts w:ascii="Arial" w:hAnsi="Arial" w:cs="Arial"/>
                <w:szCs w:val="24"/>
              </w:rPr>
              <w:t>,8</w:t>
            </w:r>
            <w:r>
              <w:rPr>
                <w:rFonts w:ascii="Arial" w:hAnsi="Arial" w:cs="Arial"/>
                <w:szCs w:val="24"/>
              </w:rPr>
              <w:t>90</w:t>
            </w:r>
            <w:r w:rsidRPr="00B03D93">
              <w:rPr>
                <w:rFonts w:ascii="Arial" w:hAnsi="Arial" w:cs="Arial"/>
                <w:szCs w:val="24"/>
              </w:rPr>
              <w:t>,</w:t>
            </w:r>
            <w:r>
              <w:rPr>
                <w:rFonts w:ascii="Arial" w:hAnsi="Arial" w:cs="Arial"/>
                <w:szCs w:val="24"/>
              </w:rPr>
              <w:t>163</w:t>
            </w: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893569">
            <w:pPr>
              <w:ind w:right="-171"/>
              <w:rPr>
                <w:rFonts w:ascii="Arial" w:hAnsi="Arial" w:cs="Arial"/>
                <w:szCs w:val="24"/>
              </w:rPr>
            </w:pPr>
            <w:r>
              <w:rPr>
                <w:rFonts w:ascii="Arial" w:hAnsi="Arial" w:cs="Arial"/>
                <w:szCs w:val="24"/>
              </w:rPr>
              <w:t xml:space="preserve">         8</w:t>
            </w:r>
            <w:r w:rsidRPr="005B125C">
              <w:rPr>
                <w:rFonts w:ascii="Arial" w:hAnsi="Arial" w:cs="Arial"/>
                <w:szCs w:val="24"/>
              </w:rPr>
              <w:t>,</w:t>
            </w:r>
            <w:r>
              <w:rPr>
                <w:rFonts w:ascii="Arial" w:hAnsi="Arial" w:cs="Arial"/>
                <w:szCs w:val="24"/>
              </w:rPr>
              <w:t>044</w:t>
            </w:r>
            <w:r w:rsidRPr="005B125C">
              <w:rPr>
                <w:rFonts w:ascii="Arial" w:hAnsi="Arial" w:cs="Arial"/>
                <w:szCs w:val="24"/>
              </w:rPr>
              <w:t>,</w:t>
            </w:r>
            <w:r>
              <w:rPr>
                <w:rFonts w:ascii="Arial" w:hAnsi="Arial" w:cs="Arial"/>
                <w:szCs w:val="24"/>
              </w:rPr>
              <w:t xml:space="preserve">107 </w:t>
            </w: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893569">
            <w:pPr>
              <w:ind w:right="-482"/>
              <w:rPr>
                <w:rFonts w:ascii="Arial" w:hAnsi="Arial" w:cs="Arial"/>
                <w:szCs w:val="24"/>
              </w:rPr>
            </w:pPr>
            <w:r>
              <w:rPr>
                <w:rFonts w:ascii="Arial" w:hAnsi="Arial" w:cs="Arial"/>
                <w:szCs w:val="24"/>
              </w:rPr>
              <w:t xml:space="preserve">           2</w:t>
            </w:r>
            <w:r w:rsidRPr="005B125C">
              <w:rPr>
                <w:rFonts w:ascii="Arial" w:hAnsi="Arial" w:cs="Arial"/>
                <w:szCs w:val="24"/>
              </w:rPr>
              <w:t>,</w:t>
            </w:r>
            <w:r>
              <w:rPr>
                <w:rFonts w:ascii="Arial" w:hAnsi="Arial" w:cs="Arial"/>
                <w:szCs w:val="24"/>
              </w:rPr>
              <w:t>846</w:t>
            </w:r>
            <w:r w:rsidRPr="005B125C">
              <w:rPr>
                <w:rFonts w:ascii="Arial" w:hAnsi="Arial" w:cs="Arial"/>
                <w:szCs w:val="24"/>
              </w:rPr>
              <w:t>,</w:t>
            </w:r>
            <w:r>
              <w:rPr>
                <w:rFonts w:ascii="Arial" w:hAnsi="Arial" w:cs="Arial"/>
                <w:szCs w:val="24"/>
              </w:rPr>
              <w:t>056</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r>
              <w:rPr>
                <w:rFonts w:ascii="Arial" w:hAnsi="Arial" w:cs="Arial"/>
                <w:szCs w:val="24"/>
              </w:rPr>
              <w:t>Rate OP</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893569">
            <w:pPr>
              <w:jc w:val="center"/>
              <w:rPr>
                <w:rFonts w:ascii="Arial" w:hAnsi="Arial" w:cs="Arial"/>
                <w:szCs w:val="24"/>
              </w:rPr>
            </w:pPr>
            <w:r>
              <w:rPr>
                <w:rFonts w:ascii="Arial" w:hAnsi="Arial" w:cs="Arial"/>
                <w:szCs w:val="24"/>
              </w:rPr>
              <w:t xml:space="preserve">          1,246</w:t>
            </w:r>
            <w:r w:rsidRPr="00B03D93">
              <w:rPr>
                <w:rFonts w:ascii="Arial" w:hAnsi="Arial" w:cs="Arial"/>
                <w:szCs w:val="24"/>
              </w:rPr>
              <w:t>,</w:t>
            </w:r>
            <w:r>
              <w:rPr>
                <w:rFonts w:ascii="Arial" w:hAnsi="Arial" w:cs="Arial"/>
                <w:szCs w:val="24"/>
              </w:rPr>
              <w:t>770</w:t>
            </w: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893569">
            <w:pPr>
              <w:ind w:right="-351"/>
              <w:rPr>
                <w:rFonts w:ascii="Arial" w:hAnsi="Arial" w:cs="Arial"/>
                <w:szCs w:val="24"/>
              </w:rPr>
            </w:pPr>
            <w:r w:rsidRPr="00BE0936">
              <w:rPr>
                <w:rFonts w:ascii="Arial" w:hAnsi="Arial" w:cs="Arial"/>
                <w:szCs w:val="24"/>
              </w:rPr>
              <w:t xml:space="preserve"> </w:t>
            </w:r>
            <w:r>
              <w:rPr>
                <w:rFonts w:ascii="Arial" w:hAnsi="Arial" w:cs="Arial"/>
                <w:szCs w:val="24"/>
              </w:rPr>
              <w:t xml:space="preserve">        </w:t>
            </w:r>
            <w:r w:rsidRPr="005B125C">
              <w:rPr>
                <w:rFonts w:ascii="Arial" w:hAnsi="Arial" w:cs="Arial"/>
                <w:szCs w:val="24"/>
              </w:rPr>
              <w:t>2,2</w:t>
            </w:r>
            <w:r>
              <w:rPr>
                <w:rFonts w:ascii="Arial" w:hAnsi="Arial" w:cs="Arial"/>
                <w:szCs w:val="24"/>
              </w:rPr>
              <w:t>97</w:t>
            </w:r>
            <w:r w:rsidRPr="005B125C">
              <w:rPr>
                <w:rFonts w:ascii="Arial" w:hAnsi="Arial" w:cs="Arial"/>
                <w:szCs w:val="24"/>
              </w:rPr>
              <w:t>,2</w:t>
            </w:r>
            <w:r>
              <w:rPr>
                <w:rFonts w:ascii="Arial" w:hAnsi="Arial" w:cs="Arial"/>
                <w:szCs w:val="24"/>
              </w:rPr>
              <w:t>7</w:t>
            </w:r>
            <w:r w:rsidRPr="005B125C">
              <w:rPr>
                <w:rFonts w:ascii="Arial" w:hAnsi="Arial" w:cs="Arial"/>
                <w:szCs w:val="24"/>
              </w:rPr>
              <w:t>3</w:t>
            </w: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893569">
            <w:pPr>
              <w:ind w:right="-572"/>
              <w:rPr>
                <w:rFonts w:ascii="Arial" w:hAnsi="Arial" w:cs="Arial"/>
                <w:szCs w:val="24"/>
              </w:rPr>
            </w:pPr>
            <w:r>
              <w:rPr>
                <w:rFonts w:ascii="Arial" w:hAnsi="Arial" w:cs="Arial"/>
                <w:szCs w:val="24"/>
              </w:rPr>
              <w:t xml:space="preserve">          </w:t>
            </w:r>
            <w:r w:rsidRPr="005B125C">
              <w:rPr>
                <w:rFonts w:ascii="Arial" w:hAnsi="Arial" w:cs="Arial"/>
                <w:szCs w:val="24"/>
              </w:rPr>
              <w:t>(1,</w:t>
            </w:r>
            <w:r>
              <w:rPr>
                <w:rFonts w:ascii="Arial" w:hAnsi="Arial" w:cs="Arial"/>
                <w:szCs w:val="24"/>
              </w:rPr>
              <w:t>050</w:t>
            </w:r>
            <w:r w:rsidRPr="005B125C">
              <w:rPr>
                <w:rFonts w:ascii="Arial" w:hAnsi="Arial" w:cs="Arial"/>
                <w:szCs w:val="24"/>
              </w:rPr>
              <w:t>,</w:t>
            </w:r>
            <w:r>
              <w:rPr>
                <w:rFonts w:ascii="Arial" w:hAnsi="Arial" w:cs="Arial"/>
                <w:szCs w:val="24"/>
              </w:rPr>
              <w:t>50</w:t>
            </w:r>
            <w:r w:rsidRPr="005B125C">
              <w:rPr>
                <w:rFonts w:ascii="Arial" w:hAnsi="Arial" w:cs="Arial"/>
                <w:szCs w:val="24"/>
              </w:rPr>
              <w:t>3)</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r>
              <w:rPr>
                <w:rFonts w:ascii="Arial" w:hAnsi="Arial" w:cs="Arial"/>
                <w:szCs w:val="24"/>
              </w:rPr>
              <w:t>Rate GS</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245DB5">
            <w:pPr>
              <w:jc w:val="center"/>
              <w:rPr>
                <w:rFonts w:ascii="Arial" w:hAnsi="Arial" w:cs="Arial"/>
                <w:szCs w:val="24"/>
              </w:rPr>
            </w:pPr>
            <w:r>
              <w:rPr>
                <w:rFonts w:ascii="Arial" w:hAnsi="Arial" w:cs="Arial"/>
                <w:szCs w:val="24"/>
              </w:rPr>
              <w:t xml:space="preserve">        </w:t>
            </w:r>
            <w:r w:rsidRPr="00B03D93">
              <w:rPr>
                <w:rFonts w:ascii="Arial" w:hAnsi="Arial" w:cs="Arial"/>
                <w:szCs w:val="24"/>
              </w:rPr>
              <w:t>1</w:t>
            </w:r>
            <w:r>
              <w:rPr>
                <w:rFonts w:ascii="Arial" w:hAnsi="Arial" w:cs="Arial"/>
                <w:szCs w:val="24"/>
              </w:rPr>
              <w:t>7</w:t>
            </w:r>
            <w:r w:rsidRPr="00B03D93">
              <w:rPr>
                <w:rFonts w:ascii="Arial" w:hAnsi="Arial" w:cs="Arial"/>
                <w:szCs w:val="24"/>
              </w:rPr>
              <w:t>,</w:t>
            </w:r>
            <w:r>
              <w:rPr>
                <w:rFonts w:ascii="Arial" w:hAnsi="Arial" w:cs="Arial"/>
                <w:szCs w:val="24"/>
              </w:rPr>
              <w:t>593</w:t>
            </w:r>
            <w:r w:rsidRPr="00B03D93">
              <w:rPr>
                <w:rFonts w:ascii="Arial" w:hAnsi="Arial" w:cs="Arial"/>
                <w:szCs w:val="24"/>
              </w:rPr>
              <w:t>,</w:t>
            </w:r>
            <w:r>
              <w:rPr>
                <w:rFonts w:ascii="Arial" w:hAnsi="Arial" w:cs="Arial"/>
                <w:szCs w:val="24"/>
              </w:rPr>
              <w:t>792</w:t>
            </w: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893569">
            <w:pPr>
              <w:ind w:right="-351"/>
              <w:rPr>
                <w:rFonts w:ascii="Arial" w:hAnsi="Arial" w:cs="Arial"/>
                <w:szCs w:val="24"/>
              </w:rPr>
            </w:pPr>
            <w:r>
              <w:rPr>
                <w:rFonts w:ascii="Arial" w:hAnsi="Arial" w:cs="Arial"/>
                <w:szCs w:val="24"/>
              </w:rPr>
              <w:t xml:space="preserve">       18</w:t>
            </w:r>
            <w:r w:rsidRPr="005B125C">
              <w:rPr>
                <w:rFonts w:ascii="Arial" w:hAnsi="Arial" w:cs="Arial"/>
                <w:szCs w:val="24"/>
              </w:rPr>
              <w:t>,</w:t>
            </w:r>
            <w:r>
              <w:rPr>
                <w:rFonts w:ascii="Arial" w:hAnsi="Arial" w:cs="Arial"/>
                <w:szCs w:val="24"/>
              </w:rPr>
              <w:t>838</w:t>
            </w:r>
            <w:r w:rsidRPr="005B125C">
              <w:rPr>
                <w:rFonts w:ascii="Arial" w:hAnsi="Arial" w:cs="Arial"/>
                <w:szCs w:val="24"/>
              </w:rPr>
              <w:t>,</w:t>
            </w:r>
            <w:r>
              <w:rPr>
                <w:rFonts w:ascii="Arial" w:hAnsi="Arial" w:cs="Arial"/>
                <w:szCs w:val="24"/>
              </w:rPr>
              <w:t>697</w:t>
            </w: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893569">
            <w:pPr>
              <w:ind w:right="-572"/>
              <w:rPr>
                <w:rFonts w:ascii="Arial" w:hAnsi="Arial" w:cs="Arial"/>
                <w:szCs w:val="24"/>
              </w:rPr>
            </w:pPr>
            <w:r>
              <w:rPr>
                <w:rFonts w:ascii="Arial" w:hAnsi="Arial" w:cs="Arial"/>
                <w:szCs w:val="24"/>
              </w:rPr>
              <w:t xml:space="preserve">          </w:t>
            </w:r>
            <w:r w:rsidRPr="005B125C">
              <w:rPr>
                <w:rFonts w:ascii="Arial" w:hAnsi="Arial" w:cs="Arial"/>
                <w:szCs w:val="24"/>
              </w:rPr>
              <w:t>(</w:t>
            </w:r>
            <w:r>
              <w:rPr>
                <w:rFonts w:ascii="Arial" w:hAnsi="Arial" w:cs="Arial"/>
                <w:szCs w:val="24"/>
              </w:rPr>
              <w:t>1</w:t>
            </w:r>
            <w:r w:rsidRPr="005B125C">
              <w:rPr>
                <w:rFonts w:ascii="Arial" w:hAnsi="Arial" w:cs="Arial"/>
                <w:szCs w:val="24"/>
              </w:rPr>
              <w:t>,</w:t>
            </w:r>
            <w:r>
              <w:rPr>
                <w:rFonts w:ascii="Arial" w:hAnsi="Arial" w:cs="Arial"/>
                <w:szCs w:val="24"/>
              </w:rPr>
              <w:t>244</w:t>
            </w:r>
            <w:r w:rsidRPr="005B125C">
              <w:rPr>
                <w:rFonts w:ascii="Arial" w:hAnsi="Arial" w:cs="Arial"/>
                <w:szCs w:val="24"/>
              </w:rPr>
              <w:t>,</w:t>
            </w:r>
            <w:r>
              <w:rPr>
                <w:rFonts w:ascii="Arial" w:hAnsi="Arial" w:cs="Arial"/>
                <w:szCs w:val="24"/>
              </w:rPr>
              <w:t>905</w:t>
            </w:r>
            <w:r w:rsidRPr="005B125C">
              <w:rPr>
                <w:rFonts w:ascii="Arial" w:hAnsi="Arial" w:cs="Arial"/>
                <w:szCs w:val="24"/>
              </w:rPr>
              <w:t>)</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r>
              <w:rPr>
                <w:rFonts w:ascii="Arial" w:hAnsi="Arial" w:cs="Arial"/>
                <w:szCs w:val="24"/>
              </w:rPr>
              <w:t>Rates PD, HT, EP</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975900">
            <w:pPr>
              <w:jc w:val="center"/>
              <w:rPr>
                <w:rFonts w:ascii="Arial" w:hAnsi="Arial" w:cs="Arial"/>
                <w:szCs w:val="24"/>
              </w:rPr>
            </w:pPr>
            <w:r>
              <w:rPr>
                <w:rFonts w:ascii="Arial" w:hAnsi="Arial" w:cs="Arial"/>
                <w:szCs w:val="24"/>
              </w:rPr>
              <w:t xml:space="preserve">          3</w:t>
            </w:r>
            <w:r w:rsidRPr="00B03D93">
              <w:rPr>
                <w:rFonts w:ascii="Arial" w:hAnsi="Arial" w:cs="Arial"/>
                <w:szCs w:val="24"/>
              </w:rPr>
              <w:t>,</w:t>
            </w:r>
            <w:r>
              <w:rPr>
                <w:rFonts w:ascii="Arial" w:hAnsi="Arial" w:cs="Arial"/>
                <w:szCs w:val="24"/>
              </w:rPr>
              <w:t>214</w:t>
            </w:r>
            <w:r w:rsidRPr="00B03D93">
              <w:rPr>
                <w:rFonts w:ascii="Arial" w:hAnsi="Arial" w:cs="Arial"/>
                <w:szCs w:val="24"/>
              </w:rPr>
              <w:t>,</w:t>
            </w:r>
            <w:r>
              <w:rPr>
                <w:rFonts w:ascii="Arial" w:hAnsi="Arial" w:cs="Arial"/>
                <w:szCs w:val="24"/>
              </w:rPr>
              <w:t>986</w:t>
            </w: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975900">
            <w:pPr>
              <w:ind w:right="-261"/>
              <w:rPr>
                <w:rFonts w:ascii="Arial" w:hAnsi="Arial" w:cs="Arial"/>
                <w:szCs w:val="24"/>
              </w:rPr>
            </w:pPr>
            <w:r>
              <w:rPr>
                <w:rFonts w:ascii="Arial" w:hAnsi="Arial" w:cs="Arial"/>
                <w:szCs w:val="24"/>
              </w:rPr>
              <w:t xml:space="preserve">         2</w:t>
            </w:r>
            <w:r w:rsidRPr="005B125C">
              <w:rPr>
                <w:rFonts w:ascii="Arial" w:hAnsi="Arial" w:cs="Arial"/>
                <w:szCs w:val="24"/>
              </w:rPr>
              <w:t>,</w:t>
            </w:r>
            <w:r>
              <w:rPr>
                <w:rFonts w:ascii="Arial" w:hAnsi="Arial" w:cs="Arial"/>
                <w:szCs w:val="24"/>
              </w:rPr>
              <w:t>962</w:t>
            </w:r>
            <w:r w:rsidRPr="005B125C">
              <w:rPr>
                <w:rFonts w:ascii="Arial" w:hAnsi="Arial" w:cs="Arial"/>
                <w:szCs w:val="24"/>
              </w:rPr>
              <w:t>,</w:t>
            </w:r>
            <w:r>
              <w:rPr>
                <w:rFonts w:ascii="Arial" w:hAnsi="Arial" w:cs="Arial"/>
                <w:szCs w:val="24"/>
              </w:rPr>
              <w:t>905</w:t>
            </w: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975900">
            <w:pPr>
              <w:ind w:right="-482"/>
              <w:rPr>
                <w:rFonts w:ascii="Arial" w:hAnsi="Arial" w:cs="Arial"/>
                <w:szCs w:val="24"/>
              </w:rPr>
            </w:pPr>
            <w:r>
              <w:rPr>
                <w:rFonts w:ascii="Arial" w:hAnsi="Arial" w:cs="Arial"/>
                <w:szCs w:val="24"/>
              </w:rPr>
              <w:t xml:space="preserve">              252</w:t>
            </w:r>
            <w:r w:rsidRPr="005B125C">
              <w:rPr>
                <w:rFonts w:ascii="Arial" w:hAnsi="Arial" w:cs="Arial"/>
                <w:szCs w:val="24"/>
              </w:rPr>
              <w:t>,</w:t>
            </w:r>
            <w:r>
              <w:rPr>
                <w:rFonts w:ascii="Arial" w:hAnsi="Arial" w:cs="Arial"/>
                <w:szCs w:val="24"/>
              </w:rPr>
              <w:t>082</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bottom w:val="nil"/>
              <w:right w:val="nil"/>
            </w:tcBorders>
            <w:shd w:val="clear" w:color="auto" w:fill="auto"/>
            <w:noWrap/>
            <w:vAlign w:val="bottom"/>
          </w:tcPr>
          <w:p w:rsidR="00A461B4" w:rsidRPr="00BE0936" w:rsidRDefault="00A461B4" w:rsidP="00154CF8">
            <w:pPr>
              <w:tabs>
                <w:tab w:val="decimal" w:pos="1569"/>
              </w:tabs>
              <w:jc w:val="center"/>
              <w:rPr>
                <w:rFonts w:ascii="Arial" w:hAnsi="Arial" w:cs="Arial"/>
                <w:szCs w:val="24"/>
              </w:rPr>
            </w:pP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ind w:right="-270"/>
              <w:rPr>
                <w:rFonts w:ascii="Arial" w:hAnsi="Arial" w:cs="Arial"/>
                <w:szCs w:val="24"/>
              </w:rPr>
            </w:pPr>
            <w:r>
              <w:rPr>
                <w:rFonts w:ascii="Arial" w:hAnsi="Arial" w:cs="Arial"/>
                <w:szCs w:val="24"/>
              </w:rPr>
              <w:t>Rates SLE, SLS,POL, AL, TLCL</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right w:val="nil"/>
            </w:tcBorders>
            <w:shd w:val="clear" w:color="auto" w:fill="auto"/>
            <w:noWrap/>
            <w:vAlign w:val="bottom"/>
          </w:tcPr>
          <w:p w:rsidR="00A461B4" w:rsidRPr="00F6068B" w:rsidRDefault="00A461B4" w:rsidP="0021790A">
            <w:pPr>
              <w:ind w:right="76"/>
              <w:jc w:val="center"/>
              <w:rPr>
                <w:rFonts w:ascii="Arial" w:hAnsi="Arial" w:cs="Arial"/>
                <w:szCs w:val="24"/>
                <w:u w:val="single"/>
              </w:rPr>
            </w:pPr>
            <w:r w:rsidRPr="00F6068B">
              <w:rPr>
                <w:rFonts w:ascii="Arial" w:hAnsi="Arial" w:cs="Arial"/>
                <w:szCs w:val="24"/>
              </w:rPr>
              <w:t xml:space="preserve">  </w:t>
            </w:r>
            <w:r w:rsidRPr="0021790A">
              <w:rPr>
                <w:rFonts w:ascii="Arial" w:hAnsi="Arial" w:cs="Arial"/>
                <w:szCs w:val="24"/>
              </w:rPr>
              <w:t xml:space="preserve"> </w:t>
            </w:r>
            <w:r>
              <w:rPr>
                <w:rFonts w:ascii="Arial" w:hAnsi="Arial" w:cs="Arial"/>
                <w:szCs w:val="24"/>
                <w:u w:val="single"/>
              </w:rPr>
              <w:t xml:space="preserve">           19,</w:t>
            </w:r>
            <w:r w:rsidRPr="00F6068B">
              <w:rPr>
                <w:rFonts w:ascii="Arial" w:hAnsi="Arial" w:cs="Arial"/>
                <w:szCs w:val="24"/>
                <w:u w:val="single"/>
              </w:rPr>
              <w:t>497</w:t>
            </w:r>
          </w:p>
        </w:tc>
        <w:tc>
          <w:tcPr>
            <w:tcW w:w="270"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1809" w:type="dxa"/>
            <w:tcBorders>
              <w:top w:val="nil"/>
              <w:left w:val="nil"/>
              <w:bottom w:val="nil"/>
              <w:right w:val="nil"/>
            </w:tcBorders>
            <w:shd w:val="clear" w:color="auto" w:fill="auto"/>
            <w:noWrap/>
            <w:vAlign w:val="bottom"/>
          </w:tcPr>
          <w:p w:rsidR="00A461B4" w:rsidRPr="00F6068B" w:rsidRDefault="00A461B4" w:rsidP="00975900">
            <w:pPr>
              <w:ind w:right="-351"/>
              <w:rPr>
                <w:rFonts w:ascii="Arial" w:hAnsi="Arial" w:cs="Arial"/>
                <w:szCs w:val="24"/>
                <w:u w:val="single"/>
              </w:rPr>
            </w:pPr>
            <w:r w:rsidRPr="00F6068B">
              <w:rPr>
                <w:rFonts w:ascii="Arial" w:hAnsi="Arial" w:cs="Arial"/>
                <w:szCs w:val="24"/>
              </w:rPr>
              <w:t xml:space="preserve"> </w:t>
            </w:r>
            <w:r w:rsidRPr="0021790A">
              <w:rPr>
                <w:rFonts w:ascii="Arial" w:hAnsi="Arial" w:cs="Arial"/>
                <w:szCs w:val="24"/>
              </w:rPr>
              <w:t xml:space="preserve"> </w:t>
            </w:r>
            <w:r w:rsidRPr="00F6068B">
              <w:rPr>
                <w:rFonts w:ascii="Arial" w:hAnsi="Arial" w:cs="Arial"/>
                <w:szCs w:val="24"/>
                <w:u w:val="single"/>
              </w:rPr>
              <w:t xml:space="preserve">            </w:t>
            </w:r>
            <w:r>
              <w:rPr>
                <w:rFonts w:ascii="Arial" w:hAnsi="Arial" w:cs="Arial"/>
                <w:szCs w:val="24"/>
                <w:u w:val="single"/>
              </w:rPr>
              <w:t>2</w:t>
            </w:r>
            <w:r w:rsidRPr="00F6068B">
              <w:rPr>
                <w:rFonts w:ascii="Arial" w:hAnsi="Arial" w:cs="Arial"/>
                <w:szCs w:val="24"/>
                <w:u w:val="single"/>
              </w:rPr>
              <w:t>8,</w:t>
            </w:r>
            <w:r>
              <w:rPr>
                <w:rFonts w:ascii="Arial" w:hAnsi="Arial" w:cs="Arial"/>
                <w:szCs w:val="24"/>
                <w:u w:val="single"/>
              </w:rPr>
              <w:t>487</w:t>
            </w:r>
          </w:p>
        </w:tc>
        <w:tc>
          <w:tcPr>
            <w:tcW w:w="261"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142" w:type="dxa"/>
            <w:tcBorders>
              <w:top w:val="nil"/>
              <w:left w:val="nil"/>
              <w:bottom w:val="nil"/>
              <w:right w:val="nil"/>
            </w:tcBorders>
            <w:shd w:val="clear" w:color="auto" w:fill="auto"/>
            <w:noWrap/>
            <w:vAlign w:val="bottom"/>
          </w:tcPr>
          <w:p w:rsidR="00A461B4" w:rsidRPr="00F6068B" w:rsidRDefault="00A461B4" w:rsidP="00975900">
            <w:pPr>
              <w:ind w:right="-572"/>
              <w:rPr>
                <w:rFonts w:ascii="Arial" w:hAnsi="Arial" w:cs="Arial"/>
                <w:szCs w:val="24"/>
                <w:u w:val="single"/>
              </w:rPr>
            </w:pPr>
            <w:r>
              <w:rPr>
                <w:rFonts w:ascii="Arial" w:hAnsi="Arial" w:cs="Arial"/>
                <w:szCs w:val="24"/>
              </w:rPr>
              <w:t xml:space="preserve">   </w:t>
            </w:r>
            <w:r w:rsidRPr="0021790A">
              <w:rPr>
                <w:rFonts w:ascii="Arial" w:hAnsi="Arial" w:cs="Arial"/>
                <w:szCs w:val="24"/>
              </w:rPr>
              <w:t xml:space="preserve">  </w:t>
            </w:r>
            <w:r w:rsidRPr="00F6068B">
              <w:rPr>
                <w:rFonts w:ascii="Arial" w:hAnsi="Arial" w:cs="Arial"/>
                <w:szCs w:val="24"/>
                <w:u w:val="single"/>
              </w:rPr>
              <w:t xml:space="preserve">      </w:t>
            </w:r>
            <w:r>
              <w:rPr>
                <w:rFonts w:ascii="Arial" w:hAnsi="Arial" w:cs="Arial"/>
                <w:szCs w:val="24"/>
                <w:u w:val="single"/>
              </w:rPr>
              <w:t xml:space="preserve"> </w:t>
            </w:r>
            <w:r w:rsidRPr="00F6068B">
              <w:rPr>
                <w:rFonts w:ascii="Arial" w:hAnsi="Arial" w:cs="Arial"/>
                <w:szCs w:val="24"/>
                <w:u w:val="single"/>
              </w:rPr>
              <w:t xml:space="preserve">    </w:t>
            </w:r>
            <w:r>
              <w:rPr>
                <w:rFonts w:ascii="Arial" w:hAnsi="Arial" w:cs="Arial"/>
                <w:szCs w:val="24"/>
                <w:u w:val="single"/>
              </w:rPr>
              <w:t xml:space="preserve"> (</w:t>
            </w:r>
            <w:r w:rsidRPr="00F6068B">
              <w:rPr>
                <w:rFonts w:ascii="Arial" w:hAnsi="Arial" w:cs="Arial"/>
                <w:szCs w:val="24"/>
                <w:u w:val="single"/>
              </w:rPr>
              <w:t>8,</w:t>
            </w:r>
            <w:r>
              <w:rPr>
                <w:rFonts w:ascii="Arial" w:hAnsi="Arial" w:cs="Arial"/>
                <w:szCs w:val="24"/>
                <w:u w:val="single"/>
              </w:rPr>
              <w:t>990</w:t>
            </w:r>
            <w:r w:rsidRPr="00F6068B">
              <w:rPr>
                <w:rFonts w:ascii="Arial" w:hAnsi="Arial" w:cs="Arial"/>
                <w:szCs w:val="24"/>
                <w:u w:val="single"/>
              </w:rPr>
              <w:t>)</w:t>
            </w:r>
          </w:p>
        </w:tc>
      </w:tr>
      <w:tr w:rsidR="00A461B4" w:rsidRPr="00BE0936" w:rsidTr="00154CF8">
        <w:trPr>
          <w:trHeight w:val="144"/>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jc w:val="right"/>
              <w:rPr>
                <w:rFonts w:ascii="Arial" w:hAnsi="Arial" w:cs="Arial"/>
                <w:szCs w:val="24"/>
              </w:rPr>
            </w:pPr>
          </w:p>
        </w:tc>
        <w:tc>
          <w:tcPr>
            <w:tcW w:w="2077" w:type="dxa"/>
            <w:tcBorders>
              <w:top w:val="nil"/>
              <w:left w:val="nil"/>
              <w:right w:val="nil"/>
            </w:tcBorders>
            <w:shd w:val="clear" w:color="auto" w:fill="auto"/>
            <w:noWrap/>
            <w:vAlign w:val="bottom"/>
          </w:tcPr>
          <w:p w:rsidR="00A461B4" w:rsidRPr="00BE0936" w:rsidRDefault="00A461B4" w:rsidP="00154CF8">
            <w:pPr>
              <w:tabs>
                <w:tab w:val="decimal" w:pos="1569"/>
              </w:tabs>
              <w:rPr>
                <w:rFonts w:ascii="Arial" w:hAnsi="Arial" w:cs="Arial"/>
                <w:szCs w:val="24"/>
              </w:rPr>
            </w:pPr>
          </w:p>
        </w:tc>
        <w:tc>
          <w:tcPr>
            <w:tcW w:w="270" w:type="dxa"/>
            <w:tcBorders>
              <w:top w:val="nil"/>
              <w:left w:val="nil"/>
              <w:right w:val="nil"/>
            </w:tcBorders>
          </w:tcPr>
          <w:p w:rsidR="00A461B4" w:rsidRPr="00BE0936" w:rsidRDefault="00A461B4" w:rsidP="00154CF8">
            <w:pPr>
              <w:jc w:val="right"/>
              <w:rPr>
                <w:rFonts w:ascii="Arial" w:hAnsi="Arial" w:cs="Arial"/>
                <w:szCs w:val="24"/>
              </w:rPr>
            </w:pPr>
          </w:p>
        </w:tc>
        <w:tc>
          <w:tcPr>
            <w:tcW w:w="1809" w:type="dxa"/>
            <w:tcBorders>
              <w:top w:val="nil"/>
              <w:left w:val="nil"/>
              <w:right w:val="nil"/>
            </w:tcBorders>
            <w:shd w:val="clear" w:color="auto" w:fill="auto"/>
            <w:noWrap/>
            <w:vAlign w:val="bottom"/>
          </w:tcPr>
          <w:p w:rsidR="00A461B4" w:rsidRPr="00BE0936" w:rsidRDefault="00A461B4" w:rsidP="00154CF8">
            <w:pPr>
              <w:tabs>
                <w:tab w:val="decimal" w:pos="1476"/>
              </w:tabs>
              <w:rPr>
                <w:rFonts w:ascii="Arial" w:hAnsi="Arial" w:cs="Arial"/>
                <w:szCs w:val="24"/>
              </w:rPr>
            </w:pPr>
          </w:p>
        </w:tc>
        <w:tc>
          <w:tcPr>
            <w:tcW w:w="261" w:type="dxa"/>
            <w:tcBorders>
              <w:top w:val="nil"/>
              <w:left w:val="nil"/>
              <w:right w:val="nil"/>
            </w:tcBorders>
          </w:tcPr>
          <w:p w:rsidR="00A461B4" w:rsidRPr="00BE0936" w:rsidRDefault="00A461B4" w:rsidP="00154CF8">
            <w:pPr>
              <w:jc w:val="right"/>
              <w:rPr>
                <w:rFonts w:ascii="Arial" w:hAnsi="Arial" w:cs="Arial"/>
                <w:szCs w:val="24"/>
              </w:rPr>
            </w:pPr>
          </w:p>
        </w:tc>
        <w:tc>
          <w:tcPr>
            <w:tcW w:w="2142" w:type="dxa"/>
            <w:tcBorders>
              <w:top w:val="nil"/>
              <w:left w:val="nil"/>
              <w:right w:val="nil"/>
            </w:tcBorders>
            <w:shd w:val="clear" w:color="auto" w:fill="auto"/>
            <w:noWrap/>
            <w:vAlign w:val="bottom"/>
          </w:tcPr>
          <w:p w:rsidR="00A461B4" w:rsidRPr="00BE0936" w:rsidRDefault="00A461B4" w:rsidP="00154CF8">
            <w:pPr>
              <w:rPr>
                <w:rFonts w:ascii="Arial" w:hAnsi="Arial" w:cs="Arial"/>
                <w:szCs w:val="24"/>
              </w:rPr>
            </w:pPr>
          </w:p>
        </w:tc>
      </w:tr>
      <w:tr w:rsidR="00A461B4" w:rsidRPr="00BE0936" w:rsidTr="00154CF8">
        <w:trPr>
          <w:trHeight w:val="288"/>
          <w:jc w:val="center"/>
        </w:trPr>
        <w:tc>
          <w:tcPr>
            <w:tcW w:w="2718" w:type="dxa"/>
            <w:tcBorders>
              <w:top w:val="nil"/>
              <w:left w:val="nil"/>
              <w:bottom w:val="nil"/>
              <w:right w:val="nil"/>
            </w:tcBorders>
            <w:shd w:val="clear" w:color="auto" w:fill="auto"/>
            <w:vAlign w:val="bottom"/>
          </w:tcPr>
          <w:p w:rsidR="00A461B4" w:rsidRPr="00BE0936" w:rsidRDefault="00A461B4" w:rsidP="00154CF8">
            <w:pPr>
              <w:rPr>
                <w:rFonts w:ascii="Arial" w:hAnsi="Arial" w:cs="Arial"/>
                <w:szCs w:val="24"/>
              </w:rPr>
            </w:pPr>
            <w:r>
              <w:rPr>
                <w:rFonts w:ascii="Arial" w:hAnsi="Arial" w:cs="Arial"/>
                <w:szCs w:val="24"/>
              </w:rPr>
              <w:t xml:space="preserve">     </w:t>
            </w:r>
            <w:r w:rsidRPr="00BE0936">
              <w:rPr>
                <w:rFonts w:ascii="Arial" w:hAnsi="Arial" w:cs="Arial"/>
                <w:szCs w:val="24"/>
              </w:rPr>
              <w:t>Totals</w:t>
            </w:r>
          </w:p>
        </w:tc>
        <w:tc>
          <w:tcPr>
            <w:tcW w:w="236" w:type="dxa"/>
            <w:tcBorders>
              <w:top w:val="nil"/>
              <w:left w:val="nil"/>
              <w:bottom w:val="nil"/>
              <w:right w:val="nil"/>
            </w:tcBorders>
          </w:tcPr>
          <w:p w:rsidR="00A461B4" w:rsidRPr="00BE0936" w:rsidRDefault="00A461B4" w:rsidP="00154CF8">
            <w:pPr>
              <w:jc w:val="right"/>
              <w:rPr>
                <w:rFonts w:ascii="Arial" w:hAnsi="Arial" w:cs="Arial"/>
                <w:szCs w:val="24"/>
                <w:u w:val="double"/>
              </w:rPr>
            </w:pPr>
          </w:p>
        </w:tc>
        <w:tc>
          <w:tcPr>
            <w:tcW w:w="2077" w:type="dxa"/>
            <w:tcBorders>
              <w:left w:val="nil"/>
              <w:right w:val="nil"/>
            </w:tcBorders>
            <w:shd w:val="clear" w:color="auto" w:fill="auto"/>
            <w:noWrap/>
            <w:vAlign w:val="bottom"/>
          </w:tcPr>
          <w:p w:rsidR="00A461B4" w:rsidRPr="001C4463" w:rsidRDefault="00A461B4" w:rsidP="0021790A">
            <w:pPr>
              <w:jc w:val="center"/>
              <w:rPr>
                <w:rFonts w:ascii="Arial" w:hAnsi="Arial" w:cs="Arial"/>
                <w:szCs w:val="24"/>
                <w:u w:val="double"/>
              </w:rPr>
            </w:pPr>
            <w:r>
              <w:rPr>
                <w:rFonts w:ascii="Arial" w:hAnsi="Arial" w:cs="Arial"/>
                <w:szCs w:val="24"/>
              </w:rPr>
              <w:t xml:space="preserve"> </w:t>
            </w:r>
            <w:r w:rsidR="0021790A">
              <w:rPr>
                <w:rFonts w:ascii="Arial" w:hAnsi="Arial" w:cs="Arial"/>
                <w:szCs w:val="24"/>
              </w:rPr>
              <w:t xml:space="preserve"> </w:t>
            </w:r>
            <w:r w:rsidRPr="001C4463">
              <w:rPr>
                <w:rFonts w:ascii="Arial" w:hAnsi="Arial" w:cs="Arial"/>
                <w:szCs w:val="24"/>
                <w:u w:val="double"/>
              </w:rPr>
              <w:t xml:space="preserve">$   </w:t>
            </w:r>
            <w:r>
              <w:rPr>
                <w:rFonts w:ascii="Arial" w:hAnsi="Arial" w:cs="Arial"/>
                <w:szCs w:val="24"/>
                <w:u w:val="double"/>
              </w:rPr>
              <w:t>75</w:t>
            </w:r>
            <w:r w:rsidRPr="001C4463">
              <w:rPr>
                <w:rFonts w:ascii="Arial" w:hAnsi="Arial" w:cs="Arial"/>
                <w:szCs w:val="24"/>
                <w:u w:val="double"/>
              </w:rPr>
              <w:t>,</w:t>
            </w:r>
            <w:r>
              <w:rPr>
                <w:rFonts w:ascii="Arial" w:hAnsi="Arial" w:cs="Arial"/>
                <w:szCs w:val="24"/>
                <w:u w:val="double"/>
              </w:rPr>
              <w:t>004</w:t>
            </w:r>
            <w:r w:rsidRPr="001C4463">
              <w:rPr>
                <w:rFonts w:ascii="Arial" w:hAnsi="Arial" w:cs="Arial"/>
                <w:szCs w:val="24"/>
                <w:u w:val="double"/>
              </w:rPr>
              <w:t>,</w:t>
            </w:r>
            <w:r>
              <w:rPr>
                <w:rFonts w:ascii="Arial" w:hAnsi="Arial" w:cs="Arial"/>
                <w:szCs w:val="24"/>
                <w:u w:val="double"/>
              </w:rPr>
              <w:t>573</w:t>
            </w:r>
          </w:p>
        </w:tc>
        <w:tc>
          <w:tcPr>
            <w:tcW w:w="270" w:type="dxa"/>
            <w:tcBorders>
              <w:top w:val="nil"/>
              <w:left w:val="nil"/>
              <w:right w:val="nil"/>
            </w:tcBorders>
          </w:tcPr>
          <w:p w:rsidR="00A461B4" w:rsidRPr="00BE0936" w:rsidRDefault="00A461B4" w:rsidP="00154CF8">
            <w:pPr>
              <w:jc w:val="right"/>
              <w:rPr>
                <w:rFonts w:ascii="Arial" w:hAnsi="Arial" w:cs="Arial"/>
                <w:szCs w:val="24"/>
              </w:rPr>
            </w:pPr>
          </w:p>
        </w:tc>
        <w:tc>
          <w:tcPr>
            <w:tcW w:w="1809" w:type="dxa"/>
            <w:tcBorders>
              <w:left w:val="nil"/>
              <w:right w:val="nil"/>
            </w:tcBorders>
            <w:shd w:val="clear" w:color="auto" w:fill="auto"/>
            <w:noWrap/>
            <w:vAlign w:val="bottom"/>
          </w:tcPr>
          <w:p w:rsidR="00A461B4" w:rsidRPr="001C4463" w:rsidRDefault="00A461B4" w:rsidP="0021790A">
            <w:pPr>
              <w:ind w:right="-261"/>
              <w:rPr>
                <w:rFonts w:ascii="Arial" w:hAnsi="Arial" w:cs="Arial"/>
                <w:szCs w:val="24"/>
                <w:u w:val="double"/>
              </w:rPr>
            </w:pPr>
            <w:r w:rsidRPr="00F6068B">
              <w:rPr>
                <w:rFonts w:ascii="Arial" w:hAnsi="Arial" w:cs="Arial"/>
                <w:szCs w:val="24"/>
              </w:rPr>
              <w:t xml:space="preserve"> </w:t>
            </w:r>
            <w:r w:rsidR="0021790A">
              <w:rPr>
                <w:rFonts w:ascii="Arial" w:hAnsi="Arial" w:cs="Arial"/>
                <w:szCs w:val="24"/>
              </w:rPr>
              <w:t xml:space="preserve"> </w:t>
            </w:r>
            <w:r w:rsidRPr="001C4463">
              <w:rPr>
                <w:rFonts w:ascii="Arial" w:hAnsi="Arial" w:cs="Arial"/>
                <w:szCs w:val="24"/>
                <w:u w:val="double"/>
              </w:rPr>
              <w:t xml:space="preserve">$  </w:t>
            </w:r>
            <w:r>
              <w:rPr>
                <w:rFonts w:ascii="Arial" w:hAnsi="Arial" w:cs="Arial"/>
                <w:szCs w:val="24"/>
                <w:u w:val="double"/>
              </w:rPr>
              <w:t xml:space="preserve"> 82</w:t>
            </w:r>
            <w:r w:rsidRPr="001C4463">
              <w:rPr>
                <w:rFonts w:ascii="Arial" w:hAnsi="Arial" w:cs="Arial"/>
                <w:szCs w:val="24"/>
                <w:u w:val="double"/>
              </w:rPr>
              <w:t>,</w:t>
            </w:r>
            <w:r>
              <w:rPr>
                <w:rFonts w:ascii="Arial" w:hAnsi="Arial" w:cs="Arial"/>
                <w:szCs w:val="24"/>
                <w:u w:val="double"/>
              </w:rPr>
              <w:t>427</w:t>
            </w:r>
            <w:r w:rsidRPr="001C4463">
              <w:rPr>
                <w:rFonts w:ascii="Arial" w:hAnsi="Arial" w:cs="Arial"/>
                <w:szCs w:val="24"/>
                <w:u w:val="double"/>
              </w:rPr>
              <w:t>,</w:t>
            </w:r>
            <w:r>
              <w:rPr>
                <w:rFonts w:ascii="Arial" w:hAnsi="Arial" w:cs="Arial"/>
                <w:szCs w:val="24"/>
                <w:u w:val="double"/>
              </w:rPr>
              <w:t>725</w:t>
            </w:r>
            <w:r w:rsidRPr="001C4463">
              <w:rPr>
                <w:rFonts w:ascii="Arial" w:hAnsi="Arial" w:cs="Arial"/>
                <w:szCs w:val="24"/>
                <w:u w:val="double"/>
              </w:rPr>
              <w:t xml:space="preserve"> </w:t>
            </w:r>
          </w:p>
        </w:tc>
        <w:tc>
          <w:tcPr>
            <w:tcW w:w="261" w:type="dxa"/>
            <w:tcBorders>
              <w:top w:val="nil"/>
              <w:left w:val="nil"/>
              <w:right w:val="nil"/>
            </w:tcBorders>
          </w:tcPr>
          <w:p w:rsidR="00A461B4" w:rsidRPr="00BE0936" w:rsidRDefault="00A461B4" w:rsidP="00154CF8">
            <w:pPr>
              <w:jc w:val="right"/>
              <w:rPr>
                <w:rFonts w:ascii="Arial" w:hAnsi="Arial" w:cs="Arial"/>
                <w:szCs w:val="24"/>
              </w:rPr>
            </w:pPr>
          </w:p>
        </w:tc>
        <w:tc>
          <w:tcPr>
            <w:tcW w:w="2142" w:type="dxa"/>
            <w:tcBorders>
              <w:left w:val="nil"/>
              <w:right w:val="nil"/>
            </w:tcBorders>
            <w:shd w:val="clear" w:color="auto" w:fill="auto"/>
            <w:noWrap/>
            <w:vAlign w:val="bottom"/>
          </w:tcPr>
          <w:p w:rsidR="00A461B4" w:rsidRPr="00CD0C8C" w:rsidRDefault="00A461B4" w:rsidP="0021790A">
            <w:pPr>
              <w:ind w:right="-73"/>
              <w:rPr>
                <w:rFonts w:ascii="Arial" w:hAnsi="Arial" w:cs="Arial"/>
                <w:szCs w:val="24"/>
                <w:u w:val="double"/>
              </w:rPr>
            </w:pPr>
            <w:r>
              <w:rPr>
                <w:rFonts w:ascii="Arial" w:hAnsi="Arial" w:cs="Arial"/>
                <w:szCs w:val="24"/>
              </w:rPr>
              <w:t xml:space="preserve">    </w:t>
            </w:r>
            <w:r w:rsidR="0021790A">
              <w:rPr>
                <w:rFonts w:ascii="Arial" w:hAnsi="Arial" w:cs="Arial"/>
                <w:szCs w:val="24"/>
              </w:rPr>
              <w:t xml:space="preserve"> </w:t>
            </w:r>
            <w:r w:rsidRPr="00CD0C8C">
              <w:rPr>
                <w:rFonts w:ascii="Arial" w:hAnsi="Arial" w:cs="Arial"/>
                <w:szCs w:val="24"/>
                <w:u w:val="double"/>
              </w:rPr>
              <w:t xml:space="preserve">$ </w:t>
            </w:r>
            <w:r>
              <w:rPr>
                <w:rFonts w:ascii="Arial" w:hAnsi="Arial" w:cs="Arial"/>
                <w:szCs w:val="24"/>
                <w:u w:val="double"/>
              </w:rPr>
              <w:t xml:space="preserve"> </w:t>
            </w:r>
            <w:r w:rsidRPr="00CD0C8C">
              <w:rPr>
                <w:rFonts w:ascii="Arial" w:hAnsi="Arial" w:cs="Arial"/>
                <w:szCs w:val="24"/>
                <w:u w:val="double"/>
              </w:rPr>
              <w:t xml:space="preserve"> (</w:t>
            </w:r>
            <w:r>
              <w:rPr>
                <w:rFonts w:ascii="Arial" w:hAnsi="Arial" w:cs="Arial"/>
                <w:szCs w:val="24"/>
                <w:u w:val="double"/>
              </w:rPr>
              <w:t>7</w:t>
            </w:r>
            <w:r w:rsidRPr="00CD0C8C">
              <w:rPr>
                <w:rFonts w:ascii="Arial" w:hAnsi="Arial" w:cs="Arial"/>
                <w:szCs w:val="24"/>
                <w:u w:val="double"/>
              </w:rPr>
              <w:t>,</w:t>
            </w:r>
            <w:r>
              <w:rPr>
                <w:rFonts w:ascii="Arial" w:hAnsi="Arial" w:cs="Arial"/>
                <w:szCs w:val="24"/>
                <w:u w:val="double"/>
              </w:rPr>
              <w:t>423</w:t>
            </w:r>
            <w:r w:rsidRPr="00CD0C8C">
              <w:rPr>
                <w:rFonts w:ascii="Arial" w:hAnsi="Arial" w:cs="Arial"/>
                <w:szCs w:val="24"/>
                <w:u w:val="double"/>
              </w:rPr>
              <w:t>,</w:t>
            </w:r>
            <w:r>
              <w:rPr>
                <w:rFonts w:ascii="Arial" w:hAnsi="Arial" w:cs="Arial"/>
                <w:szCs w:val="24"/>
                <w:u w:val="double"/>
              </w:rPr>
              <w:t>152</w:t>
            </w:r>
            <w:r w:rsidRPr="00CD0C8C">
              <w:rPr>
                <w:rFonts w:ascii="Arial" w:hAnsi="Arial" w:cs="Arial"/>
                <w:szCs w:val="24"/>
                <w:u w:val="double"/>
              </w:rPr>
              <w:t>)</w:t>
            </w:r>
          </w:p>
        </w:tc>
      </w:tr>
      <w:tr w:rsidR="00A461B4" w:rsidRPr="00BE0936" w:rsidTr="00154CF8">
        <w:trPr>
          <w:trHeight w:val="288"/>
          <w:jc w:val="center"/>
        </w:trPr>
        <w:tc>
          <w:tcPr>
            <w:tcW w:w="2718" w:type="dxa"/>
            <w:tcBorders>
              <w:top w:val="nil"/>
              <w:left w:val="nil"/>
              <w:bottom w:val="nil"/>
              <w:right w:val="nil"/>
            </w:tcBorders>
            <w:shd w:val="clear" w:color="auto" w:fill="auto"/>
            <w:noWrap/>
            <w:vAlign w:val="bottom"/>
          </w:tcPr>
          <w:p w:rsidR="00A461B4" w:rsidRPr="00BE0936" w:rsidRDefault="00A461B4" w:rsidP="00154CF8">
            <w:pPr>
              <w:rPr>
                <w:rFonts w:ascii="Arial" w:hAnsi="Arial" w:cs="Arial"/>
                <w:szCs w:val="24"/>
              </w:rPr>
            </w:pPr>
          </w:p>
        </w:tc>
        <w:tc>
          <w:tcPr>
            <w:tcW w:w="236" w:type="dxa"/>
            <w:tcBorders>
              <w:top w:val="nil"/>
              <w:left w:val="nil"/>
              <w:bottom w:val="nil"/>
              <w:right w:val="nil"/>
            </w:tcBorders>
          </w:tcPr>
          <w:p w:rsidR="00A461B4" w:rsidRPr="00BE0936" w:rsidRDefault="00A461B4" w:rsidP="00154CF8">
            <w:pPr>
              <w:rPr>
                <w:rFonts w:ascii="Arial" w:hAnsi="Arial" w:cs="Arial"/>
                <w:szCs w:val="24"/>
              </w:rPr>
            </w:pPr>
          </w:p>
        </w:tc>
        <w:tc>
          <w:tcPr>
            <w:tcW w:w="2077" w:type="dxa"/>
            <w:tcBorders>
              <w:left w:val="nil"/>
              <w:right w:val="nil"/>
            </w:tcBorders>
            <w:shd w:val="clear" w:color="auto" w:fill="auto"/>
            <w:noWrap/>
            <w:vAlign w:val="bottom"/>
          </w:tcPr>
          <w:p w:rsidR="00A461B4" w:rsidRPr="00BE0936" w:rsidRDefault="00A461B4" w:rsidP="00154CF8">
            <w:pPr>
              <w:rPr>
                <w:rFonts w:ascii="Arial" w:hAnsi="Arial" w:cs="Arial"/>
                <w:szCs w:val="24"/>
              </w:rPr>
            </w:pPr>
          </w:p>
        </w:tc>
        <w:tc>
          <w:tcPr>
            <w:tcW w:w="270" w:type="dxa"/>
            <w:tcBorders>
              <w:left w:val="nil"/>
              <w:right w:val="nil"/>
            </w:tcBorders>
          </w:tcPr>
          <w:p w:rsidR="00A461B4" w:rsidRPr="00BE0936" w:rsidRDefault="00A461B4" w:rsidP="00154CF8">
            <w:pPr>
              <w:jc w:val="center"/>
              <w:rPr>
                <w:rFonts w:ascii="Arial" w:hAnsi="Arial" w:cs="Arial"/>
                <w:bCs/>
                <w:szCs w:val="24"/>
              </w:rPr>
            </w:pPr>
          </w:p>
        </w:tc>
        <w:tc>
          <w:tcPr>
            <w:tcW w:w="1809" w:type="dxa"/>
            <w:tcBorders>
              <w:left w:val="nil"/>
              <w:right w:val="nil"/>
            </w:tcBorders>
            <w:shd w:val="clear" w:color="auto" w:fill="auto"/>
            <w:vAlign w:val="bottom"/>
          </w:tcPr>
          <w:p w:rsidR="00A461B4" w:rsidRPr="00BE0936" w:rsidRDefault="00A461B4" w:rsidP="00154CF8">
            <w:pPr>
              <w:jc w:val="center"/>
              <w:rPr>
                <w:rFonts w:ascii="Arial" w:hAnsi="Arial" w:cs="Arial"/>
                <w:bCs/>
                <w:szCs w:val="24"/>
              </w:rPr>
            </w:pPr>
          </w:p>
        </w:tc>
        <w:tc>
          <w:tcPr>
            <w:tcW w:w="261" w:type="dxa"/>
            <w:tcBorders>
              <w:left w:val="nil"/>
              <w:right w:val="nil"/>
            </w:tcBorders>
          </w:tcPr>
          <w:p w:rsidR="00A461B4" w:rsidRPr="00BE0936" w:rsidRDefault="00A461B4" w:rsidP="00154CF8">
            <w:pPr>
              <w:jc w:val="right"/>
              <w:rPr>
                <w:rFonts w:ascii="Arial" w:hAnsi="Arial" w:cs="Arial"/>
                <w:szCs w:val="24"/>
                <w:u w:val="single"/>
              </w:rPr>
            </w:pPr>
          </w:p>
        </w:tc>
        <w:tc>
          <w:tcPr>
            <w:tcW w:w="2142" w:type="dxa"/>
            <w:tcBorders>
              <w:left w:val="nil"/>
              <w:right w:val="nil"/>
            </w:tcBorders>
            <w:shd w:val="clear" w:color="auto" w:fill="auto"/>
            <w:noWrap/>
            <w:vAlign w:val="bottom"/>
          </w:tcPr>
          <w:p w:rsidR="00A461B4" w:rsidRPr="00BE0936" w:rsidRDefault="00A461B4" w:rsidP="00154CF8">
            <w:pPr>
              <w:tabs>
                <w:tab w:val="decimal" w:pos="1431"/>
              </w:tabs>
              <w:rPr>
                <w:rFonts w:ascii="Arial" w:hAnsi="Arial" w:cs="Arial"/>
                <w:szCs w:val="24"/>
              </w:rPr>
            </w:pPr>
          </w:p>
        </w:tc>
      </w:tr>
    </w:tbl>
    <w:p w:rsidR="00710127" w:rsidRPr="00BE0936" w:rsidRDefault="00710127" w:rsidP="00710127">
      <w:pPr>
        <w:tabs>
          <w:tab w:val="center" w:pos="4680"/>
        </w:tabs>
        <w:suppressAutoHyphens/>
        <w:rPr>
          <w:rFonts w:ascii="Arial" w:hAnsi="Arial" w:cs="Arial"/>
          <w:szCs w:val="24"/>
        </w:rPr>
      </w:pPr>
    </w:p>
    <w:p w:rsidR="00710127" w:rsidRDefault="00710127" w:rsidP="00710127">
      <w:pPr>
        <w:tabs>
          <w:tab w:val="center" w:pos="4680"/>
        </w:tabs>
        <w:suppressAutoHyphens/>
        <w:rPr>
          <w:rFonts w:ascii="Arial" w:hAnsi="Arial" w:cs="Arial"/>
          <w:szCs w:val="24"/>
        </w:rPr>
      </w:pPr>
    </w:p>
    <w:p w:rsidR="00710127" w:rsidRDefault="00710127" w:rsidP="00710127">
      <w:pPr>
        <w:tabs>
          <w:tab w:val="center" w:pos="4680"/>
        </w:tabs>
        <w:suppressAutoHyphens/>
        <w:rPr>
          <w:rFonts w:ascii="Arial" w:hAnsi="Arial" w:cs="Arial"/>
          <w:szCs w:val="24"/>
        </w:rPr>
      </w:pPr>
    </w:p>
    <w:p w:rsidR="00710127" w:rsidRDefault="00710127" w:rsidP="003439CD">
      <w:pPr>
        <w:suppressAutoHyphens/>
        <w:rPr>
          <w:rFonts w:ascii="Arial" w:hAnsi="Arial" w:cs="Arial"/>
          <w:szCs w:val="24"/>
        </w:rPr>
      </w:pPr>
      <w:r w:rsidRPr="00936DE2">
        <w:rPr>
          <w:rFonts w:ascii="Arial" w:hAnsi="Arial" w:cs="Arial"/>
          <w:szCs w:val="24"/>
        </w:rPr>
        <w:t>*</w:t>
      </w:r>
      <w:r w:rsidR="00A461B4">
        <w:rPr>
          <w:rFonts w:ascii="Arial" w:hAnsi="Arial" w:cs="Arial"/>
          <w:szCs w:val="24"/>
        </w:rPr>
        <w:t xml:space="preserve"> - </w:t>
      </w:r>
      <w:r>
        <w:rPr>
          <w:rFonts w:ascii="Arial" w:hAnsi="Arial" w:cs="Arial"/>
          <w:szCs w:val="24"/>
        </w:rPr>
        <w:t>As reported to the Commission</w:t>
      </w:r>
      <w:r w:rsidR="005F4E56">
        <w:rPr>
          <w:rFonts w:ascii="Arial" w:hAnsi="Arial" w:cs="Arial"/>
          <w:szCs w:val="24"/>
        </w:rPr>
        <w:t>,</w:t>
      </w:r>
      <w:r w:rsidRPr="00936DE2">
        <w:rPr>
          <w:rFonts w:ascii="Arial" w:hAnsi="Arial" w:cs="Arial"/>
          <w:szCs w:val="24"/>
        </w:rPr>
        <w:t xml:space="preserve"> at Docket No</w:t>
      </w:r>
      <w:r w:rsidRPr="004253C2">
        <w:rPr>
          <w:rFonts w:ascii="Arial" w:hAnsi="Arial" w:cs="Arial"/>
          <w:szCs w:val="24"/>
        </w:rPr>
        <w:t>. M</w:t>
      </w:r>
      <w:r w:rsidRPr="004253C2">
        <w:rPr>
          <w:rFonts w:ascii="Arial" w:hAnsi="Arial" w:cs="Arial"/>
          <w:szCs w:val="24"/>
        </w:rPr>
        <w:noBreakHyphen/>
        <w:t>201</w:t>
      </w:r>
      <w:r w:rsidR="004253C2" w:rsidRPr="004253C2">
        <w:rPr>
          <w:rFonts w:ascii="Arial" w:hAnsi="Arial" w:cs="Arial"/>
          <w:szCs w:val="24"/>
        </w:rPr>
        <w:t>2</w:t>
      </w:r>
      <w:r w:rsidRPr="004253C2">
        <w:rPr>
          <w:rFonts w:ascii="Arial" w:hAnsi="Arial" w:cs="Arial"/>
          <w:szCs w:val="24"/>
        </w:rPr>
        <w:noBreakHyphen/>
        <w:t>2</w:t>
      </w:r>
      <w:r w:rsidR="004253C2" w:rsidRPr="004253C2">
        <w:rPr>
          <w:rFonts w:ascii="Arial" w:hAnsi="Arial" w:cs="Arial"/>
          <w:szCs w:val="24"/>
        </w:rPr>
        <w:t>331887</w:t>
      </w:r>
      <w:r w:rsidR="00A461B4">
        <w:rPr>
          <w:rFonts w:ascii="Arial" w:hAnsi="Arial" w:cs="Arial"/>
          <w:szCs w:val="24"/>
        </w:rPr>
        <w:t>.</w:t>
      </w:r>
    </w:p>
    <w:p w:rsidR="00A461B4" w:rsidRDefault="00A461B4" w:rsidP="003439CD">
      <w:pPr>
        <w:suppressAutoHyphens/>
        <w:rPr>
          <w:rFonts w:ascii="Arial" w:hAnsi="Arial" w:cs="Arial"/>
          <w:szCs w:val="24"/>
        </w:rPr>
      </w:pPr>
    </w:p>
    <w:p w:rsidR="00A461B4" w:rsidRPr="00936DE2" w:rsidRDefault="005F4E56" w:rsidP="003439CD">
      <w:pPr>
        <w:suppressAutoHyphens/>
        <w:rPr>
          <w:rFonts w:ascii="Arial" w:hAnsi="Arial" w:cs="Arial"/>
          <w:szCs w:val="24"/>
        </w:rPr>
      </w:pPr>
      <w:r>
        <w:rPr>
          <w:rFonts w:ascii="Arial" w:hAnsi="Arial" w:cs="Arial"/>
          <w:szCs w:val="24"/>
        </w:rPr>
        <w:t xml:space="preserve"> </w:t>
      </w:r>
      <w:r w:rsidR="00A461B4">
        <w:rPr>
          <w:rFonts w:ascii="Arial" w:hAnsi="Arial" w:cs="Arial"/>
          <w:szCs w:val="24"/>
        </w:rPr>
        <w:t>Arithmetic differences are due to rounding.</w:t>
      </w:r>
    </w:p>
    <w:p w:rsidR="00710127" w:rsidRDefault="00710127" w:rsidP="003439CD">
      <w:pPr>
        <w:suppressAutoHyphens/>
        <w:rPr>
          <w:rFonts w:ascii="Arial" w:hAnsi="Arial" w:cs="Arial"/>
          <w:szCs w:val="24"/>
        </w:rPr>
      </w:pPr>
    </w:p>
    <w:p w:rsidR="00710127" w:rsidRPr="00BE0936" w:rsidRDefault="005F4E56" w:rsidP="003439CD">
      <w:pPr>
        <w:suppressAutoHyphens/>
        <w:rPr>
          <w:rFonts w:ascii="Arial" w:hAnsi="Arial" w:cs="Arial"/>
          <w:szCs w:val="24"/>
        </w:rPr>
        <w:sectPr w:rsidR="00710127" w:rsidRPr="00BE0936" w:rsidSect="00721DD1">
          <w:headerReference w:type="even" r:id="rId29"/>
          <w:headerReference w:type="default" r:id="rId30"/>
          <w:footerReference w:type="default" r:id="rId31"/>
          <w:headerReference w:type="first" r:id="rId32"/>
          <w:endnotePr>
            <w:numFmt w:val="decimal"/>
          </w:endnotePr>
          <w:pgSz w:w="12240" w:h="15840" w:code="1"/>
          <w:pgMar w:top="1440" w:right="1440" w:bottom="1008" w:left="1440" w:header="0" w:footer="720" w:gutter="0"/>
          <w:pgNumType w:fmt="numberInDash" w:start="3"/>
          <w:cols w:space="720"/>
          <w:noEndnote/>
          <w:docGrid w:linePitch="326"/>
        </w:sectPr>
      </w:pPr>
      <w:r>
        <w:rPr>
          <w:rFonts w:ascii="Arial" w:hAnsi="Arial" w:cs="Arial"/>
          <w:szCs w:val="24"/>
        </w:rPr>
        <w:t xml:space="preserve"> </w:t>
      </w:r>
      <w:r w:rsidR="00710127" w:rsidRPr="00BE0936">
        <w:rPr>
          <w:rFonts w:ascii="Arial" w:hAnsi="Arial" w:cs="Arial"/>
          <w:szCs w:val="24"/>
        </w:rPr>
        <w:t>Notes to the Fi</w:t>
      </w:r>
      <w:r w:rsidR="00710127">
        <w:rPr>
          <w:rFonts w:ascii="Arial" w:hAnsi="Arial" w:cs="Arial"/>
          <w:szCs w:val="24"/>
        </w:rPr>
        <w:t>nancial Statement</w:t>
      </w:r>
      <w:r w:rsidR="002E1150">
        <w:rPr>
          <w:rFonts w:ascii="Arial" w:hAnsi="Arial" w:cs="Arial"/>
          <w:szCs w:val="24"/>
        </w:rPr>
        <w:t>s</w:t>
      </w:r>
      <w:r w:rsidR="00710127" w:rsidRPr="00BE0936">
        <w:rPr>
          <w:rFonts w:ascii="Arial" w:hAnsi="Arial" w:cs="Arial"/>
          <w:szCs w:val="24"/>
        </w:rPr>
        <w:t xml:space="preserve"> are an integral part of this report.</w:t>
      </w:r>
    </w:p>
    <w:p w:rsidR="00D50737" w:rsidRPr="00C87157" w:rsidRDefault="00EB0586" w:rsidP="00245AE1">
      <w:pPr>
        <w:pStyle w:val="Heading1"/>
        <w:rPr>
          <w:rFonts w:ascii="Arial" w:hAnsi="Arial" w:cs="Arial"/>
          <w:sz w:val="26"/>
          <w:szCs w:val="26"/>
          <w:u w:val="none"/>
        </w:rPr>
      </w:pPr>
      <w:r w:rsidRPr="00C87157">
        <w:rPr>
          <w:rFonts w:ascii="Arial" w:hAnsi="Arial" w:cs="Arial"/>
          <w:sz w:val="26"/>
          <w:szCs w:val="26"/>
          <w:u w:val="none"/>
        </w:rPr>
        <w:lastRenderedPageBreak/>
        <w:t>PECO ENERGY COMPANY</w:t>
      </w:r>
    </w:p>
    <w:p w:rsidR="00EB0586" w:rsidRPr="00C87157" w:rsidRDefault="00EB0586" w:rsidP="00EB0586">
      <w:pPr>
        <w:rPr>
          <w:sz w:val="26"/>
          <w:szCs w:val="26"/>
        </w:rPr>
      </w:pPr>
    </w:p>
    <w:p w:rsidR="005D711E" w:rsidRPr="00C87157" w:rsidRDefault="00C87157" w:rsidP="00245AE1">
      <w:pPr>
        <w:pStyle w:val="Heading1"/>
        <w:rPr>
          <w:rFonts w:ascii="Arial" w:hAnsi="Arial" w:cs="Arial"/>
          <w:sz w:val="26"/>
          <w:szCs w:val="26"/>
          <w:u w:val="none"/>
        </w:rPr>
      </w:pPr>
      <w:r>
        <w:rPr>
          <w:rFonts w:ascii="Arial" w:hAnsi="Arial" w:cs="Arial"/>
          <w:sz w:val="26"/>
          <w:szCs w:val="26"/>
          <w:u w:val="none"/>
        </w:rPr>
        <w:t>Notes t</w:t>
      </w:r>
      <w:r w:rsidR="009F33F0">
        <w:rPr>
          <w:rFonts w:ascii="Arial" w:hAnsi="Arial" w:cs="Arial"/>
          <w:sz w:val="26"/>
          <w:szCs w:val="26"/>
          <w:u w:val="none"/>
        </w:rPr>
        <w:t>o t</w:t>
      </w:r>
      <w:r w:rsidR="005D711E" w:rsidRPr="00C87157">
        <w:rPr>
          <w:rFonts w:ascii="Arial" w:hAnsi="Arial" w:cs="Arial"/>
          <w:sz w:val="26"/>
          <w:szCs w:val="26"/>
          <w:u w:val="none"/>
        </w:rPr>
        <w:t>he Financial Statement</w:t>
      </w:r>
      <w:r w:rsidR="002064E8">
        <w:rPr>
          <w:rFonts w:ascii="Arial" w:hAnsi="Arial" w:cs="Arial"/>
          <w:sz w:val="26"/>
          <w:szCs w:val="26"/>
          <w:u w:val="none"/>
        </w:rPr>
        <w:t>s</w:t>
      </w:r>
    </w:p>
    <w:p w:rsidR="00BF0E3F" w:rsidRDefault="00BF0E3F" w:rsidP="00BF0E3F">
      <w:pPr>
        <w:pStyle w:val="EndnoteText"/>
        <w:tabs>
          <w:tab w:val="left" w:pos="475"/>
        </w:tabs>
        <w:suppressAutoHyphens/>
        <w:jc w:val="both"/>
        <w:rPr>
          <w:rFonts w:ascii="Arial" w:hAnsi="Arial" w:cs="Arial"/>
          <w:b/>
          <w:szCs w:val="24"/>
          <w:u w:val="single"/>
        </w:rPr>
      </w:pPr>
    </w:p>
    <w:p w:rsidR="00EC04F8" w:rsidRPr="00936DE2" w:rsidRDefault="00EC04F8" w:rsidP="00EC04F8">
      <w:pPr>
        <w:jc w:val="both"/>
        <w:rPr>
          <w:rFonts w:ascii="Arial" w:hAnsi="Arial" w:cs="Arial"/>
          <w:b/>
          <w:szCs w:val="24"/>
          <w:u w:val="single"/>
        </w:rPr>
      </w:pPr>
      <w:r>
        <w:rPr>
          <w:rFonts w:ascii="Arial" w:hAnsi="Arial" w:cs="Arial"/>
          <w:b/>
          <w:szCs w:val="24"/>
          <w:u w:val="single"/>
        </w:rPr>
        <w:t xml:space="preserve">1 </w:t>
      </w:r>
      <w:r w:rsidRPr="00936DE2">
        <w:rPr>
          <w:rFonts w:ascii="Arial" w:hAnsi="Arial" w:cs="Arial"/>
          <w:b/>
          <w:szCs w:val="24"/>
          <w:u w:val="single"/>
        </w:rPr>
        <w:t>–</w:t>
      </w:r>
      <w:r>
        <w:rPr>
          <w:rFonts w:ascii="Arial" w:hAnsi="Arial" w:cs="Arial"/>
          <w:b/>
          <w:szCs w:val="24"/>
          <w:u w:val="single"/>
        </w:rPr>
        <w:t xml:space="preserve"> Condensed Statement</w:t>
      </w:r>
      <w:r w:rsidR="00B13656">
        <w:rPr>
          <w:rFonts w:ascii="Arial" w:hAnsi="Arial" w:cs="Arial"/>
          <w:b/>
          <w:szCs w:val="24"/>
          <w:u w:val="single"/>
        </w:rPr>
        <w:t>s</w:t>
      </w:r>
    </w:p>
    <w:p w:rsidR="00EC04F8" w:rsidRPr="00EC04F8" w:rsidRDefault="00EC04F8" w:rsidP="00EC04F8">
      <w:pPr>
        <w:tabs>
          <w:tab w:val="left" w:pos="360"/>
        </w:tabs>
        <w:jc w:val="both"/>
        <w:rPr>
          <w:rFonts w:ascii="Arial" w:hAnsi="Arial" w:cs="Arial"/>
          <w:b/>
          <w:szCs w:val="24"/>
          <w:highlight w:val="lightGray"/>
          <w:u w:val="single"/>
        </w:rPr>
      </w:pPr>
    </w:p>
    <w:p w:rsidR="00EC04F8" w:rsidRPr="007D5DFB" w:rsidRDefault="00EC04F8" w:rsidP="00EC04F8">
      <w:pPr>
        <w:pStyle w:val="EndnoteText"/>
        <w:tabs>
          <w:tab w:val="left" w:pos="9180"/>
        </w:tabs>
        <w:suppressAutoHyphens/>
        <w:ind w:left="360"/>
        <w:rPr>
          <w:rFonts w:ascii="Arial" w:hAnsi="Arial" w:cs="Arial"/>
          <w:szCs w:val="26"/>
        </w:rPr>
      </w:pPr>
      <w:r>
        <w:rPr>
          <w:rFonts w:ascii="Arial" w:hAnsi="Arial" w:cs="Arial"/>
          <w:szCs w:val="24"/>
        </w:rPr>
        <w:t xml:space="preserve">The </w:t>
      </w:r>
      <w:r w:rsidRPr="00936DE2">
        <w:rPr>
          <w:rFonts w:ascii="Arial" w:hAnsi="Arial" w:cs="Arial"/>
          <w:szCs w:val="24"/>
        </w:rPr>
        <w:t>Statement</w:t>
      </w:r>
      <w:r w:rsidR="004C3BAD">
        <w:rPr>
          <w:rFonts w:ascii="Arial" w:hAnsi="Arial" w:cs="Arial"/>
          <w:szCs w:val="24"/>
        </w:rPr>
        <w:t>s</w:t>
      </w:r>
      <w:r w:rsidRPr="00936DE2">
        <w:rPr>
          <w:rFonts w:ascii="Arial" w:hAnsi="Arial" w:cs="Arial"/>
          <w:szCs w:val="24"/>
        </w:rPr>
        <w:t xml:space="preserve"> </w:t>
      </w:r>
      <w:r>
        <w:rPr>
          <w:rFonts w:ascii="Arial" w:hAnsi="Arial" w:cs="Arial"/>
          <w:szCs w:val="24"/>
        </w:rPr>
        <w:t>o</w:t>
      </w:r>
      <w:r w:rsidRPr="00936DE2">
        <w:rPr>
          <w:rFonts w:ascii="Arial" w:hAnsi="Arial" w:cs="Arial"/>
          <w:szCs w:val="24"/>
        </w:rPr>
        <w:t>f</w:t>
      </w:r>
      <w:r>
        <w:rPr>
          <w:rFonts w:ascii="Arial" w:hAnsi="Arial" w:cs="Arial"/>
          <w:szCs w:val="24"/>
        </w:rPr>
        <w:t xml:space="preserve"> </w:t>
      </w:r>
      <w:r w:rsidR="00DC7A12">
        <w:rPr>
          <w:rFonts w:ascii="Arial" w:hAnsi="Arial" w:cs="Arial"/>
          <w:szCs w:val="24"/>
        </w:rPr>
        <w:t>TSC</w:t>
      </w:r>
      <w:r>
        <w:rPr>
          <w:rFonts w:ascii="Arial" w:hAnsi="Arial" w:cs="Arial"/>
          <w:szCs w:val="24"/>
        </w:rPr>
        <w:t xml:space="preserve"> </w:t>
      </w:r>
      <w:r w:rsidRPr="00936DE2">
        <w:rPr>
          <w:rFonts w:ascii="Arial" w:hAnsi="Arial" w:cs="Arial"/>
          <w:szCs w:val="24"/>
        </w:rPr>
        <w:t>Over</w:t>
      </w:r>
      <w:proofErr w:type="gramStart"/>
      <w:r w:rsidRPr="00936DE2">
        <w:rPr>
          <w:rFonts w:ascii="Arial" w:hAnsi="Arial" w:cs="Arial"/>
          <w:szCs w:val="24"/>
        </w:rPr>
        <w:t>/(</w:t>
      </w:r>
      <w:proofErr w:type="gramEnd"/>
      <w:r w:rsidRPr="00936DE2">
        <w:rPr>
          <w:rFonts w:ascii="Arial" w:hAnsi="Arial" w:cs="Arial"/>
          <w:szCs w:val="24"/>
        </w:rPr>
        <w:t>Under) Collections</w:t>
      </w:r>
      <w:r>
        <w:rPr>
          <w:rFonts w:ascii="Arial" w:hAnsi="Arial" w:cs="Arial"/>
          <w:szCs w:val="24"/>
        </w:rPr>
        <w:t xml:space="preserve"> </w:t>
      </w:r>
      <w:r w:rsidRPr="007D5DFB">
        <w:rPr>
          <w:rFonts w:ascii="Arial" w:hAnsi="Arial" w:cs="Arial"/>
          <w:szCs w:val="26"/>
        </w:rPr>
        <w:t xml:space="preserve">presented </w:t>
      </w:r>
      <w:r>
        <w:rPr>
          <w:rFonts w:ascii="Arial" w:hAnsi="Arial" w:cs="Arial"/>
          <w:szCs w:val="26"/>
        </w:rPr>
        <w:t>in this</w:t>
      </w:r>
      <w:r w:rsidR="00102E74">
        <w:rPr>
          <w:rFonts w:ascii="Arial" w:hAnsi="Arial" w:cs="Arial"/>
          <w:szCs w:val="26"/>
        </w:rPr>
        <w:t xml:space="preserve"> report are</w:t>
      </w:r>
      <w:r w:rsidRPr="007D5DFB">
        <w:rPr>
          <w:rFonts w:ascii="Arial" w:hAnsi="Arial" w:cs="Arial"/>
          <w:szCs w:val="26"/>
        </w:rPr>
        <w:t xml:space="preserve"> condensed from the officially filed statement</w:t>
      </w:r>
      <w:r w:rsidR="00102E74">
        <w:rPr>
          <w:rFonts w:ascii="Arial" w:hAnsi="Arial" w:cs="Arial"/>
          <w:szCs w:val="26"/>
        </w:rPr>
        <w:t>s</w:t>
      </w:r>
      <w:r w:rsidRPr="007D5DFB">
        <w:rPr>
          <w:rFonts w:ascii="Arial" w:hAnsi="Arial" w:cs="Arial"/>
          <w:szCs w:val="26"/>
        </w:rPr>
        <w:t xml:space="preserve"> for the purpose of clarity. </w:t>
      </w:r>
      <w:r>
        <w:rPr>
          <w:rFonts w:ascii="Arial" w:hAnsi="Arial" w:cs="Arial"/>
          <w:szCs w:val="26"/>
        </w:rPr>
        <w:t xml:space="preserve"> </w:t>
      </w:r>
      <w:r w:rsidRPr="007D5DFB">
        <w:rPr>
          <w:rFonts w:ascii="Arial" w:hAnsi="Arial" w:cs="Arial"/>
          <w:szCs w:val="26"/>
        </w:rPr>
        <w:t xml:space="preserve">The audit was conducted on </w:t>
      </w:r>
      <w:r w:rsidR="00DC7A12">
        <w:rPr>
          <w:rFonts w:ascii="Arial" w:hAnsi="Arial" w:cs="Arial"/>
          <w:szCs w:val="26"/>
        </w:rPr>
        <w:t>PECO Energy Company</w:t>
      </w:r>
      <w:r>
        <w:rPr>
          <w:rFonts w:ascii="Arial" w:hAnsi="Arial" w:cs="Arial"/>
          <w:szCs w:val="24"/>
        </w:rPr>
        <w:t>’s (P</w:t>
      </w:r>
      <w:r w:rsidR="00DC7A12">
        <w:rPr>
          <w:rFonts w:ascii="Arial" w:hAnsi="Arial" w:cs="Arial"/>
          <w:szCs w:val="24"/>
        </w:rPr>
        <w:t>ECO</w:t>
      </w:r>
      <w:r>
        <w:rPr>
          <w:rFonts w:ascii="Arial" w:hAnsi="Arial" w:cs="Arial"/>
          <w:szCs w:val="24"/>
        </w:rPr>
        <w:t xml:space="preserve"> or Company) </w:t>
      </w:r>
      <w:r w:rsidRPr="007D5DFB">
        <w:rPr>
          <w:rFonts w:ascii="Arial" w:hAnsi="Arial" w:cs="Arial"/>
          <w:szCs w:val="26"/>
        </w:rPr>
        <w:t xml:space="preserve">officially filed 1307(e) </w:t>
      </w:r>
      <w:r>
        <w:rPr>
          <w:rFonts w:ascii="Arial" w:hAnsi="Arial" w:cs="Arial"/>
          <w:szCs w:val="26"/>
        </w:rPr>
        <w:t>statement</w:t>
      </w:r>
      <w:r w:rsidR="004C3BAD">
        <w:rPr>
          <w:rFonts w:ascii="Arial" w:hAnsi="Arial" w:cs="Arial"/>
          <w:szCs w:val="26"/>
        </w:rPr>
        <w:t>s</w:t>
      </w:r>
      <w:r w:rsidR="00102E74">
        <w:rPr>
          <w:rFonts w:ascii="Arial" w:hAnsi="Arial" w:cs="Arial"/>
          <w:szCs w:val="26"/>
        </w:rPr>
        <w:t xml:space="preserve"> </w:t>
      </w:r>
      <w:r w:rsidRPr="007D5DFB">
        <w:rPr>
          <w:rFonts w:ascii="Arial" w:hAnsi="Arial" w:cs="Arial"/>
          <w:szCs w:val="26"/>
        </w:rPr>
        <w:t xml:space="preserve">submitted to the </w:t>
      </w:r>
      <w:r w:rsidRPr="00102E74">
        <w:rPr>
          <w:rFonts w:ascii="Arial" w:hAnsi="Arial" w:cs="Arial"/>
          <w:szCs w:val="26"/>
        </w:rPr>
        <w:t xml:space="preserve">Commission </w:t>
      </w:r>
      <w:r w:rsidR="00671823">
        <w:rPr>
          <w:rFonts w:ascii="Arial" w:hAnsi="Arial" w:cs="Arial"/>
          <w:szCs w:val="24"/>
        </w:rPr>
        <w:t xml:space="preserve">in accordance with </w:t>
      </w:r>
      <w:r w:rsidR="005F4E56" w:rsidRPr="005F4E56">
        <w:rPr>
          <w:rFonts w:ascii="Arial" w:hAnsi="Arial" w:cs="Arial"/>
          <w:szCs w:val="24"/>
        </w:rPr>
        <w:t>66 Pa.C.S. § 1307(e</w:t>
      </w:r>
      <w:proofErr w:type="gramStart"/>
      <w:r w:rsidR="005F4E56" w:rsidRPr="005F4E56">
        <w:rPr>
          <w:rFonts w:ascii="Arial" w:hAnsi="Arial" w:cs="Arial"/>
          <w:szCs w:val="24"/>
        </w:rPr>
        <w:t>)(</w:t>
      </w:r>
      <w:proofErr w:type="gramEnd"/>
      <w:r w:rsidR="005F4E56" w:rsidRPr="005F4E56">
        <w:rPr>
          <w:rFonts w:ascii="Arial" w:hAnsi="Arial" w:cs="Arial"/>
          <w:szCs w:val="24"/>
        </w:rPr>
        <w:t xml:space="preserve">1) of the Public Utility Code </w:t>
      </w:r>
      <w:r w:rsidR="00671823">
        <w:rPr>
          <w:rFonts w:ascii="Arial" w:hAnsi="Arial" w:cs="Arial"/>
          <w:szCs w:val="24"/>
        </w:rPr>
        <w:t xml:space="preserve">on </w:t>
      </w:r>
      <w:r w:rsidR="00485619" w:rsidRPr="002F765F">
        <w:rPr>
          <w:rFonts w:ascii="Arial" w:hAnsi="Arial" w:cs="Arial"/>
          <w:szCs w:val="26"/>
        </w:rPr>
        <w:t xml:space="preserve">December 30, 2013 and </w:t>
      </w:r>
      <w:r w:rsidR="004C3BAD" w:rsidRPr="002F765F">
        <w:rPr>
          <w:rFonts w:ascii="Arial" w:hAnsi="Arial" w:cs="Arial"/>
          <w:szCs w:val="26"/>
        </w:rPr>
        <w:t>October 31, 2012</w:t>
      </w:r>
      <w:r w:rsidRPr="002F765F">
        <w:rPr>
          <w:rFonts w:ascii="Arial" w:hAnsi="Arial" w:cs="Arial"/>
          <w:szCs w:val="26"/>
        </w:rPr>
        <w:t xml:space="preserve"> and </w:t>
      </w:r>
      <w:r w:rsidR="00671823">
        <w:rPr>
          <w:rFonts w:ascii="Arial" w:hAnsi="Arial" w:cs="Arial"/>
          <w:szCs w:val="26"/>
        </w:rPr>
        <w:t>are</w:t>
      </w:r>
      <w:r w:rsidRPr="002F765F">
        <w:rPr>
          <w:rFonts w:ascii="Arial" w:hAnsi="Arial" w:cs="Arial"/>
          <w:szCs w:val="26"/>
        </w:rPr>
        <w:t xml:space="preserve"> available at </w:t>
      </w:r>
      <w:r w:rsidR="00485619" w:rsidRPr="002F765F">
        <w:rPr>
          <w:rFonts w:ascii="Arial" w:hAnsi="Arial" w:cs="Arial"/>
          <w:szCs w:val="26"/>
        </w:rPr>
        <w:t>Docket No</w:t>
      </w:r>
      <w:r w:rsidR="00671823">
        <w:rPr>
          <w:rFonts w:ascii="Arial" w:hAnsi="Arial" w:cs="Arial"/>
          <w:szCs w:val="26"/>
        </w:rPr>
        <w:t>s</w:t>
      </w:r>
      <w:r w:rsidR="00485619" w:rsidRPr="002F765F">
        <w:rPr>
          <w:rFonts w:ascii="Arial" w:hAnsi="Arial" w:cs="Arial"/>
          <w:szCs w:val="26"/>
        </w:rPr>
        <w:t>.</w:t>
      </w:r>
      <w:r w:rsidR="001643C2" w:rsidRPr="002F765F">
        <w:rPr>
          <w:rFonts w:ascii="Arial" w:hAnsi="Arial" w:cs="Arial"/>
          <w:szCs w:val="26"/>
        </w:rPr>
        <w:t xml:space="preserve"> </w:t>
      </w:r>
      <w:proofErr w:type="gramStart"/>
      <w:r w:rsidR="001643C2" w:rsidRPr="002F765F">
        <w:rPr>
          <w:rFonts w:ascii="Arial" w:hAnsi="Arial" w:cs="Arial"/>
          <w:szCs w:val="26"/>
        </w:rPr>
        <w:t>M</w:t>
      </w:r>
      <w:r w:rsidR="005F4E56">
        <w:rPr>
          <w:rFonts w:ascii="Arial" w:hAnsi="Arial" w:cs="Arial"/>
          <w:szCs w:val="26"/>
        </w:rPr>
        <w:noBreakHyphen/>
      </w:r>
      <w:r w:rsidR="00485619" w:rsidRPr="002F765F">
        <w:rPr>
          <w:rFonts w:ascii="Arial" w:hAnsi="Arial" w:cs="Arial"/>
          <w:szCs w:val="26"/>
        </w:rPr>
        <w:t>201</w:t>
      </w:r>
      <w:r w:rsidR="00671823">
        <w:rPr>
          <w:rFonts w:ascii="Arial" w:hAnsi="Arial" w:cs="Arial"/>
          <w:szCs w:val="26"/>
        </w:rPr>
        <w:t>4</w:t>
      </w:r>
      <w:r w:rsidR="005F4E56">
        <w:rPr>
          <w:rFonts w:ascii="Arial" w:hAnsi="Arial" w:cs="Arial"/>
          <w:szCs w:val="26"/>
        </w:rPr>
        <w:noBreakHyphen/>
      </w:r>
      <w:r w:rsidR="002F765F" w:rsidRPr="002F765F">
        <w:rPr>
          <w:rFonts w:ascii="Arial" w:hAnsi="Arial" w:cs="Arial"/>
          <w:szCs w:val="26"/>
        </w:rPr>
        <w:t>239</w:t>
      </w:r>
      <w:r w:rsidR="00125A5B">
        <w:rPr>
          <w:rFonts w:ascii="Arial" w:hAnsi="Arial" w:cs="Arial"/>
          <w:szCs w:val="26"/>
        </w:rPr>
        <w:t>9595</w:t>
      </w:r>
      <w:r w:rsidR="00485619" w:rsidRPr="002F765F">
        <w:rPr>
          <w:rFonts w:ascii="Arial" w:hAnsi="Arial" w:cs="Arial"/>
          <w:szCs w:val="26"/>
        </w:rPr>
        <w:t xml:space="preserve"> </w:t>
      </w:r>
      <w:r w:rsidR="00485619" w:rsidRPr="00102E74">
        <w:rPr>
          <w:rFonts w:ascii="Arial" w:hAnsi="Arial" w:cs="Arial"/>
          <w:szCs w:val="26"/>
        </w:rPr>
        <w:t xml:space="preserve">and </w:t>
      </w:r>
      <w:r w:rsidR="002F765F">
        <w:rPr>
          <w:rFonts w:ascii="Arial" w:hAnsi="Arial" w:cs="Arial"/>
          <w:szCs w:val="26"/>
        </w:rPr>
        <w:t>M</w:t>
      </w:r>
      <w:r w:rsidR="005F4E56">
        <w:rPr>
          <w:rFonts w:ascii="Arial" w:hAnsi="Arial" w:cs="Arial"/>
          <w:szCs w:val="26"/>
        </w:rPr>
        <w:noBreakHyphen/>
      </w:r>
      <w:r w:rsidRPr="00102E74">
        <w:rPr>
          <w:rFonts w:ascii="Arial" w:hAnsi="Arial" w:cs="Arial"/>
          <w:szCs w:val="26"/>
        </w:rPr>
        <w:t>20</w:t>
      </w:r>
      <w:r w:rsidR="00DC7A12" w:rsidRPr="00102E74">
        <w:rPr>
          <w:rFonts w:ascii="Arial" w:hAnsi="Arial" w:cs="Arial"/>
          <w:szCs w:val="26"/>
        </w:rPr>
        <w:t>1</w:t>
      </w:r>
      <w:r w:rsidR="004C3BAD" w:rsidRPr="00102E74">
        <w:rPr>
          <w:rFonts w:ascii="Arial" w:hAnsi="Arial" w:cs="Arial"/>
          <w:szCs w:val="26"/>
        </w:rPr>
        <w:t>2</w:t>
      </w:r>
      <w:r w:rsidR="005F4E56">
        <w:rPr>
          <w:rFonts w:ascii="Arial" w:hAnsi="Arial" w:cs="Arial"/>
          <w:szCs w:val="26"/>
        </w:rPr>
        <w:noBreakHyphen/>
      </w:r>
      <w:r w:rsidR="004C3BAD" w:rsidRPr="00102E74">
        <w:rPr>
          <w:rFonts w:ascii="Arial" w:hAnsi="Arial" w:cs="Arial"/>
          <w:szCs w:val="26"/>
        </w:rPr>
        <w:t>2331887</w:t>
      </w:r>
      <w:r w:rsidR="00102E74" w:rsidRPr="00102E74">
        <w:rPr>
          <w:rFonts w:ascii="Arial" w:hAnsi="Arial" w:cs="Arial"/>
          <w:szCs w:val="26"/>
        </w:rPr>
        <w:t>, respectively,</w:t>
      </w:r>
      <w:r w:rsidRPr="00102E74">
        <w:rPr>
          <w:rFonts w:ascii="Arial" w:hAnsi="Arial" w:cs="Arial"/>
          <w:szCs w:val="26"/>
        </w:rPr>
        <w:t xml:space="preserve"> via http://www.puc.pa.gov.</w:t>
      </w:r>
      <w:proofErr w:type="gramEnd"/>
    </w:p>
    <w:p w:rsidR="003731A5" w:rsidRPr="00BE0936" w:rsidRDefault="003731A5" w:rsidP="00245AE1">
      <w:pPr>
        <w:tabs>
          <w:tab w:val="center" w:pos="4680"/>
        </w:tabs>
        <w:suppressAutoHyphens/>
        <w:outlineLvl w:val="0"/>
        <w:rPr>
          <w:rFonts w:ascii="Arial" w:hAnsi="Arial" w:cs="Arial"/>
          <w:b/>
          <w:szCs w:val="24"/>
        </w:rPr>
      </w:pPr>
    </w:p>
    <w:p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2</w:t>
      </w:r>
      <w:r w:rsidR="00BB544B">
        <w:rPr>
          <w:rFonts w:ascii="Arial" w:hAnsi="Arial" w:cs="Arial"/>
          <w:b/>
          <w:szCs w:val="24"/>
          <w:u w:val="single"/>
        </w:rPr>
        <w:t xml:space="preserve"> -</w:t>
      </w:r>
      <w:r w:rsidR="00BB544B">
        <w:rPr>
          <w:rFonts w:ascii="Arial" w:hAnsi="Arial" w:cs="Arial"/>
          <w:b/>
          <w:szCs w:val="24"/>
          <w:u w:val="single"/>
        </w:rPr>
        <w:tab/>
        <w:t>TSC Revenues</w:t>
      </w:r>
    </w:p>
    <w:p w:rsidR="00E85E8B" w:rsidRPr="00BE0936" w:rsidRDefault="00E85E8B" w:rsidP="00E85E8B">
      <w:pPr>
        <w:tabs>
          <w:tab w:val="left" w:pos="360"/>
        </w:tabs>
        <w:jc w:val="both"/>
        <w:rPr>
          <w:rFonts w:ascii="Arial" w:hAnsi="Arial" w:cs="Arial"/>
          <w:b/>
          <w:szCs w:val="24"/>
          <w:highlight w:val="lightGray"/>
          <w:u w:val="single"/>
        </w:rPr>
      </w:pPr>
    </w:p>
    <w:p w:rsidR="00E85E8B" w:rsidRDefault="00E85E8B" w:rsidP="00E85E8B">
      <w:pPr>
        <w:tabs>
          <w:tab w:val="left" w:pos="360"/>
        </w:tabs>
        <w:ind w:left="360"/>
        <w:rPr>
          <w:rFonts w:ascii="Arial" w:hAnsi="Arial" w:cs="Arial"/>
          <w:szCs w:val="24"/>
        </w:rPr>
      </w:pPr>
      <w:r w:rsidRPr="00A507DA">
        <w:rPr>
          <w:rFonts w:ascii="Arial" w:hAnsi="Arial" w:cs="Arial"/>
          <w:szCs w:val="24"/>
        </w:rPr>
        <w:t xml:space="preserve">TSC Revenues are the amounts actually billed by </w:t>
      </w:r>
      <w:r w:rsidR="00A507DA">
        <w:rPr>
          <w:rFonts w:ascii="Arial" w:hAnsi="Arial" w:cs="Arial"/>
          <w:szCs w:val="24"/>
        </w:rPr>
        <w:t xml:space="preserve">PECO </w:t>
      </w:r>
      <w:r w:rsidR="00821061">
        <w:rPr>
          <w:rFonts w:ascii="Arial" w:hAnsi="Arial" w:cs="Arial"/>
          <w:szCs w:val="24"/>
        </w:rPr>
        <w:t xml:space="preserve">as a result of applying the approved </w:t>
      </w:r>
      <w:r w:rsidR="00C62381">
        <w:rPr>
          <w:rFonts w:ascii="Arial" w:hAnsi="Arial" w:cs="Arial"/>
          <w:szCs w:val="24"/>
        </w:rPr>
        <w:t>C-Factor</w:t>
      </w:r>
      <w:r w:rsidR="00B96379">
        <w:rPr>
          <w:rFonts w:ascii="Arial" w:hAnsi="Arial" w:cs="Arial"/>
          <w:szCs w:val="24"/>
        </w:rPr>
        <w:t xml:space="preserve"> rate </w:t>
      </w:r>
      <w:r w:rsidRPr="00A507DA">
        <w:rPr>
          <w:rFonts w:ascii="Arial" w:hAnsi="Arial" w:cs="Arial"/>
          <w:szCs w:val="24"/>
        </w:rPr>
        <w:t>to each kilowatt-hour (kWh)</w:t>
      </w:r>
      <w:r w:rsidR="005825BA">
        <w:rPr>
          <w:rFonts w:ascii="Arial" w:hAnsi="Arial" w:cs="Arial"/>
          <w:szCs w:val="24"/>
        </w:rPr>
        <w:t xml:space="preserve"> of energy</w:t>
      </w:r>
      <w:r w:rsidRPr="00A507DA">
        <w:rPr>
          <w:rFonts w:ascii="Arial" w:hAnsi="Arial" w:cs="Arial"/>
          <w:szCs w:val="24"/>
        </w:rPr>
        <w:t xml:space="preserve"> </w:t>
      </w:r>
      <w:r w:rsidR="008B2CB0">
        <w:rPr>
          <w:rFonts w:ascii="Arial" w:hAnsi="Arial" w:cs="Arial"/>
          <w:szCs w:val="24"/>
        </w:rPr>
        <w:t>or each kilowatt (kW)</w:t>
      </w:r>
      <w:r w:rsidR="005825BA">
        <w:rPr>
          <w:rFonts w:ascii="Arial" w:hAnsi="Arial" w:cs="Arial"/>
          <w:szCs w:val="24"/>
        </w:rPr>
        <w:t xml:space="preserve"> of demand</w:t>
      </w:r>
      <w:r w:rsidR="008B2CB0">
        <w:rPr>
          <w:rFonts w:ascii="Arial" w:hAnsi="Arial" w:cs="Arial"/>
          <w:szCs w:val="24"/>
        </w:rPr>
        <w:t xml:space="preserve"> </w:t>
      </w:r>
      <w:r w:rsidRPr="00A507DA">
        <w:rPr>
          <w:rFonts w:ascii="Arial" w:hAnsi="Arial" w:cs="Arial"/>
          <w:szCs w:val="24"/>
        </w:rPr>
        <w:t xml:space="preserve">delivered to all </w:t>
      </w:r>
      <w:r w:rsidR="00BF0983">
        <w:rPr>
          <w:rFonts w:ascii="Arial" w:hAnsi="Arial" w:cs="Arial"/>
          <w:szCs w:val="24"/>
        </w:rPr>
        <w:t>Default</w:t>
      </w:r>
      <w:r w:rsidRPr="00A507DA">
        <w:rPr>
          <w:rFonts w:ascii="Arial" w:hAnsi="Arial" w:cs="Arial"/>
          <w:szCs w:val="24"/>
        </w:rPr>
        <w:t xml:space="preserve"> Service Customers</w:t>
      </w:r>
      <w:r w:rsidR="00B96379">
        <w:rPr>
          <w:rFonts w:ascii="Arial" w:hAnsi="Arial" w:cs="Arial"/>
          <w:szCs w:val="24"/>
        </w:rPr>
        <w:t xml:space="preserve">, less the cost for working capital associated with the purchase of transmission service from </w:t>
      </w:r>
      <w:r w:rsidR="00A16598">
        <w:rPr>
          <w:rFonts w:ascii="Arial" w:hAnsi="Arial" w:cs="Arial"/>
          <w:szCs w:val="24"/>
        </w:rPr>
        <w:t>PJM</w:t>
      </w:r>
      <w:r w:rsidR="002F069E">
        <w:rPr>
          <w:rFonts w:ascii="Arial" w:hAnsi="Arial" w:cs="Arial"/>
          <w:szCs w:val="24"/>
        </w:rPr>
        <w:t xml:space="preserve">, </w:t>
      </w:r>
      <w:r w:rsidRPr="00A507DA">
        <w:rPr>
          <w:rFonts w:ascii="Arial" w:hAnsi="Arial" w:cs="Arial"/>
          <w:szCs w:val="24"/>
        </w:rPr>
        <w:t>as outlined in the Company’s Electric Service Tariff</w:t>
      </w:r>
      <w:r w:rsidR="00617984" w:rsidRPr="00A507DA">
        <w:rPr>
          <w:rFonts w:ascii="Arial" w:hAnsi="Arial" w:cs="Arial"/>
          <w:szCs w:val="24"/>
        </w:rPr>
        <w:t xml:space="preserve">.  </w:t>
      </w:r>
    </w:p>
    <w:p w:rsidR="00C72207" w:rsidRPr="00A507DA" w:rsidRDefault="00C72207" w:rsidP="00E85E8B">
      <w:pPr>
        <w:tabs>
          <w:tab w:val="left" w:pos="360"/>
        </w:tabs>
        <w:ind w:left="360"/>
        <w:rPr>
          <w:rFonts w:ascii="Arial" w:hAnsi="Arial" w:cs="Arial"/>
          <w:szCs w:val="24"/>
        </w:rPr>
      </w:pPr>
    </w:p>
    <w:p w:rsidR="00E85E8B" w:rsidRPr="00BE0936" w:rsidRDefault="00BF0E3F" w:rsidP="00E85E8B">
      <w:pPr>
        <w:pStyle w:val="EndnoteText"/>
        <w:tabs>
          <w:tab w:val="left" w:pos="360"/>
        </w:tabs>
        <w:suppressAutoHyphens/>
        <w:rPr>
          <w:rFonts w:ascii="Arial" w:hAnsi="Arial" w:cs="Arial"/>
          <w:b/>
          <w:szCs w:val="24"/>
          <w:u w:val="single"/>
        </w:rPr>
      </w:pPr>
      <w:r>
        <w:rPr>
          <w:rFonts w:ascii="Arial" w:hAnsi="Arial" w:cs="Arial"/>
          <w:b/>
          <w:szCs w:val="24"/>
          <w:u w:val="single"/>
        </w:rPr>
        <w:t>3</w:t>
      </w:r>
      <w:r w:rsidR="00E85E8B" w:rsidRPr="00BE0936">
        <w:rPr>
          <w:rFonts w:ascii="Arial" w:hAnsi="Arial" w:cs="Arial"/>
          <w:b/>
          <w:szCs w:val="24"/>
          <w:u w:val="single"/>
        </w:rPr>
        <w:t xml:space="preserve"> -</w:t>
      </w:r>
      <w:r w:rsidR="00E85E8B" w:rsidRPr="00BE0936">
        <w:rPr>
          <w:rFonts w:ascii="Arial" w:hAnsi="Arial" w:cs="Arial"/>
          <w:b/>
          <w:szCs w:val="24"/>
          <w:u w:val="single"/>
        </w:rPr>
        <w:tab/>
      </w:r>
      <w:r w:rsidR="00725EC7">
        <w:rPr>
          <w:rFonts w:ascii="Arial" w:hAnsi="Arial" w:cs="Arial"/>
          <w:b/>
          <w:szCs w:val="24"/>
          <w:u w:val="single"/>
        </w:rPr>
        <w:t xml:space="preserve">TSC </w:t>
      </w:r>
      <w:r w:rsidR="00E85E8B" w:rsidRPr="00BE0936">
        <w:rPr>
          <w:rFonts w:ascii="Arial" w:hAnsi="Arial" w:cs="Arial"/>
          <w:b/>
          <w:szCs w:val="24"/>
          <w:u w:val="single"/>
        </w:rPr>
        <w:t xml:space="preserve">Costs </w:t>
      </w:r>
    </w:p>
    <w:p w:rsidR="00E85E8B" w:rsidRPr="00BE0936" w:rsidRDefault="00E85E8B" w:rsidP="00E85E8B">
      <w:pPr>
        <w:tabs>
          <w:tab w:val="left" w:pos="360"/>
        </w:tabs>
        <w:ind w:left="360"/>
        <w:rPr>
          <w:rFonts w:ascii="Arial" w:hAnsi="Arial" w:cs="Arial"/>
          <w:szCs w:val="24"/>
          <w:highlight w:val="lightGray"/>
        </w:rPr>
      </w:pPr>
    </w:p>
    <w:p w:rsidR="00E85E8B" w:rsidRPr="00BE0936" w:rsidRDefault="00E85E8B" w:rsidP="00E85E8B">
      <w:pPr>
        <w:tabs>
          <w:tab w:val="left" w:pos="360"/>
        </w:tabs>
        <w:ind w:left="360"/>
        <w:rPr>
          <w:rFonts w:ascii="Arial" w:hAnsi="Arial" w:cs="Arial"/>
          <w:szCs w:val="24"/>
        </w:rPr>
      </w:pPr>
      <w:r w:rsidRPr="00BE0936">
        <w:rPr>
          <w:rFonts w:ascii="Arial" w:hAnsi="Arial" w:cs="Arial"/>
          <w:szCs w:val="24"/>
        </w:rPr>
        <w:t>T</w:t>
      </w:r>
      <w:r w:rsidR="002F069E">
        <w:rPr>
          <w:rFonts w:ascii="Arial" w:hAnsi="Arial" w:cs="Arial"/>
          <w:szCs w:val="24"/>
        </w:rPr>
        <w:t>SC</w:t>
      </w:r>
      <w:r w:rsidRPr="00BE0936">
        <w:rPr>
          <w:rFonts w:ascii="Arial" w:hAnsi="Arial" w:cs="Arial"/>
          <w:szCs w:val="24"/>
        </w:rPr>
        <w:t xml:space="preserve"> Costs are the actual applicable charges incurred by the Company to acquire transmission service on behalf of the </w:t>
      </w:r>
      <w:r w:rsidR="00282A8A">
        <w:rPr>
          <w:rFonts w:ascii="Arial" w:hAnsi="Arial" w:cs="Arial"/>
          <w:szCs w:val="24"/>
        </w:rPr>
        <w:t>Company’s default service load</w:t>
      </w:r>
      <w:r w:rsidRPr="00BE0936">
        <w:rPr>
          <w:rFonts w:ascii="Arial" w:hAnsi="Arial" w:cs="Arial"/>
          <w:szCs w:val="24"/>
        </w:rPr>
        <w:t xml:space="preserve"> under the PJM </w:t>
      </w:r>
      <w:r w:rsidR="002F069E" w:rsidRPr="00F51FF0">
        <w:rPr>
          <w:rFonts w:ascii="Arial" w:hAnsi="Arial" w:cs="Arial"/>
          <w:szCs w:val="24"/>
        </w:rPr>
        <w:t>O</w:t>
      </w:r>
      <w:r w:rsidR="002F069E">
        <w:rPr>
          <w:rFonts w:ascii="Arial" w:hAnsi="Arial" w:cs="Arial"/>
          <w:szCs w:val="24"/>
        </w:rPr>
        <w:t xml:space="preserve">pen </w:t>
      </w:r>
      <w:r w:rsidR="002F069E" w:rsidRPr="00F51FF0">
        <w:rPr>
          <w:rFonts w:ascii="Arial" w:hAnsi="Arial" w:cs="Arial"/>
          <w:szCs w:val="24"/>
        </w:rPr>
        <w:t>A</w:t>
      </w:r>
      <w:r w:rsidR="002F069E">
        <w:rPr>
          <w:rFonts w:ascii="Arial" w:hAnsi="Arial" w:cs="Arial"/>
          <w:szCs w:val="24"/>
        </w:rPr>
        <w:t xml:space="preserve">ccess </w:t>
      </w:r>
      <w:r w:rsidR="002F069E" w:rsidRPr="00F51FF0">
        <w:rPr>
          <w:rFonts w:ascii="Arial" w:hAnsi="Arial" w:cs="Arial"/>
          <w:szCs w:val="24"/>
        </w:rPr>
        <w:t>T</w:t>
      </w:r>
      <w:r w:rsidR="002F069E">
        <w:rPr>
          <w:rFonts w:ascii="Arial" w:hAnsi="Arial" w:cs="Arial"/>
          <w:szCs w:val="24"/>
        </w:rPr>
        <w:t xml:space="preserve">ransmission </w:t>
      </w:r>
      <w:r w:rsidR="002F069E" w:rsidRPr="00F51FF0">
        <w:rPr>
          <w:rFonts w:ascii="Arial" w:hAnsi="Arial" w:cs="Arial"/>
          <w:szCs w:val="24"/>
        </w:rPr>
        <w:t>T</w:t>
      </w:r>
      <w:r w:rsidR="002F069E">
        <w:rPr>
          <w:rFonts w:ascii="Arial" w:hAnsi="Arial" w:cs="Arial"/>
          <w:szCs w:val="24"/>
        </w:rPr>
        <w:t>ariff</w:t>
      </w:r>
      <w:r w:rsidR="002F069E" w:rsidRPr="00F51FF0">
        <w:rPr>
          <w:rFonts w:ascii="Arial" w:hAnsi="Arial" w:cs="Arial"/>
          <w:szCs w:val="24"/>
        </w:rPr>
        <w:t xml:space="preserve"> </w:t>
      </w:r>
      <w:r w:rsidR="002F069E">
        <w:rPr>
          <w:rFonts w:ascii="Arial" w:hAnsi="Arial" w:cs="Arial"/>
          <w:szCs w:val="24"/>
        </w:rPr>
        <w:t xml:space="preserve">(OATT) as </w:t>
      </w:r>
      <w:r w:rsidRPr="00BE0936">
        <w:rPr>
          <w:rFonts w:ascii="Arial" w:hAnsi="Arial" w:cs="Arial"/>
          <w:szCs w:val="24"/>
        </w:rPr>
        <w:t>approved by the Federal Energy Regulatory Commission.</w:t>
      </w:r>
      <w:r w:rsidR="000E76F1">
        <w:rPr>
          <w:rFonts w:ascii="Arial" w:hAnsi="Arial" w:cs="Arial"/>
          <w:szCs w:val="24"/>
        </w:rPr>
        <w:t xml:space="preserve"> </w:t>
      </w:r>
      <w:r w:rsidRPr="00BE0936">
        <w:rPr>
          <w:rFonts w:ascii="Arial" w:hAnsi="Arial" w:cs="Arial"/>
          <w:szCs w:val="24"/>
        </w:rPr>
        <w:t xml:space="preserve"> </w:t>
      </w:r>
    </w:p>
    <w:p w:rsidR="00E85E8B" w:rsidRPr="00BE0936" w:rsidRDefault="00E85E8B" w:rsidP="00E85E8B">
      <w:pPr>
        <w:tabs>
          <w:tab w:val="left" w:pos="360"/>
        </w:tabs>
        <w:jc w:val="both"/>
        <w:rPr>
          <w:rFonts w:ascii="Arial" w:hAnsi="Arial" w:cs="Arial"/>
          <w:b/>
          <w:szCs w:val="24"/>
          <w:highlight w:val="lightGray"/>
          <w:u w:val="single"/>
        </w:rPr>
      </w:pPr>
    </w:p>
    <w:p w:rsidR="00E85E8B" w:rsidRPr="00BE0936" w:rsidRDefault="00BF0E3F" w:rsidP="00E85E8B">
      <w:pPr>
        <w:tabs>
          <w:tab w:val="left" w:pos="360"/>
        </w:tabs>
        <w:jc w:val="both"/>
        <w:rPr>
          <w:rFonts w:ascii="Arial" w:hAnsi="Arial" w:cs="Arial"/>
          <w:b/>
          <w:szCs w:val="24"/>
          <w:u w:val="single"/>
        </w:rPr>
      </w:pPr>
      <w:r>
        <w:rPr>
          <w:rFonts w:ascii="Arial" w:hAnsi="Arial" w:cs="Arial"/>
          <w:b/>
          <w:szCs w:val="24"/>
          <w:u w:val="single"/>
        </w:rPr>
        <w:t>4</w:t>
      </w:r>
      <w:r w:rsidR="00E85E8B" w:rsidRPr="00BE0936">
        <w:rPr>
          <w:rFonts w:ascii="Arial" w:hAnsi="Arial" w:cs="Arial"/>
          <w:b/>
          <w:szCs w:val="24"/>
          <w:u w:val="single"/>
        </w:rPr>
        <w:t xml:space="preserve"> -</w:t>
      </w:r>
      <w:r w:rsidR="00E85E8B" w:rsidRPr="00BE0936">
        <w:rPr>
          <w:rFonts w:ascii="Arial" w:hAnsi="Arial" w:cs="Arial"/>
          <w:b/>
          <w:szCs w:val="24"/>
          <w:u w:val="single"/>
        </w:rPr>
        <w:tab/>
        <w:t>Over</w:t>
      </w:r>
      <w:proofErr w:type="gramStart"/>
      <w:r w:rsidR="00D954E3" w:rsidRPr="00BE0936">
        <w:rPr>
          <w:rFonts w:ascii="Arial" w:hAnsi="Arial" w:cs="Arial"/>
          <w:b/>
          <w:szCs w:val="24"/>
          <w:u w:val="single"/>
        </w:rPr>
        <w:t>/</w:t>
      </w:r>
      <w:r w:rsidR="00D954E3">
        <w:rPr>
          <w:rFonts w:ascii="Arial" w:hAnsi="Arial" w:cs="Arial"/>
          <w:b/>
          <w:szCs w:val="24"/>
          <w:u w:val="single"/>
        </w:rPr>
        <w:t>(</w:t>
      </w:r>
      <w:proofErr w:type="gramEnd"/>
      <w:r w:rsidR="00E85E8B" w:rsidRPr="00BE0936">
        <w:rPr>
          <w:rFonts w:ascii="Arial" w:hAnsi="Arial" w:cs="Arial"/>
          <w:b/>
          <w:szCs w:val="24"/>
          <w:u w:val="single"/>
        </w:rPr>
        <w:t>Under</w:t>
      </w:r>
      <w:r w:rsidR="00712E5A">
        <w:rPr>
          <w:rFonts w:ascii="Arial" w:hAnsi="Arial" w:cs="Arial"/>
          <w:b/>
          <w:szCs w:val="24"/>
          <w:u w:val="single"/>
        </w:rPr>
        <w:t>)</w:t>
      </w:r>
      <w:r w:rsidR="00E85E8B" w:rsidRPr="00BE0936">
        <w:rPr>
          <w:rFonts w:ascii="Arial" w:hAnsi="Arial" w:cs="Arial"/>
          <w:b/>
          <w:szCs w:val="24"/>
          <w:u w:val="single"/>
        </w:rPr>
        <w:t xml:space="preserve"> Collection</w:t>
      </w:r>
      <w:r w:rsidR="0097220F">
        <w:rPr>
          <w:rFonts w:ascii="Arial" w:hAnsi="Arial" w:cs="Arial"/>
          <w:b/>
          <w:szCs w:val="24"/>
          <w:u w:val="single"/>
        </w:rPr>
        <w:t>s</w:t>
      </w:r>
    </w:p>
    <w:p w:rsidR="00E85E8B" w:rsidRPr="00BE0936" w:rsidRDefault="00E85E8B" w:rsidP="00BA1B4A">
      <w:pPr>
        <w:jc w:val="both"/>
        <w:rPr>
          <w:rFonts w:ascii="Arial" w:hAnsi="Arial" w:cs="Arial"/>
          <w:b/>
          <w:szCs w:val="24"/>
          <w:highlight w:val="lightGray"/>
          <w:u w:val="single"/>
        </w:rPr>
      </w:pPr>
    </w:p>
    <w:p w:rsidR="00876C7A" w:rsidRPr="00B13816" w:rsidRDefault="00BA1B4A" w:rsidP="00876C7A">
      <w:pPr>
        <w:pStyle w:val="EndnoteText"/>
        <w:tabs>
          <w:tab w:val="left" w:pos="-720"/>
        </w:tabs>
        <w:suppressAutoHyphens/>
        <w:ind w:left="360"/>
        <w:rPr>
          <w:rFonts w:ascii="Arial" w:hAnsi="Arial" w:cs="Arial"/>
          <w:szCs w:val="24"/>
        </w:rPr>
      </w:pPr>
      <w:r w:rsidRPr="00936DE2">
        <w:rPr>
          <w:rFonts w:ascii="Arial" w:hAnsi="Arial" w:cs="Arial"/>
          <w:szCs w:val="24"/>
        </w:rPr>
        <w:t>Over</w:t>
      </w:r>
      <w:proofErr w:type="gramStart"/>
      <w:r w:rsidRPr="00936DE2">
        <w:rPr>
          <w:rFonts w:ascii="Arial" w:hAnsi="Arial" w:cs="Arial"/>
          <w:szCs w:val="24"/>
        </w:rPr>
        <w:t>/(</w:t>
      </w:r>
      <w:proofErr w:type="gramEnd"/>
      <w:r w:rsidRPr="00936DE2">
        <w:rPr>
          <w:rFonts w:ascii="Arial" w:hAnsi="Arial" w:cs="Arial"/>
          <w:szCs w:val="24"/>
        </w:rPr>
        <w:t xml:space="preserve">Under) Collections </w:t>
      </w:r>
      <w:r w:rsidR="00876C7A">
        <w:rPr>
          <w:rFonts w:ascii="Arial" w:hAnsi="Arial" w:cs="Arial"/>
          <w:szCs w:val="24"/>
        </w:rPr>
        <w:t>are</w:t>
      </w:r>
      <w:r>
        <w:rPr>
          <w:rFonts w:ascii="Arial" w:hAnsi="Arial" w:cs="Arial"/>
          <w:szCs w:val="24"/>
        </w:rPr>
        <w:t xml:space="preserve"> the</w:t>
      </w:r>
      <w:r w:rsidRPr="00936DE2">
        <w:rPr>
          <w:rFonts w:ascii="Arial" w:hAnsi="Arial" w:cs="Arial"/>
          <w:szCs w:val="24"/>
        </w:rPr>
        <w:t xml:space="preserve"> difference</w:t>
      </w:r>
      <w:r w:rsidR="00876C7A">
        <w:rPr>
          <w:rFonts w:ascii="Arial" w:hAnsi="Arial" w:cs="Arial"/>
          <w:szCs w:val="24"/>
        </w:rPr>
        <w:t>s</w:t>
      </w:r>
      <w:r w:rsidRPr="00936DE2">
        <w:rPr>
          <w:rFonts w:ascii="Arial" w:hAnsi="Arial" w:cs="Arial"/>
          <w:szCs w:val="24"/>
        </w:rPr>
        <w:t xml:space="preserve"> between the </w:t>
      </w:r>
      <w:r>
        <w:rPr>
          <w:rFonts w:ascii="Arial" w:hAnsi="Arial" w:cs="Arial"/>
          <w:szCs w:val="24"/>
        </w:rPr>
        <w:t xml:space="preserve">TSC </w:t>
      </w:r>
      <w:r w:rsidRPr="00936DE2">
        <w:rPr>
          <w:rFonts w:ascii="Arial" w:hAnsi="Arial" w:cs="Arial"/>
          <w:szCs w:val="24"/>
        </w:rPr>
        <w:t>Revenue</w:t>
      </w:r>
      <w:r>
        <w:rPr>
          <w:rFonts w:ascii="Arial" w:hAnsi="Arial" w:cs="Arial"/>
          <w:szCs w:val="24"/>
        </w:rPr>
        <w:t xml:space="preserve">s </w:t>
      </w:r>
      <w:r w:rsidRPr="00936DE2">
        <w:rPr>
          <w:rFonts w:ascii="Arial" w:hAnsi="Arial" w:cs="Arial"/>
          <w:szCs w:val="24"/>
        </w:rPr>
        <w:t xml:space="preserve">and the </w:t>
      </w:r>
      <w:r>
        <w:rPr>
          <w:rFonts w:ascii="Arial" w:hAnsi="Arial" w:cs="Arial"/>
          <w:szCs w:val="24"/>
        </w:rPr>
        <w:t xml:space="preserve">TSC </w:t>
      </w:r>
      <w:r w:rsidR="00840700">
        <w:rPr>
          <w:rFonts w:ascii="Arial" w:hAnsi="Arial" w:cs="Arial"/>
          <w:szCs w:val="24"/>
        </w:rPr>
        <w:t>Costs</w:t>
      </w:r>
      <w:r w:rsidRPr="00936DE2">
        <w:rPr>
          <w:rFonts w:ascii="Arial" w:hAnsi="Arial" w:cs="Arial"/>
          <w:szCs w:val="24"/>
        </w:rPr>
        <w:t>.  The resulting amount</w:t>
      </w:r>
      <w:r>
        <w:rPr>
          <w:rFonts w:ascii="Arial" w:hAnsi="Arial" w:cs="Arial"/>
          <w:szCs w:val="24"/>
        </w:rPr>
        <w:t>s</w:t>
      </w:r>
      <w:r w:rsidRPr="00936DE2">
        <w:rPr>
          <w:rFonts w:ascii="Arial" w:hAnsi="Arial" w:cs="Arial"/>
          <w:szCs w:val="24"/>
        </w:rPr>
        <w:t xml:space="preserve"> represent the portion of </w:t>
      </w:r>
      <w:r>
        <w:rPr>
          <w:rFonts w:ascii="Arial" w:hAnsi="Arial" w:cs="Arial"/>
          <w:szCs w:val="24"/>
        </w:rPr>
        <w:t xml:space="preserve">TSC Revenues </w:t>
      </w:r>
      <w:r w:rsidRPr="00DF518D">
        <w:rPr>
          <w:rFonts w:ascii="Arial" w:hAnsi="Arial" w:cs="Arial"/>
        </w:rPr>
        <w:t>refundable</w:t>
      </w:r>
      <w:r>
        <w:rPr>
          <w:rFonts w:ascii="Arial" w:hAnsi="Arial" w:cs="Arial"/>
        </w:rPr>
        <w:t xml:space="preserve"> to or </w:t>
      </w:r>
      <w:r w:rsidR="00876C7A">
        <w:rPr>
          <w:rFonts w:ascii="Arial" w:hAnsi="Arial" w:cs="Arial"/>
        </w:rPr>
        <w:t>TSC Costs</w:t>
      </w:r>
      <w:r>
        <w:rPr>
          <w:rFonts w:ascii="Arial" w:hAnsi="Arial" w:cs="Arial"/>
        </w:rPr>
        <w:t xml:space="preserve"> </w:t>
      </w:r>
      <w:r w:rsidR="00876C7A">
        <w:rPr>
          <w:rFonts w:ascii="Arial" w:hAnsi="Arial" w:cs="Arial"/>
        </w:rPr>
        <w:t>recoverable from c</w:t>
      </w:r>
      <w:r>
        <w:rPr>
          <w:rFonts w:ascii="Arial" w:hAnsi="Arial" w:cs="Arial"/>
        </w:rPr>
        <w:t>u</w:t>
      </w:r>
      <w:r w:rsidR="00876C7A">
        <w:rPr>
          <w:rFonts w:ascii="Arial" w:hAnsi="Arial" w:cs="Arial"/>
        </w:rPr>
        <w:t>sto</w:t>
      </w:r>
      <w:r>
        <w:rPr>
          <w:rFonts w:ascii="Arial" w:hAnsi="Arial" w:cs="Arial"/>
        </w:rPr>
        <w:t xml:space="preserve">mers through subsequent TSC filings.  </w:t>
      </w:r>
      <w:r w:rsidR="00876C7A">
        <w:rPr>
          <w:rFonts w:ascii="Arial" w:hAnsi="Arial" w:cs="Arial"/>
          <w:szCs w:val="24"/>
        </w:rPr>
        <w:t>Interest is applied to both over and under collections.  Differences arise for two</w:t>
      </w:r>
      <w:r w:rsidR="00876C7A" w:rsidRPr="00B13816">
        <w:rPr>
          <w:rFonts w:ascii="Arial" w:hAnsi="Arial" w:cs="Arial"/>
          <w:szCs w:val="24"/>
        </w:rPr>
        <w:t xml:space="preserve"> primary reasons:</w:t>
      </w:r>
    </w:p>
    <w:p w:rsidR="00BA1B4A" w:rsidRDefault="00BA1B4A" w:rsidP="00BA1B4A">
      <w:pPr>
        <w:ind w:left="360"/>
        <w:rPr>
          <w:rFonts w:ascii="Arial" w:hAnsi="Arial" w:cs="Arial"/>
        </w:rPr>
      </w:pPr>
    </w:p>
    <w:p w:rsidR="007F2316" w:rsidRPr="00936DE2" w:rsidRDefault="007F2316" w:rsidP="007F2316">
      <w:pPr>
        <w:numPr>
          <w:ilvl w:val="0"/>
          <w:numId w:val="6"/>
        </w:numPr>
        <w:tabs>
          <w:tab w:val="left" w:pos="360"/>
        </w:tabs>
        <w:rPr>
          <w:rFonts w:ascii="Arial" w:hAnsi="Arial" w:cs="Arial"/>
          <w:szCs w:val="24"/>
        </w:rPr>
      </w:pPr>
      <w:r w:rsidRPr="00936DE2">
        <w:rPr>
          <w:rFonts w:ascii="Arial" w:hAnsi="Arial" w:cs="Arial"/>
          <w:szCs w:val="24"/>
        </w:rPr>
        <w:t>Variations between the actual month</w:t>
      </w:r>
      <w:r>
        <w:rPr>
          <w:rFonts w:ascii="Arial" w:hAnsi="Arial" w:cs="Arial"/>
          <w:szCs w:val="24"/>
        </w:rPr>
        <w:t>ly volumes</w:t>
      </w:r>
      <w:r w:rsidRPr="00936DE2">
        <w:rPr>
          <w:rFonts w:ascii="Arial" w:hAnsi="Arial" w:cs="Arial"/>
          <w:szCs w:val="24"/>
        </w:rPr>
        <w:t xml:space="preserve"> </w:t>
      </w:r>
      <w:r>
        <w:rPr>
          <w:rFonts w:ascii="Arial" w:hAnsi="Arial" w:cs="Arial"/>
          <w:szCs w:val="24"/>
        </w:rPr>
        <w:t xml:space="preserve">billed to </w:t>
      </w:r>
      <w:r w:rsidRPr="00936DE2">
        <w:rPr>
          <w:rFonts w:ascii="Arial" w:hAnsi="Arial" w:cs="Arial"/>
          <w:szCs w:val="24"/>
        </w:rPr>
        <w:t xml:space="preserve">customers and the </w:t>
      </w:r>
      <w:r>
        <w:rPr>
          <w:rFonts w:ascii="Arial" w:hAnsi="Arial" w:cs="Arial"/>
          <w:szCs w:val="24"/>
        </w:rPr>
        <w:t>estimates used to determine the TSC</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w:t>
      </w:r>
    </w:p>
    <w:p w:rsidR="007F2316" w:rsidRPr="00936DE2" w:rsidRDefault="007F2316" w:rsidP="007F2316">
      <w:pPr>
        <w:tabs>
          <w:tab w:val="left" w:pos="360"/>
        </w:tabs>
        <w:ind w:left="360"/>
        <w:rPr>
          <w:rFonts w:ascii="Arial" w:hAnsi="Arial" w:cs="Arial"/>
          <w:szCs w:val="24"/>
        </w:rPr>
      </w:pPr>
    </w:p>
    <w:p w:rsidR="00086802" w:rsidRDefault="007F2316" w:rsidP="007F2316">
      <w:pPr>
        <w:numPr>
          <w:ilvl w:val="0"/>
          <w:numId w:val="6"/>
        </w:numPr>
        <w:tabs>
          <w:tab w:val="left" w:pos="360"/>
        </w:tabs>
        <w:rPr>
          <w:rFonts w:ascii="Arial" w:hAnsi="Arial" w:cs="Arial"/>
          <w:szCs w:val="24"/>
        </w:rPr>
        <w:sectPr w:rsidR="00086802" w:rsidSect="003439CD">
          <w:headerReference w:type="even" r:id="rId33"/>
          <w:headerReference w:type="default" r:id="rId34"/>
          <w:footerReference w:type="default" r:id="rId35"/>
          <w:headerReference w:type="first" r:id="rId36"/>
          <w:endnotePr>
            <w:numFmt w:val="decimal"/>
          </w:endnotePr>
          <w:pgSz w:w="12240" w:h="15840" w:code="1"/>
          <w:pgMar w:top="1440" w:right="1440" w:bottom="1008" w:left="1440" w:header="1440" w:footer="720" w:gutter="0"/>
          <w:pgNumType w:fmt="numberInDash" w:start="5"/>
          <w:cols w:space="720"/>
          <w:noEndnote/>
          <w:docGrid w:linePitch="326"/>
        </w:sectPr>
      </w:pPr>
      <w:r w:rsidRPr="00936DE2">
        <w:rPr>
          <w:rFonts w:ascii="Arial" w:hAnsi="Arial" w:cs="Arial"/>
          <w:szCs w:val="24"/>
        </w:rPr>
        <w:t xml:space="preserve">Variations between the actual </w:t>
      </w:r>
      <w:r>
        <w:rPr>
          <w:rFonts w:ascii="Arial" w:hAnsi="Arial" w:cs="Arial"/>
          <w:szCs w:val="24"/>
        </w:rPr>
        <w:t xml:space="preserve">TSC </w:t>
      </w:r>
      <w:r w:rsidR="009F7D23">
        <w:rPr>
          <w:rFonts w:ascii="Arial" w:hAnsi="Arial" w:cs="Arial"/>
          <w:szCs w:val="24"/>
        </w:rPr>
        <w:t>costs</w:t>
      </w:r>
      <w:r w:rsidRPr="00936DE2">
        <w:rPr>
          <w:rFonts w:ascii="Arial" w:hAnsi="Arial" w:cs="Arial"/>
          <w:szCs w:val="24"/>
        </w:rPr>
        <w:t xml:space="preserve"> </w:t>
      </w:r>
      <w:r w:rsidR="00876C7A">
        <w:rPr>
          <w:rFonts w:ascii="Arial" w:hAnsi="Arial" w:cs="Arial"/>
          <w:szCs w:val="24"/>
        </w:rPr>
        <w:t xml:space="preserve">incurred </w:t>
      </w:r>
      <w:r>
        <w:rPr>
          <w:rFonts w:ascii="Arial" w:hAnsi="Arial" w:cs="Arial"/>
          <w:szCs w:val="24"/>
        </w:rPr>
        <w:t>a</w:t>
      </w:r>
      <w:r w:rsidRPr="00936DE2">
        <w:rPr>
          <w:rFonts w:ascii="Arial" w:hAnsi="Arial" w:cs="Arial"/>
          <w:szCs w:val="24"/>
        </w:rPr>
        <w:t xml:space="preserve">nd the </w:t>
      </w:r>
      <w:r>
        <w:rPr>
          <w:rFonts w:ascii="Arial" w:hAnsi="Arial" w:cs="Arial"/>
          <w:szCs w:val="24"/>
        </w:rPr>
        <w:t>estimate</w:t>
      </w:r>
      <w:r w:rsidR="00876C7A">
        <w:rPr>
          <w:rFonts w:ascii="Arial" w:hAnsi="Arial" w:cs="Arial"/>
          <w:szCs w:val="24"/>
        </w:rPr>
        <w:t>s</w:t>
      </w:r>
      <w:r>
        <w:rPr>
          <w:rFonts w:ascii="Arial" w:hAnsi="Arial" w:cs="Arial"/>
          <w:szCs w:val="24"/>
        </w:rPr>
        <w:t xml:space="preserve"> used to determine the TSC</w:t>
      </w:r>
      <w:r w:rsidRPr="00936DE2">
        <w:rPr>
          <w:rFonts w:ascii="Arial" w:hAnsi="Arial" w:cs="Arial"/>
          <w:szCs w:val="24"/>
        </w:rPr>
        <w:t xml:space="preserve"> rate</w:t>
      </w:r>
      <w:r>
        <w:rPr>
          <w:rFonts w:ascii="Arial" w:hAnsi="Arial" w:cs="Arial"/>
          <w:szCs w:val="24"/>
        </w:rPr>
        <w:t>s</w:t>
      </w:r>
      <w:r w:rsidRPr="00936DE2">
        <w:rPr>
          <w:rFonts w:ascii="Arial" w:hAnsi="Arial" w:cs="Arial"/>
          <w:szCs w:val="24"/>
        </w:rPr>
        <w:t xml:space="preserve">.  </w:t>
      </w:r>
    </w:p>
    <w:p w:rsidR="0035565D" w:rsidRPr="00BF7221" w:rsidRDefault="0035565D" w:rsidP="00BF7221">
      <w:pPr>
        <w:pStyle w:val="EndnoteText"/>
        <w:tabs>
          <w:tab w:val="left" w:pos="331"/>
          <w:tab w:val="left" w:pos="4680"/>
        </w:tabs>
        <w:suppressAutoHyphens/>
        <w:jc w:val="center"/>
        <w:rPr>
          <w:rFonts w:ascii="Arial" w:hAnsi="Arial" w:cs="Arial"/>
          <w:b/>
          <w:sz w:val="36"/>
          <w:szCs w:val="24"/>
        </w:rPr>
      </w:pPr>
      <w:r w:rsidRPr="00BF7221">
        <w:rPr>
          <w:rFonts w:ascii="Arial" w:hAnsi="Arial" w:cs="Arial"/>
          <w:b/>
          <w:sz w:val="36"/>
          <w:szCs w:val="24"/>
        </w:rPr>
        <w:lastRenderedPageBreak/>
        <w:t>BACKGROUND</w:t>
      </w:r>
    </w:p>
    <w:p w:rsidR="0035565D" w:rsidRPr="00F23244" w:rsidRDefault="0035565D" w:rsidP="0035565D">
      <w:pPr>
        <w:rPr>
          <w:sz w:val="36"/>
          <w:szCs w:val="36"/>
        </w:rPr>
      </w:pPr>
    </w:p>
    <w:p w:rsidR="0035565D" w:rsidRDefault="0035565D" w:rsidP="0035565D">
      <w:pPr>
        <w:pStyle w:val="Heading4"/>
        <w:tabs>
          <w:tab w:val="clear" w:pos="4680"/>
        </w:tabs>
        <w:rPr>
          <w:rFonts w:ascii="Arial" w:hAnsi="Arial" w:cs="Arial"/>
          <w:sz w:val="36"/>
          <w:szCs w:val="36"/>
          <w:u w:val="none"/>
        </w:rPr>
      </w:pPr>
      <w:r w:rsidRPr="00F23244">
        <w:rPr>
          <w:rFonts w:ascii="Arial" w:hAnsi="Arial" w:cs="Arial"/>
          <w:sz w:val="36"/>
          <w:szCs w:val="36"/>
          <w:u w:val="none"/>
        </w:rPr>
        <w:t>AND</w:t>
      </w:r>
    </w:p>
    <w:p w:rsidR="0035565D" w:rsidRPr="0035565D" w:rsidRDefault="0035565D" w:rsidP="0035565D"/>
    <w:p w:rsidR="004F0882" w:rsidRPr="0035565D" w:rsidRDefault="004F0882" w:rsidP="004F0882">
      <w:pPr>
        <w:pStyle w:val="EndnoteText"/>
        <w:tabs>
          <w:tab w:val="left" w:pos="331"/>
          <w:tab w:val="left" w:pos="4680"/>
        </w:tabs>
        <w:suppressAutoHyphens/>
        <w:jc w:val="center"/>
        <w:rPr>
          <w:rFonts w:ascii="Arial" w:hAnsi="Arial" w:cs="Arial"/>
          <w:b/>
          <w:sz w:val="36"/>
          <w:szCs w:val="24"/>
        </w:rPr>
      </w:pPr>
      <w:r w:rsidRPr="0035565D">
        <w:rPr>
          <w:rFonts w:ascii="Arial" w:hAnsi="Arial" w:cs="Arial"/>
          <w:b/>
          <w:sz w:val="36"/>
          <w:szCs w:val="24"/>
        </w:rPr>
        <w:t>OPERATIONAL REVIEW</w:t>
      </w:r>
    </w:p>
    <w:p w:rsidR="006D1F5A" w:rsidRPr="000E76F1" w:rsidRDefault="006D1F5A" w:rsidP="00E5265E">
      <w:pPr>
        <w:pStyle w:val="EndnoteText"/>
        <w:tabs>
          <w:tab w:val="left" w:pos="331"/>
          <w:tab w:val="left" w:pos="4680"/>
        </w:tabs>
        <w:suppressAutoHyphens/>
        <w:jc w:val="center"/>
        <w:rPr>
          <w:rFonts w:ascii="Arial" w:hAnsi="Arial" w:cs="Arial"/>
          <w:b/>
          <w:sz w:val="36"/>
          <w:szCs w:val="24"/>
          <w:u w:val="single"/>
        </w:rPr>
        <w:sectPr w:rsidR="006D1F5A" w:rsidRPr="000E76F1" w:rsidSect="003439CD">
          <w:headerReference w:type="even" r:id="rId37"/>
          <w:headerReference w:type="default" r:id="rId38"/>
          <w:footerReference w:type="default" r:id="rId39"/>
          <w:headerReference w:type="first" r:id="rId40"/>
          <w:endnotePr>
            <w:numFmt w:val="decimal"/>
          </w:endnotePr>
          <w:pgSz w:w="12240" w:h="15840" w:code="1"/>
          <w:pgMar w:top="1440" w:right="1440" w:bottom="1008" w:left="1440" w:header="1440" w:footer="720" w:gutter="0"/>
          <w:pgNumType w:fmt="numberInDash" w:start="3"/>
          <w:cols w:space="720"/>
          <w:vAlign w:val="center"/>
          <w:noEndnote/>
          <w:docGrid w:linePitch="326"/>
        </w:sectPr>
      </w:pPr>
    </w:p>
    <w:p w:rsidR="008C4DA9" w:rsidRPr="0082428F" w:rsidRDefault="008C4DA9" w:rsidP="008C4DA9">
      <w:pPr>
        <w:tabs>
          <w:tab w:val="center" w:pos="4680"/>
        </w:tabs>
        <w:suppressAutoHyphens/>
        <w:jc w:val="center"/>
        <w:rPr>
          <w:rFonts w:ascii="Arial" w:hAnsi="Arial" w:cs="Arial"/>
          <w:b/>
          <w:sz w:val="26"/>
          <w:szCs w:val="26"/>
        </w:rPr>
      </w:pPr>
      <w:r w:rsidRPr="0082428F">
        <w:rPr>
          <w:rFonts w:ascii="Arial" w:hAnsi="Arial" w:cs="Arial"/>
          <w:b/>
          <w:sz w:val="26"/>
          <w:szCs w:val="26"/>
        </w:rPr>
        <w:lastRenderedPageBreak/>
        <w:t>PECO ENERGY COMPANY</w:t>
      </w:r>
    </w:p>
    <w:p w:rsidR="008C4DA9" w:rsidRPr="0082428F" w:rsidRDefault="008C4DA9" w:rsidP="008C4DA9">
      <w:pPr>
        <w:tabs>
          <w:tab w:val="center" w:pos="4680"/>
          <w:tab w:val="left" w:pos="5040"/>
          <w:tab w:val="left" w:pos="5760"/>
          <w:tab w:val="left" w:pos="6480"/>
          <w:tab w:val="left" w:pos="7200"/>
          <w:tab w:val="left" w:pos="7920"/>
          <w:tab w:val="left" w:pos="8640"/>
          <w:tab w:val="left" w:pos="9360"/>
        </w:tabs>
        <w:jc w:val="center"/>
        <w:outlineLvl w:val="0"/>
        <w:rPr>
          <w:rFonts w:ascii="Arial" w:hAnsi="Arial" w:cs="Arial"/>
          <w:b/>
          <w:sz w:val="26"/>
          <w:szCs w:val="26"/>
        </w:rPr>
      </w:pPr>
    </w:p>
    <w:p w:rsidR="008C4DA9" w:rsidRPr="0082428F" w:rsidRDefault="008C4DA9" w:rsidP="008C4DA9">
      <w:pPr>
        <w:tabs>
          <w:tab w:val="left" w:pos="-1440"/>
          <w:tab w:val="left" w:pos="-720"/>
        </w:tabs>
        <w:suppressAutoHyphens/>
        <w:jc w:val="center"/>
        <w:rPr>
          <w:rFonts w:ascii="Arial" w:hAnsi="Arial" w:cs="Arial"/>
          <w:sz w:val="26"/>
          <w:szCs w:val="26"/>
        </w:rPr>
      </w:pPr>
      <w:r w:rsidRPr="0082428F">
        <w:rPr>
          <w:rFonts w:ascii="Arial" w:hAnsi="Arial" w:cs="Arial"/>
          <w:b/>
          <w:sz w:val="26"/>
          <w:szCs w:val="26"/>
        </w:rPr>
        <w:t>Background</w:t>
      </w:r>
    </w:p>
    <w:p w:rsidR="008C4DA9" w:rsidRDefault="008C4DA9" w:rsidP="008C4DA9">
      <w:pPr>
        <w:tabs>
          <w:tab w:val="left" w:pos="-1440"/>
          <w:tab w:val="left" w:pos="-720"/>
        </w:tabs>
        <w:suppressAutoHyphens/>
        <w:rPr>
          <w:rFonts w:ascii="Arial" w:hAnsi="Arial" w:cs="Arial"/>
          <w:szCs w:val="24"/>
        </w:rPr>
      </w:pPr>
    </w:p>
    <w:p w:rsidR="00E712CA" w:rsidRDefault="00E712CA" w:rsidP="006B6ABB">
      <w:pPr>
        <w:rPr>
          <w:rFonts w:ascii="Arial" w:hAnsi="Arial" w:cs="Arial"/>
        </w:rPr>
      </w:pPr>
    </w:p>
    <w:p w:rsidR="00D507E8" w:rsidRDefault="00D507E8" w:rsidP="006B6ABB">
      <w:pPr>
        <w:rPr>
          <w:rFonts w:ascii="Arial" w:hAnsi="Arial" w:cs="Arial"/>
        </w:rPr>
      </w:pPr>
      <w:r>
        <w:rPr>
          <w:rFonts w:ascii="Arial" w:hAnsi="Arial" w:cs="Arial"/>
        </w:rPr>
        <w:tab/>
      </w:r>
      <w:r w:rsidR="002D03F1">
        <w:rPr>
          <w:rFonts w:ascii="Arial" w:hAnsi="Arial" w:cs="Arial"/>
        </w:rPr>
        <w:t xml:space="preserve">The </w:t>
      </w:r>
      <w:r>
        <w:rPr>
          <w:rFonts w:ascii="Arial" w:hAnsi="Arial" w:cs="Arial"/>
        </w:rPr>
        <w:t xml:space="preserve">background section was </w:t>
      </w:r>
      <w:r w:rsidR="002D03F1">
        <w:rPr>
          <w:rFonts w:ascii="Arial" w:hAnsi="Arial" w:cs="Arial"/>
        </w:rPr>
        <w:t>prepared based on</w:t>
      </w:r>
      <w:r>
        <w:rPr>
          <w:rFonts w:ascii="Arial" w:hAnsi="Arial" w:cs="Arial"/>
        </w:rPr>
        <w:t xml:space="preserve"> unaudited data and documentation </w:t>
      </w:r>
      <w:r w:rsidR="002D03F1">
        <w:rPr>
          <w:rFonts w:ascii="Arial" w:hAnsi="Arial" w:cs="Arial"/>
        </w:rPr>
        <w:t>provided</w:t>
      </w:r>
      <w:r>
        <w:rPr>
          <w:rFonts w:ascii="Arial" w:hAnsi="Arial" w:cs="Arial"/>
        </w:rPr>
        <w:t xml:space="preserve"> by PECO and is presented solely for informational purposes.</w:t>
      </w:r>
    </w:p>
    <w:p w:rsidR="00D507E8" w:rsidRDefault="00D507E8" w:rsidP="006B6ABB">
      <w:pPr>
        <w:rPr>
          <w:rFonts w:ascii="Arial" w:hAnsi="Arial" w:cs="Arial"/>
        </w:rPr>
      </w:pPr>
    </w:p>
    <w:p w:rsidR="00E712CA" w:rsidRPr="00E712CA" w:rsidRDefault="00E712CA" w:rsidP="00B16F0F">
      <w:pPr>
        <w:rPr>
          <w:rFonts w:ascii="Arial" w:hAnsi="Arial" w:cs="Arial"/>
        </w:rPr>
      </w:pPr>
      <w:r>
        <w:rPr>
          <w:rFonts w:ascii="Arial" w:hAnsi="Arial" w:cs="Arial"/>
        </w:rPr>
        <w:tab/>
      </w:r>
      <w:r w:rsidR="00B16F0F" w:rsidRPr="00E712CA">
        <w:rPr>
          <w:rFonts w:ascii="Arial" w:hAnsi="Arial" w:cs="Arial"/>
        </w:rPr>
        <w:t xml:space="preserve">PECO is </w:t>
      </w:r>
      <w:r w:rsidRPr="00E712CA">
        <w:rPr>
          <w:rFonts w:ascii="Arial" w:hAnsi="Arial" w:cs="Arial"/>
        </w:rPr>
        <w:t>a company principally engaged in providing transmission and distribution of electric and natural gas services to retail customers in southeastern Pennsylvania.</w:t>
      </w:r>
      <w:r w:rsidR="00B16F0F">
        <w:rPr>
          <w:rFonts w:ascii="Arial" w:hAnsi="Arial" w:cs="Arial"/>
        </w:rPr>
        <w:t xml:space="preserve"> </w:t>
      </w:r>
      <w:r w:rsidR="002D03F1">
        <w:rPr>
          <w:rFonts w:ascii="Arial" w:hAnsi="Arial" w:cs="Arial"/>
        </w:rPr>
        <w:t xml:space="preserve"> </w:t>
      </w:r>
      <w:r w:rsidRPr="00E712CA">
        <w:rPr>
          <w:rFonts w:ascii="Arial" w:hAnsi="Arial" w:cs="Arial"/>
        </w:rPr>
        <w:t xml:space="preserve">PECO’s operations as an electric distribution company and natural gas distribution company are subject to regulation by the Commission.  </w:t>
      </w:r>
      <w:r w:rsidR="00B16F0F">
        <w:rPr>
          <w:rFonts w:ascii="Arial" w:hAnsi="Arial" w:cs="Arial"/>
        </w:rPr>
        <w:t xml:space="preserve">PECO is a </w:t>
      </w:r>
      <w:r w:rsidR="00D507E8">
        <w:rPr>
          <w:rFonts w:ascii="Arial" w:hAnsi="Arial" w:cs="Arial"/>
        </w:rPr>
        <w:t xml:space="preserve">wholly owned subsidiary of Exelon Corporation headquartered in Chicago, Illinois. </w:t>
      </w:r>
      <w:r w:rsidR="007831A6">
        <w:rPr>
          <w:rFonts w:ascii="Arial" w:hAnsi="Arial" w:cs="Arial"/>
        </w:rPr>
        <w:t xml:space="preserve"> </w:t>
      </w:r>
      <w:r w:rsidR="00D507E8">
        <w:rPr>
          <w:rFonts w:ascii="Arial" w:hAnsi="Arial" w:cs="Arial"/>
        </w:rPr>
        <w:t xml:space="preserve">According to PECO’s annual reports filed with the </w:t>
      </w:r>
      <w:r w:rsidR="007831A6">
        <w:rPr>
          <w:rFonts w:ascii="Arial" w:hAnsi="Arial" w:cs="Arial"/>
        </w:rPr>
        <w:t>PUC</w:t>
      </w:r>
      <w:r w:rsidR="00D507E8">
        <w:rPr>
          <w:rFonts w:ascii="Arial" w:hAnsi="Arial" w:cs="Arial"/>
        </w:rPr>
        <w:t>, for the years 2013 and 2012, PECO’s total electric distribution revenues</w:t>
      </w:r>
      <w:r w:rsidR="007831A6">
        <w:rPr>
          <w:rFonts w:ascii="Arial" w:hAnsi="Arial" w:cs="Arial"/>
        </w:rPr>
        <w:t>,</w:t>
      </w:r>
      <w:r w:rsidR="00D507E8">
        <w:rPr>
          <w:rFonts w:ascii="Arial" w:hAnsi="Arial" w:cs="Arial"/>
        </w:rPr>
        <w:t xml:space="preserve"> </w:t>
      </w:r>
      <w:r w:rsidR="007831A6">
        <w:rPr>
          <w:rFonts w:ascii="Arial" w:hAnsi="Arial" w:cs="Arial"/>
        </w:rPr>
        <w:t xml:space="preserve">including default service sales, </w:t>
      </w:r>
      <w:r w:rsidR="007831A6" w:rsidRPr="00C24D82">
        <w:rPr>
          <w:rFonts w:ascii="Arial" w:hAnsi="Arial" w:cs="Arial"/>
        </w:rPr>
        <w:t xml:space="preserve">from customers </w:t>
      </w:r>
      <w:r w:rsidR="00D507E8">
        <w:rPr>
          <w:rFonts w:ascii="Arial" w:hAnsi="Arial" w:cs="Arial"/>
        </w:rPr>
        <w:t>were $2.3 and $2.4 billion</w:t>
      </w:r>
      <w:r w:rsidR="007831A6">
        <w:rPr>
          <w:rFonts w:ascii="Arial" w:hAnsi="Arial" w:cs="Arial"/>
        </w:rPr>
        <w:t>,</w:t>
      </w:r>
      <w:r w:rsidR="00D507E8">
        <w:rPr>
          <w:rFonts w:ascii="Arial" w:hAnsi="Arial" w:cs="Arial"/>
        </w:rPr>
        <w:t xml:space="preserve"> respectively.</w:t>
      </w:r>
    </w:p>
    <w:p w:rsidR="00E712CA" w:rsidRDefault="00E712CA" w:rsidP="006B6ABB">
      <w:pPr>
        <w:rPr>
          <w:rFonts w:ascii="Arial" w:hAnsi="Arial" w:cs="Arial"/>
        </w:rPr>
      </w:pPr>
    </w:p>
    <w:p w:rsidR="006F1DF4" w:rsidRDefault="00E712CA" w:rsidP="006B6ABB">
      <w:pPr>
        <w:rPr>
          <w:rFonts w:ascii="Arial" w:hAnsi="Arial" w:cs="Arial"/>
        </w:rPr>
      </w:pPr>
      <w:r>
        <w:rPr>
          <w:rFonts w:ascii="Arial" w:hAnsi="Arial" w:cs="Arial"/>
        </w:rPr>
        <w:tab/>
      </w:r>
      <w:r w:rsidR="006B6ABB" w:rsidRPr="00E113B3">
        <w:rPr>
          <w:rFonts w:ascii="Arial" w:hAnsi="Arial" w:cs="Arial"/>
        </w:rPr>
        <w:t>PECO provides electric distribution service in an area of approximately 1</w:t>
      </w:r>
      <w:r w:rsidR="006B6ABB">
        <w:rPr>
          <w:rFonts w:ascii="Arial" w:hAnsi="Arial" w:cs="Arial"/>
        </w:rPr>
        <w:t>,</w:t>
      </w:r>
      <w:r w:rsidR="006B6ABB" w:rsidRPr="00E113B3">
        <w:rPr>
          <w:rFonts w:ascii="Arial" w:hAnsi="Arial" w:cs="Arial"/>
        </w:rPr>
        <w:t>900 square miles with a population of approximately 3.9 million</w:t>
      </w:r>
      <w:r w:rsidR="00D507E8">
        <w:rPr>
          <w:rFonts w:ascii="Arial" w:hAnsi="Arial" w:cs="Arial"/>
        </w:rPr>
        <w:t xml:space="preserve"> people</w:t>
      </w:r>
      <w:r w:rsidR="006B6ABB" w:rsidRPr="00E113B3">
        <w:rPr>
          <w:rFonts w:ascii="Arial" w:hAnsi="Arial" w:cs="Arial"/>
        </w:rPr>
        <w:t>, including 1.5 million in the city of Philadelphia.</w:t>
      </w:r>
      <w:r w:rsidR="006B6ABB">
        <w:rPr>
          <w:rFonts w:ascii="Arial" w:hAnsi="Arial" w:cs="Arial"/>
        </w:rPr>
        <w:t xml:space="preserve"> </w:t>
      </w:r>
      <w:r w:rsidR="00D507E8">
        <w:rPr>
          <w:rFonts w:ascii="Arial" w:hAnsi="Arial" w:cs="Arial"/>
        </w:rPr>
        <w:t xml:space="preserve"> During </w:t>
      </w:r>
      <w:r w:rsidR="00C16A17">
        <w:rPr>
          <w:rFonts w:ascii="Arial" w:hAnsi="Arial" w:cs="Arial"/>
        </w:rPr>
        <w:t>2013</w:t>
      </w:r>
      <w:r w:rsidR="006B6ABB">
        <w:rPr>
          <w:rFonts w:ascii="Arial" w:hAnsi="Arial" w:cs="Arial"/>
        </w:rPr>
        <w:t xml:space="preserve">, </w:t>
      </w:r>
      <w:r w:rsidR="006B6ABB" w:rsidRPr="00E113B3">
        <w:rPr>
          <w:rFonts w:ascii="Arial" w:hAnsi="Arial" w:cs="Arial"/>
        </w:rPr>
        <w:t>PECO deliver</w:t>
      </w:r>
      <w:r w:rsidR="006B6ABB">
        <w:rPr>
          <w:rFonts w:ascii="Arial" w:hAnsi="Arial" w:cs="Arial"/>
        </w:rPr>
        <w:t>ed</w:t>
      </w:r>
      <w:r w:rsidR="006B6ABB" w:rsidRPr="00E113B3">
        <w:rPr>
          <w:rFonts w:ascii="Arial" w:hAnsi="Arial" w:cs="Arial"/>
        </w:rPr>
        <w:t xml:space="preserve"> electricity to </w:t>
      </w:r>
      <w:r w:rsidR="006B6ABB">
        <w:rPr>
          <w:rFonts w:ascii="Arial" w:hAnsi="Arial" w:cs="Arial"/>
        </w:rPr>
        <w:t xml:space="preserve">approximately </w:t>
      </w:r>
      <w:r w:rsidR="006B6ABB" w:rsidRPr="00E113B3">
        <w:rPr>
          <w:rFonts w:ascii="Arial" w:hAnsi="Arial" w:cs="Arial"/>
        </w:rPr>
        <w:t>1</w:t>
      </w:r>
      <w:r w:rsidR="00C0036A">
        <w:rPr>
          <w:rFonts w:ascii="Arial" w:hAnsi="Arial" w:cs="Arial"/>
        </w:rPr>
        <w:t>.</w:t>
      </w:r>
      <w:r w:rsidR="000A3B9C">
        <w:rPr>
          <w:rFonts w:ascii="Arial" w:hAnsi="Arial" w:cs="Arial"/>
        </w:rPr>
        <w:t>6</w:t>
      </w:r>
      <w:r w:rsidR="00C0036A">
        <w:rPr>
          <w:rFonts w:ascii="Arial" w:hAnsi="Arial" w:cs="Arial"/>
        </w:rPr>
        <w:t xml:space="preserve"> million</w:t>
      </w:r>
      <w:r w:rsidR="006B6ABB" w:rsidRPr="00E113B3">
        <w:rPr>
          <w:rFonts w:ascii="Arial" w:hAnsi="Arial" w:cs="Arial"/>
        </w:rPr>
        <w:t xml:space="preserve"> residential, commercial and industrial customers</w:t>
      </w:r>
      <w:r w:rsidR="00C0036A">
        <w:rPr>
          <w:rFonts w:ascii="Arial" w:hAnsi="Arial" w:cs="Arial"/>
        </w:rPr>
        <w:t>.</w:t>
      </w:r>
    </w:p>
    <w:p w:rsidR="00D507E8" w:rsidRPr="00E113B3" w:rsidRDefault="00D507E8" w:rsidP="006B6ABB">
      <w:pPr>
        <w:rPr>
          <w:rFonts w:ascii="Arial" w:hAnsi="Arial" w:cs="Arial"/>
        </w:rPr>
      </w:pPr>
    </w:p>
    <w:p w:rsidR="006B6ABB" w:rsidRPr="00E113B3" w:rsidRDefault="006F1DF4" w:rsidP="006B6ABB">
      <w:pPr>
        <w:rPr>
          <w:rFonts w:ascii="Arial" w:hAnsi="Arial" w:cs="Arial"/>
        </w:rPr>
      </w:pPr>
      <w:r>
        <w:rPr>
          <w:rFonts w:ascii="Arial" w:hAnsi="Arial" w:cs="Arial"/>
        </w:rPr>
        <w:tab/>
      </w:r>
      <w:r w:rsidR="006B6ABB" w:rsidRPr="00E113B3">
        <w:rPr>
          <w:rFonts w:ascii="Arial" w:hAnsi="Arial" w:cs="Arial"/>
        </w:rPr>
        <w:t>PECO owns 1,0</w:t>
      </w:r>
      <w:r w:rsidR="002F7CE3">
        <w:rPr>
          <w:rFonts w:ascii="Arial" w:hAnsi="Arial" w:cs="Arial"/>
        </w:rPr>
        <w:t>92</w:t>
      </w:r>
      <w:r w:rsidR="006B6ABB" w:rsidRPr="00E113B3">
        <w:rPr>
          <w:rFonts w:ascii="Arial" w:hAnsi="Arial" w:cs="Arial"/>
        </w:rPr>
        <w:t xml:space="preserve"> miles of high voltage electric tr</w:t>
      </w:r>
      <w:r w:rsidR="000E1C96">
        <w:rPr>
          <w:rFonts w:ascii="Arial" w:hAnsi="Arial" w:cs="Arial"/>
        </w:rPr>
        <w:t xml:space="preserve">ansmission </w:t>
      </w:r>
      <w:r w:rsidR="0090726C">
        <w:rPr>
          <w:rFonts w:ascii="Arial" w:hAnsi="Arial" w:cs="Arial"/>
        </w:rPr>
        <w:t>lines</w:t>
      </w:r>
      <w:r w:rsidR="002F7CE3">
        <w:rPr>
          <w:rFonts w:ascii="Arial" w:hAnsi="Arial" w:cs="Arial"/>
        </w:rPr>
        <w:t xml:space="preserve"> </w:t>
      </w:r>
      <w:r w:rsidR="000E1C96">
        <w:rPr>
          <w:rFonts w:ascii="Arial" w:hAnsi="Arial" w:cs="Arial"/>
        </w:rPr>
        <w:t>within</w:t>
      </w:r>
      <w:r w:rsidR="00514FA0">
        <w:rPr>
          <w:rFonts w:ascii="Arial" w:hAnsi="Arial" w:cs="Arial"/>
        </w:rPr>
        <w:t xml:space="preserve"> its service territory</w:t>
      </w:r>
      <w:r w:rsidR="00D507E8">
        <w:rPr>
          <w:rFonts w:ascii="Arial" w:hAnsi="Arial" w:cs="Arial"/>
        </w:rPr>
        <w:t>.</w:t>
      </w:r>
      <w:r w:rsidR="000E1C96">
        <w:rPr>
          <w:rFonts w:ascii="Arial" w:hAnsi="Arial" w:cs="Arial"/>
        </w:rPr>
        <w:t xml:space="preserve">  </w:t>
      </w:r>
      <w:r w:rsidR="006B6ABB" w:rsidRPr="00E113B3">
        <w:rPr>
          <w:rFonts w:ascii="Arial" w:hAnsi="Arial" w:cs="Arial"/>
        </w:rPr>
        <w:t xml:space="preserve">In addition, PECO has a 22.00% </w:t>
      </w:r>
      <w:r w:rsidR="00514FA0">
        <w:rPr>
          <w:rFonts w:ascii="Arial" w:hAnsi="Arial" w:cs="Arial"/>
        </w:rPr>
        <w:t xml:space="preserve">ownership of </w:t>
      </w:r>
      <w:r w:rsidR="006B6ABB" w:rsidRPr="00E113B3">
        <w:rPr>
          <w:rFonts w:ascii="Arial" w:hAnsi="Arial" w:cs="Arial"/>
        </w:rPr>
        <w:t xml:space="preserve">127 miles of 500 kV lines located in Pennsylvania and a 42.55% </w:t>
      </w:r>
      <w:r w:rsidR="00514FA0">
        <w:rPr>
          <w:rFonts w:ascii="Arial" w:hAnsi="Arial" w:cs="Arial"/>
        </w:rPr>
        <w:t>ownership of</w:t>
      </w:r>
      <w:r w:rsidR="006B6ABB" w:rsidRPr="00E113B3">
        <w:rPr>
          <w:rFonts w:ascii="Arial" w:hAnsi="Arial" w:cs="Arial"/>
        </w:rPr>
        <w:t xml:space="preserve"> </w:t>
      </w:r>
      <w:r w:rsidR="00D507E8">
        <w:rPr>
          <w:rFonts w:ascii="Arial" w:hAnsi="Arial" w:cs="Arial"/>
        </w:rPr>
        <w:t xml:space="preserve">131 miles of </w:t>
      </w:r>
      <w:r w:rsidR="006B6ABB" w:rsidRPr="00E113B3">
        <w:rPr>
          <w:rFonts w:ascii="Arial" w:hAnsi="Arial" w:cs="Arial"/>
        </w:rPr>
        <w:t>500 kV lines located in Delaware and New Jersey.</w:t>
      </w:r>
      <w:r w:rsidR="006B6ABB">
        <w:rPr>
          <w:rFonts w:ascii="Arial" w:hAnsi="Arial" w:cs="Arial"/>
        </w:rPr>
        <w:t xml:space="preserve"> </w:t>
      </w:r>
      <w:r w:rsidR="006B6ABB" w:rsidRPr="00E113B3">
        <w:rPr>
          <w:rFonts w:ascii="Arial" w:hAnsi="Arial" w:cs="Arial"/>
        </w:rPr>
        <w:t xml:space="preserve"> PECO’s electric distribution system includes </w:t>
      </w:r>
      <w:r w:rsidR="0085151E">
        <w:rPr>
          <w:rFonts w:ascii="Arial" w:hAnsi="Arial" w:cs="Arial"/>
        </w:rPr>
        <w:t xml:space="preserve">approximately </w:t>
      </w:r>
      <w:r w:rsidR="006B6ABB" w:rsidRPr="00E113B3">
        <w:rPr>
          <w:rFonts w:ascii="Arial" w:hAnsi="Arial" w:cs="Arial"/>
        </w:rPr>
        <w:t>1</w:t>
      </w:r>
      <w:r w:rsidR="0085151E">
        <w:rPr>
          <w:rFonts w:ascii="Arial" w:hAnsi="Arial" w:cs="Arial"/>
        </w:rPr>
        <w:t>3</w:t>
      </w:r>
      <w:r w:rsidR="006B6ABB" w:rsidRPr="00E113B3">
        <w:rPr>
          <w:rFonts w:ascii="Arial" w:hAnsi="Arial" w:cs="Arial"/>
        </w:rPr>
        <w:t>,</w:t>
      </w:r>
      <w:r w:rsidR="0085151E">
        <w:rPr>
          <w:rFonts w:ascii="Arial" w:hAnsi="Arial" w:cs="Arial"/>
        </w:rPr>
        <w:t>000</w:t>
      </w:r>
      <w:r w:rsidR="006B6ABB" w:rsidRPr="00E113B3">
        <w:rPr>
          <w:rFonts w:ascii="Arial" w:hAnsi="Arial" w:cs="Arial"/>
        </w:rPr>
        <w:t xml:space="preserve"> circuit miles of overhead lines and </w:t>
      </w:r>
      <w:r w:rsidR="0085151E">
        <w:rPr>
          <w:rFonts w:ascii="Arial" w:hAnsi="Arial" w:cs="Arial"/>
        </w:rPr>
        <w:t>approximately 9</w:t>
      </w:r>
      <w:r w:rsidR="006B6ABB" w:rsidRPr="00E113B3">
        <w:rPr>
          <w:rFonts w:ascii="Arial" w:hAnsi="Arial" w:cs="Arial"/>
        </w:rPr>
        <w:t>,</w:t>
      </w:r>
      <w:r w:rsidR="0085151E">
        <w:rPr>
          <w:rFonts w:ascii="Arial" w:hAnsi="Arial" w:cs="Arial"/>
        </w:rPr>
        <w:t>000</w:t>
      </w:r>
      <w:r w:rsidR="006B6ABB" w:rsidRPr="00E113B3">
        <w:rPr>
          <w:rFonts w:ascii="Arial" w:hAnsi="Arial" w:cs="Arial"/>
        </w:rPr>
        <w:t xml:space="preserve"> circuit miles of underground lines.</w:t>
      </w:r>
    </w:p>
    <w:p w:rsidR="00F46084" w:rsidRDefault="00F46084" w:rsidP="008C4DA9">
      <w:pPr>
        <w:tabs>
          <w:tab w:val="left" w:pos="-1440"/>
          <w:tab w:val="left" w:pos="-720"/>
        </w:tabs>
        <w:suppressAutoHyphens/>
        <w:rPr>
          <w:rFonts w:ascii="Arial" w:hAnsi="Arial" w:cs="Arial"/>
          <w:szCs w:val="24"/>
        </w:rPr>
      </w:pPr>
    </w:p>
    <w:p w:rsidR="00BA651C" w:rsidRDefault="008C4DA9" w:rsidP="001E21D0">
      <w:pPr>
        <w:rPr>
          <w:rFonts w:ascii="Arial" w:hAnsi="Arial" w:cs="Arial"/>
        </w:rPr>
      </w:pPr>
      <w:r w:rsidRPr="00BE0936">
        <w:rPr>
          <w:rFonts w:ascii="Arial" w:hAnsi="Arial" w:cs="Arial"/>
          <w:szCs w:val="24"/>
        </w:rPr>
        <w:tab/>
      </w:r>
      <w:r w:rsidR="00BA651C" w:rsidRPr="001E21D0">
        <w:rPr>
          <w:rFonts w:ascii="Arial" w:hAnsi="Arial" w:cs="Arial"/>
          <w:szCs w:val="24"/>
        </w:rPr>
        <w:t>By Order entered December 21, 2010, the Commission approved a Joint Petition for Partial Settlement (Settlement) at Docket No. R-2010-2161575, establishing new base rates for PECO</w:t>
      </w:r>
      <w:r w:rsidR="00990933">
        <w:rPr>
          <w:rFonts w:ascii="Arial" w:hAnsi="Arial" w:cs="Arial"/>
          <w:szCs w:val="24"/>
        </w:rPr>
        <w:t>’s</w:t>
      </w:r>
      <w:r w:rsidR="00BA651C" w:rsidRPr="001E21D0">
        <w:rPr>
          <w:rFonts w:ascii="Arial" w:hAnsi="Arial" w:cs="Arial"/>
          <w:szCs w:val="24"/>
        </w:rPr>
        <w:t xml:space="preserve"> electric operations effective January 1, 2011.  Among other matters, the approved Settlement allowed PECO to establish a Transmission Service Charge (TSC) Rider.  The TSC Rider permits PECO to recover, from its default service customers, all applicable transmission service related costs incurred under the PJM Open Access Transmission Tariff (OATT) to provide energy service to those customers.  </w:t>
      </w:r>
    </w:p>
    <w:p w:rsidR="00BA651C" w:rsidRDefault="00990933" w:rsidP="001E21D0">
      <w:pPr>
        <w:rPr>
          <w:rFonts w:ascii="Arial" w:hAnsi="Arial" w:cs="Arial"/>
        </w:rPr>
      </w:pPr>
      <w:r>
        <w:rPr>
          <w:rFonts w:ascii="Arial" w:hAnsi="Arial" w:cs="Arial"/>
        </w:rPr>
        <w:t>Specifically, t</w:t>
      </w:r>
      <w:r w:rsidR="00BA651C">
        <w:rPr>
          <w:rFonts w:ascii="Arial" w:hAnsi="Arial" w:cs="Arial"/>
        </w:rPr>
        <w:t>he TSC Rider allows PECO to recover the costs associated with:  load serving entity charges under the Regional Transmission Expansion Plan and the PJM OATT; base network service charges; and the cost for working capital associated with the purchase of transmission service from PJM.</w:t>
      </w:r>
    </w:p>
    <w:p w:rsidR="00BA651C" w:rsidRPr="00F8280B" w:rsidRDefault="00BA651C" w:rsidP="001E21D0">
      <w:pPr>
        <w:rPr>
          <w:rFonts w:ascii="Arial" w:hAnsi="Arial" w:cs="Arial"/>
        </w:rPr>
      </w:pPr>
    </w:p>
    <w:p w:rsidR="00BA651C" w:rsidRPr="00F8280B" w:rsidRDefault="00BA651C" w:rsidP="001E21D0">
      <w:pPr>
        <w:rPr>
          <w:rFonts w:ascii="Arial" w:hAnsi="Arial" w:cs="Arial"/>
        </w:rPr>
      </w:pPr>
      <w:r w:rsidRPr="00F8280B">
        <w:rPr>
          <w:rFonts w:ascii="Arial" w:hAnsi="Arial" w:cs="Arial"/>
        </w:rPr>
        <w:tab/>
      </w:r>
    </w:p>
    <w:p w:rsidR="008C4DA9" w:rsidRPr="000D69CE" w:rsidRDefault="008C4DA9" w:rsidP="00007999">
      <w:pPr>
        <w:tabs>
          <w:tab w:val="left" w:pos="-1440"/>
          <w:tab w:val="left" w:pos="-720"/>
        </w:tabs>
        <w:suppressAutoHyphens/>
        <w:rPr>
          <w:rFonts w:ascii="Arial" w:hAnsi="Arial" w:cs="Arial"/>
          <w:szCs w:val="24"/>
        </w:rPr>
      </w:pPr>
    </w:p>
    <w:p w:rsidR="00BC7F34" w:rsidRDefault="00BC7F34" w:rsidP="004858E3">
      <w:pPr>
        <w:pStyle w:val="Heading1"/>
        <w:rPr>
          <w:rFonts w:ascii="Arial" w:hAnsi="Arial" w:cs="Arial"/>
          <w:sz w:val="26"/>
          <w:szCs w:val="26"/>
        </w:rPr>
        <w:sectPr w:rsidR="00BC7F34" w:rsidSect="003439CD">
          <w:headerReference w:type="even" r:id="rId41"/>
          <w:headerReference w:type="default" r:id="rId42"/>
          <w:footerReference w:type="default" r:id="rId43"/>
          <w:headerReference w:type="first" r:id="rId44"/>
          <w:footerReference w:type="first" r:id="rId45"/>
          <w:endnotePr>
            <w:numFmt w:val="decimal"/>
          </w:endnotePr>
          <w:pgSz w:w="12240" w:h="15840" w:code="1"/>
          <w:pgMar w:top="1440" w:right="1440" w:bottom="1008" w:left="1440" w:header="0" w:footer="720" w:gutter="0"/>
          <w:pgNumType w:fmt="numberInDash" w:start="6"/>
          <w:cols w:space="720"/>
          <w:noEndnote/>
          <w:titlePg/>
          <w:docGrid w:linePitch="326"/>
        </w:sectPr>
      </w:pPr>
    </w:p>
    <w:p w:rsidR="00504764" w:rsidRPr="0082428F" w:rsidRDefault="00504764" w:rsidP="00504764">
      <w:pPr>
        <w:tabs>
          <w:tab w:val="center" w:pos="4680"/>
        </w:tabs>
        <w:suppressAutoHyphens/>
        <w:jc w:val="center"/>
        <w:rPr>
          <w:rFonts w:ascii="Arial" w:hAnsi="Arial" w:cs="Arial"/>
          <w:b/>
          <w:sz w:val="26"/>
          <w:szCs w:val="26"/>
        </w:rPr>
      </w:pPr>
      <w:r w:rsidRPr="0082428F">
        <w:rPr>
          <w:rFonts w:ascii="Arial" w:hAnsi="Arial" w:cs="Arial"/>
          <w:b/>
          <w:sz w:val="26"/>
          <w:szCs w:val="26"/>
        </w:rPr>
        <w:lastRenderedPageBreak/>
        <w:t>PECO ENERGY COMPANY</w:t>
      </w:r>
    </w:p>
    <w:p w:rsidR="00504764" w:rsidRDefault="00504764" w:rsidP="004858E3">
      <w:pPr>
        <w:pStyle w:val="Heading1"/>
        <w:rPr>
          <w:rFonts w:ascii="Arial" w:hAnsi="Arial" w:cs="Arial"/>
          <w:sz w:val="26"/>
          <w:szCs w:val="26"/>
          <w:u w:val="none"/>
        </w:rPr>
      </w:pPr>
    </w:p>
    <w:p w:rsidR="005D711E" w:rsidRPr="00DC2F45" w:rsidRDefault="0080226E" w:rsidP="004858E3">
      <w:pPr>
        <w:pStyle w:val="Heading1"/>
        <w:rPr>
          <w:rFonts w:ascii="Arial" w:hAnsi="Arial" w:cs="Arial"/>
          <w:sz w:val="26"/>
          <w:szCs w:val="26"/>
          <w:u w:val="none"/>
        </w:rPr>
      </w:pPr>
      <w:r w:rsidRPr="00DC2F45">
        <w:rPr>
          <w:rFonts w:ascii="Arial" w:hAnsi="Arial" w:cs="Arial"/>
          <w:sz w:val="26"/>
          <w:szCs w:val="26"/>
          <w:u w:val="none"/>
        </w:rPr>
        <w:t>A</w:t>
      </w:r>
      <w:r w:rsidR="00504764" w:rsidRPr="00DC2F45">
        <w:rPr>
          <w:rFonts w:ascii="Arial" w:hAnsi="Arial" w:cs="Arial"/>
          <w:sz w:val="26"/>
          <w:szCs w:val="26"/>
          <w:u w:val="none"/>
        </w:rPr>
        <w:t>cknowledgements</w:t>
      </w:r>
    </w:p>
    <w:p w:rsidR="007603E9" w:rsidRDefault="007603E9" w:rsidP="000453E2">
      <w:pPr>
        <w:rPr>
          <w:rFonts w:ascii="Arial" w:hAnsi="Arial" w:cs="Arial"/>
          <w:b/>
          <w:szCs w:val="24"/>
          <w:u w:val="single"/>
        </w:rPr>
      </w:pPr>
    </w:p>
    <w:p w:rsidR="0080226E" w:rsidRPr="00BE0936" w:rsidRDefault="0080226E" w:rsidP="000453E2">
      <w:pPr>
        <w:rPr>
          <w:rFonts w:ascii="Arial" w:hAnsi="Arial" w:cs="Arial"/>
          <w:b/>
          <w:szCs w:val="24"/>
          <w:u w:val="single"/>
        </w:rPr>
      </w:pPr>
    </w:p>
    <w:p w:rsidR="007603E9" w:rsidRPr="00BE0936" w:rsidRDefault="007603E9" w:rsidP="000453E2">
      <w:pPr>
        <w:rPr>
          <w:rFonts w:ascii="Arial" w:hAnsi="Arial" w:cs="Arial"/>
          <w:szCs w:val="24"/>
        </w:rPr>
      </w:pPr>
      <w:r w:rsidRPr="00BE0936">
        <w:rPr>
          <w:rFonts w:ascii="Arial" w:hAnsi="Arial" w:cs="Arial"/>
          <w:szCs w:val="24"/>
        </w:rPr>
        <w:tab/>
        <w:t xml:space="preserve">We wish to express our appreciation to the officers and staff of </w:t>
      </w:r>
      <w:r w:rsidR="00FF3C80">
        <w:rPr>
          <w:rFonts w:ascii="Arial" w:hAnsi="Arial" w:cs="Arial"/>
          <w:szCs w:val="24"/>
        </w:rPr>
        <w:t>PECO Energy Company</w:t>
      </w:r>
      <w:r w:rsidRPr="00BE0936">
        <w:rPr>
          <w:rFonts w:ascii="Arial" w:hAnsi="Arial" w:cs="Arial"/>
          <w:szCs w:val="24"/>
        </w:rPr>
        <w:t xml:space="preserve"> for the cooperation and assistance given</w:t>
      </w:r>
      <w:r w:rsidR="00CF7432" w:rsidRPr="00BE0936">
        <w:rPr>
          <w:rFonts w:ascii="Arial" w:hAnsi="Arial" w:cs="Arial"/>
          <w:szCs w:val="24"/>
        </w:rPr>
        <w:t xml:space="preserve"> to </w:t>
      </w:r>
      <w:r w:rsidRPr="00BE0936">
        <w:rPr>
          <w:rFonts w:ascii="Arial" w:hAnsi="Arial" w:cs="Arial"/>
          <w:szCs w:val="24"/>
        </w:rPr>
        <w:t xml:space="preserve">us during the course of our examination.  </w:t>
      </w:r>
      <w:r w:rsidR="00C208DE" w:rsidRPr="00BE0936">
        <w:rPr>
          <w:rFonts w:ascii="Arial" w:hAnsi="Arial" w:cs="Arial"/>
          <w:szCs w:val="24"/>
        </w:rPr>
        <w:t xml:space="preserve">The audit was conducted by </w:t>
      </w:r>
      <w:r w:rsidR="006F1D99">
        <w:rPr>
          <w:rFonts w:ascii="Arial" w:hAnsi="Arial" w:cs="Arial"/>
          <w:szCs w:val="24"/>
        </w:rPr>
        <w:t>Gerville J. Brown</w:t>
      </w:r>
      <w:r w:rsidR="00FF3C80">
        <w:rPr>
          <w:rFonts w:ascii="Arial" w:hAnsi="Arial" w:cs="Arial"/>
          <w:szCs w:val="24"/>
        </w:rPr>
        <w:t>.</w:t>
      </w:r>
    </w:p>
    <w:p w:rsidR="00D21BB1" w:rsidRPr="00BE0936" w:rsidRDefault="00D21BB1" w:rsidP="000453E2">
      <w:pPr>
        <w:rPr>
          <w:rFonts w:ascii="Arial" w:hAnsi="Arial" w:cs="Arial"/>
          <w:szCs w:val="24"/>
        </w:rPr>
      </w:pPr>
    </w:p>
    <w:sectPr w:rsidR="00D21BB1" w:rsidRPr="00BE0936" w:rsidSect="003439CD">
      <w:headerReference w:type="even" r:id="rId46"/>
      <w:headerReference w:type="default" r:id="rId47"/>
      <w:headerReference w:type="first" r:id="rId48"/>
      <w:endnotePr>
        <w:numFmt w:val="decimal"/>
      </w:endnotePr>
      <w:pgSz w:w="12240" w:h="15840" w:code="1"/>
      <w:pgMar w:top="1440" w:right="1440" w:bottom="1008" w:left="1440" w:header="0" w:footer="720" w:gutter="0"/>
      <w:pgNumType w:fmt="numberInDash" w:start="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B52" w:rsidRDefault="00385B52">
      <w:r>
        <w:separator/>
      </w:r>
    </w:p>
  </w:endnote>
  <w:endnote w:type="continuationSeparator" w:id="0">
    <w:p w:rsidR="00385B52" w:rsidRDefault="00385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97" w:rsidRDefault="00260F97" w:rsidP="004858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0F97" w:rsidRDefault="00260F9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97" w:rsidRPr="00BC7F34" w:rsidRDefault="00BC7F34" w:rsidP="008019ED">
    <w:pPr>
      <w:pStyle w:val="Footer"/>
      <w:jc w:val="center"/>
      <w:rPr>
        <w:rFonts w:ascii="Arial" w:hAnsi="Arial" w:cs="Arial"/>
      </w:rPr>
    </w:pPr>
    <w:r>
      <w:rPr>
        <w:rFonts w:ascii="Arial" w:hAnsi="Arial" w:cs="Arial"/>
      </w:rPr>
      <w:t>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34" w:rsidRPr="00BC7F34" w:rsidRDefault="00086802" w:rsidP="00086802">
    <w:pPr>
      <w:pStyle w:val="Footer"/>
      <w:jc w:val="cen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630B6A">
      <w:rPr>
        <w:rFonts w:ascii="Arial" w:hAnsi="Arial" w:cs="Arial"/>
        <w:noProof/>
      </w:rPr>
      <w:t>- 7 -</w:t>
    </w:r>
    <w:r w:rsidRPr="00086802">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97" w:rsidRDefault="00260F97">
    <w:pPr>
      <w:pStyle w:val="Footer"/>
      <w:tabs>
        <w:tab w:val="clear" w:pos="4320"/>
        <w:tab w:val="clear"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ACD" w:rsidRDefault="00837ACD" w:rsidP="00837ACD">
    <w:pPr>
      <w:pStyle w:val="Footer"/>
      <w:jc w:val="center"/>
    </w:pPr>
    <w:r>
      <w:t>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97" w:rsidRDefault="00260F97">
    <w:pPr>
      <w:pStyle w:val="Footer"/>
      <w:tabs>
        <w:tab w:val="clear" w:pos="4320"/>
        <w:tab w:val="clear" w:pos="8640"/>
      </w:tabs>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3D7" w:rsidRDefault="005403D7">
    <w:pPr>
      <w:pStyle w:val="Footer"/>
      <w:tabs>
        <w:tab w:val="clear" w:pos="4320"/>
        <w:tab w:val="clear" w:pos="8640"/>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97" w:rsidRPr="00017F0B" w:rsidRDefault="00017F0B" w:rsidP="00017F0B">
    <w:pPr>
      <w:pStyle w:val="Footer"/>
      <w:jc w:val="center"/>
      <w:rPr>
        <w:rFonts w:ascii="Arial" w:hAnsi="Arial" w:cs="Arial"/>
      </w:rPr>
    </w:pPr>
    <w:r w:rsidRPr="00017F0B">
      <w:rPr>
        <w:rFonts w:ascii="Arial" w:hAnsi="Arial" w:cs="Arial"/>
      </w:rPr>
      <w:fldChar w:fldCharType="begin"/>
    </w:r>
    <w:r w:rsidRPr="00017F0B">
      <w:rPr>
        <w:rFonts w:ascii="Arial" w:hAnsi="Arial" w:cs="Arial"/>
      </w:rPr>
      <w:instrText xml:space="preserve"> PAGE   \* MERGEFORMAT </w:instrText>
    </w:r>
    <w:r w:rsidRPr="00017F0B">
      <w:rPr>
        <w:rFonts w:ascii="Arial" w:hAnsi="Arial" w:cs="Arial"/>
      </w:rPr>
      <w:fldChar w:fldCharType="separate"/>
    </w:r>
    <w:r w:rsidR="00630B6A">
      <w:rPr>
        <w:rFonts w:ascii="Arial" w:hAnsi="Arial" w:cs="Arial"/>
        <w:noProof/>
      </w:rPr>
      <w:t>- 2 -</w:t>
    </w:r>
    <w:r w:rsidRPr="00017F0B">
      <w:rPr>
        <w:rFonts w:ascii="Arial" w:hAnsi="Arial" w:cs="Arial"/>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97" w:rsidRPr="00086802" w:rsidRDefault="00086802" w:rsidP="00086802">
    <w:pPr>
      <w:pStyle w:val="Footer"/>
      <w:jc w:val="cen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630B6A">
      <w:rPr>
        <w:rFonts w:ascii="Arial" w:hAnsi="Arial" w:cs="Arial"/>
        <w:noProof/>
      </w:rPr>
      <w:t>- 4 -</w:t>
    </w:r>
    <w:r w:rsidRPr="00086802">
      <w:rPr>
        <w:rFonts w:ascii="Arial" w:hAnsi="Arial" w:cs="Arial"/>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34" w:rsidRPr="00086802" w:rsidRDefault="00086802" w:rsidP="00086802">
    <w:pPr>
      <w:pStyle w:val="Footer"/>
      <w:jc w:val="center"/>
      <w:rPr>
        <w:rFonts w:ascii="Arial" w:hAnsi="Arial" w:cs="Arial"/>
      </w:rPr>
    </w:pPr>
    <w:r w:rsidRPr="00086802">
      <w:rPr>
        <w:rFonts w:ascii="Arial" w:hAnsi="Arial" w:cs="Arial"/>
      </w:rPr>
      <w:fldChar w:fldCharType="begin"/>
    </w:r>
    <w:r w:rsidRPr="00086802">
      <w:rPr>
        <w:rFonts w:ascii="Arial" w:hAnsi="Arial" w:cs="Arial"/>
      </w:rPr>
      <w:instrText xml:space="preserve"> PAGE   \* MERGEFORMAT </w:instrText>
    </w:r>
    <w:r w:rsidRPr="00086802">
      <w:rPr>
        <w:rFonts w:ascii="Arial" w:hAnsi="Arial" w:cs="Arial"/>
      </w:rPr>
      <w:fldChar w:fldCharType="separate"/>
    </w:r>
    <w:r w:rsidR="00630B6A">
      <w:rPr>
        <w:rFonts w:ascii="Arial" w:hAnsi="Arial" w:cs="Arial"/>
        <w:noProof/>
      </w:rPr>
      <w:t>- 5 -</w:t>
    </w:r>
    <w:r w:rsidRPr="00086802">
      <w:rPr>
        <w:rFonts w:ascii="Arial" w:hAnsi="Arial" w:cs="Arial"/>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802" w:rsidRPr="00086802" w:rsidRDefault="00086802" w:rsidP="00086802">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B52" w:rsidRDefault="00385B52">
      <w:r>
        <w:separator/>
      </w:r>
    </w:p>
  </w:footnote>
  <w:footnote w:type="continuationSeparator" w:id="0">
    <w:p w:rsidR="00385B52" w:rsidRDefault="00385B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96" w:rsidRDefault="000C3A96">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6" w:rsidRDefault="007F2316">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6" w:rsidRDefault="007F2316">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6" w:rsidRDefault="007F231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96" w:rsidRDefault="000C3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96" w:rsidRDefault="000C3A96">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96" w:rsidRDefault="000C3A9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96" w:rsidRDefault="000C3A96">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6" w:rsidRDefault="007F2316">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6" w:rsidRDefault="007F2316">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316" w:rsidRDefault="007F23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3A96" w:rsidRDefault="000C3A9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A9" w:rsidRDefault="00603DA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E9" w:rsidRDefault="009F3BE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E9" w:rsidRDefault="009F3BE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BE9" w:rsidRDefault="009F3B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11906"/>
    <w:multiLevelType w:val="hybridMultilevel"/>
    <w:tmpl w:val="EF541E3E"/>
    <w:lvl w:ilvl="0" w:tplc="635C27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031871"/>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2">
    <w:nsid w:val="1A887742"/>
    <w:multiLevelType w:val="multilevel"/>
    <w:tmpl w:val="14D0DD74"/>
    <w:lvl w:ilvl="0">
      <w:start w:val="2005"/>
      <w:numFmt w:val="decimal"/>
      <w:lvlText w:val="%1"/>
      <w:lvlJc w:val="left"/>
      <w:pPr>
        <w:tabs>
          <w:tab w:val="num" w:pos="4320"/>
        </w:tabs>
        <w:ind w:left="4320" w:hanging="720"/>
      </w:pPr>
      <w:rPr>
        <w:rFonts w:hint="default"/>
      </w:rPr>
    </w:lvl>
    <w:lvl w:ilvl="1">
      <w:start w:val="1"/>
      <w:numFmt w:val="lowerLetter"/>
      <w:lvlText w:val="%2."/>
      <w:lvlJc w:val="left"/>
      <w:pPr>
        <w:tabs>
          <w:tab w:val="num" w:pos="4680"/>
        </w:tabs>
        <w:ind w:left="4680" w:hanging="360"/>
      </w:pPr>
    </w:lvl>
    <w:lvl w:ilvl="2">
      <w:start w:val="1"/>
      <w:numFmt w:val="lowerRoman"/>
      <w:lvlText w:val="%3."/>
      <w:lvlJc w:val="right"/>
      <w:pPr>
        <w:tabs>
          <w:tab w:val="num" w:pos="5400"/>
        </w:tabs>
        <w:ind w:left="5400" w:hanging="180"/>
      </w:pPr>
    </w:lvl>
    <w:lvl w:ilvl="3">
      <w:start w:val="1"/>
      <w:numFmt w:val="decimal"/>
      <w:lvlText w:val="%4."/>
      <w:lvlJc w:val="left"/>
      <w:pPr>
        <w:tabs>
          <w:tab w:val="num" w:pos="6120"/>
        </w:tabs>
        <w:ind w:left="6120" w:hanging="360"/>
      </w:pPr>
    </w:lvl>
    <w:lvl w:ilvl="4">
      <w:start w:val="1"/>
      <w:numFmt w:val="lowerLetter"/>
      <w:lvlText w:val="%5."/>
      <w:lvlJc w:val="left"/>
      <w:pPr>
        <w:tabs>
          <w:tab w:val="num" w:pos="6840"/>
        </w:tabs>
        <w:ind w:left="6840" w:hanging="360"/>
      </w:pPr>
    </w:lvl>
    <w:lvl w:ilvl="5">
      <w:start w:val="1"/>
      <w:numFmt w:val="lowerRoman"/>
      <w:lvlText w:val="%6."/>
      <w:lvlJc w:val="right"/>
      <w:pPr>
        <w:tabs>
          <w:tab w:val="num" w:pos="7560"/>
        </w:tabs>
        <w:ind w:left="7560" w:hanging="180"/>
      </w:pPr>
    </w:lvl>
    <w:lvl w:ilvl="6">
      <w:start w:val="1"/>
      <w:numFmt w:val="decimal"/>
      <w:lvlText w:val="%7."/>
      <w:lvlJc w:val="left"/>
      <w:pPr>
        <w:tabs>
          <w:tab w:val="num" w:pos="8280"/>
        </w:tabs>
        <w:ind w:left="8280" w:hanging="360"/>
      </w:pPr>
    </w:lvl>
    <w:lvl w:ilvl="7">
      <w:start w:val="1"/>
      <w:numFmt w:val="lowerLetter"/>
      <w:lvlText w:val="%8."/>
      <w:lvlJc w:val="left"/>
      <w:pPr>
        <w:tabs>
          <w:tab w:val="num" w:pos="9000"/>
        </w:tabs>
        <w:ind w:left="9000" w:hanging="360"/>
      </w:pPr>
    </w:lvl>
    <w:lvl w:ilvl="8">
      <w:start w:val="1"/>
      <w:numFmt w:val="lowerRoman"/>
      <w:lvlText w:val="%9."/>
      <w:lvlJc w:val="right"/>
      <w:pPr>
        <w:tabs>
          <w:tab w:val="num" w:pos="9720"/>
        </w:tabs>
        <w:ind w:left="9720" w:hanging="180"/>
      </w:pPr>
    </w:lvl>
  </w:abstractNum>
  <w:abstractNum w:abstractNumId="3">
    <w:nsid w:val="381675DB"/>
    <w:multiLevelType w:val="hybridMultilevel"/>
    <w:tmpl w:val="14D0DD74"/>
    <w:lvl w:ilvl="0" w:tplc="FB824B2A">
      <w:start w:val="2005"/>
      <w:numFmt w:val="decimal"/>
      <w:lvlText w:val="%1"/>
      <w:lvlJc w:val="left"/>
      <w:pPr>
        <w:tabs>
          <w:tab w:val="num" w:pos="5040"/>
        </w:tabs>
        <w:ind w:left="5040" w:hanging="720"/>
      </w:pPr>
      <w:rPr>
        <w:rFonts w:hint="default"/>
      </w:r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4">
    <w:nsid w:val="38E6146A"/>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71884D6A"/>
    <w:multiLevelType w:val="hybridMultilevel"/>
    <w:tmpl w:val="7F2C54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11E"/>
    <w:rsid w:val="00000053"/>
    <w:rsid w:val="000008D8"/>
    <w:rsid w:val="000058DD"/>
    <w:rsid w:val="000065D6"/>
    <w:rsid w:val="000068CE"/>
    <w:rsid w:val="00007999"/>
    <w:rsid w:val="00007E3A"/>
    <w:rsid w:val="00011623"/>
    <w:rsid w:val="00013201"/>
    <w:rsid w:val="00015CB1"/>
    <w:rsid w:val="000162AB"/>
    <w:rsid w:val="00017F0B"/>
    <w:rsid w:val="00020E5C"/>
    <w:rsid w:val="000244C4"/>
    <w:rsid w:val="0002626A"/>
    <w:rsid w:val="000272B6"/>
    <w:rsid w:val="00030D7C"/>
    <w:rsid w:val="00031D01"/>
    <w:rsid w:val="00032917"/>
    <w:rsid w:val="0003354D"/>
    <w:rsid w:val="000419CC"/>
    <w:rsid w:val="000442F2"/>
    <w:rsid w:val="00044925"/>
    <w:rsid w:val="00044F2B"/>
    <w:rsid w:val="000453E2"/>
    <w:rsid w:val="0004663E"/>
    <w:rsid w:val="00046640"/>
    <w:rsid w:val="000468AE"/>
    <w:rsid w:val="00047479"/>
    <w:rsid w:val="00047EF9"/>
    <w:rsid w:val="000502A5"/>
    <w:rsid w:val="00052156"/>
    <w:rsid w:val="00052968"/>
    <w:rsid w:val="00054EF6"/>
    <w:rsid w:val="00061843"/>
    <w:rsid w:val="00064A95"/>
    <w:rsid w:val="00066F74"/>
    <w:rsid w:val="00070064"/>
    <w:rsid w:val="00073222"/>
    <w:rsid w:val="00075B84"/>
    <w:rsid w:val="00081148"/>
    <w:rsid w:val="00082BDC"/>
    <w:rsid w:val="00086802"/>
    <w:rsid w:val="000935FF"/>
    <w:rsid w:val="00097B77"/>
    <w:rsid w:val="000A0594"/>
    <w:rsid w:val="000A09E9"/>
    <w:rsid w:val="000A3382"/>
    <w:rsid w:val="000A3B9C"/>
    <w:rsid w:val="000A6589"/>
    <w:rsid w:val="000A7783"/>
    <w:rsid w:val="000B0FA7"/>
    <w:rsid w:val="000B14A4"/>
    <w:rsid w:val="000B5397"/>
    <w:rsid w:val="000C0673"/>
    <w:rsid w:val="000C3A96"/>
    <w:rsid w:val="000C6A2D"/>
    <w:rsid w:val="000C7C23"/>
    <w:rsid w:val="000D3162"/>
    <w:rsid w:val="000D389D"/>
    <w:rsid w:val="000D69CE"/>
    <w:rsid w:val="000E1C96"/>
    <w:rsid w:val="000E3E48"/>
    <w:rsid w:val="000E52A4"/>
    <w:rsid w:val="000E6571"/>
    <w:rsid w:val="000E76F1"/>
    <w:rsid w:val="000E7FF1"/>
    <w:rsid w:val="000F0B3C"/>
    <w:rsid w:val="000F11FD"/>
    <w:rsid w:val="000F2F3B"/>
    <w:rsid w:val="000F5CE4"/>
    <w:rsid w:val="000F6806"/>
    <w:rsid w:val="000F6F8A"/>
    <w:rsid w:val="00101D15"/>
    <w:rsid w:val="00102E74"/>
    <w:rsid w:val="001032C8"/>
    <w:rsid w:val="0010499E"/>
    <w:rsid w:val="00106ADD"/>
    <w:rsid w:val="00107CAA"/>
    <w:rsid w:val="00114448"/>
    <w:rsid w:val="00115A82"/>
    <w:rsid w:val="00117F13"/>
    <w:rsid w:val="0012026E"/>
    <w:rsid w:val="00123DA5"/>
    <w:rsid w:val="00124112"/>
    <w:rsid w:val="00125A5B"/>
    <w:rsid w:val="0013081F"/>
    <w:rsid w:val="00131E66"/>
    <w:rsid w:val="00132D90"/>
    <w:rsid w:val="00133126"/>
    <w:rsid w:val="00136C52"/>
    <w:rsid w:val="001428D7"/>
    <w:rsid w:val="0014334C"/>
    <w:rsid w:val="0014482D"/>
    <w:rsid w:val="0014799E"/>
    <w:rsid w:val="00150332"/>
    <w:rsid w:val="0015062A"/>
    <w:rsid w:val="00150CFD"/>
    <w:rsid w:val="00154CF8"/>
    <w:rsid w:val="00157380"/>
    <w:rsid w:val="00157397"/>
    <w:rsid w:val="001574B0"/>
    <w:rsid w:val="00160FFA"/>
    <w:rsid w:val="00161B74"/>
    <w:rsid w:val="0016213A"/>
    <w:rsid w:val="0016361B"/>
    <w:rsid w:val="001643C2"/>
    <w:rsid w:val="00164754"/>
    <w:rsid w:val="001657F8"/>
    <w:rsid w:val="001704DD"/>
    <w:rsid w:val="00173A1E"/>
    <w:rsid w:val="00173D64"/>
    <w:rsid w:val="00173F1D"/>
    <w:rsid w:val="0017608D"/>
    <w:rsid w:val="0017628B"/>
    <w:rsid w:val="00177533"/>
    <w:rsid w:val="00180395"/>
    <w:rsid w:val="001832AE"/>
    <w:rsid w:val="001841C6"/>
    <w:rsid w:val="00184208"/>
    <w:rsid w:val="00186FF1"/>
    <w:rsid w:val="001877B4"/>
    <w:rsid w:val="0019208C"/>
    <w:rsid w:val="00192144"/>
    <w:rsid w:val="001A1B0A"/>
    <w:rsid w:val="001A3EEE"/>
    <w:rsid w:val="001A43D4"/>
    <w:rsid w:val="001A7BB5"/>
    <w:rsid w:val="001B1FF2"/>
    <w:rsid w:val="001B78F9"/>
    <w:rsid w:val="001C1A64"/>
    <w:rsid w:val="001C1B3F"/>
    <w:rsid w:val="001C26EA"/>
    <w:rsid w:val="001C347D"/>
    <w:rsid w:val="001C4463"/>
    <w:rsid w:val="001C5737"/>
    <w:rsid w:val="001C7D51"/>
    <w:rsid w:val="001D2546"/>
    <w:rsid w:val="001D3846"/>
    <w:rsid w:val="001D52A4"/>
    <w:rsid w:val="001D5D06"/>
    <w:rsid w:val="001D60BF"/>
    <w:rsid w:val="001D6360"/>
    <w:rsid w:val="001D6F30"/>
    <w:rsid w:val="001D7FF5"/>
    <w:rsid w:val="001E0223"/>
    <w:rsid w:val="001E21D0"/>
    <w:rsid w:val="001E2CC6"/>
    <w:rsid w:val="001E3A8D"/>
    <w:rsid w:val="001F176D"/>
    <w:rsid w:val="001F49D3"/>
    <w:rsid w:val="001F781E"/>
    <w:rsid w:val="00205553"/>
    <w:rsid w:val="002064E8"/>
    <w:rsid w:val="00212D01"/>
    <w:rsid w:val="002141D8"/>
    <w:rsid w:val="00214215"/>
    <w:rsid w:val="00214E11"/>
    <w:rsid w:val="0021790A"/>
    <w:rsid w:val="0022155A"/>
    <w:rsid w:val="0022228F"/>
    <w:rsid w:val="00222511"/>
    <w:rsid w:val="00230938"/>
    <w:rsid w:val="00230F78"/>
    <w:rsid w:val="0023522A"/>
    <w:rsid w:val="00235730"/>
    <w:rsid w:val="00237568"/>
    <w:rsid w:val="002377F4"/>
    <w:rsid w:val="002429F0"/>
    <w:rsid w:val="002452DF"/>
    <w:rsid w:val="00245AE1"/>
    <w:rsid w:val="00245DB5"/>
    <w:rsid w:val="00250177"/>
    <w:rsid w:val="002519D6"/>
    <w:rsid w:val="00252B00"/>
    <w:rsid w:val="00252B74"/>
    <w:rsid w:val="00253B13"/>
    <w:rsid w:val="0025778E"/>
    <w:rsid w:val="00260F97"/>
    <w:rsid w:val="00261451"/>
    <w:rsid w:val="002620FD"/>
    <w:rsid w:val="00266105"/>
    <w:rsid w:val="002675D2"/>
    <w:rsid w:val="00273213"/>
    <w:rsid w:val="0027540D"/>
    <w:rsid w:val="00275DC6"/>
    <w:rsid w:val="002763DC"/>
    <w:rsid w:val="00282A8A"/>
    <w:rsid w:val="002831D2"/>
    <w:rsid w:val="002874D2"/>
    <w:rsid w:val="002910CA"/>
    <w:rsid w:val="00291849"/>
    <w:rsid w:val="00291895"/>
    <w:rsid w:val="00291BD5"/>
    <w:rsid w:val="00295927"/>
    <w:rsid w:val="00297D96"/>
    <w:rsid w:val="002A31D3"/>
    <w:rsid w:val="002A3361"/>
    <w:rsid w:val="002A476C"/>
    <w:rsid w:val="002B6042"/>
    <w:rsid w:val="002B751E"/>
    <w:rsid w:val="002C0E2D"/>
    <w:rsid w:val="002C1FC4"/>
    <w:rsid w:val="002C5A41"/>
    <w:rsid w:val="002C6C45"/>
    <w:rsid w:val="002D03F1"/>
    <w:rsid w:val="002D15BF"/>
    <w:rsid w:val="002D27C7"/>
    <w:rsid w:val="002D27FE"/>
    <w:rsid w:val="002D3DD6"/>
    <w:rsid w:val="002D3F7A"/>
    <w:rsid w:val="002D42ED"/>
    <w:rsid w:val="002E0448"/>
    <w:rsid w:val="002E0F06"/>
    <w:rsid w:val="002E1150"/>
    <w:rsid w:val="002E32E8"/>
    <w:rsid w:val="002E4942"/>
    <w:rsid w:val="002E55D4"/>
    <w:rsid w:val="002E6D73"/>
    <w:rsid w:val="002F069E"/>
    <w:rsid w:val="002F4079"/>
    <w:rsid w:val="002F5E97"/>
    <w:rsid w:val="002F765F"/>
    <w:rsid w:val="002F7968"/>
    <w:rsid w:val="002F7AC1"/>
    <w:rsid w:val="002F7CE3"/>
    <w:rsid w:val="00301D0E"/>
    <w:rsid w:val="00304C93"/>
    <w:rsid w:val="00307929"/>
    <w:rsid w:val="00310692"/>
    <w:rsid w:val="00311682"/>
    <w:rsid w:val="00316BC6"/>
    <w:rsid w:val="00316D8B"/>
    <w:rsid w:val="003201D6"/>
    <w:rsid w:val="00321C2D"/>
    <w:rsid w:val="00323651"/>
    <w:rsid w:val="003242BA"/>
    <w:rsid w:val="003262ED"/>
    <w:rsid w:val="00326DB4"/>
    <w:rsid w:val="003276AC"/>
    <w:rsid w:val="003344D7"/>
    <w:rsid w:val="00335C44"/>
    <w:rsid w:val="00340C22"/>
    <w:rsid w:val="00342746"/>
    <w:rsid w:val="003427D4"/>
    <w:rsid w:val="003439CD"/>
    <w:rsid w:val="00344C6D"/>
    <w:rsid w:val="003469AD"/>
    <w:rsid w:val="0035017F"/>
    <w:rsid w:val="0035218A"/>
    <w:rsid w:val="0035565D"/>
    <w:rsid w:val="00355B6F"/>
    <w:rsid w:val="00356922"/>
    <w:rsid w:val="00357DE5"/>
    <w:rsid w:val="00361CAF"/>
    <w:rsid w:val="00361DBA"/>
    <w:rsid w:val="00362F3F"/>
    <w:rsid w:val="00363CAE"/>
    <w:rsid w:val="003662F1"/>
    <w:rsid w:val="00367C8F"/>
    <w:rsid w:val="003731A5"/>
    <w:rsid w:val="003802FE"/>
    <w:rsid w:val="0038239E"/>
    <w:rsid w:val="00384DA9"/>
    <w:rsid w:val="00385B52"/>
    <w:rsid w:val="00387064"/>
    <w:rsid w:val="003901AF"/>
    <w:rsid w:val="00391027"/>
    <w:rsid w:val="003930C8"/>
    <w:rsid w:val="0039358B"/>
    <w:rsid w:val="003960F2"/>
    <w:rsid w:val="003A0C3B"/>
    <w:rsid w:val="003A4AC6"/>
    <w:rsid w:val="003A4AFE"/>
    <w:rsid w:val="003B0C5E"/>
    <w:rsid w:val="003B13FA"/>
    <w:rsid w:val="003B303A"/>
    <w:rsid w:val="003B3F53"/>
    <w:rsid w:val="003B443E"/>
    <w:rsid w:val="003B7861"/>
    <w:rsid w:val="003C1D39"/>
    <w:rsid w:val="003C2F08"/>
    <w:rsid w:val="003C3017"/>
    <w:rsid w:val="003C3DC4"/>
    <w:rsid w:val="003C52E3"/>
    <w:rsid w:val="003D1D59"/>
    <w:rsid w:val="003D2564"/>
    <w:rsid w:val="003E0515"/>
    <w:rsid w:val="003E16F5"/>
    <w:rsid w:val="003E2E29"/>
    <w:rsid w:val="003E33E2"/>
    <w:rsid w:val="003E391F"/>
    <w:rsid w:val="003E5960"/>
    <w:rsid w:val="003E644B"/>
    <w:rsid w:val="003F35F8"/>
    <w:rsid w:val="003F746B"/>
    <w:rsid w:val="00400C49"/>
    <w:rsid w:val="004021FB"/>
    <w:rsid w:val="0040359F"/>
    <w:rsid w:val="00403944"/>
    <w:rsid w:val="0041121B"/>
    <w:rsid w:val="00420F93"/>
    <w:rsid w:val="0042256B"/>
    <w:rsid w:val="00423EEA"/>
    <w:rsid w:val="004240A0"/>
    <w:rsid w:val="004245EE"/>
    <w:rsid w:val="00424F93"/>
    <w:rsid w:val="004253C2"/>
    <w:rsid w:val="004318ED"/>
    <w:rsid w:val="0043587B"/>
    <w:rsid w:val="0043668B"/>
    <w:rsid w:val="00436C21"/>
    <w:rsid w:val="004376C4"/>
    <w:rsid w:val="004377B1"/>
    <w:rsid w:val="00440FBF"/>
    <w:rsid w:val="00441128"/>
    <w:rsid w:val="00444490"/>
    <w:rsid w:val="00445300"/>
    <w:rsid w:val="00445ACD"/>
    <w:rsid w:val="00445FF8"/>
    <w:rsid w:val="004470AA"/>
    <w:rsid w:val="00452F47"/>
    <w:rsid w:val="00455785"/>
    <w:rsid w:val="00455D25"/>
    <w:rsid w:val="00460158"/>
    <w:rsid w:val="004602B7"/>
    <w:rsid w:val="00472C70"/>
    <w:rsid w:val="0047509D"/>
    <w:rsid w:val="0048119C"/>
    <w:rsid w:val="00485619"/>
    <w:rsid w:val="004857D7"/>
    <w:rsid w:val="004858E3"/>
    <w:rsid w:val="00486C56"/>
    <w:rsid w:val="00487733"/>
    <w:rsid w:val="004927B0"/>
    <w:rsid w:val="00492AC9"/>
    <w:rsid w:val="00495071"/>
    <w:rsid w:val="004A0144"/>
    <w:rsid w:val="004A1A02"/>
    <w:rsid w:val="004A36BA"/>
    <w:rsid w:val="004A3A3E"/>
    <w:rsid w:val="004A5224"/>
    <w:rsid w:val="004A7A64"/>
    <w:rsid w:val="004B2020"/>
    <w:rsid w:val="004B31BE"/>
    <w:rsid w:val="004B3651"/>
    <w:rsid w:val="004B39C7"/>
    <w:rsid w:val="004B3F28"/>
    <w:rsid w:val="004B4861"/>
    <w:rsid w:val="004B4CBD"/>
    <w:rsid w:val="004C0A64"/>
    <w:rsid w:val="004C17BB"/>
    <w:rsid w:val="004C19F0"/>
    <w:rsid w:val="004C386C"/>
    <w:rsid w:val="004C3BAD"/>
    <w:rsid w:val="004C4B10"/>
    <w:rsid w:val="004D1051"/>
    <w:rsid w:val="004D2740"/>
    <w:rsid w:val="004D29F4"/>
    <w:rsid w:val="004D3DD4"/>
    <w:rsid w:val="004D5BD4"/>
    <w:rsid w:val="004E6B95"/>
    <w:rsid w:val="004F0882"/>
    <w:rsid w:val="004F263B"/>
    <w:rsid w:val="004F79E7"/>
    <w:rsid w:val="00500349"/>
    <w:rsid w:val="005005F5"/>
    <w:rsid w:val="00500E36"/>
    <w:rsid w:val="00501A6C"/>
    <w:rsid w:val="00504764"/>
    <w:rsid w:val="00505373"/>
    <w:rsid w:val="00514FA0"/>
    <w:rsid w:val="00515FC5"/>
    <w:rsid w:val="005173A0"/>
    <w:rsid w:val="005234BE"/>
    <w:rsid w:val="00526B35"/>
    <w:rsid w:val="00531263"/>
    <w:rsid w:val="00532849"/>
    <w:rsid w:val="005332C0"/>
    <w:rsid w:val="00535AD0"/>
    <w:rsid w:val="005374DD"/>
    <w:rsid w:val="00537A1F"/>
    <w:rsid w:val="005403D7"/>
    <w:rsid w:val="005407AE"/>
    <w:rsid w:val="005421EE"/>
    <w:rsid w:val="005440A5"/>
    <w:rsid w:val="005447BA"/>
    <w:rsid w:val="00544883"/>
    <w:rsid w:val="00544B90"/>
    <w:rsid w:val="0054539C"/>
    <w:rsid w:val="00553FB4"/>
    <w:rsid w:val="00554B9B"/>
    <w:rsid w:val="00554C9D"/>
    <w:rsid w:val="00555001"/>
    <w:rsid w:val="00555F8F"/>
    <w:rsid w:val="0055798B"/>
    <w:rsid w:val="00561001"/>
    <w:rsid w:val="005614D4"/>
    <w:rsid w:val="00566C8A"/>
    <w:rsid w:val="00574F4B"/>
    <w:rsid w:val="00576D28"/>
    <w:rsid w:val="00576E48"/>
    <w:rsid w:val="00580B56"/>
    <w:rsid w:val="005818DF"/>
    <w:rsid w:val="005825BA"/>
    <w:rsid w:val="0058323E"/>
    <w:rsid w:val="00583E35"/>
    <w:rsid w:val="00583FDA"/>
    <w:rsid w:val="00586E3E"/>
    <w:rsid w:val="005871D3"/>
    <w:rsid w:val="00590BA2"/>
    <w:rsid w:val="00590D6C"/>
    <w:rsid w:val="00592592"/>
    <w:rsid w:val="00592663"/>
    <w:rsid w:val="00592F67"/>
    <w:rsid w:val="00592F8D"/>
    <w:rsid w:val="005A1973"/>
    <w:rsid w:val="005A5BF6"/>
    <w:rsid w:val="005A7162"/>
    <w:rsid w:val="005B0B0E"/>
    <w:rsid w:val="005B113F"/>
    <w:rsid w:val="005B125C"/>
    <w:rsid w:val="005B35E4"/>
    <w:rsid w:val="005B4858"/>
    <w:rsid w:val="005B4D6A"/>
    <w:rsid w:val="005B54A8"/>
    <w:rsid w:val="005C0FBD"/>
    <w:rsid w:val="005C33C4"/>
    <w:rsid w:val="005C3A56"/>
    <w:rsid w:val="005C5B0F"/>
    <w:rsid w:val="005C6620"/>
    <w:rsid w:val="005C66F7"/>
    <w:rsid w:val="005C748D"/>
    <w:rsid w:val="005D0648"/>
    <w:rsid w:val="005D3701"/>
    <w:rsid w:val="005D3DA1"/>
    <w:rsid w:val="005D52DB"/>
    <w:rsid w:val="005D711E"/>
    <w:rsid w:val="005E047A"/>
    <w:rsid w:val="005E07F4"/>
    <w:rsid w:val="005E1292"/>
    <w:rsid w:val="005E320F"/>
    <w:rsid w:val="005E3917"/>
    <w:rsid w:val="005E5817"/>
    <w:rsid w:val="005E5F65"/>
    <w:rsid w:val="005E7842"/>
    <w:rsid w:val="005F18B4"/>
    <w:rsid w:val="005F4E56"/>
    <w:rsid w:val="00600004"/>
    <w:rsid w:val="00603178"/>
    <w:rsid w:val="0060335E"/>
    <w:rsid w:val="00603DA9"/>
    <w:rsid w:val="00605269"/>
    <w:rsid w:val="00605511"/>
    <w:rsid w:val="006067DE"/>
    <w:rsid w:val="00610067"/>
    <w:rsid w:val="00611530"/>
    <w:rsid w:val="0061371D"/>
    <w:rsid w:val="00615083"/>
    <w:rsid w:val="00617984"/>
    <w:rsid w:val="00623AC4"/>
    <w:rsid w:val="00625F07"/>
    <w:rsid w:val="00630251"/>
    <w:rsid w:val="00630B6A"/>
    <w:rsid w:val="0063169E"/>
    <w:rsid w:val="00632579"/>
    <w:rsid w:val="00632924"/>
    <w:rsid w:val="0063521D"/>
    <w:rsid w:val="0064007D"/>
    <w:rsid w:val="00643356"/>
    <w:rsid w:val="00653EED"/>
    <w:rsid w:val="006545F0"/>
    <w:rsid w:val="00654F7C"/>
    <w:rsid w:val="00661854"/>
    <w:rsid w:val="00662297"/>
    <w:rsid w:val="00662A08"/>
    <w:rsid w:val="00664314"/>
    <w:rsid w:val="0066596A"/>
    <w:rsid w:val="00665AF5"/>
    <w:rsid w:val="00671823"/>
    <w:rsid w:val="0067371F"/>
    <w:rsid w:val="006753BD"/>
    <w:rsid w:val="00684737"/>
    <w:rsid w:val="006867DB"/>
    <w:rsid w:val="00691323"/>
    <w:rsid w:val="00691DAF"/>
    <w:rsid w:val="006A0815"/>
    <w:rsid w:val="006A0EBC"/>
    <w:rsid w:val="006A32F2"/>
    <w:rsid w:val="006A41BF"/>
    <w:rsid w:val="006A66FE"/>
    <w:rsid w:val="006B0A81"/>
    <w:rsid w:val="006B3E0C"/>
    <w:rsid w:val="006B675E"/>
    <w:rsid w:val="006B6ABB"/>
    <w:rsid w:val="006C061F"/>
    <w:rsid w:val="006C166D"/>
    <w:rsid w:val="006C1FD9"/>
    <w:rsid w:val="006C2439"/>
    <w:rsid w:val="006D0AB8"/>
    <w:rsid w:val="006D1F5A"/>
    <w:rsid w:val="006D2A3F"/>
    <w:rsid w:val="006D3F92"/>
    <w:rsid w:val="006D4292"/>
    <w:rsid w:val="006D7B1B"/>
    <w:rsid w:val="006E17FB"/>
    <w:rsid w:val="006E1E8D"/>
    <w:rsid w:val="006E2CE6"/>
    <w:rsid w:val="006E4A8B"/>
    <w:rsid w:val="006E62CD"/>
    <w:rsid w:val="006F1D99"/>
    <w:rsid w:val="006F1DF4"/>
    <w:rsid w:val="006F3515"/>
    <w:rsid w:val="006F4759"/>
    <w:rsid w:val="006F61BC"/>
    <w:rsid w:val="006F7ED6"/>
    <w:rsid w:val="00700B5B"/>
    <w:rsid w:val="0070132F"/>
    <w:rsid w:val="007015D2"/>
    <w:rsid w:val="007025CC"/>
    <w:rsid w:val="00710127"/>
    <w:rsid w:val="00712A0F"/>
    <w:rsid w:val="00712E5A"/>
    <w:rsid w:val="00716960"/>
    <w:rsid w:val="0072188C"/>
    <w:rsid w:val="00721DD1"/>
    <w:rsid w:val="00723477"/>
    <w:rsid w:val="00724D68"/>
    <w:rsid w:val="0072553E"/>
    <w:rsid w:val="00725EC7"/>
    <w:rsid w:val="0073359D"/>
    <w:rsid w:val="00735C95"/>
    <w:rsid w:val="00740C7A"/>
    <w:rsid w:val="00742A08"/>
    <w:rsid w:val="00750DBA"/>
    <w:rsid w:val="00753A79"/>
    <w:rsid w:val="007555C2"/>
    <w:rsid w:val="007603E9"/>
    <w:rsid w:val="007643BA"/>
    <w:rsid w:val="00765AFD"/>
    <w:rsid w:val="0076602E"/>
    <w:rsid w:val="00767729"/>
    <w:rsid w:val="00767BA0"/>
    <w:rsid w:val="00770CB2"/>
    <w:rsid w:val="007715E0"/>
    <w:rsid w:val="00775F5F"/>
    <w:rsid w:val="0077606C"/>
    <w:rsid w:val="007763C0"/>
    <w:rsid w:val="007765A6"/>
    <w:rsid w:val="007806A6"/>
    <w:rsid w:val="007831A6"/>
    <w:rsid w:val="007834DA"/>
    <w:rsid w:val="00784F0A"/>
    <w:rsid w:val="00784F7C"/>
    <w:rsid w:val="00784F82"/>
    <w:rsid w:val="007879DD"/>
    <w:rsid w:val="00792451"/>
    <w:rsid w:val="007931ED"/>
    <w:rsid w:val="00794D80"/>
    <w:rsid w:val="0079750D"/>
    <w:rsid w:val="007A06B9"/>
    <w:rsid w:val="007A0E55"/>
    <w:rsid w:val="007A160D"/>
    <w:rsid w:val="007A56D9"/>
    <w:rsid w:val="007A5A37"/>
    <w:rsid w:val="007A79CC"/>
    <w:rsid w:val="007B2F04"/>
    <w:rsid w:val="007B3F93"/>
    <w:rsid w:val="007B77B9"/>
    <w:rsid w:val="007C0D37"/>
    <w:rsid w:val="007C2855"/>
    <w:rsid w:val="007C3098"/>
    <w:rsid w:val="007C5192"/>
    <w:rsid w:val="007C59F8"/>
    <w:rsid w:val="007C616F"/>
    <w:rsid w:val="007C6911"/>
    <w:rsid w:val="007D1B26"/>
    <w:rsid w:val="007D3802"/>
    <w:rsid w:val="007D7383"/>
    <w:rsid w:val="007D7CA5"/>
    <w:rsid w:val="007F1605"/>
    <w:rsid w:val="007F1FCA"/>
    <w:rsid w:val="007F2316"/>
    <w:rsid w:val="007F5E1F"/>
    <w:rsid w:val="007F65D9"/>
    <w:rsid w:val="007F66C8"/>
    <w:rsid w:val="007F73D3"/>
    <w:rsid w:val="00801743"/>
    <w:rsid w:val="00801920"/>
    <w:rsid w:val="008019ED"/>
    <w:rsid w:val="0080226E"/>
    <w:rsid w:val="00805024"/>
    <w:rsid w:val="008074D5"/>
    <w:rsid w:val="0081158B"/>
    <w:rsid w:val="00813F37"/>
    <w:rsid w:val="00816518"/>
    <w:rsid w:val="00816EBC"/>
    <w:rsid w:val="00816F02"/>
    <w:rsid w:val="0081700E"/>
    <w:rsid w:val="00817833"/>
    <w:rsid w:val="00821061"/>
    <w:rsid w:val="00821BDE"/>
    <w:rsid w:val="00822ADF"/>
    <w:rsid w:val="0082428F"/>
    <w:rsid w:val="00824F6B"/>
    <w:rsid w:val="00826089"/>
    <w:rsid w:val="0083158E"/>
    <w:rsid w:val="0083428E"/>
    <w:rsid w:val="00834DF8"/>
    <w:rsid w:val="00835C89"/>
    <w:rsid w:val="00837ACD"/>
    <w:rsid w:val="00840700"/>
    <w:rsid w:val="008410F0"/>
    <w:rsid w:val="00844448"/>
    <w:rsid w:val="008461BF"/>
    <w:rsid w:val="0085151E"/>
    <w:rsid w:val="008531DF"/>
    <w:rsid w:val="00854102"/>
    <w:rsid w:val="00854316"/>
    <w:rsid w:val="00855CF7"/>
    <w:rsid w:val="00864D25"/>
    <w:rsid w:val="008706D7"/>
    <w:rsid w:val="0087128A"/>
    <w:rsid w:val="00872000"/>
    <w:rsid w:val="00872343"/>
    <w:rsid w:val="008735C8"/>
    <w:rsid w:val="00874DA9"/>
    <w:rsid w:val="00876BA5"/>
    <w:rsid w:val="00876C7A"/>
    <w:rsid w:val="00880253"/>
    <w:rsid w:val="008866BE"/>
    <w:rsid w:val="0088750C"/>
    <w:rsid w:val="00887D4B"/>
    <w:rsid w:val="00891368"/>
    <w:rsid w:val="008913DB"/>
    <w:rsid w:val="008920D9"/>
    <w:rsid w:val="00892639"/>
    <w:rsid w:val="0089271B"/>
    <w:rsid w:val="00893569"/>
    <w:rsid w:val="00897B02"/>
    <w:rsid w:val="008A00F3"/>
    <w:rsid w:val="008A14FF"/>
    <w:rsid w:val="008A2423"/>
    <w:rsid w:val="008A409C"/>
    <w:rsid w:val="008B1BB2"/>
    <w:rsid w:val="008B2A09"/>
    <w:rsid w:val="008B2CB0"/>
    <w:rsid w:val="008B72FD"/>
    <w:rsid w:val="008C1241"/>
    <w:rsid w:val="008C25A7"/>
    <w:rsid w:val="008C3229"/>
    <w:rsid w:val="008C4DA9"/>
    <w:rsid w:val="008C5757"/>
    <w:rsid w:val="008D078A"/>
    <w:rsid w:val="008D14D4"/>
    <w:rsid w:val="008D1FB8"/>
    <w:rsid w:val="008D6BA7"/>
    <w:rsid w:val="008D7534"/>
    <w:rsid w:val="008D7927"/>
    <w:rsid w:val="008E6056"/>
    <w:rsid w:val="008E662D"/>
    <w:rsid w:val="008E68A5"/>
    <w:rsid w:val="008E7347"/>
    <w:rsid w:val="008F422A"/>
    <w:rsid w:val="008F666E"/>
    <w:rsid w:val="008F66C5"/>
    <w:rsid w:val="00901A3F"/>
    <w:rsid w:val="00902648"/>
    <w:rsid w:val="00902754"/>
    <w:rsid w:val="00902770"/>
    <w:rsid w:val="00903DD5"/>
    <w:rsid w:val="00904907"/>
    <w:rsid w:val="0090726C"/>
    <w:rsid w:val="009075E7"/>
    <w:rsid w:val="00910191"/>
    <w:rsid w:val="00910F97"/>
    <w:rsid w:val="009112B6"/>
    <w:rsid w:val="009114C4"/>
    <w:rsid w:val="009117E6"/>
    <w:rsid w:val="00914AFA"/>
    <w:rsid w:val="0091691E"/>
    <w:rsid w:val="00921081"/>
    <w:rsid w:val="00925F30"/>
    <w:rsid w:val="00926789"/>
    <w:rsid w:val="00926D6C"/>
    <w:rsid w:val="0092798C"/>
    <w:rsid w:val="00932ECB"/>
    <w:rsid w:val="00936392"/>
    <w:rsid w:val="00937F1C"/>
    <w:rsid w:val="00941B23"/>
    <w:rsid w:val="00941F06"/>
    <w:rsid w:val="009428A2"/>
    <w:rsid w:val="00947F96"/>
    <w:rsid w:val="00950B59"/>
    <w:rsid w:val="009514FA"/>
    <w:rsid w:val="00953A95"/>
    <w:rsid w:val="0095798D"/>
    <w:rsid w:val="009605A3"/>
    <w:rsid w:val="009606B3"/>
    <w:rsid w:val="009668FF"/>
    <w:rsid w:val="00966F11"/>
    <w:rsid w:val="0096766A"/>
    <w:rsid w:val="00970F02"/>
    <w:rsid w:val="00970FEF"/>
    <w:rsid w:val="0097220F"/>
    <w:rsid w:val="00973B32"/>
    <w:rsid w:val="00973D31"/>
    <w:rsid w:val="00974D79"/>
    <w:rsid w:val="00975900"/>
    <w:rsid w:val="009761C4"/>
    <w:rsid w:val="0097630B"/>
    <w:rsid w:val="00981B3B"/>
    <w:rsid w:val="00982958"/>
    <w:rsid w:val="00982B42"/>
    <w:rsid w:val="00984CD8"/>
    <w:rsid w:val="0098587E"/>
    <w:rsid w:val="00990933"/>
    <w:rsid w:val="00995400"/>
    <w:rsid w:val="00997736"/>
    <w:rsid w:val="009A09E2"/>
    <w:rsid w:val="009A6AFD"/>
    <w:rsid w:val="009A7234"/>
    <w:rsid w:val="009B0770"/>
    <w:rsid w:val="009B0F62"/>
    <w:rsid w:val="009B137B"/>
    <w:rsid w:val="009B5259"/>
    <w:rsid w:val="009B5AD2"/>
    <w:rsid w:val="009B7A49"/>
    <w:rsid w:val="009C05E4"/>
    <w:rsid w:val="009C0822"/>
    <w:rsid w:val="009C0A77"/>
    <w:rsid w:val="009C2FEF"/>
    <w:rsid w:val="009C48E8"/>
    <w:rsid w:val="009D05F4"/>
    <w:rsid w:val="009D1319"/>
    <w:rsid w:val="009D2E47"/>
    <w:rsid w:val="009D5AB4"/>
    <w:rsid w:val="009E1499"/>
    <w:rsid w:val="009E3032"/>
    <w:rsid w:val="009E32C6"/>
    <w:rsid w:val="009E65FA"/>
    <w:rsid w:val="009E7B26"/>
    <w:rsid w:val="009F0DB2"/>
    <w:rsid w:val="009F253A"/>
    <w:rsid w:val="009F3168"/>
    <w:rsid w:val="009F33F0"/>
    <w:rsid w:val="009F3BE9"/>
    <w:rsid w:val="009F536A"/>
    <w:rsid w:val="009F6861"/>
    <w:rsid w:val="009F7D23"/>
    <w:rsid w:val="00A00D16"/>
    <w:rsid w:val="00A11529"/>
    <w:rsid w:val="00A1199B"/>
    <w:rsid w:val="00A16598"/>
    <w:rsid w:val="00A16AC3"/>
    <w:rsid w:val="00A21075"/>
    <w:rsid w:val="00A21B51"/>
    <w:rsid w:val="00A24794"/>
    <w:rsid w:val="00A25ECD"/>
    <w:rsid w:val="00A27F48"/>
    <w:rsid w:val="00A328DD"/>
    <w:rsid w:val="00A339F3"/>
    <w:rsid w:val="00A357AE"/>
    <w:rsid w:val="00A35867"/>
    <w:rsid w:val="00A36A73"/>
    <w:rsid w:val="00A41329"/>
    <w:rsid w:val="00A461B4"/>
    <w:rsid w:val="00A47EAF"/>
    <w:rsid w:val="00A507DA"/>
    <w:rsid w:val="00A544A4"/>
    <w:rsid w:val="00A564C8"/>
    <w:rsid w:val="00A56DC7"/>
    <w:rsid w:val="00A64342"/>
    <w:rsid w:val="00A7509F"/>
    <w:rsid w:val="00A75438"/>
    <w:rsid w:val="00A755B0"/>
    <w:rsid w:val="00A8202D"/>
    <w:rsid w:val="00A87FC2"/>
    <w:rsid w:val="00A909BC"/>
    <w:rsid w:val="00A93E54"/>
    <w:rsid w:val="00A9474F"/>
    <w:rsid w:val="00A96B4E"/>
    <w:rsid w:val="00A972DB"/>
    <w:rsid w:val="00AA0E9D"/>
    <w:rsid w:val="00AA3F96"/>
    <w:rsid w:val="00AB08D6"/>
    <w:rsid w:val="00AB1283"/>
    <w:rsid w:val="00AB1FC0"/>
    <w:rsid w:val="00AB3B4D"/>
    <w:rsid w:val="00AB3E64"/>
    <w:rsid w:val="00AB4099"/>
    <w:rsid w:val="00AB42B1"/>
    <w:rsid w:val="00AC0C24"/>
    <w:rsid w:val="00AC0F89"/>
    <w:rsid w:val="00AC143E"/>
    <w:rsid w:val="00AC1E23"/>
    <w:rsid w:val="00AC5F64"/>
    <w:rsid w:val="00AC7708"/>
    <w:rsid w:val="00AC7B6F"/>
    <w:rsid w:val="00AC7F46"/>
    <w:rsid w:val="00AD1CC6"/>
    <w:rsid w:val="00AD48B6"/>
    <w:rsid w:val="00AD6317"/>
    <w:rsid w:val="00AD70D0"/>
    <w:rsid w:val="00AD7C85"/>
    <w:rsid w:val="00AE0C38"/>
    <w:rsid w:val="00AE4091"/>
    <w:rsid w:val="00AE5C4B"/>
    <w:rsid w:val="00AF2A71"/>
    <w:rsid w:val="00AF5405"/>
    <w:rsid w:val="00AF66A5"/>
    <w:rsid w:val="00B029A5"/>
    <w:rsid w:val="00B03D93"/>
    <w:rsid w:val="00B06446"/>
    <w:rsid w:val="00B13656"/>
    <w:rsid w:val="00B16550"/>
    <w:rsid w:val="00B16F0F"/>
    <w:rsid w:val="00B176AF"/>
    <w:rsid w:val="00B202B2"/>
    <w:rsid w:val="00B2033F"/>
    <w:rsid w:val="00B2092B"/>
    <w:rsid w:val="00B21E1C"/>
    <w:rsid w:val="00B21EA4"/>
    <w:rsid w:val="00B25C99"/>
    <w:rsid w:val="00B26244"/>
    <w:rsid w:val="00B26C56"/>
    <w:rsid w:val="00B33C1E"/>
    <w:rsid w:val="00B36665"/>
    <w:rsid w:val="00B37855"/>
    <w:rsid w:val="00B40F27"/>
    <w:rsid w:val="00B43023"/>
    <w:rsid w:val="00B46C41"/>
    <w:rsid w:val="00B46D06"/>
    <w:rsid w:val="00B53432"/>
    <w:rsid w:val="00B61414"/>
    <w:rsid w:val="00B62271"/>
    <w:rsid w:val="00B62FEE"/>
    <w:rsid w:val="00B632A0"/>
    <w:rsid w:val="00B6419D"/>
    <w:rsid w:val="00B66F39"/>
    <w:rsid w:val="00B6715F"/>
    <w:rsid w:val="00B67B15"/>
    <w:rsid w:val="00B75F17"/>
    <w:rsid w:val="00B765FF"/>
    <w:rsid w:val="00B7669E"/>
    <w:rsid w:val="00B84C46"/>
    <w:rsid w:val="00B852ED"/>
    <w:rsid w:val="00B87B2F"/>
    <w:rsid w:val="00B924FE"/>
    <w:rsid w:val="00B94F97"/>
    <w:rsid w:val="00B958D6"/>
    <w:rsid w:val="00B96379"/>
    <w:rsid w:val="00B97104"/>
    <w:rsid w:val="00B97252"/>
    <w:rsid w:val="00BA064A"/>
    <w:rsid w:val="00BA0B6E"/>
    <w:rsid w:val="00BA0E6D"/>
    <w:rsid w:val="00BA1B4A"/>
    <w:rsid w:val="00BA2497"/>
    <w:rsid w:val="00BA651C"/>
    <w:rsid w:val="00BA6F5F"/>
    <w:rsid w:val="00BB133D"/>
    <w:rsid w:val="00BB1555"/>
    <w:rsid w:val="00BB544B"/>
    <w:rsid w:val="00BC0918"/>
    <w:rsid w:val="00BC2B50"/>
    <w:rsid w:val="00BC304C"/>
    <w:rsid w:val="00BC7C6B"/>
    <w:rsid w:val="00BC7F34"/>
    <w:rsid w:val="00BD0DC7"/>
    <w:rsid w:val="00BD69A8"/>
    <w:rsid w:val="00BD700D"/>
    <w:rsid w:val="00BD72EB"/>
    <w:rsid w:val="00BE0936"/>
    <w:rsid w:val="00BE1317"/>
    <w:rsid w:val="00BE147C"/>
    <w:rsid w:val="00BE37C1"/>
    <w:rsid w:val="00BE3E1B"/>
    <w:rsid w:val="00BE65CC"/>
    <w:rsid w:val="00BE74C6"/>
    <w:rsid w:val="00BF0983"/>
    <w:rsid w:val="00BF0E3F"/>
    <w:rsid w:val="00BF3BC1"/>
    <w:rsid w:val="00BF64D9"/>
    <w:rsid w:val="00BF7221"/>
    <w:rsid w:val="00BF75F3"/>
    <w:rsid w:val="00C0036A"/>
    <w:rsid w:val="00C01243"/>
    <w:rsid w:val="00C01BC1"/>
    <w:rsid w:val="00C02622"/>
    <w:rsid w:val="00C035F8"/>
    <w:rsid w:val="00C0423B"/>
    <w:rsid w:val="00C04963"/>
    <w:rsid w:val="00C059D2"/>
    <w:rsid w:val="00C06521"/>
    <w:rsid w:val="00C0762F"/>
    <w:rsid w:val="00C07D99"/>
    <w:rsid w:val="00C12EE5"/>
    <w:rsid w:val="00C13FD8"/>
    <w:rsid w:val="00C158EE"/>
    <w:rsid w:val="00C16A17"/>
    <w:rsid w:val="00C176F5"/>
    <w:rsid w:val="00C17C3B"/>
    <w:rsid w:val="00C208DE"/>
    <w:rsid w:val="00C20E4D"/>
    <w:rsid w:val="00C23768"/>
    <w:rsid w:val="00C26D6D"/>
    <w:rsid w:val="00C275B7"/>
    <w:rsid w:val="00C31399"/>
    <w:rsid w:val="00C3535A"/>
    <w:rsid w:val="00C354B5"/>
    <w:rsid w:val="00C3560D"/>
    <w:rsid w:val="00C36047"/>
    <w:rsid w:val="00C41BFF"/>
    <w:rsid w:val="00C423CF"/>
    <w:rsid w:val="00C429BC"/>
    <w:rsid w:val="00C46B81"/>
    <w:rsid w:val="00C5159E"/>
    <w:rsid w:val="00C52DC3"/>
    <w:rsid w:val="00C602E6"/>
    <w:rsid w:val="00C62381"/>
    <w:rsid w:val="00C6244A"/>
    <w:rsid w:val="00C62486"/>
    <w:rsid w:val="00C64838"/>
    <w:rsid w:val="00C67FAA"/>
    <w:rsid w:val="00C71115"/>
    <w:rsid w:val="00C72207"/>
    <w:rsid w:val="00C75FAF"/>
    <w:rsid w:val="00C7694F"/>
    <w:rsid w:val="00C87157"/>
    <w:rsid w:val="00C87DDC"/>
    <w:rsid w:val="00C90A61"/>
    <w:rsid w:val="00C90AA9"/>
    <w:rsid w:val="00C91090"/>
    <w:rsid w:val="00C91FFD"/>
    <w:rsid w:val="00C92778"/>
    <w:rsid w:val="00C9426D"/>
    <w:rsid w:val="00C9523D"/>
    <w:rsid w:val="00C971F3"/>
    <w:rsid w:val="00CA086C"/>
    <w:rsid w:val="00CB0371"/>
    <w:rsid w:val="00CB1A75"/>
    <w:rsid w:val="00CB2346"/>
    <w:rsid w:val="00CB3751"/>
    <w:rsid w:val="00CB389D"/>
    <w:rsid w:val="00CB6ED5"/>
    <w:rsid w:val="00CC0219"/>
    <w:rsid w:val="00CC0268"/>
    <w:rsid w:val="00CC1D99"/>
    <w:rsid w:val="00CC372F"/>
    <w:rsid w:val="00CC4844"/>
    <w:rsid w:val="00CC58BC"/>
    <w:rsid w:val="00CC5CB9"/>
    <w:rsid w:val="00CC67ED"/>
    <w:rsid w:val="00CC702A"/>
    <w:rsid w:val="00CC7969"/>
    <w:rsid w:val="00CD03FB"/>
    <w:rsid w:val="00CD04CD"/>
    <w:rsid w:val="00CD0C8C"/>
    <w:rsid w:val="00CD258E"/>
    <w:rsid w:val="00CD3B02"/>
    <w:rsid w:val="00CE00F7"/>
    <w:rsid w:val="00CE0F32"/>
    <w:rsid w:val="00CE3997"/>
    <w:rsid w:val="00CF2AC5"/>
    <w:rsid w:val="00CF2F5B"/>
    <w:rsid w:val="00CF7432"/>
    <w:rsid w:val="00D0110A"/>
    <w:rsid w:val="00D0355C"/>
    <w:rsid w:val="00D066F8"/>
    <w:rsid w:val="00D107D0"/>
    <w:rsid w:val="00D1121C"/>
    <w:rsid w:val="00D144D7"/>
    <w:rsid w:val="00D14717"/>
    <w:rsid w:val="00D17BE9"/>
    <w:rsid w:val="00D21BB1"/>
    <w:rsid w:val="00D21E7D"/>
    <w:rsid w:val="00D22128"/>
    <w:rsid w:val="00D226A6"/>
    <w:rsid w:val="00D23044"/>
    <w:rsid w:val="00D261F6"/>
    <w:rsid w:val="00D26F1B"/>
    <w:rsid w:val="00D3035B"/>
    <w:rsid w:val="00D308D9"/>
    <w:rsid w:val="00D34249"/>
    <w:rsid w:val="00D359DA"/>
    <w:rsid w:val="00D4048E"/>
    <w:rsid w:val="00D445E8"/>
    <w:rsid w:val="00D46B08"/>
    <w:rsid w:val="00D50737"/>
    <w:rsid w:val="00D507E8"/>
    <w:rsid w:val="00D50A9A"/>
    <w:rsid w:val="00D50FE2"/>
    <w:rsid w:val="00D55489"/>
    <w:rsid w:val="00D57128"/>
    <w:rsid w:val="00D60026"/>
    <w:rsid w:val="00D605BF"/>
    <w:rsid w:val="00D6163A"/>
    <w:rsid w:val="00D62A5C"/>
    <w:rsid w:val="00D62D03"/>
    <w:rsid w:val="00D6412C"/>
    <w:rsid w:val="00D658FB"/>
    <w:rsid w:val="00D666B1"/>
    <w:rsid w:val="00D727AE"/>
    <w:rsid w:val="00D728B8"/>
    <w:rsid w:val="00D75032"/>
    <w:rsid w:val="00D75FBD"/>
    <w:rsid w:val="00D80B41"/>
    <w:rsid w:val="00D826E4"/>
    <w:rsid w:val="00D84896"/>
    <w:rsid w:val="00D84CF7"/>
    <w:rsid w:val="00D85805"/>
    <w:rsid w:val="00D8719C"/>
    <w:rsid w:val="00D92864"/>
    <w:rsid w:val="00D93978"/>
    <w:rsid w:val="00D939DD"/>
    <w:rsid w:val="00D954E3"/>
    <w:rsid w:val="00DA1675"/>
    <w:rsid w:val="00DA5A6B"/>
    <w:rsid w:val="00DA6F85"/>
    <w:rsid w:val="00DA770C"/>
    <w:rsid w:val="00DB0C40"/>
    <w:rsid w:val="00DB2446"/>
    <w:rsid w:val="00DB309B"/>
    <w:rsid w:val="00DB33B5"/>
    <w:rsid w:val="00DB568D"/>
    <w:rsid w:val="00DB5E50"/>
    <w:rsid w:val="00DC0E09"/>
    <w:rsid w:val="00DC2F45"/>
    <w:rsid w:val="00DC411C"/>
    <w:rsid w:val="00DC511E"/>
    <w:rsid w:val="00DC71BD"/>
    <w:rsid w:val="00DC7213"/>
    <w:rsid w:val="00DC7A12"/>
    <w:rsid w:val="00DC7D28"/>
    <w:rsid w:val="00DD0B3A"/>
    <w:rsid w:val="00DD143A"/>
    <w:rsid w:val="00DD1E89"/>
    <w:rsid w:val="00DD4E67"/>
    <w:rsid w:val="00DD5181"/>
    <w:rsid w:val="00DD5191"/>
    <w:rsid w:val="00DD52FF"/>
    <w:rsid w:val="00DD5D89"/>
    <w:rsid w:val="00DD69F0"/>
    <w:rsid w:val="00DE14E0"/>
    <w:rsid w:val="00DE1742"/>
    <w:rsid w:val="00DE607B"/>
    <w:rsid w:val="00DE6B96"/>
    <w:rsid w:val="00DE76F1"/>
    <w:rsid w:val="00DE7D53"/>
    <w:rsid w:val="00DF071D"/>
    <w:rsid w:val="00DF1566"/>
    <w:rsid w:val="00DF4D27"/>
    <w:rsid w:val="00E011E8"/>
    <w:rsid w:val="00E022D2"/>
    <w:rsid w:val="00E03782"/>
    <w:rsid w:val="00E04359"/>
    <w:rsid w:val="00E06C23"/>
    <w:rsid w:val="00E1389A"/>
    <w:rsid w:val="00E139AD"/>
    <w:rsid w:val="00E164EF"/>
    <w:rsid w:val="00E205B4"/>
    <w:rsid w:val="00E21FC2"/>
    <w:rsid w:val="00E22EC4"/>
    <w:rsid w:val="00E30B21"/>
    <w:rsid w:val="00E36419"/>
    <w:rsid w:val="00E3642B"/>
    <w:rsid w:val="00E42FEF"/>
    <w:rsid w:val="00E45021"/>
    <w:rsid w:val="00E46760"/>
    <w:rsid w:val="00E479CE"/>
    <w:rsid w:val="00E50BDE"/>
    <w:rsid w:val="00E50D08"/>
    <w:rsid w:val="00E51462"/>
    <w:rsid w:val="00E52393"/>
    <w:rsid w:val="00E5265E"/>
    <w:rsid w:val="00E52F3A"/>
    <w:rsid w:val="00E55749"/>
    <w:rsid w:val="00E55F5F"/>
    <w:rsid w:val="00E60072"/>
    <w:rsid w:val="00E62FD1"/>
    <w:rsid w:val="00E63726"/>
    <w:rsid w:val="00E712CA"/>
    <w:rsid w:val="00E7451E"/>
    <w:rsid w:val="00E75F1F"/>
    <w:rsid w:val="00E77C51"/>
    <w:rsid w:val="00E807BD"/>
    <w:rsid w:val="00E8154D"/>
    <w:rsid w:val="00E815E9"/>
    <w:rsid w:val="00E83460"/>
    <w:rsid w:val="00E85E8B"/>
    <w:rsid w:val="00E91C02"/>
    <w:rsid w:val="00E92E1E"/>
    <w:rsid w:val="00E93CCA"/>
    <w:rsid w:val="00E94B67"/>
    <w:rsid w:val="00EA138A"/>
    <w:rsid w:val="00EA19B2"/>
    <w:rsid w:val="00EA268F"/>
    <w:rsid w:val="00EA49E5"/>
    <w:rsid w:val="00EB0586"/>
    <w:rsid w:val="00EB4282"/>
    <w:rsid w:val="00EB4347"/>
    <w:rsid w:val="00EB7AEA"/>
    <w:rsid w:val="00EB7B39"/>
    <w:rsid w:val="00EC032A"/>
    <w:rsid w:val="00EC04F8"/>
    <w:rsid w:val="00EC0D01"/>
    <w:rsid w:val="00EC268F"/>
    <w:rsid w:val="00EC5A79"/>
    <w:rsid w:val="00EC6E80"/>
    <w:rsid w:val="00ED2E0E"/>
    <w:rsid w:val="00ED741E"/>
    <w:rsid w:val="00EE601A"/>
    <w:rsid w:val="00EE6437"/>
    <w:rsid w:val="00EF0761"/>
    <w:rsid w:val="00EF1A16"/>
    <w:rsid w:val="00EF3E2A"/>
    <w:rsid w:val="00EF4396"/>
    <w:rsid w:val="00F01268"/>
    <w:rsid w:val="00F024E1"/>
    <w:rsid w:val="00F057F3"/>
    <w:rsid w:val="00F15BBE"/>
    <w:rsid w:val="00F211A1"/>
    <w:rsid w:val="00F21C72"/>
    <w:rsid w:val="00F26906"/>
    <w:rsid w:val="00F27DDA"/>
    <w:rsid w:val="00F30BAB"/>
    <w:rsid w:val="00F35179"/>
    <w:rsid w:val="00F36B56"/>
    <w:rsid w:val="00F36EFB"/>
    <w:rsid w:val="00F41A13"/>
    <w:rsid w:val="00F42CA5"/>
    <w:rsid w:val="00F45DAA"/>
    <w:rsid w:val="00F46084"/>
    <w:rsid w:val="00F46B93"/>
    <w:rsid w:val="00F47DED"/>
    <w:rsid w:val="00F542D7"/>
    <w:rsid w:val="00F5721A"/>
    <w:rsid w:val="00F6068B"/>
    <w:rsid w:val="00F61145"/>
    <w:rsid w:val="00F62A81"/>
    <w:rsid w:val="00F6730A"/>
    <w:rsid w:val="00F83D71"/>
    <w:rsid w:val="00F84F38"/>
    <w:rsid w:val="00F85DCD"/>
    <w:rsid w:val="00F86FA2"/>
    <w:rsid w:val="00F926B8"/>
    <w:rsid w:val="00F95475"/>
    <w:rsid w:val="00F954BD"/>
    <w:rsid w:val="00FA05DA"/>
    <w:rsid w:val="00FA1E47"/>
    <w:rsid w:val="00FA4B09"/>
    <w:rsid w:val="00FA59ED"/>
    <w:rsid w:val="00FA61A4"/>
    <w:rsid w:val="00FB1D8B"/>
    <w:rsid w:val="00FB3EDD"/>
    <w:rsid w:val="00FB5368"/>
    <w:rsid w:val="00FC08D6"/>
    <w:rsid w:val="00FC13C0"/>
    <w:rsid w:val="00FC2082"/>
    <w:rsid w:val="00FC5333"/>
    <w:rsid w:val="00FC626A"/>
    <w:rsid w:val="00FC65A5"/>
    <w:rsid w:val="00FC6E36"/>
    <w:rsid w:val="00FC7657"/>
    <w:rsid w:val="00FC78F0"/>
    <w:rsid w:val="00FD3124"/>
    <w:rsid w:val="00FD3DED"/>
    <w:rsid w:val="00FD5080"/>
    <w:rsid w:val="00FD53E0"/>
    <w:rsid w:val="00FD78FC"/>
    <w:rsid w:val="00FE29E4"/>
    <w:rsid w:val="00FE3DCA"/>
    <w:rsid w:val="00FE473A"/>
    <w:rsid w:val="00FE7054"/>
    <w:rsid w:val="00FF07C8"/>
    <w:rsid w:val="00FF2C69"/>
    <w:rsid w:val="00FF3465"/>
    <w:rsid w:val="00FF3C80"/>
    <w:rsid w:val="00FF7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rsid w:val="009C2FEF"/>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character" w:customStyle="1" w:styleId="EndnoteTextChar">
    <w:name w:val="Endnote Text Char"/>
    <w:link w:val="EndnoteText"/>
    <w:semiHidden/>
    <w:rsid w:val="00A1199B"/>
    <w:rPr>
      <w:rFonts w:ascii="Book Antiqua" w:hAnsi="Book Antiqua"/>
      <w:sz w:val="24"/>
    </w:rPr>
  </w:style>
  <w:style w:type="character" w:customStyle="1" w:styleId="Heading4Char">
    <w:name w:val="Heading 4 Char"/>
    <w:link w:val="Heading4"/>
    <w:rsid w:val="00A1199B"/>
    <w:rPr>
      <w:rFonts w:ascii="Book Antiqua" w:hAnsi="Book Antiqua"/>
      <w:b/>
      <w:sz w:val="32"/>
      <w:u w:val="single"/>
    </w:rPr>
  </w:style>
  <w:style w:type="paragraph" w:styleId="TOC1">
    <w:name w:val="toc 1"/>
    <w:basedOn w:val="Normal"/>
    <w:next w:val="Normal"/>
    <w:autoRedefine/>
    <w:uiPriority w:val="39"/>
    <w:rsid w:val="00B97104"/>
    <w:pPr>
      <w:spacing w:before="360"/>
    </w:pPr>
    <w:rPr>
      <w:rFonts w:ascii="Cambria" w:hAnsi="Cambria"/>
      <w:b/>
      <w:bCs/>
      <w:caps/>
      <w:szCs w:val="24"/>
    </w:rPr>
  </w:style>
  <w:style w:type="paragraph" w:styleId="TOC2">
    <w:name w:val="toc 2"/>
    <w:basedOn w:val="Normal"/>
    <w:next w:val="Normal"/>
    <w:autoRedefine/>
    <w:rsid w:val="00B97104"/>
    <w:pPr>
      <w:spacing w:before="240"/>
    </w:pPr>
    <w:rPr>
      <w:rFonts w:ascii="Calibri" w:hAnsi="Calibri"/>
      <w:b/>
      <w:bCs/>
      <w:sz w:val="20"/>
    </w:rPr>
  </w:style>
  <w:style w:type="paragraph" w:styleId="TOC3">
    <w:name w:val="toc 3"/>
    <w:basedOn w:val="Normal"/>
    <w:next w:val="Normal"/>
    <w:autoRedefine/>
    <w:rsid w:val="00B97104"/>
    <w:pPr>
      <w:ind w:left="240"/>
    </w:pPr>
    <w:rPr>
      <w:rFonts w:ascii="Calibri" w:hAnsi="Calibri"/>
      <w:sz w:val="20"/>
    </w:rPr>
  </w:style>
  <w:style w:type="paragraph" w:styleId="TOC4">
    <w:name w:val="toc 4"/>
    <w:basedOn w:val="Normal"/>
    <w:next w:val="Normal"/>
    <w:autoRedefine/>
    <w:uiPriority w:val="39"/>
    <w:rsid w:val="00B97104"/>
    <w:pPr>
      <w:ind w:left="480"/>
    </w:pPr>
    <w:rPr>
      <w:rFonts w:ascii="Calibri" w:hAnsi="Calibri"/>
      <w:sz w:val="20"/>
    </w:rPr>
  </w:style>
  <w:style w:type="paragraph" w:styleId="TOC5">
    <w:name w:val="toc 5"/>
    <w:basedOn w:val="Normal"/>
    <w:next w:val="Normal"/>
    <w:autoRedefine/>
    <w:rsid w:val="00B97104"/>
    <w:pPr>
      <w:ind w:left="720"/>
    </w:pPr>
    <w:rPr>
      <w:rFonts w:ascii="Calibri" w:hAnsi="Calibri"/>
      <w:sz w:val="20"/>
    </w:rPr>
  </w:style>
  <w:style w:type="paragraph" w:styleId="TOC6">
    <w:name w:val="toc 6"/>
    <w:basedOn w:val="Normal"/>
    <w:next w:val="Normal"/>
    <w:autoRedefine/>
    <w:rsid w:val="00B97104"/>
    <w:pPr>
      <w:ind w:left="960"/>
    </w:pPr>
    <w:rPr>
      <w:rFonts w:ascii="Calibri" w:hAnsi="Calibri"/>
      <w:sz w:val="20"/>
    </w:rPr>
  </w:style>
  <w:style w:type="paragraph" w:styleId="TOC7">
    <w:name w:val="toc 7"/>
    <w:basedOn w:val="Normal"/>
    <w:next w:val="Normal"/>
    <w:autoRedefine/>
    <w:rsid w:val="00B97104"/>
    <w:pPr>
      <w:ind w:left="1200"/>
    </w:pPr>
    <w:rPr>
      <w:rFonts w:ascii="Calibri" w:hAnsi="Calibri"/>
      <w:sz w:val="20"/>
    </w:rPr>
  </w:style>
  <w:style w:type="paragraph" w:styleId="TOC8">
    <w:name w:val="toc 8"/>
    <w:basedOn w:val="Normal"/>
    <w:next w:val="Normal"/>
    <w:autoRedefine/>
    <w:rsid w:val="00B97104"/>
    <w:pPr>
      <w:ind w:left="1440"/>
    </w:pPr>
    <w:rPr>
      <w:rFonts w:ascii="Calibri" w:hAnsi="Calibri"/>
      <w:sz w:val="20"/>
    </w:rPr>
  </w:style>
  <w:style w:type="paragraph" w:styleId="TOC9">
    <w:name w:val="toc 9"/>
    <w:basedOn w:val="Normal"/>
    <w:next w:val="Normal"/>
    <w:autoRedefine/>
    <w:rsid w:val="00B97104"/>
    <w:pPr>
      <w:ind w:left="1680"/>
    </w:pPr>
    <w:rPr>
      <w:rFonts w:ascii="Calibri" w:hAnsi="Calibri"/>
      <w:sz w:val="20"/>
    </w:rPr>
  </w:style>
  <w:style w:type="character" w:styleId="Hyperlink">
    <w:name w:val="Hyperlink"/>
    <w:uiPriority w:val="99"/>
    <w:unhideWhenUsed/>
    <w:rsid w:val="00B97104"/>
    <w:rPr>
      <w:color w:val="0000FF"/>
      <w:u w:val="single"/>
    </w:rPr>
  </w:style>
  <w:style w:type="character" w:customStyle="1" w:styleId="FooterChar">
    <w:name w:val="Footer Char"/>
    <w:link w:val="Footer"/>
    <w:uiPriority w:val="99"/>
    <w:rsid w:val="00837ACD"/>
    <w:rPr>
      <w:rFonts w:ascii="Book Antiqua" w:hAnsi="Book Antiqua"/>
      <w:sz w:val="24"/>
    </w:rPr>
  </w:style>
  <w:style w:type="character" w:styleId="CommentReference">
    <w:name w:val="annotation reference"/>
    <w:basedOn w:val="DefaultParagraphFont"/>
    <w:rsid w:val="00721DD1"/>
    <w:rPr>
      <w:sz w:val="16"/>
      <w:szCs w:val="16"/>
    </w:rPr>
  </w:style>
  <w:style w:type="paragraph" w:styleId="CommentText">
    <w:name w:val="annotation text"/>
    <w:basedOn w:val="Normal"/>
    <w:link w:val="CommentTextChar"/>
    <w:rsid w:val="00721DD1"/>
    <w:rPr>
      <w:sz w:val="20"/>
    </w:rPr>
  </w:style>
  <w:style w:type="character" w:customStyle="1" w:styleId="CommentTextChar">
    <w:name w:val="Comment Text Char"/>
    <w:basedOn w:val="DefaultParagraphFont"/>
    <w:link w:val="CommentText"/>
    <w:rsid w:val="00721DD1"/>
    <w:rPr>
      <w:rFonts w:ascii="Book Antiqua" w:hAnsi="Book Antiqua"/>
    </w:rPr>
  </w:style>
  <w:style w:type="paragraph" w:styleId="CommentSubject">
    <w:name w:val="annotation subject"/>
    <w:basedOn w:val="CommentText"/>
    <w:next w:val="CommentText"/>
    <w:link w:val="CommentSubjectChar"/>
    <w:rsid w:val="00721DD1"/>
    <w:rPr>
      <w:b/>
      <w:bCs/>
    </w:rPr>
  </w:style>
  <w:style w:type="character" w:customStyle="1" w:styleId="CommentSubjectChar">
    <w:name w:val="Comment Subject Char"/>
    <w:basedOn w:val="CommentTextChar"/>
    <w:link w:val="CommentSubject"/>
    <w:rsid w:val="00721DD1"/>
    <w:rPr>
      <w:rFonts w:ascii="Book Antiqua" w:hAnsi="Book Antiqu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Book Antiqua" w:hAnsi="Book Antiqua"/>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3">
    <w:name w:val="heading 3"/>
    <w:basedOn w:val="Normal"/>
    <w:next w:val="Normal"/>
    <w:qFormat/>
    <w:rsid w:val="004F79E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tabs>
        <w:tab w:val="center" w:pos="4680"/>
      </w:tabs>
      <w:suppressAutoHyphens/>
      <w:jc w:val="center"/>
      <w:outlineLvl w:val="3"/>
    </w:pPr>
    <w:rPr>
      <w:b/>
      <w:sz w:val="32"/>
      <w:u w:val="single"/>
    </w:rPr>
  </w:style>
  <w:style w:type="paragraph" w:styleId="Heading8">
    <w:name w:val="heading 8"/>
    <w:basedOn w:val="Normal"/>
    <w:next w:val="Normal"/>
    <w:qFormat/>
    <w:pPr>
      <w:keepNext/>
      <w:suppressAutoHyphens/>
      <w:outlineLvl w:val="7"/>
    </w:pPr>
    <w:rPr>
      <w:b/>
      <w:sz w:val="36"/>
    </w:rPr>
  </w:style>
  <w:style w:type="paragraph" w:styleId="Heading9">
    <w:name w:val="heading 9"/>
    <w:basedOn w:val="Normal"/>
    <w:next w:val="Normal"/>
    <w:qFormat/>
    <w:pPr>
      <w:keepNext/>
      <w:tabs>
        <w:tab w:val="left" w:pos="-810"/>
        <w:tab w:val="center" w:pos="4680"/>
      </w:tabs>
      <w:suppressAutoHyphens/>
      <w:ind w:left="-810"/>
      <w:jc w:val="center"/>
      <w:outlineLvl w:val="8"/>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center" w:pos="4680"/>
      </w:tabs>
      <w:suppressAutoHyphens/>
      <w:jc w:val="center"/>
    </w:pPr>
    <w:rPr>
      <w:b/>
      <w:sz w:val="36"/>
    </w:rPr>
  </w:style>
  <w:style w:type="paragraph" w:styleId="EndnoteText">
    <w:name w:val="endnote text"/>
    <w:basedOn w:val="Normal"/>
    <w:link w:val="EndnoteTextChar"/>
    <w:semiHidden/>
  </w:style>
  <w:style w:type="character" w:styleId="FootnoteReference">
    <w:name w:val="footnote reference"/>
    <w:semiHidden/>
    <w:rPr>
      <w:vertAlign w:val="superscript"/>
    </w:rPr>
  </w:style>
  <w:style w:type="paragraph" w:styleId="BodyTextIndent2">
    <w:name w:val="Body Text Indent 2"/>
    <w:basedOn w:val="Normal"/>
    <w:pPr>
      <w:tabs>
        <w:tab w:val="left" w:pos="-1440"/>
        <w:tab w:val="left" w:pos="-720"/>
        <w:tab w:val="left" w:pos="576"/>
        <w:tab w:val="left" w:pos="1008"/>
      </w:tabs>
      <w:suppressAutoHyphens/>
      <w:ind w:left="576" w:hanging="36"/>
    </w:pPr>
  </w:style>
  <w:style w:type="character" w:styleId="PageNumber">
    <w:name w:val="page number"/>
    <w:basedOn w:val="DefaultParagraphFont"/>
    <w:rsid w:val="009C2FEF"/>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295927"/>
    <w:rPr>
      <w:sz w:val="20"/>
    </w:rPr>
  </w:style>
  <w:style w:type="paragraph" w:styleId="BodyTextIndent">
    <w:name w:val="Body Text Indent"/>
    <w:basedOn w:val="Normal"/>
    <w:rsid w:val="00344C6D"/>
    <w:pPr>
      <w:spacing w:after="120"/>
      <w:ind w:left="360"/>
    </w:pPr>
  </w:style>
  <w:style w:type="paragraph" w:styleId="Title">
    <w:name w:val="Title"/>
    <w:basedOn w:val="Normal"/>
    <w:qFormat/>
    <w:rsid w:val="001032C8"/>
    <w:pPr>
      <w:overflowPunct/>
      <w:autoSpaceDE/>
      <w:autoSpaceDN/>
      <w:adjustRightInd/>
      <w:jc w:val="center"/>
      <w:textAlignment w:val="auto"/>
    </w:pPr>
    <w:rPr>
      <w:rFonts w:ascii="Times New Roman" w:hAnsi="Times New Roman"/>
      <w:b/>
      <w:sz w:val="32"/>
      <w:u w:val="single"/>
    </w:rPr>
  </w:style>
  <w:style w:type="character" w:customStyle="1" w:styleId="EndnoteTextChar">
    <w:name w:val="Endnote Text Char"/>
    <w:link w:val="EndnoteText"/>
    <w:semiHidden/>
    <w:rsid w:val="00A1199B"/>
    <w:rPr>
      <w:rFonts w:ascii="Book Antiqua" w:hAnsi="Book Antiqua"/>
      <w:sz w:val="24"/>
    </w:rPr>
  </w:style>
  <w:style w:type="character" w:customStyle="1" w:styleId="Heading4Char">
    <w:name w:val="Heading 4 Char"/>
    <w:link w:val="Heading4"/>
    <w:rsid w:val="00A1199B"/>
    <w:rPr>
      <w:rFonts w:ascii="Book Antiqua" w:hAnsi="Book Antiqua"/>
      <w:b/>
      <w:sz w:val="32"/>
      <w:u w:val="single"/>
    </w:rPr>
  </w:style>
  <w:style w:type="paragraph" w:styleId="TOC1">
    <w:name w:val="toc 1"/>
    <w:basedOn w:val="Normal"/>
    <w:next w:val="Normal"/>
    <w:autoRedefine/>
    <w:uiPriority w:val="39"/>
    <w:rsid w:val="00B97104"/>
    <w:pPr>
      <w:spacing w:before="360"/>
    </w:pPr>
    <w:rPr>
      <w:rFonts w:ascii="Cambria" w:hAnsi="Cambria"/>
      <w:b/>
      <w:bCs/>
      <w:caps/>
      <w:szCs w:val="24"/>
    </w:rPr>
  </w:style>
  <w:style w:type="paragraph" w:styleId="TOC2">
    <w:name w:val="toc 2"/>
    <w:basedOn w:val="Normal"/>
    <w:next w:val="Normal"/>
    <w:autoRedefine/>
    <w:rsid w:val="00B97104"/>
    <w:pPr>
      <w:spacing w:before="240"/>
    </w:pPr>
    <w:rPr>
      <w:rFonts w:ascii="Calibri" w:hAnsi="Calibri"/>
      <w:b/>
      <w:bCs/>
      <w:sz w:val="20"/>
    </w:rPr>
  </w:style>
  <w:style w:type="paragraph" w:styleId="TOC3">
    <w:name w:val="toc 3"/>
    <w:basedOn w:val="Normal"/>
    <w:next w:val="Normal"/>
    <w:autoRedefine/>
    <w:rsid w:val="00B97104"/>
    <w:pPr>
      <w:ind w:left="240"/>
    </w:pPr>
    <w:rPr>
      <w:rFonts w:ascii="Calibri" w:hAnsi="Calibri"/>
      <w:sz w:val="20"/>
    </w:rPr>
  </w:style>
  <w:style w:type="paragraph" w:styleId="TOC4">
    <w:name w:val="toc 4"/>
    <w:basedOn w:val="Normal"/>
    <w:next w:val="Normal"/>
    <w:autoRedefine/>
    <w:uiPriority w:val="39"/>
    <w:rsid w:val="00B97104"/>
    <w:pPr>
      <w:ind w:left="480"/>
    </w:pPr>
    <w:rPr>
      <w:rFonts w:ascii="Calibri" w:hAnsi="Calibri"/>
      <w:sz w:val="20"/>
    </w:rPr>
  </w:style>
  <w:style w:type="paragraph" w:styleId="TOC5">
    <w:name w:val="toc 5"/>
    <w:basedOn w:val="Normal"/>
    <w:next w:val="Normal"/>
    <w:autoRedefine/>
    <w:rsid w:val="00B97104"/>
    <w:pPr>
      <w:ind w:left="720"/>
    </w:pPr>
    <w:rPr>
      <w:rFonts w:ascii="Calibri" w:hAnsi="Calibri"/>
      <w:sz w:val="20"/>
    </w:rPr>
  </w:style>
  <w:style w:type="paragraph" w:styleId="TOC6">
    <w:name w:val="toc 6"/>
    <w:basedOn w:val="Normal"/>
    <w:next w:val="Normal"/>
    <w:autoRedefine/>
    <w:rsid w:val="00B97104"/>
    <w:pPr>
      <w:ind w:left="960"/>
    </w:pPr>
    <w:rPr>
      <w:rFonts w:ascii="Calibri" w:hAnsi="Calibri"/>
      <w:sz w:val="20"/>
    </w:rPr>
  </w:style>
  <w:style w:type="paragraph" w:styleId="TOC7">
    <w:name w:val="toc 7"/>
    <w:basedOn w:val="Normal"/>
    <w:next w:val="Normal"/>
    <w:autoRedefine/>
    <w:rsid w:val="00B97104"/>
    <w:pPr>
      <w:ind w:left="1200"/>
    </w:pPr>
    <w:rPr>
      <w:rFonts w:ascii="Calibri" w:hAnsi="Calibri"/>
      <w:sz w:val="20"/>
    </w:rPr>
  </w:style>
  <w:style w:type="paragraph" w:styleId="TOC8">
    <w:name w:val="toc 8"/>
    <w:basedOn w:val="Normal"/>
    <w:next w:val="Normal"/>
    <w:autoRedefine/>
    <w:rsid w:val="00B97104"/>
    <w:pPr>
      <w:ind w:left="1440"/>
    </w:pPr>
    <w:rPr>
      <w:rFonts w:ascii="Calibri" w:hAnsi="Calibri"/>
      <w:sz w:val="20"/>
    </w:rPr>
  </w:style>
  <w:style w:type="paragraph" w:styleId="TOC9">
    <w:name w:val="toc 9"/>
    <w:basedOn w:val="Normal"/>
    <w:next w:val="Normal"/>
    <w:autoRedefine/>
    <w:rsid w:val="00B97104"/>
    <w:pPr>
      <w:ind w:left="1680"/>
    </w:pPr>
    <w:rPr>
      <w:rFonts w:ascii="Calibri" w:hAnsi="Calibri"/>
      <w:sz w:val="20"/>
    </w:rPr>
  </w:style>
  <w:style w:type="character" w:styleId="Hyperlink">
    <w:name w:val="Hyperlink"/>
    <w:uiPriority w:val="99"/>
    <w:unhideWhenUsed/>
    <w:rsid w:val="00B97104"/>
    <w:rPr>
      <w:color w:val="0000FF"/>
      <w:u w:val="single"/>
    </w:rPr>
  </w:style>
  <w:style w:type="character" w:customStyle="1" w:styleId="FooterChar">
    <w:name w:val="Footer Char"/>
    <w:link w:val="Footer"/>
    <w:uiPriority w:val="99"/>
    <w:rsid w:val="00837ACD"/>
    <w:rPr>
      <w:rFonts w:ascii="Book Antiqua" w:hAnsi="Book Antiqua"/>
      <w:sz w:val="24"/>
    </w:rPr>
  </w:style>
  <w:style w:type="character" w:styleId="CommentReference">
    <w:name w:val="annotation reference"/>
    <w:basedOn w:val="DefaultParagraphFont"/>
    <w:rsid w:val="00721DD1"/>
    <w:rPr>
      <w:sz w:val="16"/>
      <w:szCs w:val="16"/>
    </w:rPr>
  </w:style>
  <w:style w:type="paragraph" w:styleId="CommentText">
    <w:name w:val="annotation text"/>
    <w:basedOn w:val="Normal"/>
    <w:link w:val="CommentTextChar"/>
    <w:rsid w:val="00721DD1"/>
    <w:rPr>
      <w:sz w:val="20"/>
    </w:rPr>
  </w:style>
  <w:style w:type="character" w:customStyle="1" w:styleId="CommentTextChar">
    <w:name w:val="Comment Text Char"/>
    <w:basedOn w:val="DefaultParagraphFont"/>
    <w:link w:val="CommentText"/>
    <w:rsid w:val="00721DD1"/>
    <w:rPr>
      <w:rFonts w:ascii="Book Antiqua" w:hAnsi="Book Antiqua"/>
    </w:rPr>
  </w:style>
  <w:style w:type="paragraph" w:styleId="CommentSubject">
    <w:name w:val="annotation subject"/>
    <w:basedOn w:val="CommentText"/>
    <w:next w:val="CommentText"/>
    <w:link w:val="CommentSubjectChar"/>
    <w:rsid w:val="00721DD1"/>
    <w:rPr>
      <w:b/>
      <w:bCs/>
    </w:rPr>
  </w:style>
  <w:style w:type="character" w:customStyle="1" w:styleId="CommentSubjectChar">
    <w:name w:val="Comment Subject Char"/>
    <w:basedOn w:val="CommentTextChar"/>
    <w:link w:val="CommentSubject"/>
    <w:rsid w:val="00721DD1"/>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5843">
      <w:bodyDiv w:val="1"/>
      <w:marLeft w:val="0"/>
      <w:marRight w:val="0"/>
      <w:marTop w:val="0"/>
      <w:marBottom w:val="0"/>
      <w:divBdr>
        <w:top w:val="none" w:sz="0" w:space="0" w:color="auto"/>
        <w:left w:val="none" w:sz="0" w:space="0" w:color="auto"/>
        <w:bottom w:val="none" w:sz="0" w:space="0" w:color="auto"/>
        <w:right w:val="none" w:sz="0" w:space="0" w:color="auto"/>
      </w:divBdr>
    </w:div>
    <w:div w:id="262689349">
      <w:bodyDiv w:val="1"/>
      <w:marLeft w:val="0"/>
      <w:marRight w:val="0"/>
      <w:marTop w:val="0"/>
      <w:marBottom w:val="0"/>
      <w:divBdr>
        <w:top w:val="none" w:sz="0" w:space="0" w:color="auto"/>
        <w:left w:val="none" w:sz="0" w:space="0" w:color="auto"/>
        <w:bottom w:val="none" w:sz="0" w:space="0" w:color="auto"/>
        <w:right w:val="none" w:sz="0" w:space="0" w:color="auto"/>
      </w:divBdr>
    </w:div>
    <w:div w:id="398089744">
      <w:bodyDiv w:val="1"/>
      <w:marLeft w:val="0"/>
      <w:marRight w:val="0"/>
      <w:marTop w:val="0"/>
      <w:marBottom w:val="0"/>
      <w:divBdr>
        <w:top w:val="none" w:sz="0" w:space="0" w:color="auto"/>
        <w:left w:val="none" w:sz="0" w:space="0" w:color="auto"/>
        <w:bottom w:val="none" w:sz="0" w:space="0" w:color="auto"/>
        <w:right w:val="none" w:sz="0" w:space="0" w:color="auto"/>
      </w:divBdr>
    </w:div>
    <w:div w:id="536743879">
      <w:bodyDiv w:val="1"/>
      <w:marLeft w:val="0"/>
      <w:marRight w:val="0"/>
      <w:marTop w:val="0"/>
      <w:marBottom w:val="0"/>
      <w:divBdr>
        <w:top w:val="none" w:sz="0" w:space="0" w:color="auto"/>
        <w:left w:val="none" w:sz="0" w:space="0" w:color="auto"/>
        <w:bottom w:val="none" w:sz="0" w:space="0" w:color="auto"/>
        <w:right w:val="none" w:sz="0" w:space="0" w:color="auto"/>
      </w:divBdr>
    </w:div>
    <w:div w:id="616374176">
      <w:bodyDiv w:val="1"/>
      <w:marLeft w:val="0"/>
      <w:marRight w:val="0"/>
      <w:marTop w:val="0"/>
      <w:marBottom w:val="0"/>
      <w:divBdr>
        <w:top w:val="none" w:sz="0" w:space="0" w:color="auto"/>
        <w:left w:val="none" w:sz="0" w:space="0" w:color="auto"/>
        <w:bottom w:val="none" w:sz="0" w:space="0" w:color="auto"/>
        <w:right w:val="none" w:sz="0" w:space="0" w:color="auto"/>
      </w:divBdr>
    </w:div>
    <w:div w:id="727269508">
      <w:bodyDiv w:val="1"/>
      <w:marLeft w:val="0"/>
      <w:marRight w:val="0"/>
      <w:marTop w:val="0"/>
      <w:marBottom w:val="0"/>
      <w:divBdr>
        <w:top w:val="none" w:sz="0" w:space="0" w:color="auto"/>
        <w:left w:val="none" w:sz="0" w:space="0" w:color="auto"/>
        <w:bottom w:val="none" w:sz="0" w:space="0" w:color="auto"/>
        <w:right w:val="none" w:sz="0" w:space="0" w:color="auto"/>
      </w:divBdr>
    </w:div>
    <w:div w:id="1046296128">
      <w:bodyDiv w:val="1"/>
      <w:marLeft w:val="0"/>
      <w:marRight w:val="0"/>
      <w:marTop w:val="0"/>
      <w:marBottom w:val="0"/>
      <w:divBdr>
        <w:top w:val="none" w:sz="0" w:space="0" w:color="auto"/>
        <w:left w:val="none" w:sz="0" w:space="0" w:color="auto"/>
        <w:bottom w:val="none" w:sz="0" w:space="0" w:color="auto"/>
        <w:right w:val="none" w:sz="0" w:space="0" w:color="auto"/>
      </w:divBdr>
    </w:div>
    <w:div w:id="1087505918">
      <w:bodyDiv w:val="1"/>
      <w:marLeft w:val="0"/>
      <w:marRight w:val="0"/>
      <w:marTop w:val="0"/>
      <w:marBottom w:val="0"/>
      <w:divBdr>
        <w:top w:val="none" w:sz="0" w:space="0" w:color="auto"/>
        <w:left w:val="none" w:sz="0" w:space="0" w:color="auto"/>
        <w:bottom w:val="none" w:sz="0" w:space="0" w:color="auto"/>
        <w:right w:val="none" w:sz="0" w:space="0" w:color="auto"/>
      </w:divBdr>
    </w:div>
    <w:div w:id="1109163140">
      <w:bodyDiv w:val="1"/>
      <w:marLeft w:val="0"/>
      <w:marRight w:val="0"/>
      <w:marTop w:val="0"/>
      <w:marBottom w:val="0"/>
      <w:divBdr>
        <w:top w:val="none" w:sz="0" w:space="0" w:color="auto"/>
        <w:left w:val="none" w:sz="0" w:space="0" w:color="auto"/>
        <w:bottom w:val="none" w:sz="0" w:space="0" w:color="auto"/>
        <w:right w:val="none" w:sz="0" w:space="0" w:color="auto"/>
      </w:divBdr>
    </w:div>
    <w:div w:id="1264846520">
      <w:bodyDiv w:val="1"/>
      <w:marLeft w:val="0"/>
      <w:marRight w:val="0"/>
      <w:marTop w:val="0"/>
      <w:marBottom w:val="0"/>
      <w:divBdr>
        <w:top w:val="none" w:sz="0" w:space="0" w:color="auto"/>
        <w:left w:val="none" w:sz="0" w:space="0" w:color="auto"/>
        <w:bottom w:val="none" w:sz="0" w:space="0" w:color="auto"/>
        <w:right w:val="none" w:sz="0" w:space="0" w:color="auto"/>
      </w:divBdr>
    </w:div>
    <w:div w:id="1281961056">
      <w:bodyDiv w:val="1"/>
      <w:marLeft w:val="0"/>
      <w:marRight w:val="0"/>
      <w:marTop w:val="0"/>
      <w:marBottom w:val="0"/>
      <w:divBdr>
        <w:top w:val="none" w:sz="0" w:space="0" w:color="auto"/>
        <w:left w:val="none" w:sz="0" w:space="0" w:color="auto"/>
        <w:bottom w:val="none" w:sz="0" w:space="0" w:color="auto"/>
        <w:right w:val="none" w:sz="0" w:space="0" w:color="auto"/>
      </w:divBdr>
    </w:div>
    <w:div w:id="1337071901">
      <w:bodyDiv w:val="1"/>
      <w:marLeft w:val="0"/>
      <w:marRight w:val="0"/>
      <w:marTop w:val="0"/>
      <w:marBottom w:val="0"/>
      <w:divBdr>
        <w:top w:val="none" w:sz="0" w:space="0" w:color="auto"/>
        <w:left w:val="none" w:sz="0" w:space="0" w:color="auto"/>
        <w:bottom w:val="none" w:sz="0" w:space="0" w:color="auto"/>
        <w:right w:val="none" w:sz="0" w:space="0" w:color="auto"/>
      </w:divBdr>
    </w:div>
    <w:div w:id="1397436909">
      <w:bodyDiv w:val="1"/>
      <w:marLeft w:val="0"/>
      <w:marRight w:val="0"/>
      <w:marTop w:val="0"/>
      <w:marBottom w:val="0"/>
      <w:divBdr>
        <w:top w:val="none" w:sz="0" w:space="0" w:color="auto"/>
        <w:left w:val="none" w:sz="0" w:space="0" w:color="auto"/>
        <w:bottom w:val="none" w:sz="0" w:space="0" w:color="auto"/>
        <w:right w:val="none" w:sz="0" w:space="0" w:color="auto"/>
      </w:divBdr>
    </w:div>
    <w:div w:id="1508322406">
      <w:bodyDiv w:val="1"/>
      <w:marLeft w:val="0"/>
      <w:marRight w:val="0"/>
      <w:marTop w:val="0"/>
      <w:marBottom w:val="0"/>
      <w:divBdr>
        <w:top w:val="none" w:sz="0" w:space="0" w:color="auto"/>
        <w:left w:val="none" w:sz="0" w:space="0" w:color="auto"/>
        <w:bottom w:val="none" w:sz="0" w:space="0" w:color="auto"/>
        <w:right w:val="none" w:sz="0" w:space="0" w:color="auto"/>
      </w:divBdr>
    </w:div>
    <w:div w:id="1820800725">
      <w:bodyDiv w:val="1"/>
      <w:marLeft w:val="0"/>
      <w:marRight w:val="0"/>
      <w:marTop w:val="0"/>
      <w:marBottom w:val="0"/>
      <w:divBdr>
        <w:top w:val="none" w:sz="0" w:space="0" w:color="auto"/>
        <w:left w:val="none" w:sz="0" w:space="0" w:color="auto"/>
        <w:bottom w:val="none" w:sz="0" w:space="0" w:color="auto"/>
        <w:right w:val="none" w:sz="0" w:space="0" w:color="auto"/>
      </w:divBdr>
    </w:div>
    <w:div w:id="194622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7.xml"/><Relationship Id="rId42" Type="http://schemas.openxmlformats.org/officeDocument/2006/relationships/header" Target="header23.xml"/><Relationship Id="rId47" Type="http://schemas.openxmlformats.org/officeDocument/2006/relationships/header" Target="header26.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0.xml"/><Relationship Id="rId46" Type="http://schemas.openxmlformats.org/officeDocument/2006/relationships/header" Target="header2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3.xml"/><Relationship Id="rId41"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png"/><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7.xml"/><Relationship Id="rId44" Type="http://schemas.openxmlformats.org/officeDocument/2006/relationships/header" Target="header2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6.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oter" Target="footer10.xml"/><Relationship Id="rId48" Type="http://schemas.openxmlformats.org/officeDocument/2006/relationships/header" Target="header27.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A09BB-3A06-4ACE-9B95-035339AB3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PPL CTC - 2005</vt:lpstr>
    </vt:vector>
  </TitlesOfParts>
  <Company>Pa Public Utility Commission</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PPL CTC - 2005</dc:title>
  <dc:subject/>
  <dc:creator>J  Hess</dc:creator>
  <cp:keywords/>
  <cp:lastModifiedBy>Schwab, Thomas</cp:lastModifiedBy>
  <cp:revision>16</cp:revision>
  <cp:lastPrinted>2016-11-10T20:37:00Z</cp:lastPrinted>
  <dcterms:created xsi:type="dcterms:W3CDTF">2016-11-15T16:20:00Z</dcterms:created>
  <dcterms:modified xsi:type="dcterms:W3CDTF">2016-12-02T15:49:00Z</dcterms:modified>
</cp:coreProperties>
</file>