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04" w:rsidRPr="007A0A04" w:rsidRDefault="007A0A04" w:rsidP="007A0A04">
      <w:pPr>
        <w:tabs>
          <w:tab w:val="clear" w:pos="1440"/>
        </w:tabs>
        <w:spacing w:before="0" w:after="0" w:line="232" w:lineRule="auto"/>
        <w:jc w:val="center"/>
        <w:rPr>
          <w:b/>
        </w:rPr>
      </w:pPr>
      <w:r w:rsidRPr="007A0A04">
        <w:rPr>
          <w:b/>
        </w:rPr>
        <w:t>BEFORE THE</w:t>
      </w: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32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7A0A04">
            <w:rPr>
              <w:b/>
            </w:rPr>
            <w:t>PENNSYLVANIA</w:t>
          </w:r>
        </w:smartTag>
      </w:smartTag>
      <w:r w:rsidRPr="007A0A04">
        <w:rPr>
          <w:b/>
        </w:rPr>
        <w:t xml:space="preserve"> PUBLIC UTILITY COMMISSION</w:t>
      </w: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32" w:lineRule="auto"/>
        <w:jc w:val="both"/>
        <w:rPr>
          <w:b/>
        </w:rPr>
      </w:pP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32" w:lineRule="auto"/>
        <w:jc w:val="both"/>
        <w:rPr>
          <w:b/>
        </w:rPr>
      </w:pP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32" w:lineRule="auto"/>
        <w:jc w:val="both"/>
        <w:rPr>
          <w:b/>
        </w:rPr>
      </w:pP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32" w:lineRule="auto"/>
        <w:jc w:val="both"/>
        <w:rPr>
          <w:b/>
        </w:rPr>
      </w:pPr>
      <w:r w:rsidRPr="007A0A04">
        <w:t>Charles and Patricia Spackman</w:t>
      </w:r>
      <w:r w:rsidRPr="007A0A04">
        <w:tab/>
      </w:r>
      <w:r w:rsidRPr="007A0A04">
        <w:tab/>
      </w:r>
      <w:r w:rsidRPr="007A0A04">
        <w:tab/>
        <w:t>:</w:t>
      </w: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32" w:lineRule="auto"/>
        <w:jc w:val="both"/>
      </w:pPr>
      <w:r w:rsidRPr="007A0A04">
        <w:rPr>
          <w:b/>
        </w:rPr>
        <w:tab/>
      </w:r>
      <w:r w:rsidRPr="007A0A04">
        <w:rPr>
          <w:b/>
        </w:rPr>
        <w:tab/>
      </w:r>
      <w:r w:rsidRPr="007A0A04">
        <w:rPr>
          <w:b/>
        </w:rPr>
        <w:tab/>
      </w:r>
      <w:r w:rsidRPr="007A0A04">
        <w:rPr>
          <w:b/>
        </w:rPr>
        <w:tab/>
      </w:r>
      <w:r w:rsidRPr="007A0A04">
        <w:rPr>
          <w:b/>
        </w:rPr>
        <w:tab/>
      </w:r>
      <w:r w:rsidRPr="007A0A04">
        <w:rPr>
          <w:b/>
        </w:rPr>
        <w:tab/>
      </w:r>
      <w:r w:rsidRPr="007A0A04">
        <w:rPr>
          <w:b/>
        </w:rPr>
        <w:tab/>
      </w:r>
      <w:r w:rsidRPr="007A0A04">
        <w:t>:</w:t>
      </w: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32" w:lineRule="auto"/>
        <w:jc w:val="both"/>
      </w:pPr>
      <w:r w:rsidRPr="007A0A04">
        <w:tab/>
        <w:t>v.</w:t>
      </w:r>
      <w:r w:rsidRPr="007A0A04">
        <w:tab/>
      </w:r>
      <w:r w:rsidRPr="007A0A04">
        <w:tab/>
      </w:r>
      <w:r w:rsidRPr="007A0A04">
        <w:tab/>
      </w:r>
      <w:r w:rsidRPr="007A0A04">
        <w:tab/>
      </w:r>
      <w:r w:rsidRPr="007A0A04">
        <w:tab/>
      </w:r>
      <w:r w:rsidRPr="007A0A04">
        <w:tab/>
        <w:t>:</w:t>
      </w:r>
      <w:r w:rsidRPr="007A0A04">
        <w:rPr>
          <w:b/>
        </w:rPr>
        <w:tab/>
      </w:r>
      <w:r w:rsidRPr="007A0A04">
        <w:rPr>
          <w:b/>
        </w:rPr>
        <w:tab/>
      </w:r>
      <w:r w:rsidRPr="007A0A04">
        <w:t>C-2016-2570739</w:t>
      </w: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32" w:lineRule="auto"/>
        <w:jc w:val="both"/>
      </w:pPr>
      <w:r w:rsidRPr="007A0A04">
        <w:tab/>
      </w:r>
      <w:r w:rsidRPr="007A0A04">
        <w:tab/>
      </w:r>
      <w:r w:rsidRPr="007A0A04">
        <w:tab/>
      </w:r>
      <w:r w:rsidRPr="007A0A04">
        <w:tab/>
      </w:r>
      <w:r w:rsidRPr="007A0A04">
        <w:tab/>
      </w:r>
      <w:r w:rsidRPr="007A0A04">
        <w:tab/>
      </w:r>
      <w:r w:rsidRPr="007A0A04">
        <w:tab/>
        <w:t>:</w:t>
      </w: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/>
        <w:jc w:val="both"/>
      </w:pPr>
      <w:r w:rsidRPr="007A0A04">
        <w:t>PECO Energy Company</w:t>
      </w:r>
      <w:r w:rsidRPr="007A0A04">
        <w:tab/>
      </w:r>
      <w:r w:rsidRPr="007A0A04">
        <w:tab/>
      </w:r>
      <w:r w:rsidRPr="007A0A04">
        <w:tab/>
      </w:r>
      <w:r w:rsidRPr="007A0A04">
        <w:tab/>
        <w:t>:</w:t>
      </w:r>
    </w:p>
    <w:p w:rsidR="00792796" w:rsidRDefault="00792796" w:rsidP="007A0A04">
      <w:pPr>
        <w:spacing w:before="0" w:after="0"/>
      </w:pPr>
    </w:p>
    <w:p w:rsidR="002B5EE1" w:rsidRDefault="002B5EE1" w:rsidP="007A0A04">
      <w:pPr>
        <w:spacing w:before="0" w:after="0"/>
      </w:pPr>
    </w:p>
    <w:p w:rsidR="002B5EE1" w:rsidRPr="00741EE3" w:rsidRDefault="002B5EE1" w:rsidP="00A42F6B">
      <w:pPr>
        <w:spacing w:before="0" w:after="0" w:line="240" w:lineRule="auto"/>
        <w:jc w:val="center"/>
        <w:rPr>
          <w:b/>
        </w:rPr>
      </w:pPr>
      <w:r w:rsidRPr="00741EE3">
        <w:rPr>
          <w:b/>
        </w:rPr>
        <w:t>INTERIM ORDER</w:t>
      </w:r>
    </w:p>
    <w:p w:rsidR="002B5EE1" w:rsidRDefault="002B5EE1" w:rsidP="00A42F6B">
      <w:pPr>
        <w:spacing w:before="0" w:after="0" w:line="240" w:lineRule="auto"/>
        <w:jc w:val="center"/>
        <w:rPr>
          <w:b/>
          <w:u w:val="single"/>
        </w:rPr>
      </w:pPr>
      <w:r w:rsidRPr="00741EE3">
        <w:rPr>
          <w:b/>
          <w:u w:val="single"/>
        </w:rPr>
        <w:t>DENYING REQUEST FOR AN IN-PERSON HEARING</w:t>
      </w:r>
    </w:p>
    <w:p w:rsidR="007A0A04" w:rsidRPr="00741EE3" w:rsidRDefault="007A0A04" w:rsidP="007A0A04">
      <w:pPr>
        <w:spacing w:before="0" w:after="0"/>
        <w:jc w:val="center"/>
        <w:rPr>
          <w:b/>
          <w:u w:val="single"/>
        </w:rPr>
      </w:pPr>
    </w:p>
    <w:p w:rsidR="002B5EE1" w:rsidRDefault="002B5EE1" w:rsidP="007A0A04">
      <w:pPr>
        <w:spacing w:before="0" w:after="0"/>
      </w:pPr>
      <w:r>
        <w:tab/>
        <w:t>On September 26, 2016, Charles and Patricia Spackman (Complainants) filed a formal complaint against PECO Energy Company (PECO), alleging a “reliability, safety or quality problem” with their utility service.  Specifically, they allege that</w:t>
      </w:r>
      <w:r w:rsidR="005B3BFA">
        <w:t xml:space="preserve"> on July 4, 2016, </w:t>
      </w:r>
      <w:r>
        <w:t>a break in the neutral of the electric circuit</w:t>
      </w:r>
      <w:r w:rsidR="005D002B">
        <w:t>,</w:t>
      </w:r>
      <w:r>
        <w:t xml:space="preserve"> which supplies their home</w:t>
      </w:r>
      <w:r w:rsidR="005D002B">
        <w:t>,</w:t>
      </w:r>
      <w:r>
        <w:t xml:space="preserve"> caused an arc-fault circuit breaker to ignite resulting in a voltage surge, damaging their appliances and other equipment.</w:t>
      </w:r>
      <w:r w:rsidR="003327FB">
        <w:t xml:space="preserve">  </w:t>
      </w:r>
      <w:r>
        <w:t>Complainants also allege that since the power line serving their home was spliced and extended that their power supply has been unreliable.</w:t>
      </w:r>
    </w:p>
    <w:p w:rsidR="007A0A04" w:rsidRDefault="007A0A04" w:rsidP="007A0A04">
      <w:pPr>
        <w:spacing w:before="0" w:after="0"/>
      </w:pPr>
    </w:p>
    <w:p w:rsidR="002B5EE1" w:rsidRDefault="002B5EE1" w:rsidP="007A0A04">
      <w:pPr>
        <w:spacing w:before="0" w:after="0"/>
      </w:pPr>
      <w:r>
        <w:tab/>
        <w:t xml:space="preserve">PECO filed an answer on October 31, 2016.  In its answer, PECO maintains that the power surge </w:t>
      </w:r>
      <w:r w:rsidR="00010AA2">
        <w:t xml:space="preserve">on July 4, 2016, </w:t>
      </w:r>
      <w:r w:rsidR="00434FA8">
        <w:t>was not a result of</w:t>
      </w:r>
      <w:r>
        <w:t xml:space="preserve"> PECO’s failure to reasonably maintain its equipment and facilities.</w:t>
      </w:r>
      <w:r w:rsidR="00010AA2">
        <w:t xml:space="preserve">  PECO further avers that it is not required to provide perfect service and that the service it has rendered to Complainants has been reasonable.</w:t>
      </w:r>
    </w:p>
    <w:p w:rsidR="007A0A04" w:rsidRDefault="007A0A04" w:rsidP="007A0A04">
      <w:pPr>
        <w:spacing w:before="0" w:after="0"/>
      </w:pPr>
    </w:p>
    <w:p w:rsidR="00010AA2" w:rsidRDefault="00010AA2" w:rsidP="007A0A04">
      <w:pPr>
        <w:spacing w:before="0" w:after="0"/>
      </w:pPr>
      <w:r>
        <w:tab/>
        <w:t>By hearing notice dated November 15, 2016, this complaint was assigned to me and scheduled for a telephonic hearing on Friday, January 13, 2017.  A prehearing order setting forth the basic procedures for Commission hearings was sent to the parties on November 29, 2016.</w:t>
      </w:r>
    </w:p>
    <w:p w:rsidR="007A0A04" w:rsidRDefault="007A0A04" w:rsidP="007A0A04">
      <w:pPr>
        <w:spacing w:before="0" w:after="0"/>
      </w:pPr>
    </w:p>
    <w:p w:rsidR="00010AA2" w:rsidRDefault="00010AA2" w:rsidP="007A0A04">
      <w:pPr>
        <w:spacing w:before="0" w:after="0"/>
      </w:pPr>
      <w:r>
        <w:tab/>
        <w:t xml:space="preserve">On December 12, 2016, PECO filed a motion requesting an in person hearing.  PECO contends that it intends to present the testimony of several witnesses, including a voltage </w:t>
      </w:r>
      <w:r>
        <w:lastRenderedPageBreak/>
        <w:t>engineer, a reliability engineer and a claims manager.  PECO states that its exhibits will contain “data in the form of voltage graphs.”</w:t>
      </w:r>
      <w:r w:rsidR="00FE2517">
        <w:t xml:space="preserve">  Accordingly, in view of the technical nature of the testimony, PECO believes that an in-person hearing is necessary.  By letter dated December 22, 2016, PECO further reports that Complainants sent </w:t>
      </w:r>
      <w:r w:rsidR="00A42F6B">
        <w:t>it</w:t>
      </w:r>
      <w:r w:rsidR="00FE2517">
        <w:t xml:space="preserve"> an email </w:t>
      </w:r>
      <w:proofErr w:type="gramStart"/>
      <w:r w:rsidR="00FE2517">
        <w:t>stating that</w:t>
      </w:r>
      <w:proofErr w:type="gramEnd"/>
      <w:r w:rsidR="00FE2517">
        <w:t xml:space="preserve"> “an in person hearing is acceptable.”</w:t>
      </w:r>
    </w:p>
    <w:p w:rsidR="007A0A04" w:rsidRDefault="00FE2517" w:rsidP="007A0A04">
      <w:pPr>
        <w:spacing w:before="0" w:after="0"/>
      </w:pPr>
      <w:r>
        <w:tab/>
      </w:r>
    </w:p>
    <w:p w:rsidR="00FE2517" w:rsidRDefault="007A0A04" w:rsidP="007A0A04">
      <w:pPr>
        <w:spacing w:before="0" w:after="0"/>
      </w:pPr>
      <w:r>
        <w:tab/>
      </w:r>
      <w:r w:rsidR="00FE2517">
        <w:t>PECO’s motion will be denied.  First, it is a routine matter for administrative law judges to conduct hearings involving technical matters by telephone.</w:t>
      </w:r>
      <w:r w:rsidR="002C4D1A">
        <w:t xml:space="preserve">  Nothing in my review </w:t>
      </w:r>
      <w:r w:rsidR="00434FA8">
        <w:t>of the</w:t>
      </w:r>
      <w:r w:rsidR="002C4D1A">
        <w:t xml:space="preserve"> allegations of the complaint </w:t>
      </w:r>
      <w:r w:rsidR="00635F3C">
        <w:t>or</w:t>
      </w:r>
      <w:r w:rsidR="002C4D1A">
        <w:t xml:space="preserve"> PECO’s answer </w:t>
      </w:r>
      <w:r w:rsidR="00635F3C">
        <w:t>suggests</w:t>
      </w:r>
      <w:r w:rsidR="002C4D1A">
        <w:t xml:space="preserve"> that the technical matters implicated are more complicated </w:t>
      </w:r>
      <w:proofErr w:type="gramStart"/>
      <w:r w:rsidR="002C4D1A">
        <w:t>than those</w:t>
      </w:r>
      <w:proofErr w:type="gramEnd"/>
      <w:r w:rsidR="00635F3C">
        <w:t xml:space="preserve"> typically implicated</w:t>
      </w:r>
      <w:r w:rsidR="002C4D1A">
        <w:t xml:space="preserve"> in other reliability and safety complaints</w:t>
      </w:r>
      <w:r w:rsidR="001F596F">
        <w:t>,</w:t>
      </w:r>
      <w:r w:rsidR="00635F3C">
        <w:t xml:space="preserve"> which have been effectively presented by telephone in other cases.</w:t>
      </w:r>
      <w:r w:rsidR="00FE2517">
        <w:t xml:space="preserve">  PECO did not include any copies of the exhibits</w:t>
      </w:r>
      <w:r w:rsidR="001F596F">
        <w:t>,</w:t>
      </w:r>
      <w:r w:rsidR="00FE2517">
        <w:t xml:space="preserve"> which it believes are too complicated to present by telephon</w:t>
      </w:r>
      <w:r w:rsidR="00A42F6B">
        <w:t>e</w:t>
      </w:r>
      <w:r w:rsidR="00FE2517">
        <w:t xml:space="preserve">.  Indeed, it is my personal experience that expert witness testimony </w:t>
      </w:r>
      <w:bookmarkStart w:id="0" w:name="_GoBack"/>
      <w:bookmarkEnd w:id="0"/>
      <w:r w:rsidR="00FE2517">
        <w:t xml:space="preserve">can be very effective if offered by telephone because the witness is required to provide clearly worded explanations of </w:t>
      </w:r>
      <w:r w:rsidR="00D741D4">
        <w:t xml:space="preserve">the technical details rendered in </w:t>
      </w:r>
      <w:r w:rsidR="00FE2517">
        <w:t>exhibits rather than relying on visual cues.</w:t>
      </w:r>
    </w:p>
    <w:p w:rsidR="007A0A04" w:rsidRDefault="00DB60B8" w:rsidP="007A0A04">
      <w:pPr>
        <w:spacing w:before="0" w:after="0"/>
      </w:pPr>
      <w:r>
        <w:tab/>
      </w:r>
    </w:p>
    <w:p w:rsidR="00DB60B8" w:rsidRDefault="007A0A04" w:rsidP="007A0A04">
      <w:pPr>
        <w:spacing w:before="0" w:after="0"/>
      </w:pPr>
      <w:r>
        <w:tab/>
      </w:r>
      <w:r w:rsidR="00DB60B8">
        <w:t>Sec</w:t>
      </w:r>
      <w:r w:rsidR="00233D00">
        <w:t xml:space="preserve">ond, transferring this case to Philadelphia to reschedule it as </w:t>
      </w:r>
      <w:r w:rsidR="00DB60B8">
        <w:t xml:space="preserve">an in-person hearing will </w:t>
      </w:r>
      <w:r w:rsidR="00BE1629">
        <w:t xml:space="preserve">likely </w:t>
      </w:r>
      <w:r w:rsidR="00DB60B8">
        <w:t xml:space="preserve">result in a delay in the hearing of this </w:t>
      </w:r>
      <w:r w:rsidR="00434FA8">
        <w:t>complaint.</w:t>
      </w:r>
      <w:r w:rsidR="00DB60B8">
        <w:t xml:space="preserve">  Complainants raise potential safety and reliability </w:t>
      </w:r>
      <w:proofErr w:type="gramStart"/>
      <w:r w:rsidR="00DB60B8">
        <w:t>concerns which</w:t>
      </w:r>
      <w:proofErr w:type="gramEnd"/>
      <w:r w:rsidR="00DB60B8">
        <w:t xml:space="preserve"> should be resolved as soon as practicable.</w:t>
      </w:r>
    </w:p>
    <w:p w:rsidR="007A0A04" w:rsidRDefault="00BE1629" w:rsidP="007A0A04">
      <w:pPr>
        <w:spacing w:before="0" w:after="0"/>
      </w:pPr>
      <w:r>
        <w:tab/>
      </w:r>
    </w:p>
    <w:p w:rsidR="00BE1629" w:rsidRDefault="007A0A04" w:rsidP="007A0A04">
      <w:pPr>
        <w:spacing w:before="0" w:after="0"/>
      </w:pPr>
      <w:r>
        <w:tab/>
      </w:r>
      <w:r w:rsidR="00BE1629">
        <w:t>In sum, PECO has not presented a compelling reason for why it cannot provide an adequate defense to the allegations raised in this complaint by telephone.  Therefore, its motion for an in-person hearing is denied.</w:t>
      </w:r>
    </w:p>
    <w:p w:rsidR="007A0A04" w:rsidRDefault="007A0A04" w:rsidP="007A0A04">
      <w:pPr>
        <w:spacing w:before="0" w:after="0"/>
      </w:pPr>
    </w:p>
    <w:p w:rsidR="007A0A04" w:rsidRDefault="007A0A04" w:rsidP="007A0A04">
      <w:pPr>
        <w:spacing w:before="0" w:after="0"/>
      </w:pPr>
    </w:p>
    <w:p w:rsidR="007A0A04" w:rsidRDefault="007A0A04" w:rsidP="007A0A04">
      <w:pPr>
        <w:spacing w:before="0" w:after="0"/>
      </w:pP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40" w:lineRule="auto"/>
        <w:jc w:val="both"/>
        <w:rPr>
          <w:rFonts w:eastAsia="SimSun"/>
          <w:szCs w:val="24"/>
        </w:rPr>
      </w:pPr>
      <w:r w:rsidRPr="007A0A04">
        <w:rPr>
          <w:szCs w:val="24"/>
        </w:rPr>
        <w:t xml:space="preserve">Date:  </w:t>
      </w:r>
      <w:r w:rsidR="00434FA8">
        <w:rPr>
          <w:szCs w:val="24"/>
          <w:u w:val="single"/>
        </w:rPr>
        <w:t>Dec</w:t>
      </w:r>
      <w:r w:rsidRPr="007A0A04">
        <w:rPr>
          <w:szCs w:val="24"/>
          <w:u w:val="single"/>
        </w:rPr>
        <w:t xml:space="preserve">ember </w:t>
      </w:r>
      <w:r w:rsidR="00434FA8">
        <w:rPr>
          <w:szCs w:val="24"/>
          <w:u w:val="single"/>
        </w:rPr>
        <w:t>22</w:t>
      </w:r>
      <w:r w:rsidRPr="007A0A04">
        <w:rPr>
          <w:szCs w:val="24"/>
          <w:u w:val="single"/>
        </w:rPr>
        <w:t>, 2016</w:t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  <w:t>____________________________________</w:t>
      </w: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40" w:lineRule="auto"/>
        <w:jc w:val="both"/>
        <w:rPr>
          <w:rFonts w:eastAsia="SimSun"/>
          <w:szCs w:val="24"/>
        </w:rPr>
      </w:pP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  <w:t>Mary D. Long</w:t>
      </w:r>
    </w:p>
    <w:p w:rsidR="007A0A04" w:rsidRPr="007A0A04" w:rsidRDefault="007A0A04" w:rsidP="007A0A04">
      <w:pPr>
        <w:tabs>
          <w:tab w:val="clear" w:pos="1440"/>
          <w:tab w:val="left" w:pos="0"/>
        </w:tabs>
        <w:spacing w:before="0" w:after="0" w:line="240" w:lineRule="auto"/>
        <w:jc w:val="both"/>
        <w:rPr>
          <w:rFonts w:eastAsia="SimSun"/>
          <w:szCs w:val="24"/>
        </w:rPr>
      </w:pP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</w:r>
      <w:r w:rsidRPr="007A0A04">
        <w:rPr>
          <w:rFonts w:eastAsia="SimSun"/>
          <w:szCs w:val="24"/>
        </w:rPr>
        <w:tab/>
        <w:t>Administrative Law Judge</w:t>
      </w:r>
    </w:p>
    <w:p w:rsidR="007A0A04" w:rsidRDefault="007A0A04" w:rsidP="007A0A04">
      <w:pPr>
        <w:spacing w:before="0" w:after="0"/>
      </w:pPr>
    </w:p>
    <w:p w:rsidR="00434FA8" w:rsidRDefault="00434FA8" w:rsidP="00434FA8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  <w:sectPr w:rsidR="00434FA8" w:rsidSect="008F1F8C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34FA8" w:rsidRPr="00434FA8" w:rsidRDefault="00434FA8" w:rsidP="00434FA8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2"/>
        </w:rPr>
      </w:pPr>
      <w:r w:rsidRPr="00434FA8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C-2016-2570739 - CHARLES AND PATRICIA SPACKMAN v. PECO ENERGY COMPANY</w:t>
      </w:r>
      <w:r w:rsidRPr="00434FA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34FA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34FA8">
        <w:rPr>
          <w:rFonts w:ascii="Microsoft Sans Serif" w:eastAsiaTheme="minorEastAsia" w:hAnsiTheme="minorHAnsi" w:cstheme="minorBidi"/>
          <w:szCs w:val="22"/>
        </w:rPr>
        <w:t xml:space="preserve">CHARLES AND PATRICIA SPACKMAN </w:t>
      </w:r>
    </w:p>
    <w:p w:rsidR="00434FA8" w:rsidRPr="00434FA8" w:rsidRDefault="00434FA8" w:rsidP="00434FA8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2"/>
        </w:rPr>
      </w:pPr>
      <w:r w:rsidRPr="00434FA8">
        <w:rPr>
          <w:rFonts w:ascii="Microsoft Sans Serif" w:eastAsiaTheme="minorEastAsia" w:hAnsiTheme="minorHAnsi" w:cstheme="minorBidi"/>
          <w:szCs w:val="22"/>
        </w:rPr>
        <w:t xml:space="preserve">595 FELLOWSHIP ROAD </w:t>
      </w:r>
    </w:p>
    <w:p w:rsidR="00434FA8" w:rsidRPr="00434FA8" w:rsidRDefault="00434FA8" w:rsidP="00434FA8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2"/>
        </w:rPr>
      </w:pPr>
      <w:r w:rsidRPr="00434FA8">
        <w:rPr>
          <w:rFonts w:ascii="Microsoft Sans Serif" w:eastAsiaTheme="minorEastAsia" w:hAnsiTheme="minorHAnsi" w:cstheme="minorBidi"/>
          <w:szCs w:val="22"/>
        </w:rPr>
        <w:t>CHESTER SPRINGS PA  19425</w:t>
      </w:r>
      <w:r w:rsidRPr="00434FA8">
        <w:rPr>
          <w:rFonts w:ascii="Microsoft Sans Serif" w:eastAsiaTheme="minorEastAsia" w:hAnsiTheme="minorHAnsi" w:cstheme="minorBidi"/>
          <w:szCs w:val="22"/>
        </w:rPr>
        <w:cr/>
      </w:r>
      <w:r w:rsidRPr="00434FA8">
        <w:rPr>
          <w:rFonts w:ascii="Microsoft Sans Serif" w:eastAsiaTheme="minorEastAsia" w:hAnsiTheme="minorHAnsi" w:cstheme="minorBidi"/>
          <w:b/>
          <w:szCs w:val="22"/>
        </w:rPr>
        <w:t>610.458.0341</w:t>
      </w:r>
      <w:r w:rsidRPr="00434FA8">
        <w:rPr>
          <w:rFonts w:ascii="Microsoft Sans Serif" w:eastAsiaTheme="minorEastAsia" w:hAnsiTheme="minorHAnsi" w:cstheme="minorBidi"/>
          <w:b/>
          <w:szCs w:val="22"/>
        </w:rPr>
        <w:cr/>
      </w:r>
      <w:r w:rsidRPr="00434FA8">
        <w:rPr>
          <w:rFonts w:ascii="Microsoft Sans Serif" w:eastAsiaTheme="minorEastAsia" w:hAnsiTheme="minorHAnsi" w:cstheme="minorBidi"/>
          <w:szCs w:val="22"/>
        </w:rPr>
        <w:cr/>
        <w:t>SHAWANE L LEE ESQUIRE</w:t>
      </w:r>
      <w:r w:rsidRPr="00434FA8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434FA8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Pr="00434FA8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434FA8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Pr="00434FA8">
        <w:rPr>
          <w:rFonts w:ascii="Microsoft Sans Serif" w:eastAsiaTheme="minorEastAsia" w:hAnsiTheme="minorHAnsi" w:cstheme="minorBidi"/>
          <w:szCs w:val="22"/>
        </w:rPr>
        <w:cr/>
      </w:r>
      <w:r w:rsidRPr="00434FA8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434FA8" w:rsidRPr="00434FA8" w:rsidRDefault="00434FA8" w:rsidP="00434FA8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434FA8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7A0A04" w:rsidRDefault="00434FA8" w:rsidP="00434FA8">
      <w:pPr>
        <w:spacing w:before="0" w:after="0"/>
      </w:pPr>
      <w:r w:rsidRPr="00434FA8">
        <w:rPr>
          <w:rFonts w:ascii="Microsoft Sans Serif" w:eastAsiaTheme="minorEastAsia" w:hAnsiTheme="minorHAnsi" w:cstheme="minorBidi"/>
          <w:i/>
          <w:szCs w:val="22"/>
        </w:rPr>
        <w:t>Representing PECO Energy Company</w:t>
      </w:r>
      <w:r w:rsidRPr="00434FA8">
        <w:rPr>
          <w:rFonts w:ascii="Microsoft Sans Serif" w:eastAsiaTheme="minorEastAsia" w:hAnsiTheme="minorHAnsi" w:cstheme="minorBidi"/>
          <w:i/>
          <w:szCs w:val="22"/>
        </w:rPr>
        <w:cr/>
      </w:r>
    </w:p>
    <w:sectPr w:rsidR="007A0A04" w:rsidSect="008F1F8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43" w:rsidRDefault="00350743" w:rsidP="008F1F8C">
      <w:pPr>
        <w:spacing w:before="0" w:after="0" w:line="240" w:lineRule="auto"/>
      </w:pPr>
      <w:r>
        <w:separator/>
      </w:r>
    </w:p>
  </w:endnote>
  <w:endnote w:type="continuationSeparator" w:id="0">
    <w:p w:rsidR="00350743" w:rsidRDefault="00350743" w:rsidP="008F1F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234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F8C" w:rsidRDefault="008F1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F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1F8C" w:rsidRDefault="008F1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43" w:rsidRDefault="00350743" w:rsidP="008F1F8C">
      <w:pPr>
        <w:spacing w:before="0" w:after="0" w:line="240" w:lineRule="auto"/>
      </w:pPr>
      <w:r>
        <w:separator/>
      </w:r>
    </w:p>
  </w:footnote>
  <w:footnote w:type="continuationSeparator" w:id="0">
    <w:p w:rsidR="00350743" w:rsidRDefault="00350743" w:rsidP="008F1F8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12E4DD6"/>
    <w:multiLevelType w:val="hybridMultilevel"/>
    <w:tmpl w:val="EBA47466"/>
    <w:lvl w:ilvl="0" w:tplc="01404906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24"/>
  </w:num>
  <w:num w:numId="5">
    <w:abstractNumId w:val="8"/>
  </w:num>
  <w:num w:numId="6">
    <w:abstractNumId w:val="6"/>
  </w:num>
  <w:num w:numId="7">
    <w:abstractNumId w:val="4"/>
  </w:num>
  <w:num w:numId="8">
    <w:abstractNumId w:val="23"/>
  </w:num>
  <w:num w:numId="9">
    <w:abstractNumId w:val="2"/>
  </w:num>
  <w:num w:numId="10">
    <w:abstractNumId w:val="16"/>
  </w:num>
  <w:num w:numId="11">
    <w:abstractNumId w:val="19"/>
  </w:num>
  <w:num w:numId="12">
    <w:abstractNumId w:val="12"/>
  </w:num>
  <w:num w:numId="13">
    <w:abstractNumId w:val="17"/>
  </w:num>
  <w:num w:numId="14">
    <w:abstractNumId w:val="21"/>
  </w:num>
  <w:num w:numId="15">
    <w:abstractNumId w:val="0"/>
  </w:num>
  <w:num w:numId="16">
    <w:abstractNumId w:val="15"/>
  </w:num>
  <w:num w:numId="17">
    <w:abstractNumId w:val="15"/>
  </w:num>
  <w:num w:numId="18">
    <w:abstractNumId w:val="7"/>
  </w:num>
  <w:num w:numId="19">
    <w:abstractNumId w:val="13"/>
  </w:num>
  <w:num w:numId="20">
    <w:abstractNumId w:val="25"/>
  </w:num>
  <w:num w:numId="21">
    <w:abstractNumId w:val="10"/>
  </w:num>
  <w:num w:numId="22">
    <w:abstractNumId w:val="3"/>
  </w:num>
  <w:num w:numId="23">
    <w:abstractNumId w:val="11"/>
  </w:num>
  <w:num w:numId="24">
    <w:abstractNumId w:val="26"/>
  </w:num>
  <w:num w:numId="25">
    <w:abstractNumId w:val="1"/>
  </w:num>
  <w:num w:numId="26">
    <w:abstractNumId w:val="5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7A"/>
    <w:rsid w:val="00004C37"/>
    <w:rsid w:val="00010AA2"/>
    <w:rsid w:val="000830D9"/>
    <w:rsid w:val="000E3EDE"/>
    <w:rsid w:val="001A21B6"/>
    <w:rsid w:val="001B1CBA"/>
    <w:rsid w:val="001D2AF7"/>
    <w:rsid w:val="001F596F"/>
    <w:rsid w:val="00207743"/>
    <w:rsid w:val="00213167"/>
    <w:rsid w:val="00233D00"/>
    <w:rsid w:val="002512F9"/>
    <w:rsid w:val="00254D89"/>
    <w:rsid w:val="002B5EE1"/>
    <w:rsid w:val="002C4D1A"/>
    <w:rsid w:val="003145FA"/>
    <w:rsid w:val="003327FB"/>
    <w:rsid w:val="00350743"/>
    <w:rsid w:val="00367A41"/>
    <w:rsid w:val="00393C92"/>
    <w:rsid w:val="003A3E09"/>
    <w:rsid w:val="003F7FFB"/>
    <w:rsid w:val="00434FA8"/>
    <w:rsid w:val="00435960"/>
    <w:rsid w:val="004D523C"/>
    <w:rsid w:val="005A1C17"/>
    <w:rsid w:val="005A2ABA"/>
    <w:rsid w:val="005B3BFA"/>
    <w:rsid w:val="005D002B"/>
    <w:rsid w:val="005D180A"/>
    <w:rsid w:val="005E7B69"/>
    <w:rsid w:val="00603A51"/>
    <w:rsid w:val="0061775F"/>
    <w:rsid w:val="00635F3C"/>
    <w:rsid w:val="00696C0D"/>
    <w:rsid w:val="006D7500"/>
    <w:rsid w:val="006F0329"/>
    <w:rsid w:val="00700807"/>
    <w:rsid w:val="00706CFC"/>
    <w:rsid w:val="00712E58"/>
    <w:rsid w:val="00741EE3"/>
    <w:rsid w:val="00792796"/>
    <w:rsid w:val="00796B64"/>
    <w:rsid w:val="007A0A04"/>
    <w:rsid w:val="007E6779"/>
    <w:rsid w:val="00820B4C"/>
    <w:rsid w:val="0083239D"/>
    <w:rsid w:val="008529D2"/>
    <w:rsid w:val="008F1F8C"/>
    <w:rsid w:val="00917DCA"/>
    <w:rsid w:val="00A42F6B"/>
    <w:rsid w:val="00A47096"/>
    <w:rsid w:val="00AA2EC5"/>
    <w:rsid w:val="00AB4C73"/>
    <w:rsid w:val="00AE6F47"/>
    <w:rsid w:val="00AF6C7A"/>
    <w:rsid w:val="00B91E47"/>
    <w:rsid w:val="00BC6B21"/>
    <w:rsid w:val="00BE1629"/>
    <w:rsid w:val="00C87E57"/>
    <w:rsid w:val="00CF6143"/>
    <w:rsid w:val="00D741D4"/>
    <w:rsid w:val="00DB60B8"/>
    <w:rsid w:val="00DD5C37"/>
    <w:rsid w:val="00E4239A"/>
    <w:rsid w:val="00EC1CBA"/>
    <w:rsid w:val="00EE0677"/>
    <w:rsid w:val="00EE7801"/>
    <w:rsid w:val="00F16554"/>
    <w:rsid w:val="00F544E1"/>
    <w:rsid w:val="00FD5C10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64"/>
    <w:pPr>
      <w:tabs>
        <w:tab w:val="left" w:pos="1440"/>
      </w:tabs>
      <w:spacing w:before="360" w:after="36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CF6143"/>
    <w:pPr>
      <w:numPr>
        <w:numId w:val="28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8F1F8C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8C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1F8C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8C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64"/>
    <w:pPr>
      <w:tabs>
        <w:tab w:val="left" w:pos="1440"/>
      </w:tabs>
      <w:spacing w:before="360" w:after="36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CF6143"/>
    <w:pPr>
      <w:numPr>
        <w:numId w:val="28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8F1F8C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8C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1F8C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8C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5</cp:revision>
  <cp:lastPrinted>2016-12-22T17:55:00Z</cp:lastPrinted>
  <dcterms:created xsi:type="dcterms:W3CDTF">2016-12-22T16:58:00Z</dcterms:created>
  <dcterms:modified xsi:type="dcterms:W3CDTF">2016-12-22T18:25:00Z</dcterms:modified>
</cp:coreProperties>
</file>