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F213D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F85779" w:rsidRDefault="003569E8" w:rsidP="00A23D92">
            <w:pPr>
              <w:jc w:val="right"/>
              <w:rPr>
                <w:rFonts w:ascii="Arial" w:hAnsi="Arial"/>
                <w:sz w:val="16"/>
                <w:szCs w:val="16"/>
              </w:rPr>
            </w:pPr>
          </w:p>
        </w:tc>
      </w:tr>
    </w:tbl>
    <w:p w:rsidR="00C74A51" w:rsidRDefault="00C74A51">
      <w:pPr>
        <w:rPr>
          <w:sz w:val="24"/>
        </w:rPr>
        <w:sectPr w:rsidR="00C74A51" w:rsidSect="002B420D">
          <w:footerReference w:type="even" r:id="rId10"/>
          <w:footerReference w:type="default" r:id="rId11"/>
          <w:footerReference w:type="first" r:id="rId12"/>
          <w:pgSz w:w="12240" w:h="15840"/>
          <w:pgMar w:top="504" w:right="1440" w:bottom="1440" w:left="1440" w:header="720" w:footer="720" w:gutter="0"/>
          <w:cols w:space="720"/>
          <w:docGrid w:linePitch="272"/>
        </w:sectPr>
      </w:pPr>
    </w:p>
    <w:p w:rsidR="002B420D" w:rsidRDefault="003E1F43" w:rsidP="00FA0E37">
      <w:pPr>
        <w:jc w:val="center"/>
        <w:rPr>
          <w:b/>
          <w:sz w:val="26"/>
          <w:szCs w:val="26"/>
        </w:rPr>
      </w:pPr>
      <w:r>
        <w:rPr>
          <w:b/>
          <w:sz w:val="26"/>
          <w:szCs w:val="26"/>
        </w:rPr>
        <w:lastRenderedPageBreak/>
        <w:t>December 29, 2016</w:t>
      </w:r>
      <w:bookmarkStart w:id="0" w:name="_GoBack"/>
      <w:bookmarkEnd w:id="0"/>
    </w:p>
    <w:p w:rsidR="00AF2951" w:rsidRPr="009321E7" w:rsidRDefault="00AF2951" w:rsidP="00AF2951">
      <w:pPr>
        <w:jc w:val="right"/>
        <w:rPr>
          <w:sz w:val="24"/>
          <w:szCs w:val="24"/>
        </w:rPr>
      </w:pPr>
      <w:r w:rsidRPr="009321E7">
        <w:rPr>
          <w:sz w:val="24"/>
          <w:szCs w:val="24"/>
        </w:rPr>
        <w:t>Docket No. M</w:t>
      </w:r>
      <w:r w:rsidR="001A3139" w:rsidRPr="009321E7">
        <w:rPr>
          <w:sz w:val="24"/>
          <w:szCs w:val="24"/>
        </w:rPr>
        <w:t>-</w:t>
      </w:r>
      <w:r w:rsidR="00C600A3" w:rsidRPr="009321E7">
        <w:rPr>
          <w:sz w:val="24"/>
          <w:szCs w:val="24"/>
        </w:rPr>
        <w:t>2016-2581125</w:t>
      </w:r>
      <w:r w:rsidRPr="009321E7">
        <w:rPr>
          <w:sz w:val="24"/>
          <w:szCs w:val="24"/>
        </w:rPr>
        <w:fldChar w:fldCharType="begin">
          <w:ffData>
            <w:name w:val="Text15"/>
            <w:enabled/>
            <w:calcOnExit w:val="0"/>
            <w:textInput/>
          </w:ffData>
        </w:fldChar>
      </w:r>
      <w:r w:rsidRPr="009321E7">
        <w:rPr>
          <w:sz w:val="24"/>
          <w:szCs w:val="24"/>
        </w:rPr>
        <w:instrText xml:space="preserve"> FORMTEXT </w:instrText>
      </w:r>
      <w:r w:rsidR="00742C97">
        <w:rPr>
          <w:sz w:val="24"/>
          <w:szCs w:val="24"/>
        </w:rPr>
      </w:r>
      <w:r w:rsidR="00742C97">
        <w:rPr>
          <w:sz w:val="24"/>
          <w:szCs w:val="24"/>
        </w:rPr>
        <w:fldChar w:fldCharType="separate"/>
      </w:r>
      <w:r w:rsidRPr="009321E7">
        <w:rPr>
          <w:sz w:val="24"/>
          <w:szCs w:val="24"/>
        </w:rPr>
        <w:fldChar w:fldCharType="end"/>
      </w:r>
    </w:p>
    <w:p w:rsidR="00AF2951" w:rsidRPr="009321E7" w:rsidRDefault="00AF2951" w:rsidP="00AF2951">
      <w:pPr>
        <w:jc w:val="right"/>
        <w:rPr>
          <w:sz w:val="24"/>
          <w:szCs w:val="24"/>
        </w:rPr>
      </w:pPr>
      <w:r w:rsidRPr="009321E7">
        <w:rPr>
          <w:sz w:val="24"/>
          <w:szCs w:val="24"/>
        </w:rPr>
        <w:t xml:space="preserve">                                                                           Utility Code: </w:t>
      </w:r>
      <w:r w:rsidR="00C600A3" w:rsidRPr="009321E7">
        <w:rPr>
          <w:sz w:val="24"/>
          <w:szCs w:val="24"/>
        </w:rPr>
        <w:t>310814</w:t>
      </w:r>
    </w:p>
    <w:p w:rsidR="001A3139" w:rsidRPr="009321E7" w:rsidRDefault="00C600A3" w:rsidP="00AF2951">
      <w:pPr>
        <w:rPr>
          <w:caps/>
          <w:sz w:val="24"/>
          <w:szCs w:val="24"/>
        </w:rPr>
      </w:pPr>
      <w:r w:rsidRPr="009321E7">
        <w:rPr>
          <w:caps/>
          <w:sz w:val="24"/>
          <w:szCs w:val="24"/>
        </w:rPr>
        <w:t>NICOLE WINTERS</w:t>
      </w:r>
    </w:p>
    <w:p w:rsidR="00C600A3" w:rsidRPr="009321E7" w:rsidRDefault="00C600A3" w:rsidP="00AF2951">
      <w:pPr>
        <w:rPr>
          <w:caps/>
          <w:sz w:val="24"/>
          <w:szCs w:val="24"/>
        </w:rPr>
      </w:pPr>
      <w:r w:rsidRPr="009321E7">
        <w:rPr>
          <w:caps/>
          <w:sz w:val="24"/>
          <w:szCs w:val="24"/>
        </w:rPr>
        <w:t>WINDSTREAM SERVICES LLC</w:t>
      </w:r>
    </w:p>
    <w:p w:rsidR="00C600A3" w:rsidRPr="009321E7" w:rsidRDefault="00C600A3" w:rsidP="00AF2951">
      <w:pPr>
        <w:rPr>
          <w:caps/>
          <w:sz w:val="24"/>
          <w:szCs w:val="24"/>
        </w:rPr>
      </w:pPr>
      <w:r w:rsidRPr="009321E7">
        <w:rPr>
          <w:caps/>
          <w:sz w:val="24"/>
          <w:szCs w:val="24"/>
        </w:rPr>
        <w:t>MAILSTOP B1F03-53A</w:t>
      </w:r>
    </w:p>
    <w:p w:rsidR="00C600A3" w:rsidRPr="009321E7" w:rsidRDefault="00C600A3" w:rsidP="00AF2951">
      <w:pPr>
        <w:rPr>
          <w:caps/>
          <w:sz w:val="24"/>
          <w:szCs w:val="24"/>
        </w:rPr>
      </w:pPr>
      <w:r w:rsidRPr="009321E7">
        <w:rPr>
          <w:caps/>
          <w:sz w:val="24"/>
          <w:szCs w:val="24"/>
        </w:rPr>
        <w:t>4001 RODNEY PARHAM ROad</w:t>
      </w:r>
    </w:p>
    <w:p w:rsidR="00C600A3" w:rsidRPr="009321E7" w:rsidRDefault="00C600A3" w:rsidP="00AF2951">
      <w:pPr>
        <w:rPr>
          <w:caps/>
          <w:sz w:val="24"/>
          <w:szCs w:val="24"/>
        </w:rPr>
      </w:pPr>
      <w:r w:rsidRPr="009321E7">
        <w:rPr>
          <w:caps/>
          <w:sz w:val="24"/>
          <w:szCs w:val="24"/>
        </w:rPr>
        <w:t>LITTL</w:t>
      </w:r>
      <w:r w:rsidR="00CA5A94">
        <w:rPr>
          <w:caps/>
          <w:sz w:val="24"/>
          <w:szCs w:val="24"/>
        </w:rPr>
        <w:t>E</w:t>
      </w:r>
      <w:r w:rsidRPr="009321E7">
        <w:rPr>
          <w:caps/>
          <w:sz w:val="24"/>
          <w:szCs w:val="24"/>
        </w:rPr>
        <w:t xml:space="preserve"> ROCK AR 72212</w:t>
      </w:r>
    </w:p>
    <w:p w:rsidR="00C600A3" w:rsidRPr="009321E7" w:rsidRDefault="00C600A3" w:rsidP="00AF2951">
      <w:pPr>
        <w:rPr>
          <w:sz w:val="24"/>
          <w:szCs w:val="24"/>
        </w:rPr>
      </w:pPr>
    </w:p>
    <w:p w:rsidR="00AE6E2C" w:rsidRPr="009321E7" w:rsidRDefault="009B23D8" w:rsidP="00E6327C">
      <w:pPr>
        <w:ind w:left="1440" w:hanging="720"/>
        <w:rPr>
          <w:sz w:val="24"/>
          <w:szCs w:val="24"/>
        </w:rPr>
      </w:pPr>
      <w:r w:rsidRPr="009321E7">
        <w:rPr>
          <w:sz w:val="24"/>
          <w:szCs w:val="24"/>
        </w:rPr>
        <w:t>Re:</w:t>
      </w:r>
      <w:r w:rsidR="00F96BF0" w:rsidRPr="009321E7">
        <w:rPr>
          <w:sz w:val="24"/>
          <w:szCs w:val="24"/>
        </w:rPr>
        <w:t xml:space="preserve"> </w:t>
      </w:r>
      <w:r w:rsidR="00AE6E2C" w:rsidRPr="009321E7">
        <w:rPr>
          <w:sz w:val="24"/>
          <w:szCs w:val="24"/>
        </w:rPr>
        <w:tab/>
      </w:r>
      <w:r w:rsidR="00C600A3" w:rsidRPr="009321E7">
        <w:rPr>
          <w:sz w:val="24"/>
          <w:szCs w:val="24"/>
        </w:rPr>
        <w:t>US LEC of Pennsylvania, Inc.</w:t>
      </w:r>
    </w:p>
    <w:p w:rsidR="00C90506" w:rsidRPr="009321E7" w:rsidRDefault="00F96BF0" w:rsidP="00AE6E2C">
      <w:pPr>
        <w:ind w:left="1440"/>
        <w:rPr>
          <w:b/>
          <w:sz w:val="24"/>
          <w:szCs w:val="24"/>
        </w:rPr>
      </w:pPr>
      <w:r w:rsidRPr="009321E7">
        <w:rPr>
          <w:sz w:val="24"/>
          <w:szCs w:val="24"/>
        </w:rPr>
        <w:t xml:space="preserve">Safety Valve Request for </w:t>
      </w:r>
      <w:r w:rsidR="00C600A3" w:rsidRPr="009321E7">
        <w:rPr>
          <w:sz w:val="24"/>
          <w:szCs w:val="24"/>
        </w:rPr>
        <w:t>724</w:t>
      </w:r>
      <w:r w:rsidRPr="009321E7">
        <w:rPr>
          <w:sz w:val="24"/>
          <w:szCs w:val="24"/>
        </w:rPr>
        <w:t xml:space="preserve"> NPA </w:t>
      </w:r>
      <w:r w:rsidR="00C600A3" w:rsidRPr="009321E7">
        <w:rPr>
          <w:sz w:val="24"/>
          <w:szCs w:val="24"/>
        </w:rPr>
        <w:t>Butler</w:t>
      </w:r>
      <w:r w:rsidRPr="009321E7">
        <w:rPr>
          <w:sz w:val="24"/>
          <w:szCs w:val="24"/>
        </w:rPr>
        <w:t xml:space="preserve"> Rate Center</w:t>
      </w:r>
      <w:r w:rsidR="00C77F29" w:rsidRPr="009321E7">
        <w:rPr>
          <w:sz w:val="24"/>
          <w:szCs w:val="24"/>
        </w:rPr>
        <w:tab/>
      </w:r>
    </w:p>
    <w:p w:rsidR="003A7B80" w:rsidRPr="009321E7" w:rsidRDefault="003A7B80" w:rsidP="00BE4A72">
      <w:pPr>
        <w:rPr>
          <w:sz w:val="24"/>
          <w:szCs w:val="24"/>
        </w:rPr>
      </w:pPr>
    </w:p>
    <w:p w:rsidR="00BE4A72" w:rsidRPr="009321E7" w:rsidRDefault="00BE4A72" w:rsidP="00BE4A72">
      <w:pPr>
        <w:rPr>
          <w:sz w:val="24"/>
          <w:szCs w:val="24"/>
        </w:rPr>
      </w:pPr>
      <w:r w:rsidRPr="009321E7">
        <w:rPr>
          <w:sz w:val="24"/>
          <w:szCs w:val="24"/>
        </w:rPr>
        <w:t>Dear</w:t>
      </w:r>
      <w:r w:rsidR="00C600A3" w:rsidRPr="009321E7">
        <w:rPr>
          <w:sz w:val="24"/>
          <w:szCs w:val="24"/>
        </w:rPr>
        <w:t xml:space="preserve"> Ms. Winters</w:t>
      </w:r>
      <w:r w:rsidR="00F96BF0" w:rsidRPr="009321E7">
        <w:rPr>
          <w:sz w:val="24"/>
          <w:szCs w:val="24"/>
        </w:rPr>
        <w:t>,</w:t>
      </w:r>
    </w:p>
    <w:p w:rsidR="00BE4A72" w:rsidRPr="009321E7" w:rsidRDefault="00BE4A72" w:rsidP="00BE4A72">
      <w:pPr>
        <w:rPr>
          <w:sz w:val="24"/>
          <w:szCs w:val="24"/>
        </w:rPr>
      </w:pPr>
    </w:p>
    <w:p w:rsidR="00076F90" w:rsidRPr="00CE1DC6" w:rsidRDefault="00076F90" w:rsidP="000E099D">
      <w:pPr>
        <w:ind w:firstLine="720"/>
        <w:rPr>
          <w:color w:val="000000"/>
          <w:sz w:val="24"/>
          <w:szCs w:val="24"/>
        </w:rPr>
      </w:pPr>
      <w:r w:rsidRPr="009321E7">
        <w:rPr>
          <w:sz w:val="24"/>
          <w:szCs w:val="24"/>
        </w:rPr>
        <w:t xml:space="preserve">On </w:t>
      </w:r>
      <w:r w:rsidR="005919E1" w:rsidRPr="009321E7">
        <w:rPr>
          <w:sz w:val="24"/>
          <w:szCs w:val="24"/>
        </w:rPr>
        <w:t>December 20, 2016,</w:t>
      </w:r>
      <w:r w:rsidRPr="009321E7">
        <w:rPr>
          <w:sz w:val="24"/>
          <w:szCs w:val="24"/>
        </w:rPr>
        <w:t xml:space="preserve"> your </w:t>
      </w:r>
      <w:r w:rsidR="002B0C88" w:rsidRPr="009321E7">
        <w:rPr>
          <w:sz w:val="24"/>
          <w:szCs w:val="24"/>
        </w:rPr>
        <w:t>company</w:t>
      </w:r>
      <w:r w:rsidRPr="009321E7">
        <w:rPr>
          <w:sz w:val="24"/>
          <w:szCs w:val="24"/>
        </w:rPr>
        <w:t xml:space="preserve">, </w:t>
      </w:r>
      <w:r w:rsidR="005919E1" w:rsidRPr="009321E7">
        <w:rPr>
          <w:sz w:val="24"/>
          <w:szCs w:val="24"/>
        </w:rPr>
        <w:t>US LEC of Pennsylvania, Inc. (US LEC or Company)</w:t>
      </w:r>
      <w:r w:rsidR="009321E7">
        <w:rPr>
          <w:sz w:val="24"/>
          <w:szCs w:val="24"/>
        </w:rPr>
        <w:t>,</w:t>
      </w:r>
      <w:r w:rsidR="005919E1" w:rsidRPr="009321E7">
        <w:rPr>
          <w:sz w:val="24"/>
          <w:szCs w:val="24"/>
        </w:rPr>
        <w:t xml:space="preserve"> </w:t>
      </w:r>
      <w:r w:rsidR="009321E7">
        <w:rPr>
          <w:sz w:val="24"/>
          <w:szCs w:val="24"/>
        </w:rPr>
        <w:t>a C</w:t>
      </w:r>
      <w:r w:rsidR="00CA5A94">
        <w:rPr>
          <w:sz w:val="24"/>
          <w:szCs w:val="24"/>
        </w:rPr>
        <w:t xml:space="preserve">ompetitive </w:t>
      </w:r>
      <w:r w:rsidR="009321E7">
        <w:rPr>
          <w:sz w:val="24"/>
          <w:szCs w:val="24"/>
        </w:rPr>
        <w:t>L</w:t>
      </w:r>
      <w:r w:rsidR="00CA5A94">
        <w:rPr>
          <w:sz w:val="24"/>
          <w:szCs w:val="24"/>
        </w:rPr>
        <w:t xml:space="preserve">ocal </w:t>
      </w:r>
      <w:r w:rsidR="009321E7">
        <w:rPr>
          <w:sz w:val="24"/>
          <w:szCs w:val="24"/>
        </w:rPr>
        <w:t>E</w:t>
      </w:r>
      <w:r w:rsidR="00CA5A94">
        <w:rPr>
          <w:sz w:val="24"/>
          <w:szCs w:val="24"/>
        </w:rPr>
        <w:t xml:space="preserve">xchange </w:t>
      </w:r>
      <w:r w:rsidR="009321E7">
        <w:rPr>
          <w:sz w:val="24"/>
          <w:szCs w:val="24"/>
        </w:rPr>
        <w:t>C</w:t>
      </w:r>
      <w:r w:rsidR="00CA5A94">
        <w:rPr>
          <w:sz w:val="24"/>
          <w:szCs w:val="24"/>
        </w:rPr>
        <w:t>arrier</w:t>
      </w:r>
      <w:r w:rsidR="00A1359A">
        <w:rPr>
          <w:sz w:val="24"/>
          <w:szCs w:val="24"/>
        </w:rPr>
        <w:t xml:space="preserve"> (CLEC)</w:t>
      </w:r>
      <w:r w:rsidR="009321E7">
        <w:rPr>
          <w:sz w:val="24"/>
          <w:szCs w:val="24"/>
        </w:rPr>
        <w:t>,</w:t>
      </w:r>
      <w:r w:rsidR="000A04B1" w:rsidRPr="009321E7">
        <w:rPr>
          <w:sz w:val="24"/>
          <w:szCs w:val="24"/>
        </w:rPr>
        <w:t xml:space="preserve"> </w:t>
      </w:r>
      <w:r w:rsidRPr="009321E7">
        <w:rPr>
          <w:sz w:val="24"/>
          <w:szCs w:val="24"/>
        </w:rPr>
        <w:t xml:space="preserve">submitted a Pennsylvania Safety Valve Numbering Resource Request form pursuant to our order entered at </w:t>
      </w:r>
      <w:r w:rsidRPr="009321E7">
        <w:rPr>
          <w:kern w:val="1"/>
          <w:sz w:val="24"/>
          <w:szCs w:val="24"/>
        </w:rPr>
        <w:t>M-2008-2</w:t>
      </w:r>
      <w:r w:rsidRPr="009321E7">
        <w:rPr>
          <w:sz w:val="24"/>
          <w:szCs w:val="24"/>
        </w:rPr>
        <w:t>032767.</w:t>
      </w:r>
      <w:r w:rsidRPr="009321E7">
        <w:rPr>
          <w:rStyle w:val="FootnoteReference"/>
          <w:sz w:val="24"/>
          <w:szCs w:val="24"/>
        </w:rPr>
        <w:footnoteReference w:id="1"/>
      </w:r>
      <w:r w:rsidR="00CA5A94">
        <w:rPr>
          <w:sz w:val="24"/>
          <w:szCs w:val="24"/>
        </w:rPr>
        <w:t xml:space="preserve"> </w:t>
      </w:r>
      <w:r w:rsidRPr="009321E7">
        <w:rPr>
          <w:sz w:val="24"/>
          <w:szCs w:val="24"/>
        </w:rPr>
        <w:t xml:space="preserve"> </w:t>
      </w:r>
      <w:r w:rsidR="005919E1" w:rsidRPr="009321E7">
        <w:rPr>
          <w:sz w:val="24"/>
          <w:szCs w:val="24"/>
        </w:rPr>
        <w:t>US LEC</w:t>
      </w:r>
      <w:r w:rsidR="00F96BF0" w:rsidRPr="009321E7">
        <w:rPr>
          <w:sz w:val="24"/>
          <w:szCs w:val="24"/>
        </w:rPr>
        <w:t xml:space="preserve"> </w:t>
      </w:r>
      <w:r w:rsidRPr="009321E7">
        <w:rPr>
          <w:sz w:val="24"/>
          <w:szCs w:val="24"/>
        </w:rPr>
        <w:t xml:space="preserve">is requesting expedited review of a denial by the Pooling Administrator of its request for additional numbering resources in the </w:t>
      </w:r>
      <w:r w:rsidR="005919E1" w:rsidRPr="009321E7">
        <w:rPr>
          <w:sz w:val="24"/>
          <w:szCs w:val="24"/>
        </w:rPr>
        <w:t>724</w:t>
      </w:r>
      <w:r w:rsidR="000D78A7" w:rsidRPr="009321E7">
        <w:rPr>
          <w:sz w:val="24"/>
          <w:szCs w:val="24"/>
        </w:rPr>
        <w:t xml:space="preserve"> </w:t>
      </w:r>
      <w:r w:rsidRPr="009321E7">
        <w:rPr>
          <w:sz w:val="24"/>
          <w:szCs w:val="24"/>
        </w:rPr>
        <w:t>Number</w:t>
      </w:r>
      <w:r w:rsidR="00C61DBA" w:rsidRPr="009321E7">
        <w:rPr>
          <w:sz w:val="24"/>
          <w:szCs w:val="24"/>
        </w:rPr>
        <w:t>ing</w:t>
      </w:r>
      <w:r w:rsidRPr="009321E7">
        <w:rPr>
          <w:sz w:val="24"/>
          <w:szCs w:val="24"/>
        </w:rPr>
        <w:t xml:space="preserve"> Plan Area (NPA) for use by a large business customer.  </w:t>
      </w:r>
      <w:r w:rsidR="005919E1" w:rsidRPr="009321E7">
        <w:rPr>
          <w:sz w:val="24"/>
          <w:szCs w:val="24"/>
        </w:rPr>
        <w:t>The Company</w:t>
      </w:r>
      <w:r w:rsidR="00E6327C" w:rsidRPr="009321E7">
        <w:rPr>
          <w:sz w:val="24"/>
          <w:szCs w:val="24"/>
        </w:rPr>
        <w:t xml:space="preserve"> </w:t>
      </w:r>
      <w:r w:rsidR="000E099D" w:rsidRPr="009321E7">
        <w:rPr>
          <w:sz w:val="24"/>
          <w:szCs w:val="24"/>
        </w:rPr>
        <w:t xml:space="preserve">requests </w:t>
      </w:r>
      <w:r w:rsidR="000D78A7" w:rsidRPr="009321E7">
        <w:rPr>
          <w:sz w:val="24"/>
          <w:szCs w:val="24"/>
        </w:rPr>
        <w:t xml:space="preserve">a </w:t>
      </w:r>
      <w:r w:rsidR="00C6407A" w:rsidRPr="009321E7">
        <w:rPr>
          <w:sz w:val="24"/>
          <w:szCs w:val="24"/>
        </w:rPr>
        <w:t>one-thousand number</w:t>
      </w:r>
      <w:r w:rsidR="00CA5A94">
        <w:rPr>
          <w:sz w:val="24"/>
          <w:szCs w:val="24"/>
        </w:rPr>
        <w:t>s</w:t>
      </w:r>
      <w:r w:rsidR="00C6407A" w:rsidRPr="009321E7">
        <w:rPr>
          <w:sz w:val="24"/>
          <w:szCs w:val="24"/>
        </w:rPr>
        <w:t xml:space="preserve"> </w:t>
      </w:r>
      <w:r w:rsidR="000D78A7" w:rsidRPr="009321E7">
        <w:rPr>
          <w:sz w:val="24"/>
          <w:szCs w:val="24"/>
        </w:rPr>
        <w:t>block</w:t>
      </w:r>
      <w:r w:rsidR="000E099D" w:rsidRPr="009321E7">
        <w:rPr>
          <w:rStyle w:val="FootnoteReference"/>
          <w:sz w:val="24"/>
          <w:szCs w:val="24"/>
        </w:rPr>
        <w:footnoteReference w:id="2"/>
      </w:r>
      <w:r w:rsidR="000E099D" w:rsidRPr="009321E7">
        <w:rPr>
          <w:sz w:val="24"/>
          <w:szCs w:val="24"/>
        </w:rPr>
        <w:t xml:space="preserve"> from the </w:t>
      </w:r>
      <w:r w:rsidR="005919E1" w:rsidRPr="009321E7">
        <w:rPr>
          <w:sz w:val="24"/>
          <w:szCs w:val="24"/>
        </w:rPr>
        <w:t>724</w:t>
      </w:r>
      <w:r w:rsidR="00E6327C" w:rsidRPr="009321E7">
        <w:rPr>
          <w:sz w:val="24"/>
          <w:szCs w:val="24"/>
        </w:rPr>
        <w:t xml:space="preserve"> </w:t>
      </w:r>
      <w:r w:rsidRPr="009321E7">
        <w:rPr>
          <w:sz w:val="24"/>
          <w:szCs w:val="24"/>
        </w:rPr>
        <w:t xml:space="preserve">NPA </w:t>
      </w:r>
      <w:r w:rsidR="00800999" w:rsidRPr="009321E7">
        <w:rPr>
          <w:sz w:val="24"/>
          <w:szCs w:val="24"/>
        </w:rPr>
        <w:t xml:space="preserve">for </w:t>
      </w:r>
      <w:r w:rsidR="00800999">
        <w:rPr>
          <w:color w:val="000000"/>
          <w:sz w:val="24"/>
          <w:szCs w:val="24"/>
        </w:rPr>
        <w:t>assignment</w:t>
      </w:r>
      <w:r w:rsidRPr="00CE1DC6">
        <w:rPr>
          <w:color w:val="000000"/>
          <w:sz w:val="24"/>
          <w:szCs w:val="24"/>
        </w:rPr>
        <w:t xml:space="preserve"> to the </w:t>
      </w:r>
      <w:r w:rsidR="005919E1">
        <w:rPr>
          <w:color w:val="000000"/>
          <w:sz w:val="24"/>
          <w:szCs w:val="24"/>
        </w:rPr>
        <w:t>Butler</w:t>
      </w:r>
      <w:r w:rsidR="00E6327C" w:rsidRPr="00CE1DC6">
        <w:rPr>
          <w:color w:val="000000"/>
          <w:sz w:val="24"/>
          <w:szCs w:val="24"/>
        </w:rPr>
        <w:t xml:space="preserve"> </w:t>
      </w:r>
      <w:r w:rsidR="00CA5A94">
        <w:rPr>
          <w:color w:val="000000"/>
          <w:sz w:val="24"/>
          <w:szCs w:val="24"/>
        </w:rPr>
        <w:t>R</w:t>
      </w:r>
      <w:r w:rsidRPr="00CE1DC6">
        <w:rPr>
          <w:color w:val="000000"/>
          <w:sz w:val="24"/>
          <w:szCs w:val="24"/>
        </w:rPr>
        <w:t xml:space="preserve">ate </w:t>
      </w:r>
      <w:r w:rsidR="00CA5A94">
        <w:rPr>
          <w:color w:val="000000"/>
          <w:sz w:val="24"/>
          <w:szCs w:val="24"/>
        </w:rPr>
        <w:t>C</w:t>
      </w:r>
      <w:r w:rsidRPr="00CE1DC6">
        <w:rPr>
          <w:color w:val="000000"/>
          <w:sz w:val="24"/>
          <w:szCs w:val="24"/>
        </w:rPr>
        <w:t xml:space="preserve">enter.  </w:t>
      </w:r>
      <w:r w:rsidR="005919E1">
        <w:rPr>
          <w:color w:val="000000"/>
          <w:sz w:val="24"/>
          <w:szCs w:val="24"/>
        </w:rPr>
        <w:t>US LEC’s</w:t>
      </w:r>
      <w:r w:rsidRPr="00CE1DC6">
        <w:rPr>
          <w:color w:val="000000"/>
          <w:sz w:val="24"/>
          <w:szCs w:val="24"/>
        </w:rPr>
        <w:t xml:space="preserve"> request comes before the Commission since the Company’s current inventory of numbers </w:t>
      </w:r>
      <w:r w:rsidR="00C61DBA">
        <w:rPr>
          <w:color w:val="000000"/>
          <w:sz w:val="24"/>
          <w:szCs w:val="24"/>
        </w:rPr>
        <w:t>can</w:t>
      </w:r>
      <w:r w:rsidRPr="00CE1DC6">
        <w:rPr>
          <w:color w:val="000000"/>
          <w:sz w:val="24"/>
          <w:szCs w:val="24"/>
        </w:rPr>
        <w:t>not meet the demand of its customer.</w:t>
      </w:r>
    </w:p>
    <w:p w:rsidR="00076F90" w:rsidRPr="00CE1DC6" w:rsidRDefault="00076F90" w:rsidP="00076F90">
      <w:pPr>
        <w:spacing w:line="360" w:lineRule="auto"/>
        <w:rPr>
          <w:b/>
          <w:color w:val="000000"/>
          <w:sz w:val="24"/>
          <w:szCs w:val="24"/>
        </w:rPr>
      </w:pPr>
    </w:p>
    <w:p w:rsidR="00463680" w:rsidRPr="00CE1DC6" w:rsidRDefault="00076F90" w:rsidP="00076F90">
      <w:pPr>
        <w:pStyle w:val="p3"/>
        <w:tabs>
          <w:tab w:val="clear" w:pos="204"/>
          <w:tab w:val="left" w:pos="720"/>
        </w:tabs>
        <w:rPr>
          <w:color w:val="000000"/>
        </w:rPr>
      </w:pPr>
      <w:r w:rsidRPr="00CE1DC6">
        <w:rPr>
          <w:color w:val="000000"/>
        </w:rPr>
        <w:tab/>
      </w:r>
      <w:r w:rsidR="00072126" w:rsidRPr="00CE1DC6">
        <w:rPr>
          <w:color w:val="000000"/>
        </w:rPr>
        <w:t>The</w:t>
      </w:r>
      <w:r w:rsidR="00072126">
        <w:rPr>
          <w:color w:val="000000"/>
        </w:rPr>
        <w:t xml:space="preserve"> Federal Communications Commission</w:t>
      </w:r>
      <w:r w:rsidR="00072126" w:rsidRPr="00CE1DC6">
        <w:rPr>
          <w:color w:val="000000"/>
        </w:rPr>
        <w:t xml:space="preserve"> </w:t>
      </w:r>
      <w:r w:rsidR="00072126">
        <w:rPr>
          <w:color w:val="000000"/>
        </w:rPr>
        <w:t>(</w:t>
      </w:r>
      <w:r w:rsidR="00072126" w:rsidRPr="00CE1DC6">
        <w:rPr>
          <w:color w:val="000000"/>
        </w:rPr>
        <w:t>FCC</w:t>
      </w:r>
      <w:r w:rsidR="00072126">
        <w:rPr>
          <w:color w:val="000000"/>
        </w:rPr>
        <w:t>)</w:t>
      </w:r>
      <w:r w:rsidR="00072126" w:rsidRPr="00CE1DC6">
        <w:rPr>
          <w:color w:val="000000"/>
        </w:rPr>
        <w:t xml:space="preserve"> </w:t>
      </w:r>
      <w:r w:rsidRPr="00CE1DC6">
        <w:rPr>
          <w:color w:val="000000"/>
        </w:rPr>
        <w:t xml:space="preserve">granted state commissions the authority to provide relief to telecommunications carriers for additional numbering resources in a given rate center if the carrier cannot meet the demand for resources through its current inventory.  In accordance with the </w:t>
      </w:r>
      <w:r w:rsidRPr="00CE1DC6">
        <w:rPr>
          <w:i/>
          <w:color w:val="000000"/>
        </w:rPr>
        <w:t>Third Report and Order</w:t>
      </w:r>
      <w:r w:rsidRPr="00CE1DC6">
        <w:rPr>
          <w:color w:val="000000"/>
        </w:rPr>
        <w:t>, carriers may demonstrate such a need by providing documentation of customer requests and current proof of utilization in the rate center.</w:t>
      </w:r>
      <w:r w:rsidR="00684E9B" w:rsidRPr="00CE1DC6">
        <w:rPr>
          <w:rStyle w:val="FootnoteReference"/>
        </w:rPr>
        <w:footnoteReference w:id="3"/>
      </w:r>
      <w:r w:rsidRPr="00CE1DC6">
        <w:rPr>
          <w:color w:val="000000"/>
        </w:rPr>
        <w:t xml:space="preserve"> </w:t>
      </w:r>
      <w:r w:rsidR="00F564A7">
        <w:rPr>
          <w:color w:val="000000"/>
        </w:rPr>
        <w:t xml:space="preserve"> </w:t>
      </w:r>
      <w:r w:rsidRPr="00CE1DC6">
        <w:rPr>
          <w:color w:val="000000"/>
        </w:rPr>
        <w:t xml:space="preserve">The FCC also directed that any numbering resources granted for this reason may be initially activated only to serve the requesting customer for whom the application was made.  If the customer request is withdrawn or declined, the requesting carrier must return the numbers to the Pooling Administrator, </w:t>
      </w:r>
      <w:proofErr w:type="spellStart"/>
      <w:r w:rsidRPr="00CE1DC6">
        <w:rPr>
          <w:color w:val="000000"/>
        </w:rPr>
        <w:t>Neustar</w:t>
      </w:r>
      <w:proofErr w:type="spellEnd"/>
      <w:r w:rsidRPr="00CE1DC6">
        <w:rPr>
          <w:color w:val="000000"/>
        </w:rPr>
        <w:t>, Inc. (</w:t>
      </w:r>
      <w:proofErr w:type="spellStart"/>
      <w:r w:rsidRPr="00CE1DC6">
        <w:rPr>
          <w:color w:val="000000"/>
        </w:rPr>
        <w:t>Neustar</w:t>
      </w:r>
      <w:proofErr w:type="spellEnd"/>
      <w:r w:rsidRPr="00CE1DC6">
        <w:rPr>
          <w:color w:val="000000"/>
        </w:rPr>
        <w:t>) and may not retain the numbers to serve other customers without first meeting the FCC’s growth numbering resource requirements.</w:t>
      </w:r>
      <w:r w:rsidRPr="00CE1DC6">
        <w:rPr>
          <w:rStyle w:val="FootnoteReference"/>
          <w:color w:val="000000"/>
        </w:rPr>
        <w:footnoteReference w:id="4"/>
      </w:r>
    </w:p>
    <w:p w:rsidR="00D71635" w:rsidRPr="00CE1DC6" w:rsidRDefault="00076F90" w:rsidP="00076F90">
      <w:pPr>
        <w:pStyle w:val="p3"/>
        <w:rPr>
          <w:color w:val="000000"/>
        </w:rPr>
      </w:pPr>
      <w:r w:rsidRPr="00CE1DC6">
        <w:rPr>
          <w:color w:val="000000"/>
        </w:rPr>
        <w:lastRenderedPageBreak/>
        <w:tab/>
      </w:r>
      <w:r w:rsidRPr="00CE1DC6">
        <w:rPr>
          <w:color w:val="000000"/>
        </w:rPr>
        <w:tab/>
        <w:t>M</w:t>
      </w:r>
      <w:r w:rsidRPr="00CE1DC6">
        <w:t xml:space="preserve">andatory </w:t>
      </w:r>
      <w:r w:rsidR="00C6407A">
        <w:t>one-thousand number</w:t>
      </w:r>
      <w:r w:rsidR="00072126">
        <w:t>s</w:t>
      </w:r>
      <w:r w:rsidR="00C6407A">
        <w:t xml:space="preserve"> block</w:t>
      </w:r>
      <w:r w:rsidRPr="00CE1DC6">
        <w:t xml:space="preserve"> pooling was implemented in the </w:t>
      </w:r>
      <w:r w:rsidR="005919E1">
        <w:t>724</w:t>
      </w:r>
      <w:r w:rsidR="00E6327C" w:rsidRPr="00CE1DC6">
        <w:t xml:space="preserve"> </w:t>
      </w:r>
      <w:r w:rsidRPr="00CE1DC6">
        <w:t>NPA in accordance with the FCC’s national rollout schedule for pooling.</w:t>
      </w:r>
      <w:r w:rsidRPr="00CE1DC6">
        <w:rPr>
          <w:rStyle w:val="FootnoteReference"/>
        </w:rPr>
        <w:footnoteReference w:id="5"/>
      </w:r>
      <w:r w:rsidRPr="00CE1DC6">
        <w:t xml:space="preserve">  Accordingly, as a pooling carrier, </w:t>
      </w:r>
      <w:r w:rsidR="00072126">
        <w:rPr>
          <w:color w:val="000000"/>
        </w:rPr>
        <w:t>US LEC</w:t>
      </w:r>
      <w:r w:rsidR="00F96BF0" w:rsidRPr="00CE1DC6">
        <w:t xml:space="preserve"> </w:t>
      </w:r>
      <w:r w:rsidRPr="00CE1DC6">
        <w:t xml:space="preserve">must comply with the FCC’s </w:t>
      </w:r>
      <w:r w:rsidR="00C6407A">
        <w:t>one-</w:t>
      </w:r>
      <w:r w:rsidRPr="00CE1DC6">
        <w:t>thousand</w:t>
      </w:r>
      <w:r w:rsidR="00C6407A">
        <w:t xml:space="preserve"> number</w:t>
      </w:r>
      <w:r w:rsidR="00072126">
        <w:t>s</w:t>
      </w:r>
      <w:r w:rsidR="00C6407A">
        <w:t xml:space="preserve"> </w:t>
      </w:r>
      <w:r w:rsidRPr="00CE1DC6">
        <w:t>block pooling regulations.</w:t>
      </w:r>
      <w:r w:rsidRPr="00CE1DC6">
        <w:rPr>
          <w:rStyle w:val="FootnoteReference"/>
        </w:rPr>
        <w:footnoteReference w:id="6"/>
      </w:r>
      <w:r w:rsidRPr="00CE1DC6">
        <w:rPr>
          <w:color w:val="000000"/>
        </w:rPr>
        <w:t xml:space="preserve">  Consequently, </w:t>
      </w:r>
      <w:r w:rsidR="005919E1">
        <w:rPr>
          <w:color w:val="000000"/>
        </w:rPr>
        <w:t>US LEC</w:t>
      </w:r>
      <w:r w:rsidRPr="00CE1DC6">
        <w:rPr>
          <w:color w:val="000000"/>
        </w:rPr>
        <w:t xml:space="preserve"> is required to obtain its numbering resources from </w:t>
      </w:r>
      <w:proofErr w:type="spellStart"/>
      <w:r w:rsidRPr="00CE1DC6">
        <w:rPr>
          <w:color w:val="000000"/>
        </w:rPr>
        <w:t>Neustar</w:t>
      </w:r>
      <w:proofErr w:type="spellEnd"/>
      <w:r w:rsidRPr="00CE1DC6">
        <w:rPr>
          <w:color w:val="000000"/>
        </w:rPr>
        <w:t>.</w:t>
      </w:r>
      <w:r w:rsidR="00752101" w:rsidRPr="00CE1DC6">
        <w:rPr>
          <w:rStyle w:val="FootnoteReference"/>
          <w:color w:val="000000"/>
        </w:rPr>
        <w:footnoteReference w:id="7"/>
      </w:r>
      <w:r w:rsidRPr="00CE1DC6">
        <w:rPr>
          <w:color w:val="000000"/>
        </w:rPr>
        <w:t xml:space="preserve">  </w:t>
      </w:r>
    </w:p>
    <w:p w:rsidR="00D71635" w:rsidRPr="00CE1DC6" w:rsidRDefault="00D71635" w:rsidP="002952B0">
      <w:pPr>
        <w:pStyle w:val="p3"/>
        <w:spacing w:line="360" w:lineRule="auto"/>
        <w:rPr>
          <w:color w:val="000000"/>
        </w:rPr>
      </w:pPr>
    </w:p>
    <w:p w:rsidR="00D71635" w:rsidRPr="00CE1DC6" w:rsidRDefault="00D71635" w:rsidP="00076F90">
      <w:pPr>
        <w:pStyle w:val="p3"/>
      </w:pPr>
      <w:r w:rsidRPr="00CE1DC6">
        <w:rPr>
          <w:color w:val="000000"/>
        </w:rPr>
        <w:tab/>
      </w:r>
      <w:r w:rsidRPr="00CE1DC6">
        <w:rPr>
          <w:color w:val="000000"/>
        </w:rPr>
        <w:tab/>
      </w:r>
      <w:r w:rsidR="00176BBC">
        <w:rPr>
          <w:color w:val="000000"/>
        </w:rPr>
        <w:t xml:space="preserve"> </w:t>
      </w:r>
      <w:r w:rsidR="00072126">
        <w:rPr>
          <w:color w:val="000000"/>
        </w:rPr>
        <w:t>US LEC</w:t>
      </w:r>
      <w:r w:rsidR="00F96BF0" w:rsidRPr="00CE1DC6">
        <w:t xml:space="preserve"> </w:t>
      </w:r>
      <w:r w:rsidRPr="00CE1DC6">
        <w:t xml:space="preserve">indicates that its current inventory and utilization of numbers in the </w:t>
      </w:r>
      <w:r w:rsidR="005919E1">
        <w:t>Butler</w:t>
      </w:r>
      <w:r w:rsidR="00E6327C" w:rsidRPr="00CE1DC6">
        <w:t xml:space="preserve"> </w:t>
      </w:r>
      <w:r w:rsidR="00072126">
        <w:t>R</w:t>
      </w:r>
      <w:r w:rsidRPr="00CE1DC6">
        <w:t xml:space="preserve">ate </w:t>
      </w:r>
      <w:r w:rsidR="00072126">
        <w:t>C</w:t>
      </w:r>
      <w:r w:rsidRPr="00CE1DC6">
        <w:t>enter will not permit the company to reach the FCC's required six-months-to-exhaust criteria for rate centers.</w:t>
      </w:r>
      <w:r w:rsidR="00AD48DF" w:rsidRPr="00CE1DC6">
        <w:rPr>
          <w:rStyle w:val="FootnoteReference"/>
        </w:rPr>
        <w:footnoteReference w:id="8"/>
      </w:r>
      <w:r w:rsidRPr="00CE1DC6">
        <w:t xml:space="preserve">  Thus, </w:t>
      </w:r>
      <w:proofErr w:type="spellStart"/>
      <w:r w:rsidRPr="00CE1DC6">
        <w:t>Neustar</w:t>
      </w:r>
      <w:proofErr w:type="spellEnd"/>
      <w:r w:rsidRPr="00CE1DC6">
        <w:t xml:space="preserve">, in accordance with the FCC’s </w:t>
      </w:r>
      <w:r w:rsidR="00270A95" w:rsidRPr="00CE1DC6">
        <w:rPr>
          <w:i/>
        </w:rPr>
        <w:t xml:space="preserve">Second </w:t>
      </w:r>
      <w:r w:rsidRPr="00CE1DC6">
        <w:rPr>
          <w:i/>
        </w:rPr>
        <w:t>Report and Order</w:t>
      </w:r>
      <w:r w:rsidRPr="00CE1DC6">
        <w:t xml:space="preserve">, rejected </w:t>
      </w:r>
      <w:r w:rsidR="00BD59B3">
        <w:rPr>
          <w:color w:val="000000"/>
        </w:rPr>
        <w:t>US LEC</w:t>
      </w:r>
      <w:r w:rsidR="00072126">
        <w:rPr>
          <w:color w:val="000000"/>
        </w:rPr>
        <w:t>’s</w:t>
      </w:r>
      <w:r w:rsidRPr="00CE1DC6">
        <w:t xml:space="preserve"> specific numbering request.</w:t>
      </w:r>
    </w:p>
    <w:p w:rsidR="00D71635" w:rsidRPr="00CE1DC6" w:rsidRDefault="00D71635" w:rsidP="002952B0">
      <w:pPr>
        <w:pStyle w:val="p3"/>
        <w:spacing w:line="360" w:lineRule="auto"/>
      </w:pPr>
    </w:p>
    <w:p w:rsidR="00B91C73" w:rsidRPr="00CE1DC6" w:rsidRDefault="0035678B" w:rsidP="00076F90">
      <w:pPr>
        <w:pStyle w:val="p3"/>
        <w:rPr>
          <w:color w:val="000000"/>
        </w:rPr>
      </w:pPr>
      <w:r w:rsidRPr="00CE1DC6">
        <w:rPr>
          <w:color w:val="000000"/>
        </w:rPr>
        <w:t xml:space="preserve">  </w:t>
      </w:r>
      <w:r w:rsidR="00076F90" w:rsidRPr="00CE1DC6">
        <w:rPr>
          <w:color w:val="000000"/>
        </w:rPr>
        <w:tab/>
      </w:r>
      <w:r w:rsidR="00076F90" w:rsidRPr="00CE1DC6">
        <w:rPr>
          <w:color w:val="000000"/>
        </w:rPr>
        <w:tab/>
      </w:r>
      <w:r w:rsidR="000B696F" w:rsidRPr="00CE1DC6">
        <w:rPr>
          <w:color w:val="000000"/>
        </w:rPr>
        <w:t xml:space="preserve">In accordance with the FCC’s </w:t>
      </w:r>
      <w:r w:rsidR="000B696F" w:rsidRPr="00CE1DC6">
        <w:rPr>
          <w:i/>
          <w:color w:val="000000"/>
        </w:rPr>
        <w:t>Third Report and Order,</w:t>
      </w:r>
      <w:r w:rsidR="000B696F" w:rsidRPr="00CE1DC6">
        <w:rPr>
          <w:color w:val="000000"/>
        </w:rPr>
        <w:t xml:space="preserve"> </w:t>
      </w:r>
      <w:r w:rsidR="00072126">
        <w:rPr>
          <w:color w:val="000000"/>
        </w:rPr>
        <w:t xml:space="preserve">US LEC </w:t>
      </w:r>
      <w:r w:rsidR="000B696F" w:rsidRPr="00CE1DC6">
        <w:rPr>
          <w:color w:val="000000"/>
        </w:rPr>
        <w:t xml:space="preserve">has petitioned the Commission to obtain additional numbering resources to accommodate a specific customer request in the </w:t>
      </w:r>
      <w:r w:rsidR="00BD59B3">
        <w:rPr>
          <w:color w:val="000000"/>
        </w:rPr>
        <w:t>724</w:t>
      </w:r>
      <w:r w:rsidR="00E6327C" w:rsidRPr="00CE1DC6">
        <w:rPr>
          <w:color w:val="000000"/>
        </w:rPr>
        <w:t xml:space="preserve"> </w:t>
      </w:r>
      <w:r w:rsidR="000B696F" w:rsidRPr="00CE1DC6">
        <w:rPr>
          <w:color w:val="000000"/>
        </w:rPr>
        <w:t>NPA.</w:t>
      </w:r>
      <w:r w:rsidR="000B696F" w:rsidRPr="00CE1DC6">
        <w:rPr>
          <w:rStyle w:val="FootnoteReference"/>
          <w:color w:val="000000"/>
        </w:rPr>
        <w:footnoteReference w:id="9"/>
      </w:r>
      <w:r w:rsidR="00B91C73" w:rsidRPr="00CE1DC6">
        <w:rPr>
          <w:color w:val="000000"/>
        </w:rPr>
        <w:t xml:space="preserve">  In this case, </w:t>
      </w:r>
      <w:r w:rsidR="00BD59B3">
        <w:rPr>
          <w:color w:val="000000"/>
        </w:rPr>
        <w:t>US LEC’s</w:t>
      </w:r>
      <w:r w:rsidR="00B91C73" w:rsidRPr="00CE1DC6">
        <w:rPr>
          <w:color w:val="000000"/>
        </w:rPr>
        <w:t xml:space="preserve"> current inventory of telephone numbers cannot accommodate the specific customer’s request.  </w:t>
      </w:r>
      <w:proofErr w:type="spellStart"/>
      <w:r w:rsidR="00B91C73" w:rsidRPr="00CE1DC6">
        <w:rPr>
          <w:color w:val="000000"/>
        </w:rPr>
        <w:t>Neustar</w:t>
      </w:r>
      <w:proofErr w:type="spellEnd"/>
      <w:r w:rsidR="00B91C73" w:rsidRPr="00CE1DC6">
        <w:rPr>
          <w:color w:val="000000"/>
        </w:rPr>
        <w:t xml:space="preserve"> rejected </w:t>
      </w:r>
      <w:r w:rsidR="00BD59B3">
        <w:rPr>
          <w:color w:val="000000"/>
        </w:rPr>
        <w:t>US LEC’S</w:t>
      </w:r>
      <w:r w:rsidR="00B91C73" w:rsidRPr="00CE1DC6">
        <w:rPr>
          <w:color w:val="000000"/>
        </w:rPr>
        <w:t xml:space="preserve"> requests for </w:t>
      </w:r>
      <w:r w:rsidR="00BD59B3">
        <w:rPr>
          <w:color w:val="000000"/>
        </w:rPr>
        <w:t>1,000</w:t>
      </w:r>
      <w:r w:rsidR="00E6327C" w:rsidRPr="00CE1DC6">
        <w:rPr>
          <w:color w:val="000000"/>
        </w:rPr>
        <w:t xml:space="preserve"> </w:t>
      </w:r>
      <w:r w:rsidR="00B91C73" w:rsidRPr="00CE1DC6">
        <w:rPr>
          <w:color w:val="000000"/>
        </w:rPr>
        <w:t>consecutive telephone numbers since the carrier could not meet the growth requirements for obtaining additional numbering resources in this specific rate center.</w:t>
      </w:r>
    </w:p>
    <w:p w:rsidR="00B91C73" w:rsidRPr="00CE1DC6" w:rsidRDefault="00B91C73" w:rsidP="002952B0">
      <w:pPr>
        <w:pStyle w:val="p3"/>
        <w:spacing w:line="360" w:lineRule="auto"/>
        <w:rPr>
          <w:color w:val="000000"/>
        </w:rPr>
      </w:pPr>
    </w:p>
    <w:p w:rsidR="003005EF" w:rsidRPr="00CE1DC6" w:rsidRDefault="00B91C73" w:rsidP="003005EF">
      <w:pPr>
        <w:pStyle w:val="Default"/>
      </w:pPr>
      <w:r w:rsidRPr="00CE1DC6">
        <w:tab/>
        <w:t xml:space="preserve">However, receiving a </w:t>
      </w:r>
      <w:r w:rsidR="00A12AF7">
        <w:t>one-thousand numbers</w:t>
      </w:r>
      <w:r w:rsidR="00E6327C" w:rsidRPr="00CE1DC6">
        <w:t xml:space="preserve"> </w:t>
      </w:r>
      <w:r w:rsidRPr="00CE1DC6">
        <w:t xml:space="preserve">block in the </w:t>
      </w:r>
      <w:r w:rsidR="00BD59B3">
        <w:t>724</w:t>
      </w:r>
      <w:r w:rsidR="00E6327C" w:rsidRPr="00CE1DC6">
        <w:t xml:space="preserve"> </w:t>
      </w:r>
      <w:r w:rsidRPr="00CE1DC6">
        <w:t xml:space="preserve">NPA is in the public interest in that it provides </w:t>
      </w:r>
      <w:r w:rsidR="00BD59B3">
        <w:t>the Company</w:t>
      </w:r>
      <w:r w:rsidR="00B03859">
        <w:t xml:space="preserve"> </w:t>
      </w:r>
      <w:r w:rsidRPr="00CE1DC6">
        <w:t>with the necessary numbering resources to respond to this specific customer request.</w:t>
      </w:r>
      <w:r w:rsidR="003005EF" w:rsidRPr="00CE1DC6">
        <w:t xml:space="preserve">  The FCC has clearly stated that states may grant relief if a carrier demonstrates that it has received a customer request for numbering resources in a given rate center for which it cannot meet that request with its current inventory.</w:t>
      </w:r>
      <w:r w:rsidR="00CF4050" w:rsidRPr="00CE1DC6">
        <w:rPr>
          <w:rStyle w:val="FootnoteReference"/>
        </w:rPr>
        <w:footnoteReference w:id="10"/>
      </w:r>
      <w:r w:rsidR="003005EF" w:rsidRPr="00CE1DC6">
        <w:t xml:space="preserve"> </w:t>
      </w:r>
    </w:p>
    <w:p w:rsidR="00B91C73" w:rsidRPr="00CE1DC6" w:rsidRDefault="00B91C73" w:rsidP="002952B0">
      <w:pPr>
        <w:pStyle w:val="Default"/>
        <w:spacing w:line="360" w:lineRule="auto"/>
      </w:pPr>
      <w:r w:rsidRPr="00CE1DC6">
        <w:t xml:space="preserve"> </w:t>
      </w:r>
    </w:p>
    <w:p w:rsidR="002952B0" w:rsidRDefault="00B91C73" w:rsidP="00463680">
      <w:pPr>
        <w:pStyle w:val="p3"/>
        <w:rPr>
          <w:color w:val="000000"/>
        </w:rPr>
      </w:pPr>
      <w:r w:rsidRPr="00CE1DC6">
        <w:t xml:space="preserve"> </w:t>
      </w:r>
      <w:r w:rsidR="003005EF" w:rsidRPr="00CE1DC6">
        <w:rPr>
          <w:color w:val="000000"/>
        </w:rPr>
        <w:tab/>
      </w:r>
      <w:r w:rsidR="003005EF" w:rsidRPr="00CE1DC6">
        <w:rPr>
          <w:color w:val="000000"/>
        </w:rPr>
        <w:tab/>
      </w:r>
      <w:r w:rsidR="00463680" w:rsidRPr="00CE1DC6">
        <w:rPr>
          <w:color w:val="000000"/>
        </w:rPr>
        <w:t>W</w:t>
      </w:r>
      <w:r w:rsidR="000B696F" w:rsidRPr="00CE1DC6">
        <w:rPr>
          <w:color w:val="000000"/>
        </w:rPr>
        <w:t xml:space="preserve">e note that </w:t>
      </w:r>
      <w:r w:rsidR="00BD59B3">
        <w:rPr>
          <w:color w:val="000000"/>
        </w:rPr>
        <w:t>the Company</w:t>
      </w:r>
      <w:r w:rsidR="00E6327C" w:rsidRPr="00CE1DC6">
        <w:rPr>
          <w:color w:val="000000"/>
        </w:rPr>
        <w:t xml:space="preserve"> </w:t>
      </w:r>
      <w:r w:rsidR="000B696F" w:rsidRPr="00CE1DC6">
        <w:rPr>
          <w:color w:val="000000"/>
        </w:rPr>
        <w:t xml:space="preserve">has provided supporting documentation that verifies that a specific customer has requested </w:t>
      </w:r>
      <w:r w:rsidR="00BD59B3">
        <w:rPr>
          <w:color w:val="000000"/>
        </w:rPr>
        <w:t>1,000</w:t>
      </w:r>
      <w:r w:rsidR="00E6327C" w:rsidRPr="00CE1DC6">
        <w:rPr>
          <w:color w:val="000000"/>
        </w:rPr>
        <w:t xml:space="preserve"> </w:t>
      </w:r>
      <w:r w:rsidR="000B696F" w:rsidRPr="00CE1DC6">
        <w:rPr>
          <w:color w:val="000000"/>
        </w:rPr>
        <w:t>consecutive telephone numbers</w:t>
      </w:r>
      <w:r w:rsidR="009D48C2" w:rsidRPr="00CE1DC6">
        <w:rPr>
          <w:color w:val="000000"/>
        </w:rPr>
        <w:t xml:space="preserve"> in the </w:t>
      </w:r>
      <w:r w:rsidR="00BD59B3">
        <w:rPr>
          <w:color w:val="000000"/>
        </w:rPr>
        <w:t>724</w:t>
      </w:r>
      <w:r w:rsidR="00E6327C" w:rsidRPr="00CE1DC6">
        <w:rPr>
          <w:color w:val="000000"/>
        </w:rPr>
        <w:t xml:space="preserve"> </w:t>
      </w:r>
      <w:r w:rsidR="009D48C2" w:rsidRPr="00CE1DC6">
        <w:rPr>
          <w:color w:val="000000"/>
        </w:rPr>
        <w:t>NPA</w:t>
      </w:r>
      <w:r w:rsidR="000B696F" w:rsidRPr="00CE1DC6">
        <w:rPr>
          <w:color w:val="000000"/>
        </w:rPr>
        <w:t>.  The customer</w:t>
      </w:r>
      <w:r w:rsidR="00463680" w:rsidRPr="00CE1DC6">
        <w:rPr>
          <w:color w:val="000000"/>
        </w:rPr>
        <w:t>’s</w:t>
      </w:r>
      <w:r w:rsidR="000B696F" w:rsidRPr="00CE1DC6">
        <w:rPr>
          <w:color w:val="000000"/>
        </w:rPr>
        <w:t xml:space="preserve"> request is to have the </w:t>
      </w:r>
      <w:r w:rsidR="00BD59B3">
        <w:rPr>
          <w:color w:val="000000"/>
        </w:rPr>
        <w:t>1,000</w:t>
      </w:r>
      <w:r w:rsidR="00E6327C" w:rsidRPr="00CE1DC6">
        <w:rPr>
          <w:color w:val="000000"/>
        </w:rPr>
        <w:t xml:space="preserve"> </w:t>
      </w:r>
      <w:r w:rsidR="000B696F" w:rsidRPr="00CE1DC6">
        <w:rPr>
          <w:color w:val="000000"/>
        </w:rPr>
        <w:t xml:space="preserve">numbers assigned to the </w:t>
      </w:r>
      <w:r w:rsidR="00BD59B3">
        <w:rPr>
          <w:color w:val="000000"/>
        </w:rPr>
        <w:t>Butler</w:t>
      </w:r>
      <w:r w:rsidR="00E6327C" w:rsidRPr="00CE1DC6">
        <w:rPr>
          <w:color w:val="000000"/>
        </w:rPr>
        <w:t xml:space="preserve"> </w:t>
      </w:r>
      <w:r w:rsidR="00072126">
        <w:rPr>
          <w:color w:val="000000"/>
        </w:rPr>
        <w:t>R</w:t>
      </w:r>
      <w:r w:rsidR="000B696F" w:rsidRPr="00CE1DC6">
        <w:rPr>
          <w:color w:val="000000"/>
        </w:rPr>
        <w:t xml:space="preserve">ate </w:t>
      </w:r>
      <w:r w:rsidR="00072126">
        <w:rPr>
          <w:color w:val="000000"/>
        </w:rPr>
        <w:t>C</w:t>
      </w:r>
      <w:r w:rsidR="000B696F" w:rsidRPr="00CE1DC6">
        <w:rPr>
          <w:color w:val="000000"/>
        </w:rPr>
        <w:t xml:space="preserve">enter for </w:t>
      </w:r>
      <w:r w:rsidR="00463680" w:rsidRPr="00CE1DC6">
        <w:rPr>
          <w:color w:val="000000"/>
        </w:rPr>
        <w:t xml:space="preserve">its </w:t>
      </w:r>
      <w:r w:rsidR="000B696F" w:rsidRPr="00CE1DC6">
        <w:rPr>
          <w:color w:val="000000"/>
        </w:rPr>
        <w:t xml:space="preserve">exclusive use. </w:t>
      </w:r>
      <w:r w:rsidR="00072126">
        <w:rPr>
          <w:color w:val="000000"/>
        </w:rPr>
        <w:t xml:space="preserve"> </w:t>
      </w:r>
    </w:p>
    <w:p w:rsidR="002952B0" w:rsidRDefault="002952B0" w:rsidP="00463680">
      <w:pPr>
        <w:pStyle w:val="p3"/>
        <w:rPr>
          <w:color w:val="000000"/>
        </w:rPr>
      </w:pPr>
    </w:p>
    <w:p w:rsidR="00EB2615" w:rsidRDefault="00EB2615" w:rsidP="00463680">
      <w:pPr>
        <w:pStyle w:val="p3"/>
      </w:pPr>
      <w:r w:rsidRPr="00CE1DC6">
        <w:rPr>
          <w:color w:val="000000"/>
        </w:rPr>
        <w:lastRenderedPageBreak/>
        <w:t>I</w:t>
      </w:r>
      <w:r w:rsidRPr="00CE1DC6">
        <w:t>n order to comply with its current internal dialing plan</w:t>
      </w:r>
      <w:r w:rsidR="000B696F" w:rsidRPr="00CE1DC6">
        <w:rPr>
          <w:color w:val="000000"/>
        </w:rPr>
        <w:t xml:space="preserve">, the </w:t>
      </w:r>
      <w:r w:rsidR="008E4659" w:rsidRPr="00CE1DC6">
        <w:rPr>
          <w:color w:val="000000"/>
        </w:rPr>
        <w:t xml:space="preserve">customer </w:t>
      </w:r>
      <w:r w:rsidR="000B696F" w:rsidRPr="00CE1DC6">
        <w:t xml:space="preserve">is in need of </w:t>
      </w:r>
      <w:r w:rsidR="00EE54CB" w:rsidRPr="00CE1DC6">
        <w:t xml:space="preserve">a block of telephone numbers </w:t>
      </w:r>
      <w:r w:rsidR="00BD59B3">
        <w:t>match</w:t>
      </w:r>
      <w:r w:rsidR="008E4082">
        <w:t>ing</w:t>
      </w:r>
      <w:r w:rsidRPr="00CE1DC6">
        <w:t xml:space="preserve"> </w:t>
      </w:r>
      <w:r w:rsidR="008E4082">
        <w:t xml:space="preserve">one of </w:t>
      </w:r>
      <w:r w:rsidRPr="00CE1DC6">
        <w:t>the following numbers:</w:t>
      </w:r>
    </w:p>
    <w:p w:rsidR="00BD59B3" w:rsidRDefault="00BD59B3" w:rsidP="00463680">
      <w:pPr>
        <w:pStyle w:val="p3"/>
      </w:pPr>
    </w:p>
    <w:p w:rsidR="00E6327C" w:rsidRDefault="00BD59B3" w:rsidP="00302E13">
      <w:pPr>
        <w:pStyle w:val="p3"/>
      </w:pPr>
      <w:r>
        <w:tab/>
      </w:r>
      <w:r>
        <w:tab/>
        <w:t>724-332-2</w:t>
      </w:r>
      <w:r>
        <w:tab/>
        <w:t>878-271-6</w:t>
      </w:r>
      <w:r>
        <w:tab/>
        <w:t>878-271-8</w:t>
      </w:r>
    </w:p>
    <w:p w:rsidR="002952B0" w:rsidRPr="00CE1DC6" w:rsidRDefault="002952B0" w:rsidP="00302E13">
      <w:pPr>
        <w:pStyle w:val="p3"/>
      </w:pPr>
    </w:p>
    <w:p w:rsidR="00076F90" w:rsidRPr="00CE1DC6" w:rsidRDefault="00035FEF" w:rsidP="00035FEF">
      <w:pPr>
        <w:rPr>
          <w:sz w:val="24"/>
          <w:szCs w:val="24"/>
        </w:rPr>
      </w:pPr>
      <w:r w:rsidRPr="00CE1DC6">
        <w:rPr>
          <w:sz w:val="24"/>
          <w:szCs w:val="24"/>
        </w:rPr>
        <w:tab/>
      </w:r>
      <w:r w:rsidR="00EB2615" w:rsidRPr="00CE1DC6">
        <w:rPr>
          <w:sz w:val="24"/>
          <w:szCs w:val="24"/>
        </w:rPr>
        <w:t xml:space="preserve">There is verifiable evidence that </w:t>
      </w:r>
      <w:r w:rsidR="00BD59B3">
        <w:rPr>
          <w:sz w:val="24"/>
          <w:szCs w:val="24"/>
        </w:rPr>
        <w:t>US LEC</w:t>
      </w:r>
      <w:r w:rsidR="00E6327C" w:rsidRPr="00CE1DC6">
        <w:rPr>
          <w:sz w:val="24"/>
          <w:szCs w:val="24"/>
        </w:rPr>
        <w:t xml:space="preserve"> </w:t>
      </w:r>
      <w:r w:rsidR="00EB2615" w:rsidRPr="00CE1DC6">
        <w:rPr>
          <w:sz w:val="24"/>
          <w:szCs w:val="24"/>
        </w:rPr>
        <w:t xml:space="preserve">is unable to satisfy </w:t>
      </w:r>
      <w:r w:rsidR="00463680" w:rsidRPr="00CE1DC6">
        <w:rPr>
          <w:sz w:val="24"/>
          <w:szCs w:val="24"/>
        </w:rPr>
        <w:t>the</w:t>
      </w:r>
      <w:r w:rsidR="00EB2615" w:rsidRPr="00CE1DC6">
        <w:rPr>
          <w:sz w:val="24"/>
          <w:szCs w:val="24"/>
        </w:rPr>
        <w:t xml:space="preserve"> specific customer request from its current inventory</w:t>
      </w:r>
      <w:r w:rsidR="00EB2615" w:rsidRPr="00CE1DC6">
        <w:rPr>
          <w:color w:val="000000"/>
          <w:sz w:val="24"/>
          <w:szCs w:val="24"/>
        </w:rPr>
        <w:t xml:space="preserve">.  </w:t>
      </w:r>
      <w:r w:rsidR="00076F90" w:rsidRPr="00CE1DC6">
        <w:rPr>
          <w:sz w:val="24"/>
          <w:szCs w:val="24"/>
        </w:rPr>
        <w:t xml:space="preserve">Accordingly, the Commission hereby approves </w:t>
      </w:r>
      <w:r w:rsidR="008E4082">
        <w:rPr>
          <w:sz w:val="24"/>
          <w:szCs w:val="24"/>
        </w:rPr>
        <w:t>the Company’s</w:t>
      </w:r>
      <w:r w:rsidR="00463680" w:rsidRPr="00CE1DC6">
        <w:rPr>
          <w:sz w:val="24"/>
          <w:szCs w:val="24"/>
        </w:rPr>
        <w:t xml:space="preserve"> </w:t>
      </w:r>
      <w:r w:rsidR="00076F90" w:rsidRPr="00CE1DC6">
        <w:rPr>
          <w:sz w:val="24"/>
          <w:szCs w:val="24"/>
        </w:rPr>
        <w:t xml:space="preserve">request to obtain </w:t>
      </w:r>
      <w:r w:rsidR="00BD59B3">
        <w:rPr>
          <w:sz w:val="24"/>
          <w:szCs w:val="24"/>
        </w:rPr>
        <w:t>1,000</w:t>
      </w:r>
      <w:r w:rsidR="00E6327C" w:rsidRPr="00CE1DC6">
        <w:rPr>
          <w:sz w:val="24"/>
          <w:szCs w:val="24"/>
        </w:rPr>
        <w:t xml:space="preserve"> </w:t>
      </w:r>
      <w:r w:rsidR="00076F90" w:rsidRPr="00CE1DC6">
        <w:rPr>
          <w:sz w:val="24"/>
          <w:szCs w:val="24"/>
        </w:rPr>
        <w:t xml:space="preserve">telephone numbers </w:t>
      </w:r>
      <w:r w:rsidR="000F68BC" w:rsidRPr="00CE1DC6">
        <w:rPr>
          <w:sz w:val="24"/>
          <w:szCs w:val="24"/>
        </w:rPr>
        <w:t xml:space="preserve">in </w:t>
      </w:r>
      <w:r w:rsidR="00E756E8" w:rsidRPr="00CE1DC6">
        <w:rPr>
          <w:sz w:val="24"/>
          <w:szCs w:val="24"/>
        </w:rPr>
        <w:t xml:space="preserve">the </w:t>
      </w:r>
      <w:r w:rsidR="00BD59B3">
        <w:rPr>
          <w:sz w:val="24"/>
          <w:szCs w:val="24"/>
        </w:rPr>
        <w:t>724</w:t>
      </w:r>
      <w:r w:rsidR="00E6327C" w:rsidRPr="00CE1DC6">
        <w:rPr>
          <w:sz w:val="24"/>
          <w:szCs w:val="24"/>
        </w:rPr>
        <w:t xml:space="preserve"> </w:t>
      </w:r>
      <w:r w:rsidR="00E756E8" w:rsidRPr="00CE1DC6">
        <w:rPr>
          <w:sz w:val="24"/>
          <w:szCs w:val="24"/>
        </w:rPr>
        <w:t xml:space="preserve">NPA </w:t>
      </w:r>
      <w:r w:rsidR="00076F90" w:rsidRPr="00CE1DC6">
        <w:rPr>
          <w:sz w:val="24"/>
          <w:szCs w:val="24"/>
        </w:rPr>
        <w:t xml:space="preserve">for </w:t>
      </w:r>
      <w:r w:rsidR="00E756E8" w:rsidRPr="00CE1DC6">
        <w:rPr>
          <w:sz w:val="24"/>
          <w:szCs w:val="24"/>
        </w:rPr>
        <w:t xml:space="preserve">assignment to </w:t>
      </w:r>
      <w:r w:rsidR="00076F90" w:rsidRPr="00CE1DC6">
        <w:rPr>
          <w:sz w:val="24"/>
          <w:szCs w:val="24"/>
        </w:rPr>
        <w:t xml:space="preserve">the </w:t>
      </w:r>
      <w:r w:rsidR="00BD59B3">
        <w:rPr>
          <w:sz w:val="24"/>
          <w:szCs w:val="24"/>
        </w:rPr>
        <w:t>Butler</w:t>
      </w:r>
      <w:r w:rsidR="00E6327C" w:rsidRPr="00CE1DC6">
        <w:rPr>
          <w:sz w:val="24"/>
          <w:szCs w:val="24"/>
        </w:rPr>
        <w:t xml:space="preserve"> </w:t>
      </w:r>
      <w:r w:rsidR="008E4082">
        <w:rPr>
          <w:sz w:val="24"/>
          <w:szCs w:val="24"/>
        </w:rPr>
        <w:t>R</w:t>
      </w:r>
      <w:r w:rsidR="00076F90" w:rsidRPr="00CE1DC6">
        <w:rPr>
          <w:sz w:val="24"/>
          <w:szCs w:val="24"/>
        </w:rPr>
        <w:t xml:space="preserve">ate </w:t>
      </w:r>
      <w:r w:rsidR="008E4082">
        <w:rPr>
          <w:sz w:val="24"/>
          <w:szCs w:val="24"/>
        </w:rPr>
        <w:t>C</w:t>
      </w:r>
      <w:r w:rsidR="00076F90" w:rsidRPr="00CE1DC6">
        <w:rPr>
          <w:sz w:val="24"/>
          <w:szCs w:val="24"/>
        </w:rPr>
        <w:t xml:space="preserve">enter </w:t>
      </w:r>
      <w:r w:rsidR="00E756E8" w:rsidRPr="00CE1DC6">
        <w:rPr>
          <w:sz w:val="24"/>
          <w:szCs w:val="24"/>
        </w:rPr>
        <w:t xml:space="preserve">by </w:t>
      </w:r>
      <w:proofErr w:type="spellStart"/>
      <w:r w:rsidR="00076F90" w:rsidRPr="00CE1DC6">
        <w:rPr>
          <w:sz w:val="24"/>
          <w:szCs w:val="24"/>
        </w:rPr>
        <w:t>Neustar’s</w:t>
      </w:r>
      <w:proofErr w:type="spellEnd"/>
      <w:r w:rsidR="00076F90" w:rsidRPr="00CE1DC6">
        <w:rPr>
          <w:sz w:val="24"/>
          <w:szCs w:val="24"/>
        </w:rPr>
        <w:t xml:space="preserve"> Pooling Administrator.  </w:t>
      </w:r>
    </w:p>
    <w:p w:rsidR="00076F90" w:rsidRPr="00CE1DC6" w:rsidRDefault="00076F90" w:rsidP="002952B0">
      <w:pPr>
        <w:spacing w:line="360" w:lineRule="auto"/>
        <w:rPr>
          <w:sz w:val="24"/>
          <w:szCs w:val="24"/>
        </w:rPr>
      </w:pPr>
    </w:p>
    <w:p w:rsidR="00076F90" w:rsidRPr="00CE1DC6" w:rsidRDefault="00076F90" w:rsidP="00076F90">
      <w:pPr>
        <w:ind w:firstLine="720"/>
        <w:rPr>
          <w:sz w:val="24"/>
          <w:szCs w:val="24"/>
        </w:rPr>
      </w:pPr>
      <w:r w:rsidRPr="00CE1DC6">
        <w:rPr>
          <w:sz w:val="24"/>
          <w:szCs w:val="24"/>
        </w:rPr>
        <w:t xml:space="preserve">In accordance with the FCC's delegation of authority to this Commission, we direct </w:t>
      </w:r>
      <w:proofErr w:type="spellStart"/>
      <w:r w:rsidRPr="00CE1DC6">
        <w:rPr>
          <w:sz w:val="24"/>
          <w:szCs w:val="24"/>
        </w:rPr>
        <w:t>Neustar’s</w:t>
      </w:r>
      <w:proofErr w:type="spellEnd"/>
      <w:r w:rsidRPr="00CE1DC6">
        <w:rPr>
          <w:sz w:val="24"/>
          <w:szCs w:val="24"/>
        </w:rPr>
        <w:t xml:space="preserve"> Pooling Administrator to assign </w:t>
      </w:r>
      <w:r w:rsidR="00BD59B3">
        <w:rPr>
          <w:sz w:val="24"/>
          <w:szCs w:val="24"/>
        </w:rPr>
        <w:t>1,000</w:t>
      </w:r>
      <w:r w:rsidR="00E6327C" w:rsidRPr="00CE1DC6">
        <w:rPr>
          <w:sz w:val="24"/>
          <w:szCs w:val="24"/>
        </w:rPr>
        <w:t xml:space="preserve"> </w:t>
      </w:r>
      <w:r w:rsidR="00A83855" w:rsidRPr="00CE1DC6">
        <w:rPr>
          <w:sz w:val="24"/>
          <w:szCs w:val="24"/>
        </w:rPr>
        <w:t xml:space="preserve">telephone numbers </w:t>
      </w:r>
      <w:r w:rsidRPr="00CE1DC6">
        <w:rPr>
          <w:sz w:val="24"/>
          <w:szCs w:val="24"/>
        </w:rPr>
        <w:t xml:space="preserve">to </w:t>
      </w:r>
      <w:r w:rsidR="00BD59B3">
        <w:rPr>
          <w:sz w:val="24"/>
          <w:szCs w:val="24"/>
        </w:rPr>
        <w:t>US LEC</w:t>
      </w:r>
      <w:r w:rsidR="00E6327C" w:rsidRPr="00CE1DC6">
        <w:rPr>
          <w:sz w:val="24"/>
          <w:szCs w:val="24"/>
        </w:rPr>
        <w:t xml:space="preserve"> </w:t>
      </w:r>
      <w:r w:rsidRPr="00CE1DC6">
        <w:rPr>
          <w:sz w:val="24"/>
          <w:szCs w:val="24"/>
        </w:rPr>
        <w:t xml:space="preserve">within three business days after receipt of its request and documentation pursuant to this </w:t>
      </w:r>
      <w:r w:rsidR="008E4082">
        <w:rPr>
          <w:sz w:val="24"/>
          <w:szCs w:val="24"/>
        </w:rPr>
        <w:t>Secretarial Letter</w:t>
      </w:r>
      <w:r w:rsidRPr="00CE1DC6">
        <w:rPr>
          <w:sz w:val="24"/>
          <w:szCs w:val="24"/>
        </w:rPr>
        <w:t xml:space="preserve">, so that </w:t>
      </w:r>
      <w:r w:rsidR="008E4082">
        <w:rPr>
          <w:sz w:val="24"/>
          <w:szCs w:val="24"/>
        </w:rPr>
        <w:t>US LEC</w:t>
      </w:r>
      <w:r w:rsidR="00E6327C" w:rsidRPr="00CE1DC6">
        <w:rPr>
          <w:sz w:val="24"/>
          <w:szCs w:val="24"/>
        </w:rPr>
        <w:t xml:space="preserve"> </w:t>
      </w:r>
      <w:r w:rsidRPr="00CE1DC6">
        <w:rPr>
          <w:sz w:val="24"/>
          <w:szCs w:val="24"/>
        </w:rPr>
        <w:t>has the necessary numbers to provide telecommunications service</w:t>
      </w:r>
      <w:r w:rsidR="008E4082">
        <w:rPr>
          <w:sz w:val="24"/>
          <w:szCs w:val="24"/>
        </w:rPr>
        <w:t>s</w:t>
      </w:r>
      <w:r w:rsidRPr="00CE1DC6">
        <w:rPr>
          <w:sz w:val="24"/>
          <w:szCs w:val="24"/>
        </w:rPr>
        <w:t xml:space="preserve"> to its customer in a timely manner.</w:t>
      </w:r>
      <w:r w:rsidR="00E756E8" w:rsidRPr="00CE1DC6">
        <w:rPr>
          <w:sz w:val="24"/>
          <w:szCs w:val="24"/>
        </w:rPr>
        <w:t xml:space="preserve">  Additionally, we </w:t>
      </w:r>
      <w:r w:rsidR="000F68BC" w:rsidRPr="00CE1DC6">
        <w:rPr>
          <w:sz w:val="24"/>
          <w:szCs w:val="24"/>
        </w:rPr>
        <w:t xml:space="preserve">also </w:t>
      </w:r>
      <w:r w:rsidR="00E756E8" w:rsidRPr="00CE1DC6">
        <w:rPr>
          <w:sz w:val="24"/>
          <w:szCs w:val="24"/>
        </w:rPr>
        <w:t xml:space="preserve">direct the Pooling Administrator to attempt to accommodate </w:t>
      </w:r>
      <w:r w:rsidR="00BD59B3">
        <w:rPr>
          <w:sz w:val="24"/>
          <w:szCs w:val="24"/>
        </w:rPr>
        <w:t>the Company</w:t>
      </w:r>
      <w:r w:rsidR="00E756E8" w:rsidRPr="00CE1DC6">
        <w:rPr>
          <w:sz w:val="24"/>
          <w:szCs w:val="24"/>
        </w:rPr>
        <w:t>’s request</w:t>
      </w:r>
      <w:r w:rsidR="000212D6" w:rsidRPr="00CE1DC6">
        <w:rPr>
          <w:sz w:val="24"/>
          <w:szCs w:val="24"/>
        </w:rPr>
        <w:t xml:space="preserve"> </w:t>
      </w:r>
      <w:r w:rsidR="00E20D1D" w:rsidRPr="00CE1DC6">
        <w:rPr>
          <w:sz w:val="24"/>
          <w:szCs w:val="24"/>
        </w:rPr>
        <w:t xml:space="preserve">for a specific </w:t>
      </w:r>
      <w:r w:rsidR="00A12AF7">
        <w:rPr>
          <w:sz w:val="24"/>
          <w:szCs w:val="24"/>
        </w:rPr>
        <w:t>one-thousand numbers</w:t>
      </w:r>
      <w:r w:rsidR="00E20D1D" w:rsidRPr="00CE1DC6">
        <w:rPr>
          <w:sz w:val="24"/>
          <w:szCs w:val="24"/>
        </w:rPr>
        <w:t xml:space="preserve"> block in light of </w:t>
      </w:r>
      <w:r w:rsidR="000212D6" w:rsidRPr="00CE1DC6">
        <w:rPr>
          <w:sz w:val="24"/>
          <w:szCs w:val="24"/>
        </w:rPr>
        <w:t>the customer’s existing configuration and internal dial</w:t>
      </w:r>
      <w:r w:rsidR="008433EA">
        <w:rPr>
          <w:sz w:val="24"/>
          <w:szCs w:val="24"/>
        </w:rPr>
        <w:t>ing</w:t>
      </w:r>
      <w:r w:rsidR="000212D6" w:rsidRPr="00CE1DC6">
        <w:rPr>
          <w:sz w:val="24"/>
          <w:szCs w:val="24"/>
        </w:rPr>
        <w:t xml:space="preserve"> plan.</w:t>
      </w:r>
    </w:p>
    <w:p w:rsidR="00301B99" w:rsidRPr="00CE1DC6" w:rsidRDefault="00301B99" w:rsidP="002952B0">
      <w:pPr>
        <w:spacing w:line="360" w:lineRule="auto"/>
        <w:ind w:firstLine="720"/>
        <w:rPr>
          <w:sz w:val="24"/>
          <w:szCs w:val="24"/>
        </w:rPr>
      </w:pPr>
    </w:p>
    <w:p w:rsidR="00076F90" w:rsidRPr="00CE1DC6" w:rsidRDefault="00BD59B3" w:rsidP="00076F90">
      <w:pPr>
        <w:ind w:firstLine="720"/>
        <w:rPr>
          <w:sz w:val="24"/>
          <w:szCs w:val="24"/>
        </w:rPr>
      </w:pPr>
      <w:r>
        <w:rPr>
          <w:sz w:val="24"/>
          <w:szCs w:val="24"/>
        </w:rPr>
        <w:t>US LEC</w:t>
      </w:r>
      <w:r w:rsidR="00E6327C" w:rsidRPr="00CE1DC6">
        <w:rPr>
          <w:sz w:val="24"/>
          <w:szCs w:val="24"/>
        </w:rPr>
        <w:t xml:space="preserve"> </w:t>
      </w:r>
      <w:r w:rsidR="00076F90" w:rsidRPr="00CE1DC6">
        <w:rPr>
          <w:sz w:val="24"/>
          <w:szCs w:val="24"/>
        </w:rPr>
        <w:t xml:space="preserve">is permitted to activate the </w:t>
      </w:r>
      <w:r w:rsidR="00A12AF7">
        <w:rPr>
          <w:sz w:val="24"/>
          <w:szCs w:val="24"/>
        </w:rPr>
        <w:t>one-thousand numbers</w:t>
      </w:r>
      <w:r w:rsidR="00E6327C" w:rsidRPr="00CE1DC6">
        <w:rPr>
          <w:sz w:val="24"/>
          <w:szCs w:val="24"/>
        </w:rPr>
        <w:t xml:space="preserve"> </w:t>
      </w:r>
      <w:r w:rsidR="00076F90" w:rsidRPr="00CE1DC6">
        <w:rPr>
          <w:sz w:val="24"/>
          <w:szCs w:val="24"/>
        </w:rPr>
        <w:t xml:space="preserve">block to accommodate the </w:t>
      </w:r>
      <w:r w:rsidR="00301B99" w:rsidRPr="00CE1DC6">
        <w:rPr>
          <w:sz w:val="24"/>
          <w:szCs w:val="24"/>
        </w:rPr>
        <w:t xml:space="preserve">specific </w:t>
      </w:r>
      <w:r w:rsidR="00076F90" w:rsidRPr="00CE1DC6">
        <w:rPr>
          <w:sz w:val="24"/>
          <w:szCs w:val="24"/>
        </w:rPr>
        <w:t>telecommunications needs of th</w:t>
      </w:r>
      <w:r w:rsidR="00301B99" w:rsidRPr="00CE1DC6">
        <w:rPr>
          <w:sz w:val="24"/>
          <w:szCs w:val="24"/>
        </w:rPr>
        <w:t>is</w:t>
      </w:r>
      <w:r w:rsidR="00076F90" w:rsidRPr="00CE1DC6">
        <w:rPr>
          <w:sz w:val="24"/>
          <w:szCs w:val="24"/>
        </w:rPr>
        <w:t xml:space="preserve"> </w:t>
      </w:r>
      <w:r w:rsidR="00301B99" w:rsidRPr="00CE1DC6">
        <w:rPr>
          <w:sz w:val="24"/>
          <w:szCs w:val="24"/>
        </w:rPr>
        <w:t xml:space="preserve">particular </w:t>
      </w:r>
      <w:r w:rsidR="00076F90" w:rsidRPr="00CE1DC6">
        <w:rPr>
          <w:sz w:val="24"/>
          <w:szCs w:val="24"/>
        </w:rPr>
        <w:t>customer only.  If the customer</w:t>
      </w:r>
      <w:r w:rsidR="00301B99" w:rsidRPr="00CE1DC6">
        <w:rPr>
          <w:sz w:val="24"/>
          <w:szCs w:val="24"/>
        </w:rPr>
        <w:t>’s</w:t>
      </w:r>
      <w:r w:rsidR="00076F90" w:rsidRPr="00CE1DC6">
        <w:rPr>
          <w:sz w:val="24"/>
          <w:szCs w:val="24"/>
        </w:rPr>
        <w:t xml:space="preserve"> request is withdrawn or declined, </w:t>
      </w:r>
      <w:r>
        <w:rPr>
          <w:sz w:val="24"/>
          <w:szCs w:val="24"/>
        </w:rPr>
        <w:t>US LEC</w:t>
      </w:r>
      <w:r w:rsidR="00E6327C" w:rsidRPr="00CE1DC6">
        <w:rPr>
          <w:sz w:val="24"/>
          <w:szCs w:val="24"/>
        </w:rPr>
        <w:t xml:space="preserve"> </w:t>
      </w:r>
      <w:r w:rsidR="00076F90" w:rsidRPr="00CE1DC6">
        <w:rPr>
          <w:sz w:val="24"/>
          <w:szCs w:val="24"/>
        </w:rPr>
        <w:t xml:space="preserve">must return the numbering resources to </w:t>
      </w:r>
      <w:proofErr w:type="spellStart"/>
      <w:r w:rsidR="00076F90" w:rsidRPr="00CE1DC6">
        <w:rPr>
          <w:sz w:val="24"/>
          <w:szCs w:val="24"/>
        </w:rPr>
        <w:t>Neustar</w:t>
      </w:r>
      <w:proofErr w:type="spellEnd"/>
      <w:r w:rsidR="00076F90" w:rsidRPr="00CE1DC6">
        <w:rPr>
          <w:sz w:val="24"/>
          <w:szCs w:val="24"/>
        </w:rPr>
        <w:t xml:space="preserve"> and may not retain the numbering resources to serve </w:t>
      </w:r>
      <w:r w:rsidR="00301B99" w:rsidRPr="00CE1DC6">
        <w:rPr>
          <w:sz w:val="24"/>
          <w:szCs w:val="24"/>
        </w:rPr>
        <w:t xml:space="preserve">any </w:t>
      </w:r>
      <w:r w:rsidR="00076F90" w:rsidRPr="00CE1DC6">
        <w:rPr>
          <w:sz w:val="24"/>
          <w:szCs w:val="24"/>
        </w:rPr>
        <w:t>other customers without first meeting the FCC's growth numbering resource requirements.</w:t>
      </w:r>
      <w:r w:rsidR="008E4082">
        <w:rPr>
          <w:sz w:val="24"/>
          <w:szCs w:val="24"/>
        </w:rPr>
        <w:t xml:space="preserve">  Additionally, in accordance with the FCC’s rules concerning donations of blocks to the pool,</w:t>
      </w:r>
      <w:r w:rsidR="008E4082">
        <w:rPr>
          <w:rStyle w:val="FootnoteReference"/>
          <w:sz w:val="24"/>
          <w:szCs w:val="24"/>
        </w:rPr>
        <w:footnoteReference w:id="11"/>
      </w:r>
      <w:r w:rsidR="008E4082">
        <w:rPr>
          <w:sz w:val="24"/>
          <w:szCs w:val="24"/>
        </w:rPr>
        <w:t xml:space="preserve"> US LEC is directed to return to the Pooling Administrator any or all numbers not needed so that they can be used by other carriers in the 724 NPA pool in accordance with the already established pooling guidelines.  </w:t>
      </w:r>
      <w:r w:rsidR="00076F90" w:rsidRPr="00CE1DC6">
        <w:rPr>
          <w:sz w:val="24"/>
          <w:szCs w:val="24"/>
        </w:rPr>
        <w:t>Lastly, the Commission will mark this matter closed.</w:t>
      </w:r>
    </w:p>
    <w:p w:rsidR="00BE4A72" w:rsidRPr="00CE1DC6" w:rsidRDefault="00C77F29" w:rsidP="00BE4A72">
      <w:pPr>
        <w:rPr>
          <w:sz w:val="24"/>
          <w:szCs w:val="24"/>
        </w:rPr>
      </w:pPr>
      <w:r w:rsidRPr="00CE1DC6">
        <w:rPr>
          <w:sz w:val="24"/>
          <w:szCs w:val="24"/>
        </w:rPr>
        <w:tab/>
        <w:t xml:space="preserve">  </w:t>
      </w:r>
      <w:r w:rsidR="00BE4A72" w:rsidRPr="00CE1DC6">
        <w:rPr>
          <w:sz w:val="24"/>
          <w:szCs w:val="24"/>
        </w:rPr>
        <w:tab/>
      </w:r>
      <w:r w:rsidR="00BE4A72" w:rsidRPr="00CE1DC6">
        <w:rPr>
          <w:sz w:val="24"/>
          <w:szCs w:val="24"/>
        </w:rPr>
        <w:tab/>
      </w:r>
    </w:p>
    <w:p w:rsidR="00BE4A72" w:rsidRPr="00CE1DC6" w:rsidRDefault="003E1F43" w:rsidP="00BE4A72">
      <w:pPr>
        <w:ind w:left="3600"/>
        <w:rPr>
          <w:sz w:val="24"/>
          <w:szCs w:val="24"/>
        </w:rPr>
      </w:pPr>
      <w:r>
        <w:rPr>
          <w:noProof/>
        </w:rPr>
        <w:drawing>
          <wp:anchor distT="0" distB="0" distL="114300" distR="114300" simplePos="0" relativeHeight="251659264" behindDoc="1" locked="0" layoutInCell="1" allowOverlap="1" wp14:anchorId="2674605B" wp14:editId="59A13F3A">
            <wp:simplePos x="0" y="0"/>
            <wp:positionH relativeFrom="column">
              <wp:posOffset>2667000</wp:posOffset>
            </wp:positionH>
            <wp:positionV relativeFrom="paragraph">
              <wp:posOffset>33020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E4A72" w:rsidRPr="00CE1DC6">
        <w:rPr>
          <w:sz w:val="24"/>
          <w:szCs w:val="24"/>
        </w:rPr>
        <w:tab/>
        <w:t>Sincerely,</w:t>
      </w:r>
    </w:p>
    <w:p w:rsidR="00076F90" w:rsidRPr="00CE1DC6" w:rsidRDefault="00076F90" w:rsidP="00BE4A72">
      <w:pPr>
        <w:ind w:left="3600"/>
        <w:rPr>
          <w:sz w:val="24"/>
          <w:szCs w:val="24"/>
        </w:rPr>
      </w:pPr>
    </w:p>
    <w:p w:rsidR="00BE4A72" w:rsidRPr="00CE1DC6" w:rsidRDefault="00BE4A72" w:rsidP="00BE4A72">
      <w:pPr>
        <w:ind w:left="3600"/>
        <w:rPr>
          <w:sz w:val="24"/>
          <w:szCs w:val="24"/>
        </w:rPr>
      </w:pPr>
    </w:p>
    <w:p w:rsidR="002B420D" w:rsidRPr="00CE1DC6" w:rsidRDefault="002B420D" w:rsidP="00BE4A72">
      <w:pPr>
        <w:ind w:left="3600"/>
        <w:rPr>
          <w:sz w:val="24"/>
          <w:szCs w:val="24"/>
        </w:rPr>
      </w:pPr>
    </w:p>
    <w:p w:rsidR="00BE4A72" w:rsidRPr="00CE1DC6" w:rsidRDefault="00076F90" w:rsidP="000B2C25">
      <w:pPr>
        <w:ind w:left="3600"/>
        <w:rPr>
          <w:sz w:val="24"/>
          <w:szCs w:val="24"/>
        </w:rPr>
      </w:pPr>
      <w:r w:rsidRPr="00CE1DC6">
        <w:rPr>
          <w:sz w:val="24"/>
          <w:szCs w:val="24"/>
        </w:rPr>
        <w:tab/>
      </w:r>
      <w:r w:rsidR="000B2C25" w:rsidRPr="00CE1DC6">
        <w:rPr>
          <w:sz w:val="24"/>
          <w:szCs w:val="24"/>
        </w:rPr>
        <w:t>Rosemary Chiavetta</w:t>
      </w:r>
    </w:p>
    <w:p w:rsidR="00076F90" w:rsidRPr="00CE1DC6" w:rsidRDefault="00076F90" w:rsidP="00BE4A72">
      <w:pPr>
        <w:ind w:left="3600"/>
        <w:rPr>
          <w:sz w:val="24"/>
          <w:szCs w:val="24"/>
        </w:rPr>
      </w:pPr>
      <w:r w:rsidRPr="00CE1DC6">
        <w:rPr>
          <w:sz w:val="24"/>
          <w:szCs w:val="24"/>
        </w:rPr>
        <w:tab/>
        <w:t>Secretary</w:t>
      </w:r>
    </w:p>
    <w:p w:rsidR="00076F90" w:rsidRPr="00CE1DC6" w:rsidRDefault="00076F90" w:rsidP="00076F90">
      <w:pPr>
        <w:rPr>
          <w:sz w:val="24"/>
          <w:szCs w:val="24"/>
        </w:rPr>
      </w:pPr>
    </w:p>
    <w:p w:rsidR="002B420D" w:rsidRPr="00CE1DC6" w:rsidRDefault="002B420D" w:rsidP="00076F90">
      <w:pPr>
        <w:rPr>
          <w:sz w:val="24"/>
          <w:szCs w:val="24"/>
        </w:rPr>
      </w:pPr>
    </w:p>
    <w:p w:rsidR="00C77F29" w:rsidRPr="00CE1DC6" w:rsidRDefault="00076F90" w:rsidP="00C77F29">
      <w:pPr>
        <w:rPr>
          <w:sz w:val="24"/>
          <w:szCs w:val="24"/>
        </w:rPr>
      </w:pPr>
      <w:r w:rsidRPr="00CE1DC6">
        <w:rPr>
          <w:sz w:val="24"/>
          <w:szCs w:val="24"/>
        </w:rPr>
        <w:t xml:space="preserve">cc:  </w:t>
      </w:r>
      <w:r w:rsidR="00D708B1" w:rsidRPr="00CE1DC6">
        <w:rPr>
          <w:sz w:val="24"/>
          <w:szCs w:val="24"/>
        </w:rPr>
        <w:t xml:space="preserve">       </w:t>
      </w:r>
      <w:proofErr w:type="spellStart"/>
      <w:r w:rsidR="006A2988" w:rsidRPr="00CE1DC6">
        <w:rPr>
          <w:sz w:val="24"/>
          <w:szCs w:val="24"/>
        </w:rPr>
        <w:t>Neustar</w:t>
      </w:r>
      <w:proofErr w:type="spellEnd"/>
      <w:r w:rsidR="006A2988" w:rsidRPr="00CE1DC6">
        <w:rPr>
          <w:sz w:val="24"/>
          <w:szCs w:val="24"/>
        </w:rPr>
        <w:t xml:space="preserve"> </w:t>
      </w:r>
      <w:r w:rsidR="00D708B1" w:rsidRPr="00CE1DC6">
        <w:rPr>
          <w:sz w:val="24"/>
          <w:szCs w:val="24"/>
        </w:rPr>
        <w:t>Pooling Administrator</w:t>
      </w:r>
      <w:r w:rsidR="00C77F29" w:rsidRPr="00CE1DC6">
        <w:rPr>
          <w:sz w:val="24"/>
          <w:szCs w:val="24"/>
        </w:rPr>
        <w:tab/>
      </w:r>
    </w:p>
    <w:sectPr w:rsidR="00C77F29" w:rsidRPr="00CE1DC6" w:rsidSect="00076F90">
      <w:footerReference w:type="even" r:id="rId14"/>
      <w:foot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97" w:rsidRDefault="00742C97">
      <w:r>
        <w:separator/>
      </w:r>
    </w:p>
  </w:endnote>
  <w:endnote w:type="continuationSeparator" w:id="0">
    <w:p w:rsidR="00742C97" w:rsidRDefault="0074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69" w:rsidRDefault="00B37469"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469" w:rsidRDefault="00B37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879511"/>
      <w:docPartObj>
        <w:docPartGallery w:val="Page Numbers (Bottom of Page)"/>
        <w:docPartUnique/>
      </w:docPartObj>
    </w:sdtPr>
    <w:sdtEndPr>
      <w:rPr>
        <w:noProof/>
      </w:rPr>
    </w:sdtEndPr>
    <w:sdtContent>
      <w:p w:rsidR="008017B6" w:rsidRDefault="008017B6">
        <w:pPr>
          <w:pStyle w:val="Footer"/>
          <w:jc w:val="center"/>
        </w:pPr>
        <w:r>
          <w:fldChar w:fldCharType="begin"/>
        </w:r>
        <w:r>
          <w:instrText xml:space="preserve"> PAGE   \* MERGEFORMAT </w:instrText>
        </w:r>
        <w:r>
          <w:fldChar w:fldCharType="separate"/>
        </w:r>
        <w:r w:rsidR="003E1F43">
          <w:rPr>
            <w:noProof/>
          </w:rPr>
          <w:t>1</w:t>
        </w:r>
        <w:r>
          <w:rPr>
            <w:noProof/>
          </w:rPr>
          <w:fldChar w:fldCharType="end"/>
        </w:r>
      </w:p>
    </w:sdtContent>
  </w:sdt>
  <w:p w:rsidR="00B37469" w:rsidRDefault="00B37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623"/>
      <w:docPartObj>
        <w:docPartGallery w:val="Page Numbers (Bottom of Page)"/>
        <w:docPartUnique/>
      </w:docPartObj>
    </w:sdtPr>
    <w:sdtEndPr>
      <w:rPr>
        <w:noProof/>
      </w:rPr>
    </w:sdtEndPr>
    <w:sdtContent>
      <w:p w:rsidR="002B420D" w:rsidRDefault="002B420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B420D" w:rsidRDefault="002B42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69" w:rsidRDefault="00B374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37469" w:rsidRDefault="00B3746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1937"/>
      <w:docPartObj>
        <w:docPartGallery w:val="Page Numbers (Bottom of Page)"/>
        <w:docPartUnique/>
      </w:docPartObj>
    </w:sdtPr>
    <w:sdtEndPr>
      <w:rPr>
        <w:noProof/>
      </w:rPr>
    </w:sdtEndPr>
    <w:sdtContent>
      <w:p w:rsidR="008017B6" w:rsidRDefault="008017B6">
        <w:pPr>
          <w:pStyle w:val="Footer"/>
          <w:jc w:val="center"/>
        </w:pPr>
        <w:r>
          <w:fldChar w:fldCharType="begin"/>
        </w:r>
        <w:r>
          <w:instrText xml:space="preserve"> PAGE   \* MERGEFORMAT </w:instrText>
        </w:r>
        <w:r>
          <w:fldChar w:fldCharType="separate"/>
        </w:r>
        <w:r w:rsidR="003E1F43">
          <w:rPr>
            <w:noProof/>
          </w:rPr>
          <w:t>3</w:t>
        </w:r>
        <w:r>
          <w:rPr>
            <w:noProof/>
          </w:rPr>
          <w:fldChar w:fldCharType="end"/>
        </w:r>
      </w:p>
    </w:sdtContent>
  </w:sdt>
  <w:p w:rsidR="00B37469" w:rsidRDefault="00B37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97" w:rsidRDefault="00742C97">
      <w:r>
        <w:separator/>
      </w:r>
    </w:p>
  </w:footnote>
  <w:footnote w:type="continuationSeparator" w:id="0">
    <w:p w:rsidR="00742C97" w:rsidRDefault="00742C97">
      <w:r>
        <w:continuationSeparator/>
      </w:r>
    </w:p>
  </w:footnote>
  <w:footnote w:id="1">
    <w:p w:rsidR="00A23D92" w:rsidRPr="002B420D" w:rsidRDefault="00A23D92" w:rsidP="00302E13">
      <w:pPr>
        <w:pStyle w:val="FootnoteText"/>
        <w:spacing w:after="120"/>
        <w:rPr>
          <w:sz w:val="22"/>
          <w:szCs w:val="22"/>
        </w:rPr>
      </w:pPr>
      <w:r w:rsidRPr="002B420D">
        <w:rPr>
          <w:rStyle w:val="FootnoteReference"/>
          <w:sz w:val="22"/>
          <w:szCs w:val="22"/>
        </w:rPr>
        <w:footnoteRef/>
      </w:r>
      <w:r w:rsidRPr="002B420D">
        <w:rPr>
          <w:sz w:val="22"/>
          <w:szCs w:val="22"/>
        </w:rPr>
        <w:t xml:space="preserve"> </w:t>
      </w:r>
      <w:r w:rsidR="00CA5A94" w:rsidRPr="002B420D">
        <w:rPr>
          <w:i/>
          <w:sz w:val="22"/>
          <w:szCs w:val="22"/>
        </w:rPr>
        <w:t>Additional Numbering Resources to Local Exchange Carriers: Safety Valve Process</w:t>
      </w:r>
      <w:r w:rsidR="00CA5A94">
        <w:rPr>
          <w:sz w:val="22"/>
          <w:szCs w:val="22"/>
        </w:rPr>
        <w:t>, Docket No. M</w:t>
      </w:r>
      <w:r w:rsidR="00CA5A94">
        <w:rPr>
          <w:sz w:val="22"/>
          <w:szCs w:val="22"/>
        </w:rPr>
        <w:noBreakHyphen/>
      </w:r>
      <w:r w:rsidR="00CA5A94" w:rsidRPr="002B420D">
        <w:rPr>
          <w:sz w:val="22"/>
          <w:szCs w:val="22"/>
        </w:rPr>
        <w:t>2008-2032767 (Order entered November 6, 2008).  In this proceeding, the Commission streamlined its safety valve request process for telecommunications carriers.</w:t>
      </w:r>
    </w:p>
  </w:footnote>
  <w:footnote w:id="2">
    <w:p w:rsidR="00A23D92" w:rsidRPr="002B420D" w:rsidRDefault="00A23D92" w:rsidP="00302E13">
      <w:pPr>
        <w:pStyle w:val="FootnoteText"/>
        <w:spacing w:after="120"/>
        <w:rPr>
          <w:sz w:val="22"/>
          <w:szCs w:val="22"/>
        </w:rPr>
      </w:pPr>
      <w:r w:rsidRPr="002B420D">
        <w:rPr>
          <w:rStyle w:val="FootnoteReference"/>
          <w:sz w:val="22"/>
          <w:szCs w:val="22"/>
        </w:rPr>
        <w:footnoteRef/>
      </w:r>
      <w:r w:rsidRPr="002B420D">
        <w:rPr>
          <w:sz w:val="22"/>
          <w:szCs w:val="22"/>
        </w:rPr>
        <w:t xml:space="preserve"> NXX codes are the three digits following the area code in a ten-digit telephone number.  Under the current numbering regime, telephone numbers are assigned to carriers by NXX code (each NXX code contains 10,000 numbers). However, in an area code that has implemented thousands-block number pooling, NXX codes are divided into ten separate blocks of 1,000 telephone numbers each that can be assigned to different telecommunications carriers.</w:t>
      </w:r>
    </w:p>
  </w:footnote>
  <w:footnote w:id="3">
    <w:p w:rsidR="00684E9B" w:rsidRPr="002B420D" w:rsidRDefault="00684E9B" w:rsidP="00302E13">
      <w:pPr>
        <w:spacing w:after="120"/>
        <w:rPr>
          <w:sz w:val="22"/>
          <w:szCs w:val="22"/>
        </w:rPr>
      </w:pPr>
      <w:r w:rsidRPr="002B420D">
        <w:rPr>
          <w:rStyle w:val="FootnoteReference"/>
          <w:sz w:val="22"/>
          <w:szCs w:val="22"/>
        </w:rPr>
        <w:footnoteRef/>
      </w:r>
      <w:r w:rsidRPr="002B420D">
        <w:rPr>
          <w:sz w:val="22"/>
          <w:szCs w:val="22"/>
        </w:rPr>
        <w:t xml:space="preserve"> </w:t>
      </w:r>
      <w:r w:rsidR="00CA5A94" w:rsidRPr="002B420D">
        <w:rPr>
          <w:i/>
          <w:sz w:val="22"/>
          <w:szCs w:val="22"/>
        </w:rPr>
        <w:t xml:space="preserve">In </w:t>
      </w:r>
      <w:r w:rsidR="00CA5A94" w:rsidRPr="002B420D">
        <w:rPr>
          <w:i/>
          <w:iCs/>
          <w:sz w:val="22"/>
          <w:szCs w:val="22"/>
        </w:rPr>
        <w:t xml:space="preserve">the Matter of Numbering Resources, Third Report and Order, </w:t>
      </w:r>
      <w:r w:rsidR="00CA5A94" w:rsidRPr="002B420D">
        <w:rPr>
          <w:sz w:val="22"/>
          <w:szCs w:val="22"/>
        </w:rPr>
        <w:t>CC Docket No. 99-200 (</w:t>
      </w:r>
      <w:r w:rsidR="00CA5A94">
        <w:rPr>
          <w:sz w:val="22"/>
          <w:szCs w:val="22"/>
        </w:rPr>
        <w:t xml:space="preserve">FCC </w:t>
      </w:r>
      <w:r w:rsidR="00CA5A94" w:rsidRPr="002B420D">
        <w:rPr>
          <w:sz w:val="22"/>
          <w:szCs w:val="22"/>
        </w:rPr>
        <w:t>Order adopted December 12, 2001) at ¶</w:t>
      </w:r>
      <w:r w:rsidR="00CA5A94">
        <w:rPr>
          <w:sz w:val="22"/>
          <w:szCs w:val="22"/>
        </w:rPr>
        <w:t xml:space="preserve"> </w:t>
      </w:r>
      <w:r w:rsidR="00CA5A94" w:rsidRPr="002B420D">
        <w:rPr>
          <w:sz w:val="22"/>
          <w:szCs w:val="22"/>
        </w:rPr>
        <w:t>64</w:t>
      </w:r>
      <w:r w:rsidR="00CA5A94">
        <w:rPr>
          <w:sz w:val="22"/>
          <w:szCs w:val="22"/>
        </w:rPr>
        <w:t xml:space="preserve"> (</w:t>
      </w:r>
      <w:r w:rsidR="00CA5A94">
        <w:rPr>
          <w:i/>
          <w:sz w:val="22"/>
          <w:szCs w:val="22"/>
        </w:rPr>
        <w:t>Third Report and Order</w:t>
      </w:r>
      <w:r w:rsidR="00CA5A94">
        <w:rPr>
          <w:sz w:val="22"/>
          <w:szCs w:val="22"/>
        </w:rPr>
        <w:t>)</w:t>
      </w:r>
      <w:r w:rsidR="00CA5A94" w:rsidRPr="002B420D">
        <w:rPr>
          <w:sz w:val="22"/>
          <w:szCs w:val="22"/>
        </w:rPr>
        <w:t>.</w:t>
      </w:r>
    </w:p>
  </w:footnote>
  <w:footnote w:id="4">
    <w:p w:rsidR="00A23D92" w:rsidRPr="002B420D" w:rsidRDefault="00A23D92" w:rsidP="00076F90">
      <w:pPr>
        <w:pStyle w:val="FootnoteText"/>
        <w:rPr>
          <w:sz w:val="22"/>
          <w:szCs w:val="22"/>
        </w:rPr>
      </w:pPr>
      <w:r w:rsidRPr="002B420D">
        <w:rPr>
          <w:rStyle w:val="FootnoteReference"/>
          <w:sz w:val="22"/>
          <w:szCs w:val="22"/>
        </w:rPr>
        <w:footnoteRef/>
      </w:r>
      <w:r w:rsidRPr="002B420D">
        <w:rPr>
          <w:sz w:val="22"/>
          <w:szCs w:val="22"/>
        </w:rPr>
        <w:t xml:space="preserve"> </w:t>
      </w:r>
      <w:r w:rsidRPr="002B420D">
        <w:rPr>
          <w:i/>
          <w:sz w:val="22"/>
          <w:szCs w:val="22"/>
        </w:rPr>
        <w:t>Id.</w:t>
      </w:r>
      <w:r w:rsidRPr="002B420D">
        <w:rPr>
          <w:sz w:val="22"/>
          <w:szCs w:val="22"/>
        </w:rPr>
        <w:t xml:space="preserve"> </w:t>
      </w:r>
    </w:p>
  </w:footnote>
  <w:footnote w:id="5">
    <w:p w:rsidR="00A23D92" w:rsidRPr="002B420D" w:rsidRDefault="00A23D92" w:rsidP="00302E13">
      <w:pPr>
        <w:pStyle w:val="FootnoteText"/>
        <w:spacing w:after="120"/>
        <w:rPr>
          <w:sz w:val="22"/>
          <w:szCs w:val="22"/>
        </w:rPr>
      </w:pPr>
      <w:r w:rsidRPr="002B420D">
        <w:rPr>
          <w:rStyle w:val="FootnoteReference"/>
          <w:sz w:val="22"/>
          <w:szCs w:val="22"/>
        </w:rPr>
        <w:footnoteRef/>
      </w:r>
      <w:r w:rsidRPr="002B420D">
        <w:rPr>
          <w:sz w:val="22"/>
          <w:szCs w:val="22"/>
        </w:rPr>
        <w:t xml:space="preserve"> </w:t>
      </w:r>
      <w:r w:rsidRPr="002B420D">
        <w:rPr>
          <w:i/>
          <w:sz w:val="22"/>
          <w:szCs w:val="22"/>
        </w:rPr>
        <w:t>In the Matter of Numbering Resource Optimization,</w:t>
      </w:r>
      <w:r w:rsidRPr="002B420D">
        <w:rPr>
          <w:sz w:val="22"/>
          <w:szCs w:val="22"/>
        </w:rPr>
        <w:t xml:space="preserve"> CC Docket No. 99-200, ¶¶1-10 (</w:t>
      </w:r>
      <w:r w:rsidR="00C61DBA">
        <w:rPr>
          <w:sz w:val="22"/>
          <w:szCs w:val="22"/>
        </w:rPr>
        <w:t xml:space="preserve">FCC </w:t>
      </w:r>
      <w:r w:rsidR="009302DA">
        <w:rPr>
          <w:sz w:val="22"/>
          <w:szCs w:val="22"/>
        </w:rPr>
        <w:t>Order adopted April 24, 2002).</w:t>
      </w:r>
      <w:r w:rsidR="007C2D5E">
        <w:rPr>
          <w:sz w:val="22"/>
          <w:szCs w:val="22"/>
        </w:rPr>
        <w:t xml:space="preserve">  </w:t>
      </w:r>
      <w:r w:rsidR="007C2D5E">
        <w:rPr>
          <w:i/>
          <w:sz w:val="22"/>
          <w:szCs w:val="22"/>
        </w:rPr>
        <w:t>Implementation of Additional Delegated Authority</w:t>
      </w:r>
      <w:r w:rsidR="007C2D5E">
        <w:rPr>
          <w:sz w:val="22"/>
          <w:szCs w:val="22"/>
        </w:rPr>
        <w:t xml:space="preserve"> </w:t>
      </w:r>
      <w:r w:rsidR="007C2D5E">
        <w:rPr>
          <w:i/>
          <w:sz w:val="22"/>
          <w:szCs w:val="22"/>
        </w:rPr>
        <w:t xml:space="preserve">granted to Pennsylvania by the Federal Communications Commission in its Order Released May 18, 2010, Mandatory thousands-Block Number Pooling in the 215/267, 570, 610/484, 717 and 814 NPAs, </w:t>
      </w:r>
      <w:r w:rsidR="007C2D5E">
        <w:rPr>
          <w:sz w:val="22"/>
          <w:szCs w:val="22"/>
        </w:rPr>
        <w:t xml:space="preserve">Docket No. </w:t>
      </w:r>
      <w:proofErr w:type="gramStart"/>
      <w:r w:rsidR="007C2D5E">
        <w:rPr>
          <w:sz w:val="22"/>
          <w:szCs w:val="22"/>
        </w:rPr>
        <w:t>M-2010-2178173.</w:t>
      </w:r>
      <w:proofErr w:type="gramEnd"/>
    </w:p>
  </w:footnote>
  <w:footnote w:id="6">
    <w:p w:rsidR="00A23D92" w:rsidRPr="002B420D" w:rsidRDefault="00A23D92" w:rsidP="00302E13">
      <w:pPr>
        <w:pStyle w:val="FootnoteText"/>
        <w:spacing w:after="120"/>
        <w:rPr>
          <w:sz w:val="22"/>
          <w:szCs w:val="22"/>
        </w:rPr>
      </w:pPr>
      <w:r w:rsidRPr="002B420D">
        <w:rPr>
          <w:rStyle w:val="FootnoteReference"/>
          <w:sz w:val="22"/>
          <w:szCs w:val="22"/>
        </w:rPr>
        <w:footnoteRef/>
      </w:r>
      <w:r w:rsidRPr="002B420D">
        <w:rPr>
          <w:sz w:val="22"/>
          <w:szCs w:val="22"/>
        </w:rPr>
        <w:t xml:space="preserve"> The FCC directs that all service providers required to participate in thousands-block number pooling shall donate thousand blocks with less than ten percent contamination to the thousands-block number pool for the rate center within which the numbering resources are assigned.  52 C.F.R. § 52.20(c</w:t>
      </w:r>
      <w:proofErr w:type="gramStart"/>
      <w:r w:rsidRPr="002B420D">
        <w:rPr>
          <w:sz w:val="22"/>
          <w:szCs w:val="22"/>
        </w:rPr>
        <w:t>)(</w:t>
      </w:r>
      <w:proofErr w:type="gramEnd"/>
      <w:r w:rsidRPr="002B420D">
        <w:rPr>
          <w:sz w:val="22"/>
          <w:szCs w:val="22"/>
        </w:rPr>
        <w:t>1).</w:t>
      </w:r>
    </w:p>
  </w:footnote>
  <w:footnote w:id="7">
    <w:p w:rsidR="00A23D92" w:rsidRPr="002B420D" w:rsidRDefault="00A23D92" w:rsidP="00302E13">
      <w:pPr>
        <w:pStyle w:val="FootnoteText"/>
        <w:spacing w:after="120"/>
        <w:rPr>
          <w:i/>
          <w:sz w:val="22"/>
          <w:szCs w:val="22"/>
        </w:rPr>
      </w:pPr>
      <w:r w:rsidRPr="002B420D">
        <w:rPr>
          <w:rStyle w:val="FootnoteReference"/>
          <w:sz w:val="22"/>
          <w:szCs w:val="22"/>
        </w:rPr>
        <w:footnoteRef/>
      </w:r>
      <w:r w:rsidRPr="002B420D">
        <w:rPr>
          <w:sz w:val="22"/>
          <w:szCs w:val="22"/>
        </w:rPr>
        <w:t xml:space="preserve"> </w:t>
      </w:r>
      <w:proofErr w:type="gramStart"/>
      <w:r w:rsidRPr="002B420D">
        <w:rPr>
          <w:i/>
          <w:sz w:val="22"/>
          <w:szCs w:val="22"/>
        </w:rPr>
        <w:t xml:space="preserve">Federal Communications Commission’s Common Carrier Bureau Selects </w:t>
      </w:r>
      <w:proofErr w:type="spellStart"/>
      <w:r w:rsidRPr="002B420D">
        <w:rPr>
          <w:i/>
          <w:sz w:val="22"/>
          <w:szCs w:val="22"/>
        </w:rPr>
        <w:t>Neustar</w:t>
      </w:r>
      <w:proofErr w:type="spellEnd"/>
      <w:r w:rsidRPr="002B420D">
        <w:rPr>
          <w:i/>
          <w:sz w:val="22"/>
          <w:szCs w:val="22"/>
        </w:rPr>
        <w:t xml:space="preserve">, </w:t>
      </w:r>
      <w:r w:rsidR="00FB413A" w:rsidRPr="002B420D">
        <w:rPr>
          <w:i/>
          <w:sz w:val="22"/>
          <w:szCs w:val="22"/>
        </w:rPr>
        <w:t>Inc.</w:t>
      </w:r>
      <w:r w:rsidRPr="002B420D">
        <w:rPr>
          <w:i/>
          <w:sz w:val="22"/>
          <w:szCs w:val="22"/>
        </w:rPr>
        <w:t xml:space="preserve"> as National Thousands-Block Number Pooling Administrator</w:t>
      </w:r>
      <w:r w:rsidRPr="002B420D">
        <w:rPr>
          <w:sz w:val="22"/>
          <w:szCs w:val="22"/>
        </w:rPr>
        <w:t>, Press Release (</w:t>
      </w:r>
      <w:r w:rsidR="00C61DBA">
        <w:rPr>
          <w:sz w:val="22"/>
          <w:szCs w:val="22"/>
        </w:rPr>
        <w:t xml:space="preserve">FCC </w:t>
      </w:r>
      <w:r w:rsidRPr="002B420D">
        <w:rPr>
          <w:sz w:val="22"/>
          <w:szCs w:val="22"/>
        </w:rPr>
        <w:t>rel. June 18, 2001).</w:t>
      </w:r>
      <w:proofErr w:type="gramEnd"/>
      <w:r w:rsidRPr="002B420D">
        <w:rPr>
          <w:sz w:val="22"/>
          <w:szCs w:val="22"/>
        </w:rPr>
        <w:t xml:space="preserve"> </w:t>
      </w:r>
      <w:r w:rsidRPr="002B420D">
        <w:rPr>
          <w:i/>
          <w:sz w:val="22"/>
          <w:szCs w:val="22"/>
        </w:rPr>
        <w:t xml:space="preserve"> </w:t>
      </w:r>
    </w:p>
  </w:footnote>
  <w:footnote w:id="8">
    <w:p w:rsidR="00A23D92" w:rsidRPr="002B420D" w:rsidRDefault="00A23D92" w:rsidP="00302E13">
      <w:pPr>
        <w:pStyle w:val="FootnoteText"/>
        <w:spacing w:after="120"/>
        <w:rPr>
          <w:sz w:val="22"/>
          <w:szCs w:val="22"/>
        </w:rPr>
      </w:pPr>
      <w:r w:rsidRPr="002B420D">
        <w:rPr>
          <w:rStyle w:val="FootnoteReference"/>
          <w:sz w:val="22"/>
          <w:szCs w:val="22"/>
        </w:rPr>
        <w:footnoteRef/>
      </w:r>
      <w:r w:rsidRPr="002B420D">
        <w:rPr>
          <w:sz w:val="22"/>
          <w:szCs w:val="22"/>
        </w:rPr>
        <w:t xml:space="preserve"> </w:t>
      </w:r>
      <w:r w:rsidR="008E4082" w:rsidRPr="002B420D">
        <w:rPr>
          <w:i/>
          <w:sz w:val="22"/>
          <w:szCs w:val="22"/>
        </w:rPr>
        <w:t xml:space="preserve">In the Matter of Numbering Resources Optimization, </w:t>
      </w:r>
      <w:r w:rsidR="008E4082" w:rsidRPr="008A3265">
        <w:rPr>
          <w:i/>
          <w:sz w:val="22"/>
          <w:szCs w:val="22"/>
        </w:rPr>
        <w:t>First Report and Order</w:t>
      </w:r>
      <w:r w:rsidR="008E4082" w:rsidRPr="002B420D">
        <w:rPr>
          <w:sz w:val="22"/>
          <w:szCs w:val="22"/>
        </w:rPr>
        <w:t xml:space="preserve"> (</w:t>
      </w:r>
      <w:r w:rsidR="008E4082">
        <w:rPr>
          <w:sz w:val="22"/>
          <w:szCs w:val="22"/>
        </w:rPr>
        <w:t xml:space="preserve">FCC </w:t>
      </w:r>
      <w:r w:rsidR="008E4082" w:rsidRPr="002B420D">
        <w:rPr>
          <w:sz w:val="22"/>
          <w:szCs w:val="22"/>
        </w:rPr>
        <w:t>Order adopted March 13, 2000) ¶¶ 101-102</w:t>
      </w:r>
      <w:r w:rsidR="008E4082" w:rsidRPr="002B420D">
        <w:rPr>
          <w:i/>
          <w:sz w:val="22"/>
          <w:szCs w:val="22"/>
        </w:rPr>
        <w:t>;</w:t>
      </w:r>
      <w:r w:rsidR="008E4082">
        <w:rPr>
          <w:i/>
          <w:sz w:val="22"/>
          <w:szCs w:val="22"/>
        </w:rPr>
        <w:t xml:space="preserve"> </w:t>
      </w:r>
      <w:r w:rsidR="008E4082" w:rsidRPr="002B420D">
        <w:rPr>
          <w:i/>
          <w:sz w:val="22"/>
          <w:szCs w:val="22"/>
        </w:rPr>
        <w:t>see also In the Matter of Numbering Resources</w:t>
      </w:r>
      <w:r w:rsidR="008E4082" w:rsidRPr="002B420D">
        <w:rPr>
          <w:sz w:val="22"/>
          <w:szCs w:val="22"/>
        </w:rPr>
        <w:t xml:space="preserve">, </w:t>
      </w:r>
      <w:r w:rsidR="008E4082" w:rsidRPr="008A3265">
        <w:rPr>
          <w:i/>
          <w:sz w:val="22"/>
          <w:szCs w:val="22"/>
        </w:rPr>
        <w:t>Second Report and Order</w:t>
      </w:r>
      <w:r w:rsidR="008E4082" w:rsidRPr="002B420D">
        <w:rPr>
          <w:sz w:val="22"/>
          <w:szCs w:val="22"/>
        </w:rPr>
        <w:t>, CC Docket No. 99-200 (</w:t>
      </w:r>
      <w:r w:rsidR="008E4082">
        <w:rPr>
          <w:sz w:val="22"/>
          <w:szCs w:val="22"/>
        </w:rPr>
        <w:t xml:space="preserve">FCC </w:t>
      </w:r>
      <w:r w:rsidR="008E4082" w:rsidRPr="002B420D">
        <w:rPr>
          <w:sz w:val="22"/>
          <w:szCs w:val="22"/>
        </w:rPr>
        <w:t xml:space="preserve">Order adopted December 7, 2000) </w:t>
      </w:r>
      <w:r w:rsidR="008E4082">
        <w:rPr>
          <w:sz w:val="22"/>
          <w:szCs w:val="22"/>
        </w:rPr>
        <w:t>(</w:t>
      </w:r>
      <w:r w:rsidR="008E4082">
        <w:rPr>
          <w:i/>
          <w:sz w:val="22"/>
          <w:szCs w:val="22"/>
        </w:rPr>
        <w:t>Second Report and Order</w:t>
      </w:r>
      <w:r w:rsidR="008E4082">
        <w:rPr>
          <w:sz w:val="22"/>
          <w:szCs w:val="22"/>
        </w:rPr>
        <w:t xml:space="preserve">) </w:t>
      </w:r>
      <w:r w:rsidR="008E4082" w:rsidRPr="002B420D">
        <w:rPr>
          <w:sz w:val="22"/>
          <w:szCs w:val="22"/>
        </w:rPr>
        <w:t>at ¶¶</w:t>
      </w:r>
      <w:r w:rsidR="008E4082">
        <w:rPr>
          <w:sz w:val="22"/>
          <w:szCs w:val="22"/>
        </w:rPr>
        <w:t xml:space="preserve"> 23, 27</w:t>
      </w:r>
      <w:r w:rsidR="008E4082">
        <w:rPr>
          <w:sz w:val="22"/>
          <w:szCs w:val="22"/>
        </w:rPr>
        <w:noBreakHyphen/>
      </w:r>
      <w:r w:rsidR="008E4082" w:rsidRPr="002B420D">
        <w:rPr>
          <w:sz w:val="22"/>
          <w:szCs w:val="22"/>
        </w:rPr>
        <w:t>29.</w:t>
      </w:r>
    </w:p>
  </w:footnote>
  <w:footnote w:id="9">
    <w:p w:rsidR="00A23D92" w:rsidRPr="002B420D" w:rsidRDefault="00A23D92" w:rsidP="00302E13">
      <w:pPr>
        <w:pStyle w:val="FootnoteText"/>
        <w:spacing w:after="120"/>
        <w:rPr>
          <w:sz w:val="22"/>
          <w:szCs w:val="22"/>
        </w:rPr>
      </w:pPr>
      <w:r w:rsidRPr="002B420D">
        <w:rPr>
          <w:rStyle w:val="FootnoteReference"/>
          <w:sz w:val="22"/>
          <w:szCs w:val="22"/>
        </w:rPr>
        <w:footnoteRef/>
      </w:r>
      <w:r w:rsidRPr="002B420D">
        <w:rPr>
          <w:sz w:val="22"/>
          <w:szCs w:val="22"/>
        </w:rPr>
        <w:t xml:space="preserve"> </w:t>
      </w:r>
      <w:r w:rsidR="008E4082" w:rsidRPr="002B420D">
        <w:rPr>
          <w:i/>
          <w:sz w:val="22"/>
          <w:szCs w:val="22"/>
        </w:rPr>
        <w:t>Third Report and Order</w:t>
      </w:r>
      <w:r w:rsidR="008E4082" w:rsidRPr="002B420D">
        <w:rPr>
          <w:sz w:val="22"/>
          <w:szCs w:val="22"/>
        </w:rPr>
        <w:t xml:space="preserve"> at ¶</w:t>
      </w:r>
      <w:r w:rsidR="008E4082">
        <w:rPr>
          <w:sz w:val="22"/>
          <w:szCs w:val="22"/>
        </w:rPr>
        <w:t xml:space="preserve"> </w:t>
      </w:r>
      <w:r w:rsidR="008E4082" w:rsidRPr="002B420D">
        <w:rPr>
          <w:sz w:val="22"/>
          <w:szCs w:val="22"/>
        </w:rPr>
        <w:t>61.</w:t>
      </w:r>
    </w:p>
  </w:footnote>
  <w:footnote w:id="10">
    <w:p w:rsidR="00B37469" w:rsidRDefault="00B37469">
      <w:pPr>
        <w:pStyle w:val="FootnoteText"/>
      </w:pPr>
      <w:r w:rsidRPr="002B420D">
        <w:rPr>
          <w:rStyle w:val="FootnoteReference"/>
          <w:sz w:val="22"/>
          <w:szCs w:val="22"/>
        </w:rPr>
        <w:footnoteRef/>
      </w:r>
      <w:r w:rsidRPr="002B420D">
        <w:rPr>
          <w:sz w:val="22"/>
          <w:szCs w:val="22"/>
        </w:rPr>
        <w:t xml:space="preserve"> </w:t>
      </w:r>
      <w:proofErr w:type="gramStart"/>
      <w:r w:rsidRPr="002B420D">
        <w:rPr>
          <w:i/>
          <w:sz w:val="22"/>
          <w:szCs w:val="22"/>
        </w:rPr>
        <w:t xml:space="preserve">Id </w:t>
      </w:r>
      <w:r w:rsidRPr="002B420D">
        <w:rPr>
          <w:sz w:val="22"/>
          <w:szCs w:val="22"/>
        </w:rPr>
        <w:t>at ¶</w:t>
      </w:r>
      <w:r w:rsidR="008E4082">
        <w:rPr>
          <w:sz w:val="22"/>
          <w:szCs w:val="22"/>
        </w:rPr>
        <w:t xml:space="preserve"> </w:t>
      </w:r>
      <w:r w:rsidRPr="002B420D">
        <w:rPr>
          <w:sz w:val="22"/>
          <w:szCs w:val="22"/>
        </w:rPr>
        <w:t>64.</w:t>
      </w:r>
      <w:proofErr w:type="gramEnd"/>
    </w:p>
  </w:footnote>
  <w:footnote w:id="11">
    <w:p w:rsidR="008E4082" w:rsidRDefault="008E4082">
      <w:pPr>
        <w:pStyle w:val="FootnoteText"/>
      </w:pPr>
      <w:r>
        <w:rPr>
          <w:rStyle w:val="FootnoteReference"/>
        </w:rPr>
        <w:footnoteRef/>
      </w:r>
      <w:r>
        <w:t xml:space="preserve"> </w:t>
      </w:r>
      <w:r w:rsidRPr="0032483A">
        <w:rPr>
          <w:i/>
          <w:sz w:val="22"/>
          <w:szCs w:val="22"/>
        </w:rPr>
        <w:t>See</w:t>
      </w:r>
      <w:r>
        <w:rPr>
          <w:sz w:val="22"/>
          <w:szCs w:val="22"/>
        </w:rPr>
        <w:t xml:space="preserve"> Note 3</w:t>
      </w:r>
      <w:r w:rsidRPr="0032483A">
        <w:rPr>
          <w:sz w:val="22"/>
          <w:szCs w:val="22"/>
        </w:rPr>
        <w:t xml:space="preserve">, </w:t>
      </w:r>
      <w:r>
        <w:rPr>
          <w:i/>
          <w:sz w:val="22"/>
          <w:szCs w:val="22"/>
        </w:rPr>
        <w:t>supra</w:t>
      </w:r>
      <w:r w:rsidRPr="0032483A">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528A"/>
    <w:rsid w:val="000212D6"/>
    <w:rsid w:val="00035FEF"/>
    <w:rsid w:val="00047AC9"/>
    <w:rsid w:val="00064DEF"/>
    <w:rsid w:val="00072126"/>
    <w:rsid w:val="00076F90"/>
    <w:rsid w:val="000A04B1"/>
    <w:rsid w:val="000A7608"/>
    <w:rsid w:val="000B2C25"/>
    <w:rsid w:val="000B696F"/>
    <w:rsid w:val="000C457B"/>
    <w:rsid w:val="000D78A7"/>
    <w:rsid w:val="000E099D"/>
    <w:rsid w:val="000F68BC"/>
    <w:rsid w:val="001209F1"/>
    <w:rsid w:val="00176BBC"/>
    <w:rsid w:val="00180318"/>
    <w:rsid w:val="001818D4"/>
    <w:rsid w:val="001A3139"/>
    <w:rsid w:val="001C1AEA"/>
    <w:rsid w:val="001C2B5E"/>
    <w:rsid w:val="001C3A9F"/>
    <w:rsid w:val="001E0854"/>
    <w:rsid w:val="001E1BF3"/>
    <w:rsid w:val="001E2AA1"/>
    <w:rsid w:val="001F23F9"/>
    <w:rsid w:val="002229C3"/>
    <w:rsid w:val="00224973"/>
    <w:rsid w:val="00270A95"/>
    <w:rsid w:val="0027508A"/>
    <w:rsid w:val="0029471C"/>
    <w:rsid w:val="002952B0"/>
    <w:rsid w:val="002B0C88"/>
    <w:rsid w:val="002B420D"/>
    <w:rsid w:val="002F0138"/>
    <w:rsid w:val="002F4AA4"/>
    <w:rsid w:val="003005EF"/>
    <w:rsid w:val="00301B99"/>
    <w:rsid w:val="00302E13"/>
    <w:rsid w:val="00322EFA"/>
    <w:rsid w:val="00326E77"/>
    <w:rsid w:val="003401E3"/>
    <w:rsid w:val="00351F76"/>
    <w:rsid w:val="003533A1"/>
    <w:rsid w:val="0035678B"/>
    <w:rsid w:val="003569E8"/>
    <w:rsid w:val="00360B7D"/>
    <w:rsid w:val="00360BB8"/>
    <w:rsid w:val="0038104C"/>
    <w:rsid w:val="003A50F2"/>
    <w:rsid w:val="003A7B80"/>
    <w:rsid w:val="003C6385"/>
    <w:rsid w:val="003E1F43"/>
    <w:rsid w:val="00463680"/>
    <w:rsid w:val="0048302A"/>
    <w:rsid w:val="004A7D21"/>
    <w:rsid w:val="004D2698"/>
    <w:rsid w:val="004E7B70"/>
    <w:rsid w:val="004F7E57"/>
    <w:rsid w:val="00511946"/>
    <w:rsid w:val="0051639C"/>
    <w:rsid w:val="005706C2"/>
    <w:rsid w:val="005919E1"/>
    <w:rsid w:val="005A09DB"/>
    <w:rsid w:val="005B1EE7"/>
    <w:rsid w:val="005C718C"/>
    <w:rsid w:val="005E25C5"/>
    <w:rsid w:val="005F2B5B"/>
    <w:rsid w:val="006513C3"/>
    <w:rsid w:val="00667546"/>
    <w:rsid w:val="006755C0"/>
    <w:rsid w:val="00684E9B"/>
    <w:rsid w:val="00685A0E"/>
    <w:rsid w:val="006A2988"/>
    <w:rsid w:val="006F230A"/>
    <w:rsid w:val="00702E6B"/>
    <w:rsid w:val="00705F53"/>
    <w:rsid w:val="00742C97"/>
    <w:rsid w:val="0074390D"/>
    <w:rsid w:val="00750031"/>
    <w:rsid w:val="00752101"/>
    <w:rsid w:val="007617B1"/>
    <w:rsid w:val="007B31F4"/>
    <w:rsid w:val="007C2D5E"/>
    <w:rsid w:val="007C5380"/>
    <w:rsid w:val="007C6670"/>
    <w:rsid w:val="007E5669"/>
    <w:rsid w:val="007F3843"/>
    <w:rsid w:val="00800999"/>
    <w:rsid w:val="008017B6"/>
    <w:rsid w:val="00834353"/>
    <w:rsid w:val="008433EA"/>
    <w:rsid w:val="00853381"/>
    <w:rsid w:val="00867F7B"/>
    <w:rsid w:val="00870C80"/>
    <w:rsid w:val="00887C79"/>
    <w:rsid w:val="008A767C"/>
    <w:rsid w:val="008B1CCB"/>
    <w:rsid w:val="008C3D26"/>
    <w:rsid w:val="008C5DF1"/>
    <w:rsid w:val="008E4082"/>
    <w:rsid w:val="008E4659"/>
    <w:rsid w:val="008E6F4A"/>
    <w:rsid w:val="009164BC"/>
    <w:rsid w:val="009302DA"/>
    <w:rsid w:val="009321E7"/>
    <w:rsid w:val="00976A5B"/>
    <w:rsid w:val="009B23D8"/>
    <w:rsid w:val="009D48C2"/>
    <w:rsid w:val="009E40EC"/>
    <w:rsid w:val="009F5F66"/>
    <w:rsid w:val="00A12AF7"/>
    <w:rsid w:val="00A1359A"/>
    <w:rsid w:val="00A23D92"/>
    <w:rsid w:val="00A33A02"/>
    <w:rsid w:val="00A35BE7"/>
    <w:rsid w:val="00A50815"/>
    <w:rsid w:val="00A83855"/>
    <w:rsid w:val="00AD48DF"/>
    <w:rsid w:val="00AE47B9"/>
    <w:rsid w:val="00AE6E2C"/>
    <w:rsid w:val="00AF2951"/>
    <w:rsid w:val="00B03859"/>
    <w:rsid w:val="00B37469"/>
    <w:rsid w:val="00B6686D"/>
    <w:rsid w:val="00B80083"/>
    <w:rsid w:val="00B86DB7"/>
    <w:rsid w:val="00B91C73"/>
    <w:rsid w:val="00BC6889"/>
    <w:rsid w:val="00BD4D7C"/>
    <w:rsid w:val="00BD59B3"/>
    <w:rsid w:val="00BE3C97"/>
    <w:rsid w:val="00BE4A72"/>
    <w:rsid w:val="00BE5119"/>
    <w:rsid w:val="00C2474D"/>
    <w:rsid w:val="00C37E0F"/>
    <w:rsid w:val="00C600A3"/>
    <w:rsid w:val="00C61DBA"/>
    <w:rsid w:val="00C6407A"/>
    <w:rsid w:val="00C74A51"/>
    <w:rsid w:val="00C77F29"/>
    <w:rsid w:val="00C820C3"/>
    <w:rsid w:val="00C85905"/>
    <w:rsid w:val="00C90506"/>
    <w:rsid w:val="00CA5A94"/>
    <w:rsid w:val="00CB5738"/>
    <w:rsid w:val="00CB6AEB"/>
    <w:rsid w:val="00CD3BF7"/>
    <w:rsid w:val="00CD54AF"/>
    <w:rsid w:val="00CD576A"/>
    <w:rsid w:val="00CE1DC6"/>
    <w:rsid w:val="00CF047C"/>
    <w:rsid w:val="00CF4050"/>
    <w:rsid w:val="00D04452"/>
    <w:rsid w:val="00D1693A"/>
    <w:rsid w:val="00D33949"/>
    <w:rsid w:val="00D708B1"/>
    <w:rsid w:val="00D71635"/>
    <w:rsid w:val="00D80B9D"/>
    <w:rsid w:val="00DA369D"/>
    <w:rsid w:val="00DB36D8"/>
    <w:rsid w:val="00DE78E1"/>
    <w:rsid w:val="00E20D1D"/>
    <w:rsid w:val="00E349DA"/>
    <w:rsid w:val="00E45603"/>
    <w:rsid w:val="00E6327C"/>
    <w:rsid w:val="00E71B24"/>
    <w:rsid w:val="00E756E8"/>
    <w:rsid w:val="00EA3294"/>
    <w:rsid w:val="00EB2615"/>
    <w:rsid w:val="00EB4E45"/>
    <w:rsid w:val="00EE54CB"/>
    <w:rsid w:val="00EF7171"/>
    <w:rsid w:val="00F213DD"/>
    <w:rsid w:val="00F33E6C"/>
    <w:rsid w:val="00F564A7"/>
    <w:rsid w:val="00F65D6E"/>
    <w:rsid w:val="00F7094C"/>
    <w:rsid w:val="00F85779"/>
    <w:rsid w:val="00F96BF0"/>
    <w:rsid w:val="00FA0E37"/>
    <w:rsid w:val="00FB413A"/>
    <w:rsid w:val="00FE294D"/>
    <w:rsid w:val="00FE3CE4"/>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BB8"/>
  </w:style>
  <w:style w:type="paragraph" w:styleId="Heading1">
    <w:name w:val="heading 1"/>
    <w:basedOn w:val="Normal"/>
    <w:next w:val="Normal"/>
    <w:qFormat/>
    <w:rsid w:val="00360BB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0BB8"/>
    <w:pPr>
      <w:ind w:left="360"/>
    </w:pPr>
    <w:rPr>
      <w:sz w:val="24"/>
    </w:rPr>
  </w:style>
  <w:style w:type="paragraph" w:styleId="Header">
    <w:name w:val="header"/>
    <w:basedOn w:val="Normal"/>
    <w:rsid w:val="00360BB8"/>
    <w:pPr>
      <w:tabs>
        <w:tab w:val="center" w:pos="4320"/>
        <w:tab w:val="right" w:pos="8640"/>
      </w:tabs>
    </w:pPr>
  </w:style>
  <w:style w:type="paragraph" w:styleId="Footer">
    <w:name w:val="footer"/>
    <w:basedOn w:val="Normal"/>
    <w:link w:val="FooterChar"/>
    <w:uiPriority w:val="99"/>
    <w:rsid w:val="00360BB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semiHidden/>
    <w:rsid w:val="00076F90"/>
    <w:pPr>
      <w:overflowPunct w:val="0"/>
      <w:autoSpaceDE w:val="0"/>
      <w:autoSpaceDN w:val="0"/>
      <w:adjustRightInd w:val="0"/>
    </w:pPr>
  </w:style>
  <w:style w:type="paragraph" w:customStyle="1" w:styleId="p3">
    <w:name w:val="p3"/>
    <w:basedOn w:val="Normal"/>
    <w:rsid w:val="00076F90"/>
    <w:pPr>
      <w:widowControl w:val="0"/>
      <w:tabs>
        <w:tab w:val="left" w:pos="204"/>
      </w:tabs>
      <w:autoSpaceDE w:val="0"/>
      <w:autoSpaceDN w:val="0"/>
      <w:adjustRightInd w:val="0"/>
    </w:pPr>
    <w:rPr>
      <w:sz w:val="24"/>
      <w:szCs w:val="24"/>
    </w:rPr>
  </w:style>
  <w:style w:type="character" w:styleId="FootnoteReference">
    <w:name w:val="footnote reference"/>
    <w:semiHidden/>
    <w:rsid w:val="00076F90"/>
    <w:rPr>
      <w:vertAlign w:val="superscript"/>
    </w:rPr>
  </w:style>
  <w:style w:type="paragraph" w:customStyle="1" w:styleId="Default">
    <w:name w:val="Default"/>
    <w:rsid w:val="00B91C73"/>
    <w:pPr>
      <w:autoSpaceDE w:val="0"/>
      <w:autoSpaceDN w:val="0"/>
      <w:adjustRightInd w:val="0"/>
    </w:pPr>
    <w:rPr>
      <w:color w:val="000000"/>
      <w:sz w:val="24"/>
      <w:szCs w:val="24"/>
    </w:rPr>
  </w:style>
  <w:style w:type="table" w:styleId="TableGrid">
    <w:name w:val="Table Grid"/>
    <w:basedOn w:val="TableNormal"/>
    <w:rsid w:val="00EB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B420D"/>
  </w:style>
  <w:style w:type="character" w:customStyle="1" w:styleId="FootnoteTextChar">
    <w:name w:val="Footnote Text Char"/>
    <w:basedOn w:val="DefaultParagraphFont"/>
    <w:link w:val="FootnoteText"/>
    <w:semiHidden/>
    <w:rsid w:val="007C2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BB8"/>
  </w:style>
  <w:style w:type="paragraph" w:styleId="Heading1">
    <w:name w:val="heading 1"/>
    <w:basedOn w:val="Normal"/>
    <w:next w:val="Normal"/>
    <w:qFormat/>
    <w:rsid w:val="00360BB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0BB8"/>
    <w:pPr>
      <w:ind w:left="360"/>
    </w:pPr>
    <w:rPr>
      <w:sz w:val="24"/>
    </w:rPr>
  </w:style>
  <w:style w:type="paragraph" w:styleId="Header">
    <w:name w:val="header"/>
    <w:basedOn w:val="Normal"/>
    <w:rsid w:val="00360BB8"/>
    <w:pPr>
      <w:tabs>
        <w:tab w:val="center" w:pos="4320"/>
        <w:tab w:val="right" w:pos="8640"/>
      </w:tabs>
    </w:pPr>
  </w:style>
  <w:style w:type="paragraph" w:styleId="Footer">
    <w:name w:val="footer"/>
    <w:basedOn w:val="Normal"/>
    <w:link w:val="FooterChar"/>
    <w:uiPriority w:val="99"/>
    <w:rsid w:val="00360BB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semiHidden/>
    <w:rsid w:val="00076F90"/>
    <w:pPr>
      <w:overflowPunct w:val="0"/>
      <w:autoSpaceDE w:val="0"/>
      <w:autoSpaceDN w:val="0"/>
      <w:adjustRightInd w:val="0"/>
    </w:pPr>
  </w:style>
  <w:style w:type="paragraph" w:customStyle="1" w:styleId="p3">
    <w:name w:val="p3"/>
    <w:basedOn w:val="Normal"/>
    <w:rsid w:val="00076F90"/>
    <w:pPr>
      <w:widowControl w:val="0"/>
      <w:tabs>
        <w:tab w:val="left" w:pos="204"/>
      </w:tabs>
      <w:autoSpaceDE w:val="0"/>
      <w:autoSpaceDN w:val="0"/>
      <w:adjustRightInd w:val="0"/>
    </w:pPr>
    <w:rPr>
      <w:sz w:val="24"/>
      <w:szCs w:val="24"/>
    </w:rPr>
  </w:style>
  <w:style w:type="character" w:styleId="FootnoteReference">
    <w:name w:val="footnote reference"/>
    <w:semiHidden/>
    <w:rsid w:val="00076F90"/>
    <w:rPr>
      <w:vertAlign w:val="superscript"/>
    </w:rPr>
  </w:style>
  <w:style w:type="paragraph" w:customStyle="1" w:styleId="Default">
    <w:name w:val="Default"/>
    <w:rsid w:val="00B91C73"/>
    <w:pPr>
      <w:autoSpaceDE w:val="0"/>
      <w:autoSpaceDN w:val="0"/>
      <w:adjustRightInd w:val="0"/>
    </w:pPr>
    <w:rPr>
      <w:color w:val="000000"/>
      <w:sz w:val="24"/>
      <w:szCs w:val="24"/>
    </w:rPr>
  </w:style>
  <w:style w:type="table" w:styleId="TableGrid">
    <w:name w:val="Table Grid"/>
    <w:basedOn w:val="TableNormal"/>
    <w:rsid w:val="00EB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B420D"/>
  </w:style>
  <w:style w:type="character" w:customStyle="1" w:styleId="FootnoteTextChar">
    <w:name w:val="Footnote Text Char"/>
    <w:basedOn w:val="DefaultParagraphFont"/>
    <w:link w:val="FootnoteText"/>
    <w:semiHidden/>
    <w:rsid w:val="007C2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2F776-7F92-4922-9639-FDBF2CDA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Sagerer, Deborah</dc:creator>
  <cp:lastModifiedBy>Wagner, Nathan R</cp:lastModifiedBy>
  <cp:revision>9</cp:revision>
  <cp:lastPrinted>2012-01-12T18:43:00Z</cp:lastPrinted>
  <dcterms:created xsi:type="dcterms:W3CDTF">2016-12-28T15:15:00Z</dcterms:created>
  <dcterms:modified xsi:type="dcterms:W3CDTF">2016-12-29T14:04:00Z</dcterms:modified>
</cp:coreProperties>
</file>